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adjustRightInd w:val="0"/>
        <w:snapToGrid w:val="0"/>
        <w:jc w:val="center"/>
        <w:rPr>
          <w:rFonts w:ascii="方正小标宋_GBK" w:hAnsi="方正小标宋_GBK"/>
          <w:b/>
          <w:color w:val="auto"/>
          <w:sz w:val="72"/>
          <w:szCs w:val="72"/>
        </w:rPr>
      </w:pPr>
      <w:r>
        <w:rPr>
          <w:rFonts w:ascii="方正小标宋_GBK" w:hAnsi="方正小标宋_GBK"/>
          <w:b/>
          <w:color w:val="auto"/>
          <w:sz w:val="72"/>
          <w:szCs w:val="72"/>
        </w:rPr>
        <w:t>建设项目环境影响报告表</w:t>
      </w:r>
    </w:p>
    <w:p>
      <w:pPr>
        <w:adjustRightInd w:val="0"/>
        <w:snapToGrid w:val="0"/>
        <w:spacing w:before="156" w:beforeLines="50"/>
        <w:jc w:val="center"/>
        <w:rPr>
          <w:rFonts w:ascii="楷体_GB2312" w:hAnsi="楷体_GB2312"/>
          <w:b/>
          <w:color w:val="auto"/>
          <w:sz w:val="48"/>
          <w:szCs w:val="48"/>
        </w:rPr>
      </w:pPr>
      <w:r>
        <w:rPr>
          <w:rFonts w:ascii="楷体_GB2312" w:hAnsi="楷体_GB2312"/>
          <w:b/>
          <w:color w:val="auto"/>
          <w:sz w:val="48"/>
          <w:szCs w:val="48"/>
        </w:rPr>
        <w:t>（</w:t>
      </w:r>
      <w:r>
        <w:rPr>
          <w:rFonts w:hint="eastAsia" w:ascii="楷体_GB2312" w:hAnsi="楷体_GB2312"/>
          <w:b/>
          <w:bCs/>
          <w:color w:val="auto"/>
          <w:sz w:val="48"/>
          <w:szCs w:val="48"/>
        </w:rPr>
        <w:t>污染影响类</w:t>
      </w:r>
      <w:r>
        <w:rPr>
          <w:rFonts w:ascii="楷体_GB2312" w:hAnsi="楷体_GB2312"/>
          <w:b/>
          <w:color w:val="auto"/>
          <w:sz w:val="48"/>
          <w:szCs w:val="48"/>
        </w:rPr>
        <w:t>）</w:t>
      </w:r>
    </w:p>
    <w:p>
      <w:pPr>
        <w:adjustRightInd w:val="0"/>
        <w:snapToGrid w:val="0"/>
        <w:spacing w:before="156" w:beforeLines="50"/>
        <w:jc w:val="center"/>
        <w:rPr>
          <w:rFonts w:ascii="楷体_GB2312" w:hAnsi="楷体_GB2312"/>
          <w:bCs/>
          <w:color w:val="auto"/>
          <w:sz w:val="48"/>
          <w:szCs w:val="48"/>
        </w:rPr>
      </w:pPr>
    </w:p>
    <w:p>
      <w:pPr>
        <w:adjustRightInd w:val="0"/>
        <w:snapToGrid w:val="0"/>
        <w:spacing w:before="156" w:beforeLines="50"/>
        <w:jc w:val="center"/>
        <w:rPr>
          <w:rFonts w:ascii="楷体_GB2312" w:hAnsi="楷体_GB2312"/>
          <w:bCs/>
          <w:color w:val="auto"/>
          <w:sz w:val="48"/>
          <w:szCs w:val="48"/>
        </w:rPr>
      </w:pPr>
    </w:p>
    <w:p>
      <w:pPr>
        <w:adjustRightInd w:val="0"/>
        <w:snapToGrid w:val="0"/>
        <w:spacing w:before="156" w:beforeLines="50"/>
        <w:jc w:val="center"/>
        <w:rPr>
          <w:rFonts w:ascii="楷体_GB2312" w:hAnsi="楷体_GB2312"/>
          <w:bCs/>
          <w:color w:val="auto"/>
          <w:sz w:val="48"/>
          <w:szCs w:val="48"/>
        </w:rPr>
      </w:pPr>
    </w:p>
    <w:p>
      <w:pPr>
        <w:adjustRightInd w:val="0"/>
        <w:snapToGrid w:val="0"/>
        <w:spacing w:before="156" w:beforeLines="50"/>
        <w:jc w:val="center"/>
        <w:rPr>
          <w:rFonts w:ascii="楷体_GB2312" w:hAnsi="楷体_GB2312"/>
          <w:bCs/>
          <w:color w:val="auto"/>
          <w:sz w:val="48"/>
          <w:szCs w:val="48"/>
        </w:rPr>
      </w:pPr>
    </w:p>
    <w:p>
      <w:pPr>
        <w:adjustRightInd w:val="0"/>
        <w:snapToGrid w:val="0"/>
        <w:spacing w:before="156" w:beforeLines="50"/>
        <w:ind w:firstLine="964" w:firstLineChars="300"/>
        <w:rPr>
          <w:rFonts w:hint="default" w:ascii="楷体_GB2312" w:hAnsi="楷体_GB2312" w:eastAsia="宋体"/>
          <w:b/>
          <w:color w:val="auto"/>
          <w:sz w:val="32"/>
          <w:szCs w:val="32"/>
          <w:u w:val="single"/>
          <w:lang w:val="en-US" w:eastAsia="zh-CN"/>
        </w:rPr>
      </w:pPr>
      <w:r>
        <w:rPr>
          <w:rFonts w:hint="eastAsia" w:ascii="楷体_GB2312" w:hAnsi="楷体_GB2312"/>
          <w:b/>
          <w:color w:val="auto"/>
          <w:sz w:val="32"/>
          <w:szCs w:val="32"/>
        </w:rPr>
        <w:t>项目名称：</w:t>
      </w:r>
      <w:r>
        <w:rPr>
          <w:rFonts w:hint="eastAsia" w:ascii="楷体_GB2312" w:hAnsi="楷体_GB2312"/>
          <w:b/>
          <w:color w:val="auto"/>
          <w:sz w:val="32"/>
          <w:szCs w:val="32"/>
          <w:u w:val="single"/>
        </w:rPr>
        <w:t>五台</w:t>
      </w:r>
      <w:r>
        <w:rPr>
          <w:rFonts w:hint="eastAsia" w:ascii="楷体_GB2312" w:hAnsi="楷体_GB2312"/>
          <w:b/>
          <w:color w:val="auto"/>
          <w:sz w:val="32"/>
          <w:szCs w:val="32"/>
          <w:u w:val="single"/>
          <w:lang w:val="en-US" w:eastAsia="zh-CN"/>
        </w:rPr>
        <w:t>县沱南污水处理厂建设</w:t>
      </w:r>
      <w:r>
        <w:rPr>
          <w:rFonts w:hint="eastAsia" w:ascii="楷体_GB2312" w:hAnsi="楷体_GB2312"/>
          <w:b/>
          <w:color w:val="auto"/>
          <w:sz w:val="32"/>
          <w:szCs w:val="32"/>
          <w:u w:val="single"/>
        </w:rPr>
        <w:t>项目</w:t>
      </w:r>
      <w:r>
        <w:rPr>
          <w:rFonts w:hint="eastAsia" w:ascii="楷体_GB2312" w:hAnsi="楷体_GB2312"/>
          <w:b/>
          <w:color w:val="auto"/>
          <w:sz w:val="32"/>
          <w:szCs w:val="32"/>
          <w:u w:val="single"/>
          <w:lang w:val="en-US" w:eastAsia="zh-CN"/>
        </w:rPr>
        <w:t xml:space="preserve">      </w:t>
      </w:r>
    </w:p>
    <w:p>
      <w:pPr>
        <w:adjustRightInd w:val="0"/>
        <w:snapToGrid w:val="0"/>
        <w:spacing w:before="156" w:beforeLines="50"/>
        <w:ind w:firstLine="964" w:firstLineChars="300"/>
        <w:rPr>
          <w:rFonts w:hint="default" w:ascii="楷体_GB2312" w:hAnsi="楷体_GB2312" w:eastAsia="宋体"/>
          <w:b/>
          <w:color w:val="auto"/>
          <w:sz w:val="32"/>
          <w:szCs w:val="32"/>
          <w:u w:val="single"/>
          <w:lang w:val="en-US" w:eastAsia="zh-CN"/>
        </w:rPr>
      </w:pPr>
      <w:r>
        <w:rPr>
          <w:rFonts w:hint="eastAsia" w:ascii="楷体_GB2312" w:hAnsi="楷体_GB2312"/>
          <w:b/>
          <w:color w:val="auto"/>
          <w:sz w:val="32"/>
          <w:szCs w:val="32"/>
        </w:rPr>
        <w:t>建设单位</w:t>
      </w:r>
      <w:r>
        <w:rPr>
          <w:rFonts w:ascii="仿宋_GB2312" w:hAnsi="仿宋_GB2312"/>
          <w:b/>
          <w:color w:val="auto"/>
          <w:sz w:val="32"/>
          <w:szCs w:val="32"/>
        </w:rPr>
        <w:t>（盖章）</w:t>
      </w:r>
      <w:r>
        <w:rPr>
          <w:rFonts w:hint="eastAsia" w:ascii="楷体_GB2312" w:hAnsi="楷体_GB2312"/>
          <w:b/>
          <w:color w:val="auto"/>
          <w:sz w:val="32"/>
          <w:szCs w:val="32"/>
        </w:rPr>
        <w:t>：</w:t>
      </w:r>
      <w:r>
        <w:rPr>
          <w:rFonts w:hint="eastAsia" w:ascii="楷体_GB2312" w:hAnsi="楷体_GB2312"/>
          <w:b/>
          <w:color w:val="auto"/>
          <w:sz w:val="32"/>
          <w:szCs w:val="32"/>
          <w:u w:val="single"/>
        </w:rPr>
        <w:t>五台</w:t>
      </w:r>
      <w:r>
        <w:rPr>
          <w:rFonts w:hint="eastAsia" w:ascii="楷体_GB2312" w:hAnsi="楷体_GB2312"/>
          <w:b/>
          <w:color w:val="auto"/>
          <w:sz w:val="32"/>
          <w:szCs w:val="32"/>
          <w:u w:val="single"/>
          <w:lang w:val="en-US" w:eastAsia="zh-CN"/>
        </w:rPr>
        <w:t>县兴台基建开发</w:t>
      </w:r>
      <w:r>
        <w:rPr>
          <w:rFonts w:hint="eastAsia" w:ascii="楷体_GB2312" w:hAnsi="楷体_GB2312"/>
          <w:b/>
          <w:color w:val="auto"/>
          <w:sz w:val="32"/>
          <w:szCs w:val="32"/>
          <w:u w:val="single"/>
        </w:rPr>
        <w:t>有限公司</w:t>
      </w:r>
    </w:p>
    <w:p>
      <w:pPr>
        <w:adjustRightInd w:val="0"/>
        <w:snapToGrid w:val="0"/>
        <w:spacing w:before="156" w:beforeLines="50"/>
        <w:ind w:firstLine="964" w:firstLineChars="300"/>
        <w:rPr>
          <w:rFonts w:ascii="楷体_GB2312" w:hAnsi="楷体_GB2312"/>
          <w:b/>
          <w:color w:val="auto"/>
          <w:sz w:val="32"/>
          <w:szCs w:val="32"/>
        </w:rPr>
      </w:pPr>
      <w:r>
        <w:rPr>
          <w:rFonts w:hint="eastAsia" w:ascii="楷体_GB2312" w:hAnsi="楷体_GB2312"/>
          <w:b/>
          <w:color w:val="auto"/>
          <w:sz w:val="32"/>
          <w:szCs w:val="32"/>
        </w:rPr>
        <w:t>编制日期：</w:t>
      </w:r>
      <w:r>
        <w:rPr>
          <w:rFonts w:hint="eastAsia" w:ascii="楷体_GB2312" w:hAnsi="楷体_GB2312"/>
          <w:b/>
          <w:color w:val="auto"/>
          <w:sz w:val="32"/>
          <w:szCs w:val="32"/>
          <w:u w:val="single"/>
        </w:rPr>
        <w:t xml:space="preserve"> </w:t>
      </w:r>
      <w:r>
        <w:rPr>
          <w:rFonts w:ascii="楷体_GB2312" w:hAnsi="楷体_GB2312"/>
          <w:b/>
          <w:color w:val="auto"/>
          <w:sz w:val="32"/>
          <w:szCs w:val="32"/>
          <w:u w:val="single"/>
        </w:rPr>
        <w:t xml:space="preserve">    </w:t>
      </w:r>
      <w:r>
        <w:rPr>
          <w:rFonts w:hint="eastAsia" w:ascii="楷体_GB2312" w:hAnsi="楷体_GB2312"/>
          <w:b/>
          <w:color w:val="auto"/>
          <w:sz w:val="32"/>
          <w:szCs w:val="32"/>
          <w:u w:val="single"/>
          <w:lang w:val="en-US" w:eastAsia="zh-CN"/>
        </w:rPr>
        <w:t xml:space="preserve"> </w:t>
      </w:r>
      <w:r>
        <w:rPr>
          <w:rFonts w:hint="eastAsia" w:ascii="楷体_GB2312" w:hAnsi="楷体_GB2312"/>
          <w:b/>
          <w:color w:val="auto"/>
          <w:sz w:val="32"/>
          <w:szCs w:val="32"/>
          <w:u w:val="single"/>
        </w:rPr>
        <w:t xml:space="preserve"> </w:t>
      </w:r>
      <w:r>
        <w:rPr>
          <w:rFonts w:ascii="楷体_GB2312" w:hAnsi="楷体_GB2312"/>
          <w:b/>
          <w:color w:val="auto"/>
          <w:sz w:val="32"/>
          <w:szCs w:val="32"/>
          <w:u w:val="single"/>
        </w:rPr>
        <w:t xml:space="preserve"> </w:t>
      </w:r>
      <w:r>
        <w:rPr>
          <w:rFonts w:hint="eastAsia" w:ascii="楷体_GB2312" w:hAnsi="楷体_GB2312"/>
          <w:b/>
          <w:color w:val="auto"/>
          <w:sz w:val="32"/>
          <w:szCs w:val="32"/>
          <w:u w:val="single"/>
        </w:rPr>
        <w:t>二〇二</w:t>
      </w:r>
      <w:r>
        <w:rPr>
          <w:rFonts w:hint="eastAsia" w:ascii="楷体_GB2312" w:hAnsi="楷体_GB2312"/>
          <w:b/>
          <w:color w:val="auto"/>
          <w:sz w:val="32"/>
          <w:szCs w:val="32"/>
          <w:u w:val="single"/>
          <w:lang w:val="en-US" w:eastAsia="zh-CN"/>
        </w:rPr>
        <w:t>三</w:t>
      </w:r>
      <w:r>
        <w:rPr>
          <w:rFonts w:hint="eastAsia" w:ascii="楷体_GB2312" w:hAnsi="楷体_GB2312"/>
          <w:b/>
          <w:color w:val="auto"/>
          <w:sz w:val="32"/>
          <w:szCs w:val="32"/>
          <w:u w:val="single"/>
        </w:rPr>
        <w:t>年</w:t>
      </w:r>
      <w:r>
        <w:rPr>
          <w:rFonts w:hint="eastAsia" w:ascii="楷体_GB2312" w:hAnsi="楷体_GB2312"/>
          <w:b/>
          <w:color w:val="auto"/>
          <w:sz w:val="32"/>
          <w:szCs w:val="32"/>
          <w:u w:val="single"/>
          <w:lang w:val="en-US" w:eastAsia="zh-CN"/>
        </w:rPr>
        <w:t>三</w:t>
      </w:r>
      <w:r>
        <w:rPr>
          <w:rFonts w:hint="eastAsia" w:ascii="楷体_GB2312" w:hAnsi="楷体_GB2312"/>
          <w:b/>
          <w:color w:val="auto"/>
          <w:sz w:val="32"/>
          <w:szCs w:val="32"/>
          <w:u w:val="single"/>
        </w:rPr>
        <w:t xml:space="preserve">月  </w:t>
      </w:r>
      <w:r>
        <w:rPr>
          <w:rFonts w:hint="eastAsia" w:ascii="楷体_GB2312" w:hAnsi="楷体_GB2312"/>
          <w:b/>
          <w:color w:val="auto"/>
          <w:sz w:val="32"/>
          <w:szCs w:val="32"/>
          <w:u w:val="single"/>
          <w:lang w:val="en-US" w:eastAsia="zh-CN"/>
        </w:rPr>
        <w:t xml:space="preserve">       </w:t>
      </w:r>
      <w:r>
        <w:rPr>
          <w:rFonts w:hint="eastAsia" w:ascii="楷体_GB2312" w:hAnsi="楷体_GB2312"/>
          <w:b/>
          <w:color w:val="auto"/>
          <w:sz w:val="32"/>
          <w:szCs w:val="32"/>
          <w:u w:val="single"/>
        </w:rPr>
        <w:t xml:space="preserve">   </w:t>
      </w:r>
    </w:p>
    <w:p>
      <w:pPr>
        <w:jc w:val="center"/>
        <w:rPr>
          <w:rFonts w:ascii="楷体_GB2312" w:hAnsi="楷体_GB2312"/>
          <w:color w:val="auto"/>
          <w:sz w:val="32"/>
          <w:szCs w:val="32"/>
        </w:rPr>
      </w:pPr>
    </w:p>
    <w:p>
      <w:pPr>
        <w:jc w:val="center"/>
        <w:rPr>
          <w:rFonts w:ascii="楷体_GB2312" w:hAnsi="楷体_GB2312"/>
          <w:color w:val="auto"/>
          <w:sz w:val="36"/>
          <w:szCs w:val="36"/>
        </w:rPr>
      </w:pPr>
    </w:p>
    <w:p>
      <w:pPr>
        <w:jc w:val="center"/>
        <w:rPr>
          <w:rFonts w:ascii="楷体_GB2312" w:hAnsi="楷体_GB2312"/>
          <w:color w:val="auto"/>
          <w:sz w:val="36"/>
          <w:szCs w:val="36"/>
        </w:rPr>
      </w:pPr>
    </w:p>
    <w:p>
      <w:pPr>
        <w:jc w:val="center"/>
        <w:rPr>
          <w:rFonts w:ascii="楷体_GB2312" w:hAnsi="楷体_GB2312"/>
          <w:color w:val="auto"/>
          <w:sz w:val="36"/>
          <w:szCs w:val="36"/>
        </w:rPr>
      </w:pPr>
    </w:p>
    <w:p>
      <w:pPr>
        <w:jc w:val="center"/>
        <w:rPr>
          <w:rFonts w:ascii="楷体_GB2312" w:hAnsi="楷体_GB2312"/>
          <w:color w:val="auto"/>
          <w:sz w:val="36"/>
          <w:szCs w:val="36"/>
        </w:rPr>
      </w:pPr>
    </w:p>
    <w:p>
      <w:pPr>
        <w:jc w:val="center"/>
        <w:rPr>
          <w:rFonts w:ascii="楷体_GB2312" w:hAnsi="楷体_GB2312"/>
          <w:color w:val="auto"/>
          <w:sz w:val="36"/>
          <w:szCs w:val="36"/>
        </w:rPr>
      </w:pPr>
    </w:p>
    <w:p>
      <w:pPr>
        <w:jc w:val="center"/>
        <w:rPr>
          <w:rFonts w:ascii="楷体_GB2312" w:hAnsi="楷体_GB2312"/>
          <w:b/>
          <w:bCs/>
          <w:color w:val="auto"/>
          <w:sz w:val="32"/>
          <w:szCs w:val="32"/>
        </w:rPr>
        <w:sectPr>
          <w:footerReference r:id="rId3" w:type="default"/>
          <w:pgSz w:w="11906" w:h="16838"/>
          <w:pgMar w:top="1440" w:right="1417" w:bottom="1440" w:left="1417" w:header="851" w:footer="992" w:gutter="0"/>
          <w:cols w:space="425" w:num="1"/>
          <w:docGrid w:type="lines" w:linePitch="312" w:charSpace="0"/>
        </w:sectPr>
      </w:pPr>
      <w:r>
        <w:rPr>
          <w:rFonts w:ascii="楷体_GB2312" w:hAnsi="楷体_GB2312"/>
          <w:b/>
          <w:bCs/>
          <w:color w:val="auto"/>
          <w:sz w:val="32"/>
          <w:szCs w:val="32"/>
        </w:rPr>
        <w:t>中华人民共和国生态环境部制</w:t>
      </w:r>
    </w:p>
    <w:p>
      <w:pPr>
        <w:pStyle w:val="23"/>
        <w:spacing w:before="0" w:beforeAutospacing="0" w:after="0" w:afterAutospacing="0"/>
        <w:jc w:val="center"/>
        <w:outlineLvl w:val="0"/>
        <w:rPr>
          <w:rFonts w:ascii="黑体" w:hAnsi="黑体" w:eastAsia="黑体"/>
          <w:color w:val="auto"/>
          <w:sz w:val="30"/>
          <w:szCs w:val="30"/>
        </w:rPr>
      </w:pPr>
      <w:bookmarkStart w:id="0" w:name="_Toc9105"/>
      <w:r>
        <w:rPr>
          <w:rFonts w:hint="eastAsia" w:ascii="黑体" w:hAnsi="黑体" w:eastAsia="黑体"/>
          <w:color w:val="auto"/>
          <w:sz w:val="30"/>
          <w:szCs w:val="30"/>
        </w:rPr>
        <w:t>一、建设项目基本情况</w:t>
      </w:r>
      <w:bookmarkEnd w:id="0"/>
    </w:p>
    <w:tbl>
      <w:tblPr>
        <w:tblStyle w:val="27"/>
        <w:tblW w:w="51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1519"/>
        <w:gridCol w:w="2694"/>
        <w:gridCol w:w="1822"/>
        <w:gridCol w:w="27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3928" w:type="pct"/>
            <w:gridSpan w:val="3"/>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五台县兴台基建开发</w:t>
            </w:r>
            <w:r>
              <w:rPr>
                <w:rFonts w:hint="default" w:ascii="Times New Roman" w:hAnsi="Times New Roman" w:eastAsia="宋体" w:cs="Times New Roman"/>
                <w:color w:val="auto"/>
                <w:sz w:val="24"/>
                <w:szCs w:val="24"/>
                <w:lang w:val="en-US" w:eastAsia="zh-CN"/>
              </w:rPr>
              <w:t>有限公司</w:t>
            </w:r>
          </w:p>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五台县沱南污水处理厂建设</w:t>
            </w:r>
            <w:r>
              <w:rPr>
                <w:rFonts w:hint="default" w:ascii="Times New Roman" w:hAnsi="Times New Roman" w:eastAsia="宋体" w:cs="Times New Roman"/>
                <w:color w:val="auto"/>
                <w:sz w:val="24"/>
                <w:szCs w:val="24"/>
                <w:lang w:val="en-US" w:eastAsia="zh-CN"/>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3928" w:type="pct"/>
            <w:gridSpan w:val="3"/>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Cs/>
                <w:color w:val="auto"/>
                <w:sz w:val="24"/>
                <w:lang w:val="en-US" w:eastAsia="zh-CN"/>
              </w:rPr>
              <w:t>2209-140922-89-01-782431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1461" w:type="pct"/>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赵振宇</w:t>
            </w:r>
          </w:p>
        </w:tc>
        <w:tc>
          <w:tcPr>
            <w:tcW w:w="988" w:type="pct"/>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1478" w:type="pct"/>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18649507955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3928" w:type="pct"/>
            <w:gridSpan w:val="3"/>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u w:val="single"/>
              </w:rPr>
              <w:t>山西</w:t>
            </w:r>
            <w:r>
              <w:rPr>
                <w:rFonts w:hint="default" w:ascii="Times New Roman" w:hAnsi="Times New Roman" w:cs="Times New Roman"/>
                <w:color w:val="auto"/>
                <w:sz w:val="24"/>
                <w:szCs w:val="24"/>
              </w:rPr>
              <w:t>省</w:t>
            </w:r>
            <w:r>
              <w:rPr>
                <w:rFonts w:hint="default" w:ascii="Times New Roman" w:hAnsi="Times New Roman" w:cs="Times New Roman"/>
                <w:color w:val="auto"/>
                <w:sz w:val="24"/>
                <w:szCs w:val="24"/>
                <w:u w:val="single"/>
              </w:rPr>
              <w:t>忻州</w:t>
            </w:r>
            <w:r>
              <w:rPr>
                <w:rFonts w:hint="default" w:ascii="Times New Roman" w:hAnsi="Times New Roman" w:cs="Times New Roman"/>
                <w:color w:val="auto"/>
                <w:sz w:val="24"/>
                <w:szCs w:val="24"/>
              </w:rPr>
              <w:t>市</w:t>
            </w:r>
            <w:r>
              <w:rPr>
                <w:rFonts w:hint="eastAsia" w:cs="Times New Roman"/>
                <w:color w:val="auto"/>
                <w:sz w:val="24"/>
                <w:szCs w:val="24"/>
                <w:u w:val="single"/>
                <w:lang w:val="en-US" w:eastAsia="zh-CN"/>
              </w:rPr>
              <w:t>五台县建安镇张家庄村北440m处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3928" w:type="pct"/>
            <w:gridSpan w:val="3"/>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11</w:t>
            </w:r>
            <w:r>
              <w:rPr>
                <w:rFonts w:hint="eastAsia" w:cs="Times New Roman"/>
                <w:color w:val="auto"/>
                <w:sz w:val="24"/>
                <w:szCs w:val="24"/>
                <w:u w:val="single"/>
                <w:lang w:val="en-US" w:eastAsia="zh-CN"/>
              </w:rPr>
              <w:t>3</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9</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26.48</w:t>
            </w:r>
            <w:r>
              <w:rPr>
                <w:rFonts w:hint="default" w:ascii="Times New Roman" w:hAnsi="Times New Roman" w:cs="Times New Roman"/>
                <w:color w:val="auto"/>
                <w:sz w:val="24"/>
                <w:szCs w:val="24"/>
                <w:u w:val="single"/>
                <w:lang w:val="en-US" w:eastAsia="zh-CN"/>
              </w:rPr>
              <w:t>3</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3</w:t>
            </w:r>
            <w:r>
              <w:rPr>
                <w:rFonts w:hint="default" w:ascii="Times New Roman" w:hAnsi="Times New Roman" w:cs="Times New Roman"/>
                <w:color w:val="auto"/>
                <w:sz w:val="24"/>
                <w:szCs w:val="24"/>
                <w:u w:val="single"/>
                <w:lang w:val="en-US" w:eastAsia="zh-CN"/>
              </w:rPr>
              <w:t>8</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37</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15.90</w:t>
            </w:r>
            <w:r>
              <w:rPr>
                <w:rFonts w:hint="default" w:ascii="Times New Roman" w:hAnsi="Times New Roman" w:cs="Times New Roman"/>
                <w:color w:val="auto"/>
                <w:sz w:val="24"/>
                <w:szCs w:val="24"/>
                <w:u w:val="single"/>
                <w:lang w:val="en-US" w:eastAsia="zh-CN"/>
              </w:rPr>
              <w:t>1</w:t>
            </w:r>
            <w:r>
              <w:rPr>
                <w:rFonts w:hint="default" w:ascii="Times New Roman" w:hAnsi="Times New Roman"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1461" w:type="pct"/>
            <w:vAlign w:val="center"/>
          </w:tcPr>
          <w:p>
            <w:pPr>
              <w:adjustRightInd w:val="0"/>
              <w:snapToGrid w:val="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4620污水处理及其再生利用</w:t>
            </w:r>
          </w:p>
        </w:tc>
        <w:tc>
          <w:tcPr>
            <w:tcW w:w="988" w:type="pct"/>
            <w:vAlign w:val="center"/>
          </w:tcPr>
          <w:p>
            <w:pPr>
              <w:adjustRightInd w:val="0"/>
              <w:snapToGrid w:val="0"/>
              <w:jc w:val="center"/>
              <w:rPr>
                <w:rFonts w:hint="default" w:ascii="Times New Roman" w:hAnsi="Times New Roman" w:cs="Times New Roman"/>
                <w:color w:val="auto"/>
                <w:sz w:val="24"/>
                <w:szCs w:val="24"/>
              </w:rPr>
            </w:pPr>
            <w:bookmarkStart w:id="1" w:name="_Hlk49843745"/>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1"/>
          </w:p>
        </w:tc>
        <w:tc>
          <w:tcPr>
            <w:tcW w:w="1478" w:type="pct"/>
            <w:vAlign w:val="center"/>
          </w:tcPr>
          <w:p>
            <w:pPr>
              <w:adjustRightInd w:val="0"/>
              <w:snapToGrid w:val="0"/>
              <w:rPr>
                <w:rFonts w:hint="default" w:ascii="Times New Roman" w:hAnsi="Times New Roman" w:eastAsia="宋体" w:cs="Times New Roman"/>
                <w:color w:val="auto"/>
                <w:sz w:val="24"/>
                <w:szCs w:val="24"/>
                <w:lang w:val="en-US" w:eastAsia="zh-CN"/>
              </w:rPr>
            </w:pPr>
            <w:r>
              <w:rPr>
                <w:rFonts w:hint="eastAsia" w:cs="Times New Roman"/>
                <w:bCs/>
                <w:color w:val="auto"/>
                <w:sz w:val="24"/>
                <w:szCs w:val="28"/>
                <w:lang w:val="en-US" w:eastAsia="zh-CN" w:bidi="ar"/>
              </w:rPr>
              <w:t>四</w:t>
            </w:r>
            <w:r>
              <w:rPr>
                <w:rFonts w:hint="default" w:ascii="Times New Roman" w:hAnsi="Times New Roman" w:cs="Times New Roman"/>
                <w:bCs/>
                <w:color w:val="auto"/>
                <w:sz w:val="24"/>
                <w:szCs w:val="28"/>
                <w:lang w:val="en-US" w:eastAsia="zh-CN" w:bidi="ar"/>
              </w:rPr>
              <w:t>十</w:t>
            </w:r>
            <w:r>
              <w:rPr>
                <w:rFonts w:hint="eastAsia" w:cs="Times New Roman"/>
                <w:bCs/>
                <w:color w:val="auto"/>
                <w:sz w:val="24"/>
                <w:szCs w:val="28"/>
                <w:lang w:val="en-US" w:eastAsia="zh-CN" w:bidi="ar"/>
              </w:rPr>
              <w:t>三</w:t>
            </w:r>
            <w:r>
              <w:rPr>
                <w:rFonts w:hint="default" w:ascii="Times New Roman" w:hAnsi="Times New Roman" w:cs="Times New Roman"/>
                <w:bCs/>
                <w:color w:val="auto"/>
                <w:sz w:val="24"/>
                <w:szCs w:val="28"/>
                <w:lang w:bidi="ar"/>
              </w:rPr>
              <w:t>、</w:t>
            </w:r>
            <w:r>
              <w:rPr>
                <w:rFonts w:hint="eastAsia" w:cs="Times New Roman"/>
                <w:bCs/>
                <w:color w:val="auto"/>
                <w:sz w:val="24"/>
                <w:szCs w:val="28"/>
                <w:lang w:val="en-US" w:eastAsia="zh-CN" w:bidi="ar"/>
              </w:rPr>
              <w:t>水的生产和供应业</w:t>
            </w:r>
            <w:r>
              <w:rPr>
                <w:rFonts w:hint="default" w:ascii="Times New Roman" w:hAnsi="Times New Roman" w:cs="Times New Roman"/>
                <w:bCs/>
                <w:color w:val="auto"/>
                <w:sz w:val="24"/>
                <w:szCs w:val="28"/>
                <w:lang w:bidi="ar"/>
              </w:rPr>
              <w:t>-95污水处理及其再生利用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1461" w:type="pct"/>
            <w:vAlign w:val="center"/>
          </w:tcPr>
          <w:p>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新建（迁建）</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改建</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扩建</w:t>
            </w:r>
          </w:p>
          <w:p>
            <w:pPr>
              <w:jc w:val="left"/>
              <w:rPr>
                <w:rFonts w:hint="default" w:ascii="Times New Roman" w:hAnsi="Times New Roman" w:cs="Times New Roman"/>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技术改造</w:t>
            </w:r>
          </w:p>
        </w:tc>
        <w:tc>
          <w:tcPr>
            <w:tcW w:w="988" w:type="pct"/>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1478" w:type="pct"/>
            <w:vAlign w:val="center"/>
          </w:tcPr>
          <w:p>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首次申报项目</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不予批准后再次申报项目</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超五年重新审核项目</w:t>
            </w:r>
          </w:p>
          <w:p>
            <w:pPr>
              <w:jc w:val="left"/>
              <w:rPr>
                <w:rFonts w:hint="default" w:ascii="Times New Roman" w:hAnsi="Times New Roman" w:cs="Times New Roman"/>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项目审批（核准/备案）部门（选填）</w:t>
            </w:r>
          </w:p>
        </w:tc>
        <w:tc>
          <w:tcPr>
            <w:tcW w:w="1461" w:type="pct"/>
            <w:vAlign w:val="center"/>
          </w:tcPr>
          <w:p>
            <w:pPr>
              <w:adjustRightInd w:val="0"/>
              <w:snapToGrid w:val="0"/>
              <w:jc w:val="center"/>
              <w:rPr>
                <w:rFonts w:hint="default" w:ascii="Times New Roman" w:hAnsi="Times New Roman" w:cs="Times New Roman"/>
                <w:color w:val="auto"/>
                <w:sz w:val="24"/>
                <w:szCs w:val="24"/>
              </w:rPr>
            </w:pPr>
          </w:p>
        </w:tc>
        <w:tc>
          <w:tcPr>
            <w:tcW w:w="988" w:type="pct"/>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项目审批（核准/备案）文号（选填）</w:t>
            </w:r>
          </w:p>
        </w:tc>
        <w:tc>
          <w:tcPr>
            <w:tcW w:w="1478" w:type="pct"/>
            <w:vAlign w:val="center"/>
          </w:tcPr>
          <w:p>
            <w:pPr>
              <w:adjustRightInd w:val="0"/>
              <w:snapToGrid w:val="0"/>
              <w:jc w:val="center"/>
              <w:rPr>
                <w:rFonts w:hint="default" w:ascii="Times New Roman" w:hAnsi="Times New Roman"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1461" w:type="pct"/>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23897.98</w:t>
            </w:r>
          </w:p>
        </w:tc>
        <w:tc>
          <w:tcPr>
            <w:tcW w:w="988"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1478" w:type="pct"/>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1461" w:type="pct"/>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1.18</w:t>
            </w:r>
          </w:p>
        </w:tc>
        <w:tc>
          <w:tcPr>
            <w:tcW w:w="988"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1478" w:type="pct"/>
            <w:vAlign w:val="center"/>
          </w:tcPr>
          <w:p>
            <w:pPr>
              <w:adjustRightInd w:val="0"/>
              <w:snapToGrid w:val="0"/>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13</w:t>
            </w:r>
            <w:r>
              <w:rPr>
                <w:rFonts w:hint="default" w:ascii="Times New Roman" w:hAnsi="Times New Roman" w:cs="Times New Roman"/>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1" w:type="pct"/>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1461" w:type="pct"/>
            <w:vAlign w:val="center"/>
          </w:tcPr>
          <w:p>
            <w:pPr>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否</w:t>
            </w:r>
          </w:p>
          <w:p>
            <w:pPr>
              <w:adjustRightInd w:val="0"/>
              <w:snapToGrid w:val="0"/>
              <w:rPr>
                <w:rFonts w:hint="default" w:ascii="Times New Roman" w:hAnsi="Times New Roman" w:cs="Times New Roman"/>
                <w:color w:val="auto"/>
                <w:sz w:val="24"/>
                <w:szCs w:val="24"/>
                <w:lang w:val="en-US"/>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是：</w:t>
            </w:r>
          </w:p>
        </w:tc>
        <w:tc>
          <w:tcPr>
            <w:tcW w:w="988" w:type="pct"/>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1478" w:type="pct"/>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8998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1" w:type="pct"/>
            <w:gridSpan w:val="2"/>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3928" w:type="pct"/>
            <w:gridSpan w:val="3"/>
            <w:vAlign w:val="center"/>
          </w:tcPr>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w:t>
            </w:r>
            <w:r>
              <w:rPr>
                <w:rFonts w:hint="eastAsia" w:cs="Times New Roman"/>
                <w:color w:val="auto"/>
                <w:kern w:val="0"/>
                <w:sz w:val="24"/>
                <w:szCs w:val="24"/>
                <w:lang w:val="en-US" w:eastAsia="zh-CN"/>
              </w:rPr>
              <w:t>设置地表水环境影响专项评价。设置理由为本项目为新增废水直排的污水集中处理厂。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1" w:type="pct"/>
            <w:gridSpan w:val="2"/>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3928" w:type="pct"/>
            <w:gridSpan w:val="3"/>
            <w:vAlign w:val="center"/>
          </w:tcPr>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1" w:type="pct"/>
            <w:gridSpan w:val="2"/>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规划环境影响评价情况</w:t>
            </w:r>
          </w:p>
        </w:tc>
        <w:tc>
          <w:tcPr>
            <w:tcW w:w="3928" w:type="pct"/>
            <w:gridSpan w:val="3"/>
            <w:vAlign w:val="center"/>
          </w:tcPr>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1" w:type="pct"/>
            <w:gridSpan w:val="2"/>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3928" w:type="pct"/>
            <w:gridSpan w:val="3"/>
            <w:vAlign w:val="center"/>
          </w:tcPr>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47" w:type="pct"/>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4752" w:type="pct"/>
            <w:gridSpan w:val="4"/>
            <w:vAlign w:val="center"/>
          </w:tcPr>
          <w:p>
            <w:pPr>
              <w:autoSpaceDE w:val="0"/>
              <w:autoSpaceDN w:val="0"/>
              <w:adjustRightInd w:val="0"/>
              <w:snapToGrid w:val="0"/>
              <w:spacing w:line="480" w:lineRule="exact"/>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1、“三线一单”符合性分析</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（1）与生态保护红线的符合性分析</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生态保护红线划定技术指南》，山西省生态保护红线可能涉及的区域主要包括水源涵养区、水土保持区、防风固沙区、生物多样性维护区等陆地重要生态功能区，或水土流失敏感区、土地沙化敏感区、石漠化敏感区、高寒生态脆弱区、干旱、半干旱生态脆弱区等陆地生态环境敏感区和脆弱区、国家级自然保护区、世界文化自然遗产、国家级风景名胜区、国家森林公园和国家地质公园等禁止开发区。</w:t>
            </w:r>
          </w:p>
          <w:p>
            <w:pPr>
              <w:autoSpaceDE w:val="0"/>
              <w:autoSpaceDN w:val="0"/>
              <w:adjustRightInd w:val="0"/>
              <w:snapToGrid w:val="0"/>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本项目拟建厂址位于山西省忻州市五台县建安镇张家庄村北440m处</w:t>
            </w:r>
            <w:r>
              <w:rPr>
                <w:rFonts w:hint="default" w:ascii="Times New Roman" w:hAnsi="Times New Roman" w:cs="Times New Roman"/>
                <w:color w:val="auto"/>
                <w:sz w:val="24"/>
              </w:rPr>
              <w:t>，根据山西省“三线一单”图集中的</w:t>
            </w:r>
            <w:r>
              <w:rPr>
                <w:rFonts w:hint="eastAsia" w:ascii="Times New Roman" w:hAnsi="Times New Roman" w:eastAsia="宋体" w:cs="Times New Roman"/>
                <w:color w:val="auto"/>
                <w:sz w:val="24"/>
                <w:szCs w:val="24"/>
                <w:vertAlign w:val="baseline"/>
                <w:lang w:val="en-US" w:eastAsia="zh-CN"/>
              </w:rPr>
              <w:t>忻州市生态环境管控单元分布图、</w:t>
            </w:r>
            <w:r>
              <w:rPr>
                <w:rFonts w:hint="eastAsia" w:cs="Times New Roman"/>
                <w:color w:val="auto"/>
                <w:sz w:val="24"/>
                <w:lang w:val="en-US" w:eastAsia="zh-CN"/>
              </w:rPr>
              <w:t>五台县</w:t>
            </w:r>
            <w:r>
              <w:rPr>
                <w:rFonts w:hint="default" w:ascii="Times New Roman" w:hAnsi="Times New Roman" w:cs="Times New Roman"/>
                <w:color w:val="auto"/>
                <w:sz w:val="24"/>
              </w:rPr>
              <w:t>综合管控单元图，本项目位于</w:t>
            </w:r>
            <w:r>
              <w:rPr>
                <w:rFonts w:hint="eastAsia" w:cs="Times New Roman"/>
                <w:color w:val="auto"/>
                <w:sz w:val="24"/>
                <w:szCs w:val="24"/>
                <w:vertAlign w:val="baseline"/>
                <w:lang w:val="en-US" w:eastAsia="zh-CN"/>
              </w:rPr>
              <w:t>一般管控</w:t>
            </w:r>
            <w:r>
              <w:rPr>
                <w:rFonts w:hint="eastAsia" w:ascii="Times New Roman" w:hAnsi="Times New Roman" w:eastAsia="宋体" w:cs="Times New Roman"/>
                <w:color w:val="auto"/>
                <w:sz w:val="24"/>
                <w:szCs w:val="24"/>
                <w:vertAlign w:val="baseline"/>
                <w:lang w:val="en-US" w:eastAsia="zh-CN"/>
              </w:rPr>
              <w:t>单元</w:t>
            </w:r>
            <w:r>
              <w:rPr>
                <w:rFonts w:hint="default" w:ascii="Times New Roman" w:hAnsi="Times New Roman" w:cs="Times New Roman"/>
                <w:color w:val="auto"/>
                <w:sz w:val="24"/>
              </w:rPr>
              <w:t>。</w:t>
            </w:r>
            <w:r>
              <w:rPr>
                <w:rFonts w:hint="eastAsia" w:ascii="Times New Roman" w:hAnsi="Times New Roman" w:eastAsia="宋体" w:cs="Times New Roman"/>
                <w:color w:val="auto"/>
                <w:sz w:val="24"/>
                <w:szCs w:val="24"/>
                <w:vertAlign w:val="baseline"/>
                <w:lang w:val="en-US" w:eastAsia="zh-CN"/>
              </w:rPr>
              <w:t>忻州市生态环境管控单元分布图见附图4a，</w:t>
            </w:r>
            <w:r>
              <w:rPr>
                <w:rFonts w:hint="eastAsia" w:cs="Times New Roman"/>
                <w:color w:val="auto"/>
                <w:sz w:val="24"/>
                <w:lang w:val="en-US" w:eastAsia="zh-CN"/>
              </w:rPr>
              <w:t>五台县</w:t>
            </w:r>
            <w:r>
              <w:rPr>
                <w:rFonts w:hint="default" w:ascii="Times New Roman" w:hAnsi="Times New Roman" w:cs="Times New Roman"/>
                <w:color w:val="auto"/>
                <w:sz w:val="24"/>
              </w:rPr>
              <w:t>综合管控单元图见附图4</w:t>
            </w:r>
            <w:r>
              <w:rPr>
                <w:rFonts w:hint="eastAsia" w:cs="Times New Roman"/>
                <w:color w:val="auto"/>
                <w:sz w:val="24"/>
                <w:lang w:val="en-US" w:eastAsia="zh-CN"/>
              </w:rPr>
              <w:t>b</w:t>
            </w:r>
            <w:r>
              <w:rPr>
                <w:rFonts w:hint="default" w:ascii="Times New Roman" w:hAnsi="Times New Roman" w:cs="Times New Roman"/>
                <w:color w:val="auto"/>
                <w:sz w:val="24"/>
              </w:rPr>
              <w:t>。</w:t>
            </w:r>
          </w:p>
          <w:p>
            <w:pPr>
              <w:autoSpaceDE w:val="0"/>
              <w:autoSpaceDN w:val="0"/>
              <w:adjustRightInd w:val="0"/>
              <w:snapToGrid w:val="0"/>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山西省人民政府关于实施“三线一单”生态环境分区管控的意见》（晋政发[2020]26号）以及《忻州市人民政府关于印发忻州市“三线一单”生态环境分区管控实施方案的通知》（忻政发[2021]12号），本项目与</w:t>
            </w:r>
            <w:r>
              <w:rPr>
                <w:rFonts w:hint="eastAsia" w:cs="Times New Roman"/>
                <w:color w:val="auto"/>
                <w:sz w:val="24"/>
                <w:lang w:val="en-US" w:eastAsia="zh-CN"/>
              </w:rPr>
              <w:t>一般管控</w:t>
            </w:r>
            <w:r>
              <w:rPr>
                <w:rFonts w:hint="default" w:ascii="Times New Roman" w:hAnsi="Times New Roman" w:cs="Times New Roman"/>
                <w:color w:val="auto"/>
                <w:sz w:val="24"/>
              </w:rPr>
              <w:t>单元</w:t>
            </w:r>
            <w:r>
              <w:rPr>
                <w:rFonts w:hint="default" w:ascii="Times New Roman" w:hAnsi="Times New Roman" w:cs="Times New Roman"/>
                <w:color w:val="auto"/>
                <w:sz w:val="24"/>
                <w:lang w:val="en-US" w:eastAsia="zh-CN"/>
              </w:rPr>
              <w:t>管控要求</w:t>
            </w:r>
            <w:r>
              <w:rPr>
                <w:rFonts w:hint="default" w:ascii="Times New Roman" w:hAnsi="Times New Roman" w:cs="Times New Roman"/>
                <w:color w:val="auto"/>
                <w:sz w:val="24"/>
              </w:rPr>
              <w:t>的符合性分析见下表。</w:t>
            </w:r>
          </w:p>
          <w:p>
            <w:pPr>
              <w:autoSpaceDE w:val="0"/>
              <w:autoSpaceDN w:val="0"/>
              <w:adjustRightInd w:val="0"/>
              <w:snapToGrid w:val="0"/>
              <w:spacing w:line="480" w:lineRule="exact"/>
              <w:jc w:val="center"/>
              <w:rPr>
                <w:rFonts w:hint="eastAsia" w:ascii="黑体" w:hAnsi="黑体" w:eastAsia="黑体" w:cs="宋体"/>
                <w:color w:val="auto"/>
                <w:kern w:val="0"/>
                <w:sz w:val="24"/>
              </w:rPr>
            </w:pPr>
            <w:r>
              <w:rPr>
                <w:rFonts w:hint="default" w:ascii="Times New Roman" w:hAnsi="Times New Roman" w:eastAsia="黑体" w:cs="Times New Roman"/>
                <w:color w:val="auto"/>
                <w:kern w:val="0"/>
                <w:sz w:val="24"/>
              </w:rPr>
              <w:t>表1-1  与《山西省人民政府关于实施“三线一单”生态环境分区管控的意见》</w:t>
            </w:r>
            <w:r>
              <w:rPr>
                <w:rFonts w:hint="eastAsia" w:ascii="黑体" w:hAnsi="黑体" w:eastAsia="黑体" w:cs="宋体"/>
                <w:color w:val="auto"/>
                <w:kern w:val="0"/>
                <w:sz w:val="24"/>
              </w:rPr>
              <w:t>中</w:t>
            </w:r>
            <w:r>
              <w:rPr>
                <w:rFonts w:hint="eastAsia" w:ascii="黑体" w:hAnsi="黑体" w:eastAsia="黑体" w:cs="宋体"/>
                <w:color w:val="auto"/>
                <w:kern w:val="0"/>
                <w:sz w:val="24"/>
                <w:lang w:val="en-US" w:eastAsia="zh-CN"/>
              </w:rPr>
              <w:t>一般管控</w:t>
            </w:r>
            <w:r>
              <w:rPr>
                <w:rFonts w:hint="eastAsia" w:ascii="黑体" w:hAnsi="黑体" w:eastAsia="黑体" w:cs="宋体"/>
                <w:color w:val="auto"/>
                <w:kern w:val="0"/>
                <w:sz w:val="24"/>
              </w:rPr>
              <w:t>单元</w:t>
            </w:r>
            <w:r>
              <w:rPr>
                <w:rFonts w:hint="eastAsia" w:ascii="黑体" w:hAnsi="黑体" w:eastAsia="黑体" w:cs="宋体"/>
                <w:color w:val="auto"/>
                <w:kern w:val="0"/>
                <w:sz w:val="24"/>
                <w:lang w:val="en-US" w:eastAsia="zh-CN"/>
              </w:rPr>
              <w:t>管控要求</w:t>
            </w:r>
            <w:r>
              <w:rPr>
                <w:rFonts w:hint="eastAsia" w:ascii="黑体" w:hAnsi="黑体" w:eastAsia="黑体" w:cs="宋体"/>
                <w:color w:val="auto"/>
                <w:kern w:val="0"/>
                <w:sz w:val="24"/>
              </w:rPr>
              <w:t>的符合性分析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9"/>
              <w:gridCol w:w="5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1850"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cs="宋体"/>
                      <w:color w:val="auto"/>
                      <w:kern w:val="0"/>
                      <w:szCs w:val="21"/>
                    </w:rPr>
                  </w:pPr>
                  <w:r>
                    <w:rPr>
                      <w:rFonts w:hint="eastAsia" w:cs="宋体"/>
                      <w:color w:val="auto"/>
                      <w:kern w:val="0"/>
                      <w:szCs w:val="21"/>
                      <w:lang w:val="en-US" w:eastAsia="zh-CN"/>
                    </w:rPr>
                    <w:t>一般管控</w:t>
                  </w:r>
                  <w:r>
                    <w:rPr>
                      <w:rFonts w:hint="eastAsia" w:cs="宋体"/>
                      <w:color w:val="auto"/>
                      <w:kern w:val="0"/>
                      <w:szCs w:val="21"/>
                    </w:rPr>
                    <w:t>单元要求</w:t>
                  </w:r>
                </w:p>
              </w:tc>
              <w:tc>
                <w:tcPr>
                  <w:tcW w:w="3149"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cs="宋体"/>
                      <w:color w:val="auto"/>
                      <w:kern w:val="0"/>
                      <w:szCs w:val="21"/>
                    </w:rPr>
                  </w:pPr>
                  <w:r>
                    <w:rPr>
                      <w:rFonts w:hint="eastAsia" w:cs="宋体"/>
                      <w:color w:val="auto"/>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1850"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default" w:ascii="Times New Roman" w:hAnsi="Times New Roman" w:cs="Times New Roman"/>
                      <w:color w:val="auto"/>
                      <w:kern w:val="0"/>
                    </w:rPr>
                    <w:t>一般管控单元主要落实生态环境保护基本要求，执行国家及我省相关产业准入、总量控制、排放标准等管理规定，推动区域生态环境质量持续改善。</w:t>
                  </w:r>
                </w:p>
              </w:tc>
              <w:tc>
                <w:tcPr>
                  <w:tcW w:w="3149"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default" w:ascii="Times New Roman" w:hAnsi="Times New Roman" w:eastAsia="宋体" w:cs="Times New Roman"/>
                      <w:color w:val="auto"/>
                      <w:sz w:val="21"/>
                      <w:szCs w:val="21"/>
                      <w:highlight w:val="none"/>
                    </w:rPr>
                    <w:t>本次评价针对本项目提出了严格的污染物治理措施，项目运营期，在建设单位落实各环保设施的情况下，项目各污染物可满足相关排放标准限值要求，且项目为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综上所述，本项目符合《山西省人民政府关于实施“三线一单”生态环境分区管控的意见》</w:t>
                  </w:r>
                  <w:r>
                    <w:rPr>
                      <w:rFonts w:hint="eastAsia" w:cs="宋体"/>
                      <w:color w:val="auto"/>
                      <w:kern w:val="0"/>
                      <w:szCs w:val="21"/>
                      <w:lang w:val="en-US" w:eastAsia="zh-CN"/>
                    </w:rPr>
                    <w:t>中一般管控</w:t>
                  </w:r>
                  <w:r>
                    <w:rPr>
                      <w:rFonts w:hint="eastAsia" w:cs="宋体"/>
                      <w:color w:val="auto"/>
                      <w:kern w:val="0"/>
                      <w:szCs w:val="21"/>
                    </w:rPr>
                    <w:t>单元的管控要求。</w:t>
                  </w:r>
                </w:p>
              </w:tc>
            </w:tr>
          </w:tbl>
          <w:p>
            <w:pPr>
              <w:autoSpaceDE w:val="0"/>
              <w:autoSpaceDN w:val="0"/>
              <w:adjustRightInd w:val="0"/>
              <w:snapToGrid w:val="0"/>
              <w:spacing w:line="480" w:lineRule="exact"/>
              <w:jc w:val="center"/>
              <w:rPr>
                <w:rFonts w:hint="default" w:ascii="Times New Roman" w:hAnsi="Times New Roman" w:eastAsia="黑体" w:cs="Times New Roman"/>
                <w:color w:val="auto"/>
                <w:kern w:val="0"/>
                <w:sz w:val="24"/>
              </w:rPr>
            </w:pPr>
          </w:p>
          <w:p>
            <w:pPr>
              <w:autoSpaceDE w:val="0"/>
              <w:autoSpaceDN w:val="0"/>
              <w:adjustRightInd w:val="0"/>
              <w:snapToGrid w:val="0"/>
              <w:spacing w:line="480" w:lineRule="exact"/>
              <w:jc w:val="center"/>
              <w:rPr>
                <w:rFonts w:hint="default" w:ascii="Times New Roman" w:hAnsi="Times New Roman" w:eastAsia="黑体" w:cs="Times New Roman"/>
                <w:color w:val="auto"/>
                <w:kern w:val="0"/>
                <w:sz w:val="24"/>
              </w:rPr>
            </w:pPr>
          </w:p>
          <w:p>
            <w:pPr>
              <w:autoSpaceDE w:val="0"/>
              <w:autoSpaceDN w:val="0"/>
              <w:adjustRightInd w:val="0"/>
              <w:snapToGrid w:val="0"/>
              <w:spacing w:line="480" w:lineRule="exact"/>
              <w:jc w:val="center"/>
              <w:rPr>
                <w:rFonts w:hint="default" w:ascii="Times New Roman" w:hAnsi="Times New Roman" w:eastAsia="黑体" w:cs="Times New Roman"/>
                <w:color w:val="auto"/>
                <w:kern w:val="0"/>
                <w:sz w:val="24"/>
              </w:rPr>
            </w:pPr>
          </w:p>
          <w:p>
            <w:pPr>
              <w:autoSpaceDE w:val="0"/>
              <w:autoSpaceDN w:val="0"/>
              <w:adjustRightInd w:val="0"/>
              <w:snapToGrid w:val="0"/>
              <w:spacing w:line="480" w:lineRule="exact"/>
              <w:jc w:val="center"/>
              <w:rPr>
                <w:rFonts w:hint="default" w:ascii="Times New Roman" w:hAnsi="Times New Roman" w:eastAsia="黑体" w:cs="Times New Roman"/>
                <w:color w:val="auto"/>
                <w:kern w:val="0"/>
                <w:sz w:val="24"/>
              </w:rPr>
            </w:pPr>
          </w:p>
          <w:p>
            <w:pPr>
              <w:autoSpaceDE w:val="0"/>
              <w:autoSpaceDN w:val="0"/>
              <w:adjustRightInd w:val="0"/>
              <w:snapToGrid w:val="0"/>
              <w:spacing w:line="480" w:lineRule="exact"/>
              <w:jc w:val="center"/>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表1-2  与《忻州市“三线一单”生态环境分区管控实施方案》中一般管控单元管控要求的符合性分析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6"/>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54"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cs="宋体"/>
                      <w:color w:val="auto"/>
                      <w:kern w:val="0"/>
                      <w:szCs w:val="21"/>
                    </w:rPr>
                  </w:pPr>
                  <w:r>
                    <w:rPr>
                      <w:rFonts w:hint="eastAsia" w:cs="宋体"/>
                      <w:color w:val="auto"/>
                      <w:kern w:val="0"/>
                      <w:szCs w:val="21"/>
                      <w:lang w:val="en-US" w:eastAsia="zh-CN"/>
                    </w:rPr>
                    <w:t>一般管控</w:t>
                  </w:r>
                  <w:r>
                    <w:rPr>
                      <w:rFonts w:hint="eastAsia" w:cs="宋体"/>
                      <w:color w:val="auto"/>
                      <w:kern w:val="0"/>
                      <w:szCs w:val="21"/>
                    </w:rPr>
                    <w:t>单元要求</w:t>
                  </w:r>
                </w:p>
              </w:tc>
              <w:tc>
                <w:tcPr>
                  <w:tcW w:w="3145"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cs="宋体"/>
                      <w:color w:val="auto"/>
                      <w:kern w:val="0"/>
                      <w:szCs w:val="21"/>
                    </w:rPr>
                  </w:pPr>
                  <w:r>
                    <w:rPr>
                      <w:rFonts w:hint="eastAsia" w:cs="宋体"/>
                      <w:color w:val="auto"/>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854"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default" w:ascii="Times New Roman" w:hAnsi="Times New Roman" w:cs="Times New Roman"/>
                      <w:color w:val="auto"/>
                      <w:kern w:val="0"/>
                    </w:rPr>
                    <w:t>以生态环境保护为主与适度开发相结合为主，主要落实生态环境保护基本要求，执行国家、省、市相关产业准入、总量控制、排放标准等管理规定，推动区域生态环境质量持续改善。</w:t>
                  </w:r>
                </w:p>
              </w:tc>
              <w:tc>
                <w:tcPr>
                  <w:tcW w:w="3145"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default" w:ascii="Times New Roman" w:hAnsi="Times New Roman" w:eastAsia="宋体" w:cs="Times New Roman"/>
                      <w:color w:val="auto"/>
                      <w:sz w:val="21"/>
                      <w:szCs w:val="21"/>
                      <w:highlight w:val="none"/>
                    </w:rPr>
                    <w:t>本次评价针对本项目提出了严格的污染物治理措施，项目运营期，在建设单位落实各环保设施的情况下，项目各污染物可满足相关排放标准限值要求，且项目为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综上所述，本项目符合《忻州市“三线一单”生态环境分区管控实施方案》</w:t>
                  </w:r>
                  <w:r>
                    <w:rPr>
                      <w:rFonts w:hint="eastAsia" w:cs="宋体"/>
                      <w:color w:val="auto"/>
                      <w:kern w:val="0"/>
                      <w:szCs w:val="21"/>
                      <w:lang w:val="en-US" w:eastAsia="zh-CN"/>
                    </w:rPr>
                    <w:t>中一般管控</w:t>
                  </w:r>
                  <w:r>
                    <w:rPr>
                      <w:rFonts w:hint="eastAsia" w:cs="宋体"/>
                      <w:color w:val="auto"/>
                      <w:kern w:val="0"/>
                      <w:szCs w:val="21"/>
                    </w:rPr>
                    <w:t>单元的管控要求。</w:t>
                  </w:r>
                </w:p>
              </w:tc>
            </w:tr>
          </w:tbl>
          <w:p>
            <w:pPr>
              <w:autoSpaceDE w:val="0"/>
              <w:autoSpaceDN w:val="0"/>
              <w:adjustRightInd w:val="0"/>
              <w:snapToGrid w:val="0"/>
              <w:spacing w:line="480" w:lineRule="exact"/>
              <w:ind w:firstLine="480" w:firstLineChars="200"/>
              <w:rPr>
                <w:rFonts w:hint="default" w:ascii="Times New Roman" w:hAnsi="Times New Roman" w:cs="Times New Roman"/>
                <w:b/>
                <w:bCs/>
                <w:color w:val="auto"/>
                <w:kern w:val="0"/>
                <w:sz w:val="24"/>
              </w:rPr>
            </w:pPr>
            <w:r>
              <w:rPr>
                <w:rFonts w:hint="default" w:ascii="Times New Roman" w:hAnsi="Times New Roman" w:cs="Times New Roman"/>
                <w:color w:val="auto"/>
                <w:kern w:val="0"/>
                <w:sz w:val="24"/>
              </w:rPr>
              <w:t>由表1-1~2可知，</w:t>
            </w:r>
            <w:r>
              <w:rPr>
                <w:rFonts w:hint="eastAsia" w:cs="宋体"/>
                <w:color w:val="auto"/>
                <w:kern w:val="0"/>
                <w:sz w:val="24"/>
              </w:rPr>
              <w:t>本项目符合《山西省人民政府关于实施“三线一单”生态环境分区管控的意见》</w:t>
            </w:r>
            <w:r>
              <w:rPr>
                <w:rFonts w:hint="eastAsia" w:cs="宋体"/>
                <w:color w:val="auto"/>
                <w:kern w:val="0"/>
                <w:sz w:val="24"/>
                <w:lang w:eastAsia="zh-CN"/>
              </w:rPr>
              <w:t>、《</w:t>
            </w:r>
            <w:r>
              <w:rPr>
                <w:rFonts w:hint="eastAsia" w:cs="宋体"/>
                <w:color w:val="auto"/>
                <w:kern w:val="0"/>
                <w:sz w:val="24"/>
                <w:lang w:val="en-US" w:eastAsia="zh-CN"/>
              </w:rPr>
              <w:t>忻州市</w:t>
            </w:r>
            <w:r>
              <w:rPr>
                <w:rFonts w:hint="eastAsia" w:cs="宋体"/>
                <w:color w:val="auto"/>
                <w:kern w:val="0"/>
                <w:sz w:val="24"/>
                <w:lang w:eastAsia="zh-CN"/>
              </w:rPr>
              <w:t>“三线一单”生态环境分区管控</w:t>
            </w:r>
            <w:r>
              <w:rPr>
                <w:rFonts w:hint="eastAsia" w:cs="宋体"/>
                <w:color w:val="auto"/>
                <w:kern w:val="0"/>
                <w:sz w:val="24"/>
                <w:lang w:val="en-US" w:eastAsia="zh-CN"/>
              </w:rPr>
              <w:t>实施方案</w:t>
            </w:r>
            <w:r>
              <w:rPr>
                <w:rFonts w:hint="eastAsia" w:cs="宋体"/>
                <w:color w:val="auto"/>
                <w:kern w:val="0"/>
                <w:sz w:val="24"/>
                <w:lang w:eastAsia="zh-CN"/>
              </w:rPr>
              <w:t>》</w:t>
            </w:r>
            <w:r>
              <w:rPr>
                <w:rFonts w:hint="eastAsia" w:cs="宋体"/>
                <w:color w:val="auto"/>
                <w:kern w:val="0"/>
                <w:sz w:val="24"/>
              </w:rPr>
              <w:t>中</w:t>
            </w:r>
            <w:r>
              <w:rPr>
                <w:rFonts w:hint="eastAsia" w:cs="宋体"/>
                <w:color w:val="auto"/>
                <w:kern w:val="0"/>
                <w:sz w:val="24"/>
                <w:lang w:val="en-US" w:eastAsia="zh-CN"/>
              </w:rPr>
              <w:t>一般管控</w:t>
            </w:r>
            <w:r>
              <w:rPr>
                <w:rFonts w:hint="eastAsia" w:cs="宋体"/>
                <w:color w:val="auto"/>
                <w:kern w:val="0"/>
                <w:sz w:val="24"/>
              </w:rPr>
              <w:t>单元的管控要求</w:t>
            </w:r>
            <w:r>
              <w:rPr>
                <w:rFonts w:hint="eastAsia" w:cs="宋体"/>
                <w:color w:val="auto"/>
                <w:kern w:val="0"/>
                <w:sz w:val="24"/>
                <w:lang w:val="en-US" w:eastAsia="zh-CN"/>
              </w:rPr>
              <w:t>。</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①环境空气：</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rPr>
              <w:t>本次评价收集到了</w:t>
            </w:r>
            <w:r>
              <w:rPr>
                <w:rFonts w:hint="eastAsia" w:cs="Times New Roman"/>
                <w:bCs/>
                <w:color w:val="auto"/>
                <w:sz w:val="24"/>
                <w:lang w:val="en-US" w:eastAsia="zh-CN"/>
              </w:rPr>
              <w:t>五台县</w:t>
            </w:r>
            <w:r>
              <w:rPr>
                <w:rFonts w:hint="default" w:ascii="Times New Roman" w:hAnsi="Times New Roman" w:cs="Times New Roman"/>
                <w:bCs/>
                <w:color w:val="auto"/>
                <w:sz w:val="24"/>
              </w:rPr>
              <w:t>2021年环境空气质量例行监测资料，</w:t>
            </w:r>
            <w:r>
              <w:rPr>
                <w:rFonts w:hint="default" w:ascii="Times New Roman" w:hAnsi="Times New Roman" w:cs="Times New Roman"/>
                <w:bCs/>
                <w:snapToGrid w:val="0"/>
                <w:color w:val="auto"/>
                <w:kern w:val="0"/>
                <w:sz w:val="24"/>
                <w:szCs w:val="24"/>
              </w:rPr>
              <w:t>根据例行监测数据统计结果，</w:t>
            </w:r>
            <w:r>
              <w:rPr>
                <w:rFonts w:hint="eastAsia"/>
                <w:bCs/>
                <w:snapToGrid w:val="0"/>
                <w:color w:val="auto"/>
                <w:kern w:val="0"/>
                <w:sz w:val="24"/>
                <w:szCs w:val="24"/>
              </w:rPr>
              <w:t>2021年</w:t>
            </w:r>
            <w:r>
              <w:rPr>
                <w:rFonts w:hint="eastAsia"/>
                <w:bCs/>
                <w:color w:val="auto"/>
                <w:sz w:val="24"/>
                <w:lang w:val="en-US" w:eastAsia="zh-CN"/>
              </w:rPr>
              <w:t>五台县</w:t>
            </w:r>
            <w:r>
              <w:rPr>
                <w:rFonts w:hint="eastAsia"/>
                <w:color w:val="auto"/>
                <w:sz w:val="24"/>
                <w:szCs w:val="24"/>
              </w:rPr>
              <w:t>SO</w:t>
            </w:r>
            <w:r>
              <w:rPr>
                <w:rFonts w:hint="eastAsia"/>
                <w:color w:val="auto"/>
                <w:sz w:val="24"/>
                <w:szCs w:val="24"/>
                <w:vertAlign w:val="subscript"/>
              </w:rPr>
              <w:t>2</w:t>
            </w:r>
            <w:r>
              <w:rPr>
                <w:rFonts w:hint="eastAsia"/>
                <w:color w:val="auto"/>
                <w:sz w:val="24"/>
                <w:szCs w:val="24"/>
              </w:rPr>
              <w:t>年均浓度占标率为</w:t>
            </w:r>
            <w:r>
              <w:rPr>
                <w:rFonts w:hint="eastAsia"/>
                <w:color w:val="auto"/>
                <w:sz w:val="24"/>
                <w:szCs w:val="24"/>
                <w:lang w:val="en-US" w:eastAsia="zh-CN"/>
              </w:rPr>
              <w:t>23.3</w:t>
            </w:r>
            <w:r>
              <w:rPr>
                <w:rFonts w:hint="eastAsia"/>
                <w:color w:val="auto"/>
                <w:sz w:val="24"/>
                <w:szCs w:val="24"/>
              </w:rPr>
              <w:t>%，NO</w:t>
            </w:r>
            <w:r>
              <w:rPr>
                <w:rFonts w:hint="eastAsia"/>
                <w:color w:val="auto"/>
                <w:sz w:val="24"/>
                <w:szCs w:val="24"/>
                <w:vertAlign w:val="subscript"/>
              </w:rPr>
              <w:t>2</w:t>
            </w:r>
            <w:r>
              <w:rPr>
                <w:rFonts w:hint="eastAsia"/>
                <w:color w:val="auto"/>
                <w:sz w:val="24"/>
                <w:szCs w:val="24"/>
              </w:rPr>
              <w:t>年均浓度占标率为</w:t>
            </w:r>
            <w:r>
              <w:rPr>
                <w:rFonts w:hint="eastAsia"/>
                <w:color w:val="auto"/>
                <w:sz w:val="24"/>
                <w:szCs w:val="24"/>
                <w:lang w:val="en-US" w:eastAsia="zh-CN"/>
              </w:rPr>
              <w:t>45.0</w:t>
            </w:r>
            <w:r>
              <w:rPr>
                <w:rFonts w:hint="eastAsia"/>
                <w:color w:val="auto"/>
                <w:sz w:val="24"/>
                <w:szCs w:val="24"/>
              </w:rPr>
              <w:t>%，PM</w:t>
            </w:r>
            <w:r>
              <w:rPr>
                <w:rFonts w:hint="eastAsia"/>
                <w:color w:val="auto"/>
                <w:sz w:val="24"/>
                <w:szCs w:val="24"/>
                <w:vertAlign w:val="subscript"/>
              </w:rPr>
              <w:t>10</w:t>
            </w:r>
            <w:r>
              <w:rPr>
                <w:rFonts w:hint="eastAsia"/>
                <w:color w:val="auto"/>
                <w:sz w:val="24"/>
                <w:szCs w:val="24"/>
              </w:rPr>
              <w:t>年均浓度占标率为</w:t>
            </w:r>
            <w:r>
              <w:rPr>
                <w:rFonts w:hint="eastAsia"/>
                <w:color w:val="auto"/>
                <w:sz w:val="24"/>
                <w:szCs w:val="24"/>
                <w:lang w:val="en-US" w:eastAsia="zh-CN"/>
              </w:rPr>
              <w:t>85.7</w:t>
            </w:r>
            <w:r>
              <w:rPr>
                <w:rFonts w:hint="eastAsia"/>
                <w:color w:val="auto"/>
                <w:sz w:val="24"/>
                <w:szCs w:val="24"/>
              </w:rPr>
              <w:t>%，PM</w:t>
            </w:r>
            <w:r>
              <w:rPr>
                <w:rFonts w:hint="eastAsia"/>
                <w:color w:val="auto"/>
                <w:sz w:val="24"/>
                <w:szCs w:val="24"/>
                <w:vertAlign w:val="subscript"/>
              </w:rPr>
              <w:t>2.5</w:t>
            </w:r>
            <w:r>
              <w:rPr>
                <w:rFonts w:hint="eastAsia"/>
                <w:color w:val="auto"/>
                <w:sz w:val="24"/>
                <w:szCs w:val="24"/>
              </w:rPr>
              <w:t>年均浓度占标率为</w:t>
            </w:r>
            <w:r>
              <w:rPr>
                <w:rFonts w:hint="eastAsia"/>
                <w:color w:val="auto"/>
                <w:sz w:val="24"/>
                <w:szCs w:val="24"/>
                <w:lang w:val="en-US" w:eastAsia="zh-CN"/>
              </w:rPr>
              <w:t>88.6</w:t>
            </w:r>
            <w:r>
              <w:rPr>
                <w:rFonts w:hint="eastAsia"/>
                <w:color w:val="auto"/>
                <w:sz w:val="24"/>
                <w:szCs w:val="24"/>
              </w:rPr>
              <w:t>%，CO的24小时平均第95百分位数占标率为</w:t>
            </w:r>
            <w:r>
              <w:rPr>
                <w:rFonts w:hint="eastAsia"/>
                <w:color w:val="auto"/>
                <w:sz w:val="24"/>
                <w:szCs w:val="24"/>
                <w:lang w:val="en-US" w:eastAsia="zh-CN"/>
              </w:rPr>
              <w:t>25.0</w:t>
            </w:r>
            <w:r>
              <w:rPr>
                <w:rFonts w:hint="eastAsia"/>
                <w:color w:val="auto"/>
                <w:sz w:val="24"/>
                <w:szCs w:val="24"/>
              </w:rPr>
              <w:t>%，O</w:t>
            </w:r>
            <w:r>
              <w:rPr>
                <w:rFonts w:hint="eastAsia"/>
                <w:color w:val="auto"/>
                <w:sz w:val="24"/>
                <w:szCs w:val="24"/>
                <w:vertAlign w:val="subscript"/>
              </w:rPr>
              <w:t>3</w:t>
            </w:r>
            <w:r>
              <w:rPr>
                <w:rFonts w:hint="eastAsia"/>
                <w:color w:val="auto"/>
                <w:sz w:val="24"/>
                <w:szCs w:val="24"/>
              </w:rPr>
              <w:t>的日最大8小时滑动平均值的第90百分位数浓度占标率为</w:t>
            </w:r>
            <w:r>
              <w:rPr>
                <w:rFonts w:hint="eastAsia"/>
                <w:color w:val="auto"/>
                <w:sz w:val="24"/>
                <w:szCs w:val="24"/>
                <w:lang w:val="en-US" w:eastAsia="zh-CN"/>
              </w:rPr>
              <w:t>101.2</w:t>
            </w:r>
            <w:r>
              <w:rPr>
                <w:rFonts w:hint="eastAsia"/>
                <w:color w:val="auto"/>
                <w:sz w:val="24"/>
                <w:szCs w:val="24"/>
              </w:rPr>
              <w:t>%，六项基本污染物</w:t>
            </w:r>
            <w:r>
              <w:rPr>
                <w:rFonts w:hint="eastAsia"/>
                <w:bCs/>
                <w:snapToGrid w:val="0"/>
                <w:color w:val="auto"/>
                <w:kern w:val="0"/>
                <w:sz w:val="24"/>
                <w:szCs w:val="24"/>
              </w:rPr>
              <w:t>中O</w:t>
            </w:r>
            <w:r>
              <w:rPr>
                <w:rFonts w:hint="eastAsia"/>
                <w:bCs/>
                <w:snapToGrid w:val="0"/>
                <w:color w:val="auto"/>
                <w:kern w:val="0"/>
                <w:sz w:val="24"/>
                <w:szCs w:val="24"/>
                <w:vertAlign w:val="subscript"/>
              </w:rPr>
              <w:t>3</w:t>
            </w:r>
            <w:r>
              <w:rPr>
                <w:rFonts w:hint="eastAsia"/>
                <w:color w:val="auto"/>
                <w:sz w:val="24"/>
                <w:szCs w:val="24"/>
                <w:lang w:val="en-US" w:eastAsia="zh-CN"/>
              </w:rPr>
              <w:t>百分位数</w:t>
            </w:r>
            <w:r>
              <w:rPr>
                <w:rFonts w:hint="eastAsia"/>
                <w:color w:val="auto"/>
                <w:sz w:val="24"/>
                <w:szCs w:val="24"/>
              </w:rPr>
              <w:t>浓度</w:t>
            </w:r>
            <w:r>
              <w:rPr>
                <w:rFonts w:hint="eastAsia"/>
                <w:bCs/>
                <w:snapToGrid w:val="0"/>
                <w:color w:val="auto"/>
                <w:kern w:val="0"/>
                <w:sz w:val="24"/>
                <w:szCs w:val="24"/>
              </w:rPr>
              <w:t>超标；</w:t>
            </w:r>
            <w:r>
              <w:rPr>
                <w:rFonts w:hint="eastAsia"/>
                <w:color w:val="auto"/>
                <w:sz w:val="24"/>
                <w:szCs w:val="24"/>
              </w:rPr>
              <w:t>因此，</w:t>
            </w:r>
            <w:r>
              <w:rPr>
                <w:rFonts w:hint="eastAsia"/>
                <w:bCs/>
                <w:color w:val="auto"/>
                <w:sz w:val="24"/>
                <w:szCs w:val="24"/>
                <w:lang w:val="en-US" w:eastAsia="zh-CN"/>
              </w:rPr>
              <w:t>五台县</w:t>
            </w:r>
            <w:r>
              <w:rPr>
                <w:rFonts w:hint="eastAsia"/>
                <w:color w:val="auto"/>
                <w:sz w:val="24"/>
                <w:szCs w:val="24"/>
              </w:rPr>
              <w:t>为不达标区。</w:t>
            </w:r>
          </w:p>
          <w:p>
            <w:pPr>
              <w:autoSpaceDE w:val="0"/>
              <w:autoSpaceDN w:val="0"/>
              <w:adjustRightInd w:val="0"/>
              <w:snapToGrid w:val="0"/>
              <w:spacing w:line="480" w:lineRule="exact"/>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根据补充监测数据统计，</w:t>
            </w:r>
            <w:r>
              <w:rPr>
                <w:rFonts w:hint="eastAsia"/>
                <w:color w:val="auto"/>
                <w:sz w:val="24"/>
                <w:szCs w:val="32"/>
              </w:rPr>
              <w:t>监测期间，</w:t>
            </w:r>
            <w:r>
              <w:rPr>
                <w:rFonts w:hint="eastAsia"/>
                <w:color w:val="auto"/>
                <w:sz w:val="24"/>
                <w:szCs w:val="32"/>
                <w:lang w:val="en-US" w:eastAsia="zh-CN"/>
              </w:rPr>
              <w:t>张家庄村</w:t>
            </w:r>
            <w:r>
              <w:rPr>
                <w:rFonts w:hint="eastAsia"/>
                <w:color w:val="auto"/>
                <w:sz w:val="24"/>
                <w:szCs w:val="32"/>
              </w:rPr>
              <w:t>环境空气中</w:t>
            </w:r>
            <w:r>
              <w:rPr>
                <w:rFonts w:hint="eastAsia"/>
                <w:color w:val="auto"/>
                <w:sz w:val="24"/>
                <w:szCs w:val="32"/>
                <w:lang w:val="en-US" w:eastAsia="zh-CN"/>
              </w:rPr>
              <w:t>硫化氢的1小时平</w:t>
            </w:r>
            <w:r>
              <w:rPr>
                <w:rFonts w:hint="eastAsia"/>
                <w:color w:val="auto"/>
                <w:sz w:val="24"/>
                <w:szCs w:val="32"/>
              </w:rPr>
              <w:t>均浓度范围在</w:t>
            </w:r>
            <w:r>
              <w:rPr>
                <w:rFonts w:hint="eastAsia"/>
                <w:color w:val="auto"/>
                <w:sz w:val="24"/>
                <w:szCs w:val="32"/>
                <w:lang w:val="en-US" w:eastAsia="zh-CN"/>
              </w:rPr>
              <w:t>0.002-0.005m</w:t>
            </w:r>
            <w:r>
              <w:rPr>
                <w:color w:val="auto"/>
                <w:sz w:val="24"/>
                <w:szCs w:val="32"/>
              </w:rPr>
              <w:t>g /m</w:t>
            </w:r>
            <w:r>
              <w:rPr>
                <w:color w:val="auto"/>
                <w:sz w:val="24"/>
                <w:szCs w:val="32"/>
                <w:vertAlign w:val="superscript"/>
              </w:rPr>
              <w:t>3</w:t>
            </w:r>
            <w:r>
              <w:rPr>
                <w:color w:val="auto"/>
                <w:sz w:val="24"/>
                <w:szCs w:val="32"/>
              </w:rPr>
              <w:t>之间，</w:t>
            </w:r>
            <w:r>
              <w:rPr>
                <w:rFonts w:hint="eastAsia"/>
                <w:color w:val="auto"/>
                <w:sz w:val="24"/>
                <w:szCs w:val="32"/>
                <w:lang w:val="en-US" w:eastAsia="zh-CN"/>
              </w:rPr>
              <w:t>最大浓度占标率50%，超标率为0%；氨的1小时平</w:t>
            </w:r>
            <w:r>
              <w:rPr>
                <w:rFonts w:hint="eastAsia"/>
                <w:color w:val="auto"/>
                <w:sz w:val="24"/>
                <w:szCs w:val="32"/>
              </w:rPr>
              <w:t>均浓度范围在</w:t>
            </w:r>
            <w:r>
              <w:rPr>
                <w:rFonts w:hint="eastAsia"/>
                <w:color w:val="auto"/>
                <w:sz w:val="24"/>
                <w:szCs w:val="32"/>
                <w:lang w:val="en-US" w:eastAsia="zh-CN"/>
              </w:rPr>
              <w:t>0.11-0.17m</w:t>
            </w:r>
            <w:r>
              <w:rPr>
                <w:color w:val="auto"/>
                <w:sz w:val="24"/>
                <w:szCs w:val="32"/>
              </w:rPr>
              <w:t>g /m</w:t>
            </w:r>
            <w:r>
              <w:rPr>
                <w:color w:val="auto"/>
                <w:sz w:val="24"/>
                <w:szCs w:val="32"/>
                <w:vertAlign w:val="superscript"/>
              </w:rPr>
              <w:t>3</w:t>
            </w:r>
            <w:r>
              <w:rPr>
                <w:color w:val="auto"/>
                <w:sz w:val="24"/>
                <w:szCs w:val="32"/>
              </w:rPr>
              <w:t>之间，</w:t>
            </w:r>
            <w:r>
              <w:rPr>
                <w:rFonts w:hint="eastAsia"/>
                <w:color w:val="auto"/>
                <w:sz w:val="24"/>
                <w:szCs w:val="32"/>
                <w:lang w:val="en-US" w:eastAsia="zh-CN"/>
              </w:rPr>
              <w:t>最大浓度占标率85%，超标率为0%。</w:t>
            </w:r>
            <w:r>
              <w:rPr>
                <w:color w:val="auto"/>
                <w:sz w:val="24"/>
                <w:szCs w:val="32"/>
              </w:rPr>
              <w:t>区域大气污染物现状质量浓度达标。</w:t>
            </w:r>
          </w:p>
          <w:p>
            <w:pPr>
              <w:autoSpaceDE w:val="0"/>
              <w:autoSpaceDN w:val="0"/>
              <w:adjustRightInd w:val="0"/>
              <w:snapToGrid w:val="0"/>
              <w:spacing w:line="480" w:lineRule="exact"/>
              <w:ind w:firstLine="480" w:firstLineChars="200"/>
              <w:rPr>
                <w:rFonts w:hint="default" w:ascii="Times New Roman" w:hAnsi="Times New Roman" w:cs="Times New Roman"/>
                <w:color w:val="0000FF"/>
                <w:kern w:val="0"/>
                <w:sz w:val="24"/>
              </w:rPr>
            </w:pPr>
            <w:r>
              <w:rPr>
                <w:rFonts w:hint="eastAsia"/>
                <w:color w:val="auto"/>
                <w:sz w:val="24"/>
                <w:szCs w:val="20"/>
                <w:lang w:val="en-GB"/>
              </w:rPr>
              <w:t>本项目运营期废气仅为污水处理过程中的臭气，主要是粗格栅及提升井、细格栅、曝气沉砂池、初沉池、</w:t>
            </w:r>
            <w:r>
              <w:rPr>
                <w:rFonts w:hint="eastAsia"/>
                <w:color w:val="auto"/>
                <w:sz w:val="24"/>
                <w:szCs w:val="20"/>
                <w:lang w:val="en-US" w:eastAsia="zh-CN"/>
              </w:rPr>
              <w:t>生化</w:t>
            </w:r>
            <w:r>
              <w:rPr>
                <w:rFonts w:hint="eastAsia"/>
                <w:color w:val="auto"/>
                <w:sz w:val="24"/>
                <w:szCs w:val="20"/>
                <w:lang w:val="en-GB"/>
              </w:rPr>
              <w:t>池、储泥池及污水脱水机产生的臭气，臭气主要污染物是氨和硫化氢；要求对上述建构筑物进行封闭，将建构物内的臭气通过管道引至1套生物滤池除臭装置进行处理，处理后经15m高排气筒排放，生物滤池除臭装置设计处理规模为</w:t>
            </w:r>
            <w:r>
              <w:rPr>
                <w:rFonts w:hint="eastAsia"/>
                <w:color w:val="auto"/>
                <w:sz w:val="24"/>
                <w:szCs w:val="20"/>
                <w:lang w:val="en-US" w:eastAsia="zh-CN"/>
              </w:rPr>
              <w:t>1</w:t>
            </w:r>
            <w:r>
              <w:rPr>
                <w:rFonts w:hint="eastAsia"/>
                <w:color w:val="auto"/>
                <w:sz w:val="24"/>
                <w:szCs w:val="20"/>
                <w:lang w:val="en-GB"/>
              </w:rPr>
              <w:t>万m</w:t>
            </w:r>
            <w:r>
              <w:rPr>
                <w:rFonts w:hint="eastAsia"/>
                <w:color w:val="auto"/>
                <w:sz w:val="24"/>
                <w:szCs w:val="20"/>
                <w:vertAlign w:val="superscript"/>
                <w:lang w:val="en-GB"/>
              </w:rPr>
              <w:t>3</w:t>
            </w:r>
            <w:r>
              <w:rPr>
                <w:rFonts w:hint="eastAsia"/>
                <w:color w:val="auto"/>
                <w:sz w:val="24"/>
                <w:szCs w:val="20"/>
                <w:lang w:val="en-GB"/>
              </w:rPr>
              <w:t>/h，采用变频风机，对硫化氢和氨的去除率可以达到90%以上，该除臭工艺是生物过滤法的一种，生物过滤法是将恶臭吹进增湿器进行润湿，去除颗粒物并增加湿度，然后进入生物滤池，在生物细胞内生理代谢分解成简单的、无害的代谢产物；生物过滤法是《排污许可证申请与核发技术规范 水处理（试行）》（HJ978-2018）中臭气治理可行技术。</w:t>
            </w:r>
            <w:r>
              <w:rPr>
                <w:rFonts w:hint="default" w:ascii="Times New Roman" w:hAnsi="Times New Roman" w:cs="Times New Roman"/>
                <w:bCs/>
                <w:color w:val="auto"/>
                <w:sz w:val="24"/>
              </w:rPr>
              <w:t>采取以上措施后，对区域大气环境影响较小。</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②地表水环境：</w:t>
            </w:r>
          </w:p>
          <w:p>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评价区地表水体为滹沱河。根据《山西省地表水环境功能区划》（DB14/67-2019），评价区所在</w:t>
            </w:r>
            <w:r>
              <w:rPr>
                <w:rFonts w:hint="default" w:ascii="Times New Roman" w:hAnsi="Times New Roman" w:cs="Times New Roman"/>
                <w:bCs/>
                <w:color w:val="auto"/>
                <w:sz w:val="24"/>
                <w:lang w:val="en-US" w:eastAsia="zh-CN"/>
              </w:rPr>
              <w:t>滹沱河</w:t>
            </w:r>
            <w:r>
              <w:rPr>
                <w:rFonts w:hint="default" w:ascii="Times New Roman" w:hAnsi="Times New Roman" w:cs="Times New Roman"/>
                <w:bCs/>
                <w:color w:val="auto"/>
                <w:sz w:val="24"/>
              </w:rPr>
              <w:t>“济胜桥—南庄”段，水环境功能为过渡区水源保护，水质要求</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4 \* ROMAN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IV</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ROMAN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II</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类，水质要求不低于现状水质，执行《地表水环境质量标准》（GB 3838-2002）</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ROMAN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II</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类水质标准。水质监控断面为南庄断面，监控五台县出境水质。</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szCs w:val="24"/>
                <w:lang w:val="en-US"/>
              </w:rPr>
            </w:pPr>
            <w:r>
              <w:rPr>
                <w:rFonts w:hint="eastAsia"/>
                <w:bCs/>
                <w:color w:val="auto"/>
                <w:sz w:val="24"/>
                <w:lang w:eastAsia="zh-CN"/>
              </w:rPr>
              <w:t>本项目</w:t>
            </w:r>
            <w:r>
              <w:rPr>
                <w:rFonts w:hint="eastAsia"/>
                <w:bCs/>
                <w:color w:val="auto"/>
                <w:sz w:val="24"/>
                <w:lang w:val="en-US" w:eastAsia="zh-CN"/>
              </w:rPr>
              <w:t>拟建</w:t>
            </w:r>
            <w:r>
              <w:rPr>
                <w:rFonts w:hint="eastAsia"/>
                <w:b w:val="0"/>
                <w:bCs/>
                <w:color w:val="auto"/>
                <w:sz w:val="24"/>
                <w:lang w:val="en-US" w:eastAsia="zh-CN"/>
              </w:rPr>
              <w:t>厂址</w:t>
            </w:r>
            <w:r>
              <w:rPr>
                <w:rFonts w:hint="eastAsia"/>
                <w:bCs/>
                <w:color w:val="auto"/>
                <w:sz w:val="24"/>
                <w:lang w:eastAsia="zh-CN"/>
              </w:rPr>
              <w:t>位于</w:t>
            </w:r>
            <w:r>
              <w:rPr>
                <w:rFonts w:hint="eastAsia"/>
                <w:bCs/>
                <w:color w:val="auto"/>
                <w:sz w:val="24"/>
                <w:lang w:val="en-US" w:eastAsia="zh-CN"/>
              </w:rPr>
              <w:t>滹沱</w:t>
            </w:r>
            <w:r>
              <w:rPr>
                <w:rFonts w:hint="eastAsia"/>
                <w:bCs/>
                <w:color w:val="auto"/>
                <w:sz w:val="24"/>
                <w:lang w:eastAsia="zh-CN"/>
              </w:rPr>
              <w:t>河</w:t>
            </w:r>
            <w:r>
              <w:rPr>
                <w:rFonts w:hint="eastAsia"/>
                <w:bCs/>
                <w:color w:val="auto"/>
                <w:sz w:val="24"/>
                <w:lang w:val="en-US" w:eastAsia="zh-CN"/>
              </w:rPr>
              <w:t>西</w:t>
            </w:r>
            <w:r>
              <w:rPr>
                <w:rFonts w:hint="eastAsia"/>
                <w:bCs/>
                <w:color w:val="auto"/>
                <w:sz w:val="24"/>
                <w:lang w:eastAsia="zh-CN"/>
              </w:rPr>
              <w:t>侧约</w:t>
            </w:r>
            <w:r>
              <w:rPr>
                <w:rFonts w:hint="eastAsia"/>
                <w:bCs/>
                <w:color w:val="auto"/>
                <w:sz w:val="24"/>
                <w:lang w:val="en-US" w:eastAsia="zh-CN"/>
              </w:rPr>
              <w:t>100</w:t>
            </w:r>
            <w:r>
              <w:rPr>
                <w:rFonts w:hint="eastAsia"/>
                <w:bCs/>
                <w:color w:val="auto"/>
                <w:sz w:val="24"/>
                <w:lang w:eastAsia="zh-CN"/>
              </w:rPr>
              <w:t>m处，在</w:t>
            </w:r>
            <w:r>
              <w:rPr>
                <w:rFonts w:hint="eastAsia"/>
                <w:bCs/>
                <w:color w:val="auto"/>
                <w:sz w:val="24"/>
                <w:lang w:val="en-US" w:eastAsia="zh-CN"/>
              </w:rPr>
              <w:t>滹沱河</w:t>
            </w:r>
            <w:r>
              <w:rPr>
                <w:rFonts w:hint="eastAsia"/>
                <w:bCs/>
                <w:color w:val="auto"/>
                <w:sz w:val="24"/>
                <w:lang w:eastAsia="zh-CN"/>
              </w:rPr>
              <w:t>“济胜桥—南庄”段</w:t>
            </w:r>
            <w:r>
              <w:rPr>
                <w:rFonts w:hint="eastAsia"/>
                <w:bCs/>
                <w:color w:val="auto"/>
                <w:sz w:val="24"/>
                <w:lang w:val="en-US" w:eastAsia="zh-CN"/>
              </w:rPr>
              <w:t>；</w:t>
            </w:r>
            <w:r>
              <w:rPr>
                <w:rFonts w:hint="eastAsia"/>
                <w:bCs/>
                <w:color w:val="auto"/>
                <w:sz w:val="24"/>
              </w:rPr>
              <w:t>根据忻州市生态文明建设和污染防治攻坚战领导小组办公室发布的“关于忻州市2021年12月及全年地表水环境质量的通报”（忻污防办发[2022]1号），</w:t>
            </w:r>
            <w:r>
              <w:rPr>
                <w:rFonts w:hint="eastAsia"/>
                <w:bCs/>
                <w:color w:val="auto"/>
                <w:sz w:val="24"/>
                <w:lang w:val="en-US" w:eastAsia="zh-CN"/>
              </w:rPr>
              <w:t>南庄断面</w:t>
            </w:r>
            <w:r>
              <w:rPr>
                <w:rFonts w:hint="eastAsia"/>
                <w:bCs/>
                <w:color w:val="auto"/>
                <w:sz w:val="24"/>
              </w:rPr>
              <w:t>1月-12月为Ⅱ类水质，满足Ⅱ类水质考核标准要求。</w:t>
            </w:r>
          </w:p>
          <w:p>
            <w:pPr>
              <w:autoSpaceDE w:val="0"/>
              <w:autoSpaceDN w:val="0"/>
              <w:adjustRightInd w:val="0"/>
              <w:snapToGrid w:val="0"/>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本次评价针对本项目提出了严格的污染物治理措施，项目运营期，在建设单位落实各环保设施的情况下，项目各污染物可满足相关排放标准限值要求，且项目为</w:t>
            </w:r>
            <w:r>
              <w:rPr>
                <w:rFonts w:hint="default" w:ascii="Times New Roman" w:hAnsi="Times New Roman" w:cs="Times New Roman"/>
                <w:bCs/>
                <w:color w:val="auto"/>
                <w:sz w:val="24"/>
                <w:lang w:val="en-US" w:eastAsia="zh-CN"/>
              </w:rPr>
              <w:t>城</w:t>
            </w:r>
            <w:r>
              <w:rPr>
                <w:rFonts w:hint="default" w:ascii="Times New Roman" w:hAnsi="Times New Roman" w:cs="Times New Roman"/>
                <w:bCs/>
                <w:color w:val="auto"/>
                <w:sz w:val="24"/>
              </w:rPr>
              <w:t>镇污水处理站建设项目，项目建成后，将会改善该区域生活污水乱排等现状，对区域环境产生正效益。</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rPr>
              <w:t>本项目所在区域地表水系图见附图5。</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③声环境：</w:t>
            </w:r>
          </w:p>
          <w:p>
            <w:pPr>
              <w:autoSpaceDE w:val="0"/>
              <w:autoSpaceDN w:val="0"/>
              <w:adjustRightInd w:val="0"/>
              <w:snapToGrid w:val="0"/>
              <w:spacing w:line="480" w:lineRule="exact"/>
              <w:ind w:firstLine="480" w:firstLineChars="200"/>
              <w:rPr>
                <w:rFonts w:hint="eastAsia"/>
                <w:color w:val="auto"/>
                <w:sz w:val="24"/>
                <w:szCs w:val="32"/>
                <w:lang w:val="en-US" w:eastAsia="zh-CN"/>
              </w:rPr>
            </w:pPr>
            <w:r>
              <w:rPr>
                <w:rFonts w:hint="eastAsia"/>
                <w:bCs/>
                <w:color w:val="auto"/>
                <w:sz w:val="24"/>
              </w:rPr>
              <w:t>本次评价由建设单位委托山西</w:t>
            </w:r>
            <w:r>
              <w:rPr>
                <w:rFonts w:hint="eastAsia"/>
                <w:bCs/>
                <w:color w:val="auto"/>
                <w:sz w:val="24"/>
                <w:lang w:val="en-US" w:eastAsia="zh-CN"/>
              </w:rPr>
              <w:t>中安环境监测</w:t>
            </w:r>
            <w:r>
              <w:rPr>
                <w:rFonts w:hint="eastAsia"/>
                <w:bCs/>
                <w:color w:val="auto"/>
                <w:sz w:val="24"/>
              </w:rPr>
              <w:t>有限公司于2022年</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18</w:t>
            </w:r>
            <w:r>
              <w:rPr>
                <w:rFonts w:hint="eastAsia"/>
                <w:bCs/>
                <w:color w:val="auto"/>
                <w:sz w:val="24"/>
              </w:rPr>
              <w:t>日对</w:t>
            </w:r>
            <w:r>
              <w:rPr>
                <w:rFonts w:hint="eastAsia"/>
                <w:color w:val="auto"/>
                <w:sz w:val="24"/>
                <w:szCs w:val="32"/>
              </w:rPr>
              <w:t>厂界声环境质量现状进行了监测，</w:t>
            </w:r>
            <w:r>
              <w:rPr>
                <w:rFonts w:hint="eastAsia"/>
                <w:color w:val="auto"/>
                <w:sz w:val="24"/>
                <w:szCs w:val="32"/>
                <w:lang w:val="en-US" w:eastAsia="zh-CN"/>
              </w:rPr>
              <w:t>监测期间，厂界昼间噪声值在52.8-53.8dB(A)，夜间噪声值在42.2-43.8dB(A)，均满足《声环境质量标准》(GB3096-2008)2类标准限值要求。</w:t>
            </w:r>
          </w:p>
          <w:p>
            <w:pPr>
              <w:autoSpaceDE w:val="0"/>
              <w:autoSpaceDN w:val="0"/>
              <w:adjustRightInd w:val="0"/>
              <w:snapToGrid w:val="0"/>
              <w:spacing w:line="480" w:lineRule="exact"/>
              <w:ind w:firstLine="480" w:firstLineChars="200"/>
              <w:rPr>
                <w:rFonts w:hint="default" w:ascii="Times New Roman" w:hAnsi="Times New Roman" w:cs="Times New Roman"/>
                <w:bCs/>
                <w:color w:val="FF0000"/>
                <w:sz w:val="24"/>
                <w:szCs w:val="20"/>
              </w:rPr>
            </w:pPr>
            <w:r>
              <w:rPr>
                <w:rFonts w:hint="default" w:ascii="Times New Roman" w:hAnsi="Times New Roman" w:cs="Times New Roman"/>
                <w:color w:val="auto"/>
                <w:sz w:val="24"/>
                <w:szCs w:val="20"/>
              </w:rPr>
              <w:t>项目运营期通过采取</w:t>
            </w:r>
            <w:r>
              <w:rPr>
                <w:rFonts w:hint="default" w:ascii="Times New Roman" w:hAnsi="Times New Roman" w:cs="Times New Roman"/>
                <w:bCs/>
                <w:color w:val="auto"/>
                <w:sz w:val="24"/>
                <w:szCs w:val="20"/>
              </w:rPr>
              <w:t>选用低噪声设备，隔声、基础减振，定期维护，加强管理等措施，经预测厂界噪声可达标排放，对区域声环境影响较小。</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综上所述，本项目在认真贯彻执行国家环保法律、法规，严格落实环评规定的各项环保措施，加强环境管理的情况下，排放的污染物对周边环境影响较小，本项目建设不会改变区域环境质量功能，因此，本项目建设不会超出环境质量底线，使区域环境质量降低。</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（3）与资源利用上线的符合性分析</w:t>
            </w:r>
          </w:p>
          <w:p>
            <w:pPr>
              <w:autoSpaceDE w:val="0"/>
              <w:autoSpaceDN w:val="0"/>
              <w:adjustRightInd w:val="0"/>
              <w:snapToGrid w:val="0"/>
              <w:spacing w:line="480" w:lineRule="exact"/>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本项目为城</w:t>
            </w:r>
            <w:r>
              <w:rPr>
                <w:rFonts w:hint="eastAsia" w:cs="Times New Roman"/>
                <w:color w:val="auto"/>
                <w:kern w:val="0"/>
                <w:sz w:val="24"/>
                <w:lang w:val="en-US" w:eastAsia="zh-CN"/>
              </w:rPr>
              <w:t>镇</w:t>
            </w:r>
            <w:r>
              <w:rPr>
                <w:rFonts w:hint="default" w:ascii="Times New Roman" w:hAnsi="Times New Roman" w:cs="Times New Roman"/>
                <w:color w:val="auto"/>
                <w:kern w:val="0"/>
                <w:sz w:val="24"/>
              </w:rPr>
              <w:t>基础设施建设项目，项目建成后，将会改善该区域生活污水乱排等现状，对区域环境产生正效益</w:t>
            </w:r>
            <w:r>
              <w:rPr>
                <w:rFonts w:hint="eastAsia" w:cs="Times New Roman"/>
                <w:color w:val="auto"/>
                <w:kern w:val="0"/>
                <w:sz w:val="24"/>
                <w:lang w:eastAsia="zh-CN"/>
              </w:rPr>
              <w:t>；</w:t>
            </w:r>
            <w:r>
              <w:rPr>
                <w:rFonts w:hint="eastAsia" w:cs="Times New Roman"/>
                <w:color w:val="auto"/>
                <w:kern w:val="0"/>
                <w:sz w:val="24"/>
                <w:lang w:val="en-US" w:eastAsia="zh-CN"/>
              </w:rPr>
              <w:t>本项目污水处理厂产生的尾水将首先用于</w:t>
            </w:r>
            <w:r>
              <w:rPr>
                <w:rFonts w:hint="eastAsia" w:ascii="Times New Roman" w:hAnsi="Times New Roman" w:cs="Times New Roman"/>
                <w:color w:val="auto"/>
                <w:sz w:val="24"/>
                <w:lang w:val="en-US" w:eastAsia="zh-CN"/>
              </w:rPr>
              <w:t>市政绿化、道路浇洒、农田灌溉等，剩余尾水排入滹沱河</w:t>
            </w:r>
            <w:r>
              <w:rPr>
                <w:rFonts w:hint="default" w:ascii="Times New Roman" w:hAnsi="Times New Roman" w:cs="Times New Roman"/>
                <w:color w:val="auto"/>
                <w:sz w:val="24"/>
              </w:rPr>
              <w:t>。</w:t>
            </w:r>
            <w:r>
              <w:rPr>
                <w:rFonts w:hint="eastAsia" w:cs="Times New Roman"/>
                <w:color w:val="auto"/>
                <w:sz w:val="24"/>
                <w:lang w:val="en-US" w:eastAsia="zh-CN"/>
              </w:rPr>
              <w:t>本项目增加了水资源的利用率。</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eastAsia" w:cs="Times New Roman"/>
                <w:color w:val="auto"/>
                <w:kern w:val="0"/>
                <w:sz w:val="24"/>
                <w:lang w:val="en-US" w:eastAsia="zh-CN"/>
              </w:rPr>
              <w:t>同时，</w:t>
            </w:r>
            <w:r>
              <w:rPr>
                <w:rFonts w:hint="default" w:ascii="Times New Roman" w:hAnsi="Times New Roman" w:cs="Times New Roman"/>
                <w:color w:val="auto"/>
                <w:kern w:val="0"/>
                <w:sz w:val="24"/>
              </w:rPr>
              <w:t>项目</w:t>
            </w:r>
            <w:r>
              <w:rPr>
                <w:rFonts w:hint="eastAsia" w:cs="Times New Roman"/>
                <w:color w:val="auto"/>
                <w:kern w:val="0"/>
                <w:sz w:val="24"/>
                <w:lang w:val="en-US" w:eastAsia="zh-CN"/>
              </w:rPr>
              <w:t>实施</w:t>
            </w:r>
            <w:r>
              <w:rPr>
                <w:rFonts w:hint="default" w:ascii="Times New Roman" w:hAnsi="Times New Roman" w:cs="Times New Roman"/>
                <w:color w:val="auto"/>
                <w:kern w:val="0"/>
                <w:sz w:val="24"/>
              </w:rPr>
              <w:t>过程中</w:t>
            </w:r>
            <w:r>
              <w:rPr>
                <w:rFonts w:hint="eastAsia" w:cs="Times New Roman"/>
                <w:color w:val="auto"/>
                <w:kern w:val="0"/>
                <w:sz w:val="24"/>
                <w:lang w:val="en-US" w:eastAsia="zh-CN"/>
              </w:rPr>
              <w:t>会消耗一定的新鲜水</w:t>
            </w:r>
            <w:r>
              <w:rPr>
                <w:rFonts w:hint="default" w:ascii="Times New Roman" w:hAnsi="Times New Roman" w:cs="Times New Roman"/>
                <w:color w:val="auto"/>
                <w:kern w:val="0"/>
                <w:sz w:val="24"/>
              </w:rPr>
              <w:t>、电，项目通过内部管理、设备选择的选用管理等措施，以“节能、降耗、减污”为目标，有效控制资源利用。项目的</w:t>
            </w:r>
            <w:r>
              <w:rPr>
                <w:rFonts w:hint="eastAsia" w:cs="Times New Roman"/>
                <w:color w:val="auto"/>
                <w:kern w:val="0"/>
                <w:sz w:val="24"/>
                <w:lang w:val="en-US" w:eastAsia="zh-CN"/>
              </w:rPr>
              <w:t>新鲜水</w:t>
            </w:r>
            <w:r>
              <w:rPr>
                <w:rFonts w:hint="default" w:ascii="Times New Roman" w:hAnsi="Times New Roman" w:cs="Times New Roman"/>
                <w:color w:val="auto"/>
                <w:kern w:val="0"/>
                <w:sz w:val="24"/>
              </w:rPr>
              <w:t>、电等资源利用不会突破区域的资源利用上线。</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（4）与环境准入负面清单符合性分析</w:t>
            </w:r>
          </w:p>
          <w:p>
            <w:pPr>
              <w:autoSpaceDE w:val="0"/>
              <w:autoSpaceDN w:val="0"/>
              <w:adjustRightInd w:val="0"/>
              <w:snapToGrid w:val="0"/>
              <w:spacing w:line="480" w:lineRule="exact"/>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根据《产业结构调整指导目录》(2019年本)，</w:t>
            </w:r>
            <w:r>
              <w:rPr>
                <w:rFonts w:hint="eastAsia" w:cs="Times New Roman"/>
                <w:color w:val="auto"/>
                <w:kern w:val="0"/>
                <w:sz w:val="24"/>
                <w:lang w:val="en-US" w:eastAsia="zh-CN"/>
              </w:rPr>
              <w:t>四十三、环境保护与资源节约综合利用中“城镇垃圾、农村生活垃圾、农村生活污水、污泥及其他固体废弃物减量化、资源化、无害化处理和综合利用工程”为鼓励类项目；本项目对五台县建安乡中的瑶池村、潭上村、西建安村、大建安村、东建安村、张家庄村和檀村7个村庄的生活污水进行收集处理，属于鼓励类项目。</w:t>
            </w:r>
          </w:p>
          <w:p>
            <w:pPr>
              <w:autoSpaceDE w:val="0"/>
              <w:autoSpaceDN w:val="0"/>
              <w:adjustRightInd w:val="0"/>
              <w:snapToGrid w:val="0"/>
              <w:spacing w:line="480" w:lineRule="exact"/>
              <w:ind w:firstLine="482" w:firstLineChars="200"/>
              <w:rPr>
                <w:rFonts w:hint="default" w:eastAsia="宋体"/>
                <w:b/>
                <w:bCs/>
                <w:color w:val="auto"/>
                <w:kern w:val="0"/>
                <w:sz w:val="24"/>
                <w:lang w:val="en-US" w:eastAsia="zh-CN"/>
              </w:rPr>
            </w:pPr>
            <w:r>
              <w:rPr>
                <w:rFonts w:hint="eastAsia"/>
                <w:b/>
                <w:bCs/>
                <w:color w:val="auto"/>
                <w:kern w:val="0"/>
                <w:sz w:val="24"/>
                <w:lang w:val="en-US" w:eastAsia="zh-CN"/>
              </w:rPr>
              <w:t>①忻州市</w:t>
            </w:r>
            <w:r>
              <w:rPr>
                <w:rFonts w:hint="eastAsia"/>
                <w:b/>
                <w:bCs/>
                <w:color w:val="auto"/>
                <w:kern w:val="0"/>
                <w:sz w:val="24"/>
              </w:rPr>
              <w:t>生态环境总体准入清单</w:t>
            </w:r>
            <w:r>
              <w:rPr>
                <w:rFonts w:hint="eastAsia"/>
                <w:b/>
                <w:bCs/>
                <w:color w:val="auto"/>
                <w:kern w:val="0"/>
                <w:sz w:val="24"/>
                <w:lang w:val="en-US" w:eastAsia="zh-CN"/>
              </w:rPr>
              <w:t>符合性分析</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eastAsia"/>
                <w:color w:val="auto"/>
                <w:kern w:val="0"/>
                <w:sz w:val="24"/>
              </w:rPr>
              <w:t>本项目与《忻州市“三线一单”生态环境分区管控实施方案》中生态环境总体准入清单的符合性分析见下表。</w:t>
            </w:r>
          </w:p>
          <w:p>
            <w:pPr>
              <w:autoSpaceDE w:val="0"/>
              <w:autoSpaceDN w:val="0"/>
              <w:adjustRightInd w:val="0"/>
              <w:snapToGrid w:val="0"/>
              <w:spacing w:line="480" w:lineRule="exact"/>
              <w:jc w:val="center"/>
              <w:rPr>
                <w:rFonts w:ascii="黑体" w:hAnsi="黑体" w:eastAsia="黑体" w:cs="宋体"/>
                <w:color w:val="auto"/>
                <w:kern w:val="0"/>
                <w:sz w:val="24"/>
              </w:rPr>
            </w:pPr>
            <w:r>
              <w:rPr>
                <w:rFonts w:hint="eastAsia" w:ascii="黑体" w:hAnsi="黑体" w:eastAsia="黑体" w:cs="宋体"/>
                <w:color w:val="auto"/>
                <w:kern w:val="0"/>
                <w:sz w:val="24"/>
              </w:rPr>
              <w:t>表1-3  与《忻州市“三线一单”生态环境分区管控实施方案》中生态环境总体准入清单的符合性分析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3964"/>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管控类别</w:t>
                  </w:r>
                </w:p>
              </w:tc>
              <w:tc>
                <w:tcPr>
                  <w:tcW w:w="2322"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生态环境总体准入清单的管控要求</w:t>
                  </w:r>
                </w:p>
              </w:tc>
              <w:tc>
                <w:tcPr>
                  <w:tcW w:w="2260"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restart"/>
                  <w:vAlign w:val="center"/>
                </w:tcPr>
                <w:p>
                  <w:pPr>
                    <w:autoSpaceDE w:val="0"/>
                    <w:autoSpaceDN w:val="0"/>
                    <w:adjustRightInd w:val="0"/>
                    <w:snapToGrid w:val="0"/>
                    <w:spacing w:line="360" w:lineRule="exact"/>
                    <w:jc w:val="center"/>
                    <w:rPr>
                      <w:rFonts w:cs="宋体"/>
                      <w:color w:val="auto"/>
                      <w:kern w:val="0"/>
                    </w:rPr>
                  </w:pPr>
                  <w:r>
                    <w:rPr>
                      <w:rFonts w:hint="eastAsia"/>
                      <w:color w:val="auto"/>
                    </w:rPr>
                    <w:t>空间布局约束</w:t>
                  </w: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1.各县（市、区）人民政府应当按照国民经济和社会发展规划、国土空间规划和环境保护要求，制定规划，统筹安排，依法逐步对不符合产业政策和布局不合理的重污染企业实施关停搬迁。</w:t>
                  </w:r>
                </w:p>
              </w:tc>
              <w:tc>
                <w:tcPr>
                  <w:tcW w:w="2260"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项目取得了用地预审与选址意见书。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2.对纳入生态保护红线的，其管控规则应以自然资源部最终出台的《生态保护红线管理办法》为准。</w:t>
                  </w:r>
                </w:p>
              </w:tc>
              <w:tc>
                <w:tcPr>
                  <w:tcW w:w="2260"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default" w:cs="宋体"/>
                      <w:color w:val="auto"/>
                      <w:kern w:val="0"/>
                    </w:rPr>
                    <w:t>本项目</w:t>
                  </w:r>
                  <w:r>
                    <w:rPr>
                      <w:rFonts w:hint="eastAsia" w:cs="宋体"/>
                      <w:color w:val="auto"/>
                      <w:kern w:val="0"/>
                      <w:lang w:val="en-US" w:eastAsia="zh-CN"/>
                    </w:rPr>
                    <w:t>拟建厂址</w:t>
                  </w:r>
                  <w:r>
                    <w:rPr>
                      <w:rFonts w:hint="default" w:cs="宋体"/>
                      <w:color w:val="auto"/>
                      <w:kern w:val="0"/>
                    </w:rPr>
                    <w:t>位于</w:t>
                  </w:r>
                  <w:r>
                    <w:rPr>
                      <w:rFonts w:hint="eastAsia" w:cs="宋体"/>
                      <w:color w:val="auto"/>
                      <w:kern w:val="0"/>
                      <w:lang w:val="en-US" w:eastAsia="zh-CN"/>
                    </w:rPr>
                    <w:t>一般管控单元，不在</w:t>
                  </w:r>
                  <w:r>
                    <w:rPr>
                      <w:rFonts w:hint="eastAsia" w:cs="宋体"/>
                      <w:color w:val="auto"/>
                      <w:kern w:val="0"/>
                    </w:rPr>
                    <w:t>生态保护红线</w:t>
                  </w:r>
                  <w:r>
                    <w:rPr>
                      <w:rFonts w:hint="eastAsia" w:cs="宋体"/>
                      <w:color w:val="auto"/>
                      <w:kern w:val="0"/>
                      <w:lang w:val="en-US" w:eastAsia="zh-CN"/>
                    </w:rPr>
                    <w:t>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3.新建、改建、扩建“两高”项目须符合生态环境保护法律法规和相关法定规划要求。</w:t>
                  </w:r>
                </w:p>
              </w:tc>
              <w:tc>
                <w:tcPr>
                  <w:tcW w:w="2260"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w:t>
                  </w:r>
                  <w:r>
                    <w:rPr>
                      <w:rFonts w:hint="eastAsia" w:cs="宋体"/>
                      <w:color w:val="auto"/>
                      <w:kern w:val="0"/>
                      <w:lang w:val="en-US" w:eastAsia="zh-CN"/>
                    </w:rPr>
                    <w:t>不属于“两高”项目。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4.石化、现代煤化工项目应纳入国家产业规划。新建、扩建石化、化工、焦化、有色金属冶炼、平板玻璃项目应布设在依法合规设立的产业园区。</w:t>
                  </w:r>
                </w:p>
              </w:tc>
              <w:tc>
                <w:tcPr>
                  <w:tcW w:w="2260" w:type="pct"/>
                  <w:vAlign w:val="center"/>
                </w:tcPr>
                <w:p>
                  <w:pPr>
                    <w:autoSpaceDE w:val="0"/>
                    <w:autoSpaceDN w:val="0"/>
                    <w:adjustRightInd w:val="0"/>
                    <w:snapToGrid w:val="0"/>
                    <w:spacing w:line="360" w:lineRule="exact"/>
                    <w:rPr>
                      <w:rFonts w:hint="eastAsia" w:eastAsia="宋体" w:cs="宋体"/>
                      <w:color w:val="auto"/>
                      <w:kern w:val="0"/>
                      <w:lang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w:t>
                  </w:r>
                  <w:r>
                    <w:rPr>
                      <w:rFonts w:hint="eastAsia"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5.禁止在居民区、学校、医疗和养老机构等周边规定范围内新建、扩建有色金属冶炼、焦化等行业企业。</w:t>
                  </w:r>
                </w:p>
              </w:tc>
              <w:tc>
                <w:tcPr>
                  <w:tcW w:w="2260" w:type="pct"/>
                  <w:vAlign w:val="center"/>
                </w:tcPr>
                <w:p>
                  <w:pPr>
                    <w:autoSpaceDE w:val="0"/>
                    <w:autoSpaceDN w:val="0"/>
                    <w:adjustRightInd w:val="0"/>
                    <w:snapToGrid w:val="0"/>
                    <w:spacing w:line="360" w:lineRule="exact"/>
                    <w:rPr>
                      <w:rFonts w:hint="eastAsia" w:eastAsia="宋体" w:cs="宋体"/>
                      <w:color w:val="auto"/>
                      <w:kern w:val="0"/>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w:t>
                  </w:r>
                  <w:r>
                    <w:rPr>
                      <w:rFonts w:hint="eastAsia" w:cs="Times New Roman"/>
                      <w:color w:val="auto"/>
                      <w:sz w:val="21"/>
                      <w:szCs w:val="21"/>
                      <w:highlight w:val="none"/>
                      <w:lang w:val="en-US" w:eastAsia="zh-CN"/>
                    </w:rPr>
                    <w:t>不属于</w:t>
                  </w:r>
                  <w:r>
                    <w:rPr>
                      <w:rFonts w:hint="eastAsia"/>
                      <w:color w:val="auto"/>
                    </w:rPr>
                    <w:t>有色金属冶炼、焦化等行业</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6.加强矿山生态环境监管，禁止在自然保护区、水源地保护区域等重要生态保护地禁采区域内开矿。</w:t>
                  </w:r>
                </w:p>
              </w:tc>
              <w:tc>
                <w:tcPr>
                  <w:tcW w:w="2260"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w:t>
                  </w:r>
                  <w:r>
                    <w:rPr>
                      <w:rFonts w:hint="eastAsia" w:cs="Times New Roman"/>
                      <w:color w:val="auto"/>
                      <w:sz w:val="21"/>
                      <w:szCs w:val="21"/>
                      <w:highlight w:val="none"/>
                      <w:lang w:val="en-US" w:eastAsia="zh-CN"/>
                    </w:rPr>
                    <w:t>不属于矿山开采。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restart"/>
                  <w:vAlign w:val="center"/>
                </w:tcPr>
                <w:p>
                  <w:pPr>
                    <w:autoSpaceDE w:val="0"/>
                    <w:autoSpaceDN w:val="0"/>
                    <w:adjustRightInd w:val="0"/>
                    <w:snapToGrid w:val="0"/>
                    <w:spacing w:line="360" w:lineRule="exact"/>
                    <w:jc w:val="center"/>
                    <w:rPr>
                      <w:color w:val="auto"/>
                    </w:rPr>
                  </w:pPr>
                  <w:r>
                    <w:rPr>
                      <w:rFonts w:hint="eastAsia"/>
                      <w:color w:val="auto"/>
                    </w:rPr>
                    <w:t>污染物排放管控</w:t>
                  </w: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1.污染物排放总量严格落实“</w:t>
                  </w:r>
                  <w:r>
                    <w:rPr>
                      <w:rFonts w:hint="eastAsia" w:hAnsi="宋体"/>
                      <w:color w:val="auto"/>
                    </w:rPr>
                    <w:t>十四五</w:t>
                  </w:r>
                  <w:r>
                    <w:rPr>
                      <w:rFonts w:hint="eastAsia"/>
                      <w:color w:val="auto"/>
                    </w:rPr>
                    <w:t>”</w:t>
                  </w:r>
                  <w:r>
                    <w:rPr>
                      <w:rFonts w:hint="eastAsia" w:hAnsi="宋体"/>
                      <w:color w:val="auto"/>
                    </w:rPr>
                    <w:t>相关目标指标。</w:t>
                  </w:r>
                </w:p>
              </w:tc>
              <w:tc>
                <w:tcPr>
                  <w:tcW w:w="2260"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eastAsia" w:cs="宋体"/>
                      <w:color w:val="auto"/>
                      <w:kern w:val="0"/>
                      <w:lang w:val="en-US" w:eastAsia="zh-CN"/>
                    </w:rPr>
                    <w:t>根据晋环发[2015]25号文，本项目污染物指标不纳入总量核定范围。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2.“1+30”</w:t>
                  </w:r>
                  <w:r>
                    <w:rPr>
                      <w:rFonts w:hint="eastAsia" w:hAnsi="宋体"/>
                      <w:color w:val="auto"/>
                    </w:rPr>
                    <w:t>区域重点行业二氧化硫、氮氧化物、颗粒物和挥发性有机物全面执行大气污染物特别排放限值。</w:t>
                  </w:r>
                </w:p>
              </w:tc>
              <w:tc>
                <w:tcPr>
                  <w:tcW w:w="2260"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w:t>
                  </w:r>
                  <w:r>
                    <w:rPr>
                      <w:rFonts w:hint="eastAsia" w:cs="Times New Roman"/>
                      <w:color w:val="auto"/>
                      <w:sz w:val="21"/>
                      <w:szCs w:val="21"/>
                      <w:highlight w:val="none"/>
                      <w:lang w:val="en-US" w:eastAsia="zh-CN"/>
                    </w:rPr>
                    <w:t>无</w:t>
                  </w:r>
                  <w:r>
                    <w:rPr>
                      <w:rFonts w:hint="eastAsia" w:hAnsi="宋体"/>
                      <w:color w:val="auto"/>
                    </w:rPr>
                    <w:t>二氧化硫、氮氧化物、颗粒物和挥发性有机物</w:t>
                  </w:r>
                  <w:r>
                    <w:rPr>
                      <w:rFonts w:hint="eastAsia" w:hAnsi="宋体"/>
                      <w:color w:val="auto"/>
                      <w:lang w:val="en-US" w:eastAsia="zh-CN"/>
                    </w:rPr>
                    <w:t>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3.产业集聚区、工业园区要逐步取消自备燃煤锅炉，积极推进“</w:t>
                  </w:r>
                  <w:r>
                    <w:rPr>
                      <w:rFonts w:hint="eastAsia" w:hAnsi="宋体"/>
                      <w:color w:val="auto"/>
                    </w:rPr>
                    <w:t>煤改气</w:t>
                  </w:r>
                  <w:r>
                    <w:rPr>
                      <w:rFonts w:hint="eastAsia"/>
                      <w:color w:val="auto"/>
                    </w:rPr>
                    <w:t>”、“</w:t>
                  </w:r>
                  <w:r>
                    <w:rPr>
                      <w:rFonts w:hint="eastAsia" w:hAnsi="宋体"/>
                      <w:color w:val="auto"/>
                    </w:rPr>
                    <w:t>煤改电</w:t>
                  </w:r>
                  <w:r>
                    <w:rPr>
                      <w:rFonts w:hint="eastAsia"/>
                      <w:color w:val="auto"/>
                    </w:rPr>
                    <w:t>”</w:t>
                  </w:r>
                  <w:r>
                    <w:rPr>
                      <w:rFonts w:hint="eastAsia" w:hAnsi="宋体"/>
                      <w:color w:val="auto"/>
                    </w:rPr>
                    <w:t>工程。</w:t>
                  </w:r>
                </w:p>
              </w:tc>
              <w:tc>
                <w:tcPr>
                  <w:tcW w:w="2260"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eastAsia" w:cs="宋体"/>
                      <w:color w:val="auto"/>
                      <w:kern w:val="0"/>
                      <w:lang w:val="en-US" w:eastAsia="zh-CN"/>
                    </w:rPr>
                    <w:t>本项目无自备燃煤锅炉。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4.新建“</w:t>
                  </w:r>
                  <w:r>
                    <w:rPr>
                      <w:rFonts w:hint="eastAsia" w:hAnsi="宋体"/>
                      <w:color w:val="auto"/>
                    </w:rPr>
                    <w:t>两高</w:t>
                  </w:r>
                  <w:r>
                    <w:rPr>
                      <w:rFonts w:hint="eastAsia"/>
                      <w:color w:val="auto"/>
                    </w:rPr>
                    <w:t>”</w:t>
                  </w:r>
                  <w:r>
                    <w:rPr>
                      <w:rFonts w:hint="eastAsia" w:hAnsi="宋体"/>
                      <w:color w:val="auto"/>
                    </w:rPr>
                    <w:t>项目应按照《关于加强重点行业建设项目区域削减措施监督管理的通知》要求，依据区域环境质量改善目标，制定配套区域污染物削减方案，采取有效的污染物区域削减措施，腾出足够的环境容量。</w:t>
                  </w:r>
                </w:p>
              </w:tc>
              <w:tc>
                <w:tcPr>
                  <w:tcW w:w="2260" w:type="pc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w:t>
                  </w:r>
                  <w:r>
                    <w:rPr>
                      <w:rFonts w:hint="eastAsia" w:cs="宋体"/>
                      <w:color w:val="auto"/>
                      <w:kern w:val="0"/>
                      <w:lang w:val="en-US" w:eastAsia="zh-CN"/>
                    </w:rPr>
                    <w:t>不属于“两高”项目。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5.国家或地方已出台超低排放要求的“</w:t>
                  </w:r>
                  <w:r>
                    <w:rPr>
                      <w:rFonts w:hint="eastAsia" w:hAnsi="宋体"/>
                      <w:color w:val="auto"/>
                    </w:rPr>
                    <w:t>两高</w:t>
                  </w:r>
                  <w:r>
                    <w:rPr>
                      <w:rFonts w:hint="eastAsia"/>
                      <w:color w:val="auto"/>
                    </w:rPr>
                    <w:t>”</w:t>
                  </w:r>
                  <w:r>
                    <w:rPr>
                      <w:rFonts w:hint="eastAsia" w:hAnsi="宋体"/>
                      <w:color w:val="auto"/>
                    </w:rPr>
                    <w:t>行业建设项目应满足超低排放要求。</w:t>
                  </w:r>
                </w:p>
              </w:tc>
              <w:tc>
                <w:tcPr>
                  <w:tcW w:w="2260" w:type="pc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w:t>
                  </w:r>
                  <w:r>
                    <w:rPr>
                      <w:rFonts w:hint="eastAsia" w:cs="宋体"/>
                      <w:color w:val="auto"/>
                      <w:kern w:val="0"/>
                      <w:lang w:val="en-US" w:eastAsia="zh-CN"/>
                    </w:rPr>
                    <w:t>无超低排放要求。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6.</w:t>
                  </w:r>
                  <w:r>
                    <w:rPr>
                      <w:rFonts w:hint="eastAsia" w:hAnsi="宋体"/>
                      <w:color w:val="auto"/>
                    </w:rPr>
                    <w:t>鼓励企业使用新技术、新工艺、新设备、新产品、新材料，改造和提升传统产业，开展废弃物处理及再生资源综合利用，发展循环经济。</w:t>
                  </w:r>
                </w:p>
              </w:tc>
              <w:tc>
                <w:tcPr>
                  <w:tcW w:w="2260" w:type="pc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r>
                    <w:rPr>
                      <w:rFonts w:hint="eastAsia"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color w:val="auto"/>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7.</w:t>
                  </w:r>
                  <w:r>
                    <w:rPr>
                      <w:rFonts w:hint="eastAsia" w:hAnsi="宋体"/>
                      <w:color w:val="auto"/>
                    </w:rPr>
                    <w:t>煤炭企业应当按照综合利用和处置煤矸石技术规范要求综合利用和处置煤矸石。</w:t>
                  </w:r>
                </w:p>
              </w:tc>
              <w:tc>
                <w:tcPr>
                  <w:tcW w:w="2260"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eastAsia" w:cs="宋体"/>
                      <w:color w:val="auto"/>
                      <w:kern w:val="0"/>
                      <w:lang w:val="en-US" w:eastAsia="zh-CN"/>
                    </w:rPr>
                    <w:t>本项目无煤炭消耗。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restart"/>
                  <w:vAlign w:val="center"/>
                </w:tcPr>
                <w:p>
                  <w:pPr>
                    <w:autoSpaceDE w:val="0"/>
                    <w:autoSpaceDN w:val="0"/>
                    <w:adjustRightInd w:val="0"/>
                    <w:snapToGrid w:val="0"/>
                    <w:spacing w:line="360" w:lineRule="exact"/>
                    <w:jc w:val="center"/>
                    <w:rPr>
                      <w:color w:val="auto"/>
                    </w:rPr>
                  </w:pPr>
                  <w:r>
                    <w:rPr>
                      <w:rFonts w:hint="eastAsia"/>
                      <w:color w:val="auto"/>
                    </w:rPr>
                    <w:t>环境风险防控</w:t>
                  </w: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1.</w:t>
                  </w:r>
                  <w:r>
                    <w:rPr>
                      <w:rFonts w:hint="eastAsia" w:hAnsi="宋体"/>
                      <w:color w:val="auto"/>
                    </w:rPr>
                    <w:t>建立健全突发环境事件应对工作机制，提高预防、预警、应对能力。</w:t>
                  </w:r>
                </w:p>
              </w:tc>
              <w:tc>
                <w:tcPr>
                  <w:tcW w:w="2260"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eastAsia" w:eastAsia="宋体" w:cs="宋体"/>
                      <w:color w:val="auto"/>
                      <w:kern w:val="0"/>
                      <w:lang w:val="en-US" w:eastAsia="zh-CN"/>
                    </w:rPr>
                  </w:pPr>
                  <w:r>
                    <w:rPr>
                      <w:rFonts w:hint="eastAsia" w:cs="宋体"/>
                      <w:color w:val="auto"/>
                      <w:kern w:val="0"/>
                      <w:lang w:val="en-US" w:eastAsia="zh-CN"/>
                    </w:rPr>
                    <w:t>项目运营期将编制突发环境事件应急预案，提高</w:t>
                  </w:r>
                  <w:r>
                    <w:rPr>
                      <w:rFonts w:hint="eastAsia" w:hAnsi="宋体"/>
                      <w:color w:val="auto"/>
                    </w:rPr>
                    <w:t>预防、预警、应对能力</w:t>
                  </w:r>
                  <w:r>
                    <w:rPr>
                      <w:rFonts w:hint="eastAsia" w:hAnsi="宋体"/>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2.</w:t>
                  </w:r>
                  <w:r>
                    <w:rPr>
                      <w:rFonts w:hint="eastAsia" w:hAnsi="宋体"/>
                      <w:color w:val="auto"/>
                    </w:rPr>
                    <w:t>危险废物按规范收集、贮存、转运、利用、处置。</w:t>
                  </w:r>
                </w:p>
              </w:tc>
              <w:tc>
                <w:tcPr>
                  <w:tcW w:w="2260"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default" w:eastAsia="宋体" w:cs="宋体"/>
                      <w:color w:val="auto"/>
                      <w:kern w:val="0"/>
                      <w:lang w:val="en-US" w:eastAsia="zh-CN"/>
                    </w:rPr>
                  </w:pPr>
                  <w:r>
                    <w:rPr>
                      <w:rFonts w:hint="default" w:eastAsia="宋体" w:cs="宋体"/>
                      <w:color w:val="auto"/>
                      <w:kern w:val="0"/>
                      <w:lang w:val="en-US" w:eastAsia="zh-CN"/>
                    </w:rPr>
                    <w:t>备维修保养产生的废机油、废棉纱、废手套、废机油桶收集后在厂区内新建的危险废物暂存间进行暂存，最后由有资质的单位进行收集处置</w:t>
                  </w:r>
                  <w:r>
                    <w:rPr>
                      <w:rFonts w:hint="eastAsia" w:cs="宋体"/>
                      <w:color w:val="auto"/>
                      <w:kern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restart"/>
                  <w:vAlign w:val="center"/>
                </w:tcPr>
                <w:p>
                  <w:pPr>
                    <w:autoSpaceDE w:val="0"/>
                    <w:autoSpaceDN w:val="0"/>
                    <w:adjustRightInd w:val="0"/>
                    <w:snapToGrid w:val="0"/>
                    <w:spacing w:line="360" w:lineRule="exact"/>
                    <w:jc w:val="center"/>
                    <w:rPr>
                      <w:rFonts w:cs="宋体"/>
                      <w:color w:val="auto"/>
                      <w:kern w:val="0"/>
                    </w:rPr>
                  </w:pPr>
                  <w:r>
                    <w:rPr>
                      <w:rFonts w:hint="eastAsia"/>
                      <w:color w:val="auto"/>
                    </w:rPr>
                    <w:t>资源利用效率</w:t>
                  </w: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1.</w:t>
                  </w:r>
                  <w:r>
                    <w:rPr>
                      <w:rFonts w:hint="eastAsia" w:hAnsi="宋体"/>
                      <w:color w:val="auto"/>
                    </w:rPr>
                    <w:t>水资源、土地资源及能源利用上线严格落实</w:t>
                  </w:r>
                  <w:r>
                    <w:rPr>
                      <w:rFonts w:hint="eastAsia"/>
                      <w:color w:val="auto"/>
                    </w:rPr>
                    <w:t>“</w:t>
                  </w:r>
                  <w:r>
                    <w:rPr>
                      <w:rFonts w:hint="eastAsia" w:hAnsi="宋体"/>
                      <w:color w:val="auto"/>
                    </w:rPr>
                    <w:t>十四五</w:t>
                  </w:r>
                  <w:r>
                    <w:rPr>
                      <w:rFonts w:hint="eastAsia"/>
                      <w:color w:val="auto"/>
                    </w:rPr>
                    <w:t>”</w:t>
                  </w:r>
                  <w:r>
                    <w:rPr>
                      <w:rFonts w:hint="eastAsia" w:hAnsi="宋体"/>
                      <w:color w:val="auto"/>
                    </w:rPr>
                    <w:t>相关目标指标。能源利用上线严格落实碳达峰、碳中和相关要求。</w:t>
                  </w:r>
                </w:p>
              </w:tc>
              <w:tc>
                <w:tcPr>
                  <w:tcW w:w="2260"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default" w:eastAsia="宋体" w:cs="宋体"/>
                      <w:color w:val="auto"/>
                      <w:kern w:val="0"/>
                      <w:lang w:val="en-US" w:eastAsia="zh-CN"/>
                    </w:rPr>
                  </w:pPr>
                  <w:r>
                    <w:rPr>
                      <w:rFonts w:hint="default" w:eastAsia="宋体" w:cs="宋体"/>
                      <w:color w:val="auto"/>
                      <w:kern w:val="0"/>
                      <w:lang w:val="en-US" w:eastAsia="zh-CN"/>
                    </w:rPr>
                    <w:t>本项目污水处理厂产生的尾水将首先用于市政绿化、道路浇洒、农田灌溉等，剩余尾水排入滹沱河。本项目增加了水资源的利用率。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2.</w:t>
                  </w:r>
                  <w:r>
                    <w:rPr>
                      <w:rFonts w:hint="eastAsia" w:hAnsi="宋体"/>
                      <w:color w:val="auto"/>
                    </w:rPr>
                    <w:t>加快推进岩溶大泉泉源和重点保护区的保护和生态修复。</w:t>
                  </w:r>
                </w:p>
              </w:tc>
              <w:tc>
                <w:tcPr>
                  <w:tcW w:w="2260"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default" w:eastAsia="宋体" w:cs="宋体"/>
                      <w:color w:val="auto"/>
                      <w:kern w:val="0"/>
                      <w:lang w:val="en-US" w:eastAsia="zh-CN"/>
                    </w:rPr>
                  </w:pPr>
                  <w:r>
                    <w:rPr>
                      <w:rFonts w:hint="eastAsia" w:cs="宋体"/>
                      <w:color w:val="auto"/>
                      <w:kern w:val="0"/>
                      <w:lang w:val="en-US" w:eastAsia="zh-CN"/>
                    </w:rPr>
                    <w:t>本项目不在泉域范围内。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3.</w:t>
                  </w:r>
                  <w:r>
                    <w:rPr>
                      <w:rFonts w:hint="eastAsia" w:hAnsi="宋体"/>
                      <w:color w:val="auto"/>
                    </w:rPr>
                    <w:t>到</w:t>
                  </w:r>
                  <w:r>
                    <w:rPr>
                      <w:rFonts w:hint="eastAsia"/>
                      <w:color w:val="auto"/>
                    </w:rPr>
                    <w:t>2022</w:t>
                  </w:r>
                  <w:r>
                    <w:rPr>
                      <w:rFonts w:hint="eastAsia" w:hAnsi="宋体"/>
                      <w:color w:val="auto"/>
                    </w:rPr>
                    <w:t>年，全市用水总量控制目标为</w:t>
                  </w:r>
                  <w:r>
                    <w:rPr>
                      <w:rFonts w:hint="eastAsia"/>
                      <w:color w:val="auto"/>
                    </w:rPr>
                    <w:t>7.9</w:t>
                  </w:r>
                  <w:r>
                    <w:rPr>
                      <w:rFonts w:hint="eastAsia" w:hAnsi="宋体"/>
                      <w:color w:val="auto"/>
                    </w:rPr>
                    <w:t>亿立方米。</w:t>
                  </w:r>
                </w:p>
              </w:tc>
              <w:tc>
                <w:tcPr>
                  <w:tcW w:w="2260"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default" w:eastAsia="宋体" w:cs="宋体"/>
                      <w:color w:val="auto"/>
                      <w:kern w:val="0"/>
                      <w:lang w:val="en-US" w:eastAsia="zh-CN"/>
                    </w:rPr>
                  </w:pPr>
                  <w:r>
                    <w:rPr>
                      <w:rFonts w:hint="eastAsia" w:cs="宋体"/>
                      <w:color w:val="auto"/>
                      <w:kern w:val="0"/>
                      <w:lang w:val="en-US" w:eastAsia="zh-CN"/>
                    </w:rPr>
                    <w:t>本项目新鲜水消耗量为2.547m</w:t>
                  </w:r>
                  <w:r>
                    <w:rPr>
                      <w:rFonts w:hint="eastAsia" w:cs="宋体"/>
                      <w:color w:val="auto"/>
                      <w:kern w:val="0"/>
                      <w:vertAlign w:val="superscript"/>
                      <w:lang w:val="en-US" w:eastAsia="zh-CN"/>
                    </w:rPr>
                    <w:t>3</w:t>
                  </w:r>
                  <w:r>
                    <w:rPr>
                      <w:rFonts w:hint="eastAsia" w:cs="宋体"/>
                      <w:color w:val="auto"/>
                      <w:kern w:val="0"/>
                      <w:lang w:val="en-US" w:eastAsia="zh-CN"/>
                    </w:rPr>
                    <w:t>/d，占用量较少。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rFonts w:cs="宋体"/>
                      <w:color w:val="auto"/>
                      <w:kern w:val="0"/>
                    </w:rPr>
                  </w:pPr>
                  <w:r>
                    <w:rPr>
                      <w:rFonts w:hint="eastAsia"/>
                      <w:color w:val="auto"/>
                    </w:rPr>
                    <w:t>4.</w:t>
                  </w:r>
                  <w:r>
                    <w:rPr>
                      <w:rFonts w:hint="eastAsia" w:hAnsi="宋体"/>
                      <w:color w:val="auto"/>
                    </w:rPr>
                    <w:t>忻州市忻府区、原平市、定襄县实现平原地区散煤清零。</w:t>
                  </w:r>
                </w:p>
              </w:tc>
              <w:tc>
                <w:tcPr>
                  <w:tcW w:w="2260"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default" w:eastAsia="宋体" w:cs="宋体"/>
                      <w:color w:val="auto"/>
                      <w:kern w:val="0"/>
                      <w:lang w:val="en-US" w:eastAsia="zh-CN"/>
                    </w:rPr>
                  </w:pPr>
                  <w:r>
                    <w:rPr>
                      <w:rFonts w:hint="eastAsia" w:cs="宋体"/>
                      <w:color w:val="auto"/>
                      <w:kern w:val="0"/>
                      <w:lang w:val="en-US" w:eastAsia="zh-CN"/>
                    </w:rPr>
                    <w:t>本项目无煤炭消耗。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color w:val="auto"/>
                    </w:rPr>
                  </w:pPr>
                  <w:r>
                    <w:rPr>
                      <w:rFonts w:hint="eastAsia"/>
                      <w:color w:val="auto"/>
                    </w:rPr>
                    <w:t>5.</w:t>
                  </w:r>
                  <w:r>
                    <w:rPr>
                      <w:rFonts w:hint="eastAsia" w:hAnsi="宋体"/>
                      <w:color w:val="auto"/>
                    </w:rPr>
                    <w:t>全市城市建成区绿化覆盖率</w:t>
                  </w:r>
                  <w:r>
                    <w:rPr>
                      <w:rFonts w:hint="eastAsia"/>
                      <w:color w:val="auto"/>
                    </w:rPr>
                    <w:t>2022</w:t>
                  </w:r>
                  <w:r>
                    <w:rPr>
                      <w:rFonts w:hint="eastAsia" w:hAnsi="宋体"/>
                      <w:color w:val="auto"/>
                    </w:rPr>
                    <w:t>年达到</w:t>
                  </w:r>
                  <w:r>
                    <w:rPr>
                      <w:rFonts w:hint="eastAsia"/>
                      <w:color w:val="auto"/>
                    </w:rPr>
                    <w:t>42%</w:t>
                  </w:r>
                  <w:r>
                    <w:rPr>
                      <w:rFonts w:hint="eastAsia" w:hAnsi="宋体"/>
                      <w:color w:val="auto"/>
                    </w:rPr>
                    <w:t>以上，城市国土绿化品质有效提升。</w:t>
                  </w:r>
                </w:p>
              </w:tc>
              <w:tc>
                <w:tcPr>
                  <w:tcW w:w="2260"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default" w:eastAsia="宋体" w:cs="宋体"/>
                      <w:color w:val="auto"/>
                      <w:kern w:val="0"/>
                      <w:lang w:val="en-US" w:eastAsia="zh-CN"/>
                    </w:rPr>
                  </w:pPr>
                  <w:r>
                    <w:rPr>
                      <w:rFonts w:hint="eastAsia" w:cs="宋体"/>
                      <w:color w:val="auto"/>
                      <w:kern w:val="0"/>
                      <w:lang w:val="en-US" w:eastAsia="zh-CN"/>
                    </w:rPr>
                    <w:t>本项目不在城市建成区范围内，项目绿化率30%。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autoSpaceDE w:val="0"/>
                    <w:autoSpaceDN w:val="0"/>
                    <w:adjustRightInd w:val="0"/>
                    <w:snapToGrid w:val="0"/>
                    <w:spacing w:line="360" w:lineRule="exact"/>
                    <w:jc w:val="center"/>
                    <w:rPr>
                      <w:rFonts w:cs="宋体"/>
                      <w:color w:val="auto"/>
                      <w:kern w:val="0"/>
                    </w:rPr>
                  </w:pPr>
                </w:p>
              </w:tc>
              <w:tc>
                <w:tcPr>
                  <w:tcW w:w="2322" w:type="pct"/>
                  <w:vAlign w:val="center"/>
                </w:tcPr>
                <w:p>
                  <w:pPr>
                    <w:autoSpaceDE w:val="0"/>
                    <w:autoSpaceDN w:val="0"/>
                    <w:adjustRightInd w:val="0"/>
                    <w:snapToGrid w:val="0"/>
                    <w:spacing w:line="360" w:lineRule="exact"/>
                    <w:rPr>
                      <w:color w:val="auto"/>
                    </w:rPr>
                  </w:pPr>
                  <w:r>
                    <w:rPr>
                      <w:rFonts w:hint="eastAsia"/>
                      <w:color w:val="auto"/>
                    </w:rPr>
                    <w:t>6.</w:t>
                  </w:r>
                  <w:r>
                    <w:rPr>
                      <w:rFonts w:hint="eastAsia" w:hAnsi="宋体"/>
                      <w:color w:val="auto"/>
                    </w:rPr>
                    <w:t>新建矿山必须按照绿色矿山标准建设，到</w:t>
                  </w:r>
                  <w:r>
                    <w:rPr>
                      <w:rFonts w:hint="eastAsia"/>
                      <w:color w:val="auto"/>
                    </w:rPr>
                    <w:t>2025</w:t>
                  </w:r>
                  <w:r>
                    <w:rPr>
                      <w:rFonts w:hint="eastAsia" w:hAnsi="宋体"/>
                      <w:color w:val="auto"/>
                    </w:rPr>
                    <w:t>年基本完成历史遗留矿山地质环境问题恢复治理工作，实现全市矿山地质环境根本好转。</w:t>
                  </w:r>
                </w:p>
              </w:tc>
              <w:tc>
                <w:tcPr>
                  <w:tcW w:w="2260"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default" w:eastAsia="宋体" w:cs="宋体"/>
                      <w:color w:val="auto"/>
                      <w:kern w:val="0"/>
                      <w:lang w:val="en-US" w:eastAsia="zh-CN"/>
                    </w:rPr>
                  </w:pPr>
                  <w:r>
                    <w:rPr>
                      <w:rFonts w:hint="eastAsia" w:cs="宋体"/>
                      <w:color w:val="auto"/>
                      <w:kern w:val="0"/>
                      <w:lang w:val="en-US" w:eastAsia="zh-CN"/>
                    </w:rPr>
                    <w:t>本项目不属于矿山企业。</w:t>
                  </w:r>
                </w:p>
              </w:tc>
            </w:tr>
          </w:tbl>
          <w:p>
            <w:pPr>
              <w:autoSpaceDE w:val="0"/>
              <w:autoSpaceDN w:val="0"/>
              <w:adjustRightInd w:val="0"/>
              <w:snapToGrid w:val="0"/>
              <w:spacing w:line="480" w:lineRule="exact"/>
              <w:ind w:firstLine="480" w:firstLineChars="200"/>
              <w:rPr>
                <w:rFonts w:cs="宋体"/>
                <w:color w:val="auto"/>
                <w:kern w:val="0"/>
                <w:sz w:val="24"/>
              </w:rPr>
            </w:pPr>
            <w:r>
              <w:rPr>
                <w:rFonts w:hint="eastAsia" w:cs="宋体"/>
                <w:color w:val="auto"/>
                <w:kern w:val="0"/>
                <w:sz w:val="24"/>
              </w:rPr>
              <w:t>由表1-3可知，本项目基本符合《忻州市“三线一单”生态环境分区管控实施方案》中生态环境总体准入清单的要求。</w:t>
            </w:r>
          </w:p>
          <w:p>
            <w:pPr>
              <w:autoSpaceDE w:val="0"/>
              <w:autoSpaceDN w:val="0"/>
              <w:adjustRightInd w:val="0"/>
              <w:snapToGrid w:val="0"/>
              <w:spacing w:line="480" w:lineRule="exact"/>
              <w:ind w:firstLine="482" w:firstLineChars="200"/>
              <w:rPr>
                <w:rFonts w:hint="default" w:eastAsia="宋体"/>
                <w:b/>
                <w:bCs/>
                <w:color w:val="auto"/>
                <w:kern w:val="0"/>
                <w:sz w:val="24"/>
                <w:lang w:val="en-US" w:eastAsia="zh-CN"/>
              </w:rPr>
            </w:pPr>
            <w:r>
              <w:rPr>
                <w:rFonts w:hint="eastAsia"/>
                <w:b/>
                <w:bCs/>
                <w:color w:val="auto"/>
                <w:kern w:val="0"/>
                <w:sz w:val="24"/>
                <w:lang w:val="en-US" w:eastAsia="zh-CN"/>
              </w:rPr>
              <w:t>②忻州市重点流域普适性生态环境准入清单符合性分析</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eastAsia"/>
                <w:color w:val="auto"/>
                <w:kern w:val="0"/>
                <w:sz w:val="24"/>
              </w:rPr>
              <w:t>本项目与《忻州市“三线一单”生态环境分区管控实施方案》中忻州市重点流域普适性生态环境准入清单的符合性分析见下表。</w:t>
            </w:r>
          </w:p>
          <w:p>
            <w:pPr>
              <w:autoSpaceDE w:val="0"/>
              <w:autoSpaceDN w:val="0"/>
              <w:adjustRightInd w:val="0"/>
              <w:snapToGrid w:val="0"/>
              <w:spacing w:line="480" w:lineRule="exact"/>
              <w:jc w:val="center"/>
              <w:rPr>
                <w:rFonts w:ascii="黑体" w:hAnsi="黑体" w:eastAsia="黑体" w:cs="宋体"/>
                <w:color w:val="auto"/>
                <w:kern w:val="0"/>
                <w:sz w:val="24"/>
              </w:rPr>
            </w:pPr>
            <w:r>
              <w:rPr>
                <w:rFonts w:hint="eastAsia" w:ascii="黑体" w:hAnsi="黑体" w:eastAsia="黑体" w:cs="宋体"/>
                <w:color w:val="auto"/>
                <w:kern w:val="0"/>
                <w:sz w:val="24"/>
              </w:rPr>
              <w:t>表1-4  与《忻州市“三线一单”生态环境分区管控实施方案》中忻州市重点流域普适性生态环境准入清单的符合性分析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3977"/>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管控类别</w:t>
                  </w:r>
                </w:p>
              </w:tc>
              <w:tc>
                <w:tcPr>
                  <w:tcW w:w="2330"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管控要求</w:t>
                  </w:r>
                </w:p>
              </w:tc>
              <w:tc>
                <w:tcPr>
                  <w:tcW w:w="2252" w:type="pct"/>
                  <w:vAlign w:val="center"/>
                </w:tcPr>
                <w:p>
                  <w:pPr>
                    <w:autoSpaceDE w:val="0"/>
                    <w:autoSpaceDN w:val="0"/>
                    <w:adjustRightInd w:val="0"/>
                    <w:snapToGrid w:val="0"/>
                    <w:spacing w:line="360" w:lineRule="exact"/>
                    <w:jc w:val="center"/>
                    <w:rPr>
                      <w:rFonts w:cs="宋体"/>
                      <w:color w:val="auto"/>
                      <w:kern w:val="0"/>
                    </w:rPr>
                  </w:pPr>
                  <w:r>
                    <w:rPr>
                      <w:rFonts w:hint="eastAsia" w:cs="宋体"/>
                      <w:color w:val="auto"/>
                      <w:kern w:val="0"/>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vAlign w:val="center"/>
                </w:tcPr>
                <w:p>
                  <w:pPr>
                    <w:autoSpaceDE w:val="0"/>
                    <w:autoSpaceDN w:val="0"/>
                    <w:adjustRightInd w:val="0"/>
                    <w:snapToGrid w:val="0"/>
                    <w:spacing w:line="360" w:lineRule="exact"/>
                    <w:jc w:val="center"/>
                    <w:rPr>
                      <w:rFonts w:cs="宋体"/>
                      <w:color w:val="auto"/>
                      <w:kern w:val="0"/>
                    </w:rPr>
                  </w:pPr>
                  <w:r>
                    <w:rPr>
                      <w:rFonts w:hint="eastAsia"/>
                      <w:color w:val="auto"/>
                    </w:rPr>
                    <w:t>空间布局约束</w:t>
                  </w: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1.严格执行《山西省黄河流域生态保护和高质量发展规划》相关要求。</w:t>
                  </w:r>
                </w:p>
              </w:tc>
              <w:tc>
                <w:tcPr>
                  <w:tcW w:w="2252" w:type="pct"/>
                  <w:vMerge w:val="restar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r>
                    <w:rPr>
                      <w:rFonts w:hint="eastAsia" w:cs="Times New Roman"/>
                      <w:color w:val="auto"/>
                      <w:sz w:val="21"/>
                      <w:szCs w:val="21"/>
                      <w:highlight w:val="none"/>
                      <w:lang w:eastAsia="zh-CN"/>
                    </w:rPr>
                    <w:t>。</w:t>
                  </w:r>
                  <w:r>
                    <w:rPr>
                      <w:rFonts w:hint="default" w:eastAsia="宋体" w:cs="宋体"/>
                      <w:color w:val="auto"/>
                      <w:kern w:val="0"/>
                      <w:lang w:val="en-US" w:eastAsia="zh-CN"/>
                    </w:rPr>
                    <w:t>本项目污水处理厂产生的尾水将首先用于市政绿化、道路浇洒、农田灌溉等，剩余尾水排入滹沱河。本项目增加了水资源的利用率。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2.汾河流域、滹沱河流域划定河源、泉域重点保护区，完成保护区的生态措施，完成流域生态修复的土地资源优化配置，基本建成水资源合理配置和高效利用体系。</w:t>
                  </w:r>
                </w:p>
              </w:tc>
              <w:tc>
                <w:tcPr>
                  <w:tcW w:w="2252" w:type="pct"/>
                  <w:vMerge w:val="continue"/>
                  <w:vAlign w:val="center"/>
                </w:tcPr>
                <w:p>
                  <w:pPr>
                    <w:autoSpaceDE w:val="0"/>
                    <w:autoSpaceDN w:val="0"/>
                    <w:adjustRightInd w:val="0"/>
                    <w:snapToGrid w:val="0"/>
                    <w:spacing w:line="360" w:lineRule="exact"/>
                    <w:rPr>
                      <w:rFonts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3.汾河、滹沱河干流及主要支流沿岸禁止新建焦化、化工、农药、有色冶炼、造纸、电镀等高风险项目和危险化学品仓储设施。</w:t>
                  </w:r>
                </w:p>
              </w:tc>
              <w:tc>
                <w:tcPr>
                  <w:tcW w:w="2252" w:type="pct"/>
                  <w:vMerge w:val="restart"/>
                  <w:vAlign w:val="center"/>
                </w:tcPr>
                <w:p>
                  <w:pPr>
                    <w:autoSpaceDE w:val="0"/>
                    <w:autoSpaceDN w:val="0"/>
                    <w:adjustRightInd w:val="0"/>
                    <w:snapToGrid w:val="0"/>
                    <w:spacing w:line="360" w:lineRule="exact"/>
                    <w:rPr>
                      <w:rFonts w:hint="eastAsia" w:ascii="Times New Roman" w:hAnsi="Times New Roman" w:eastAsia="宋体" w:cs="Times New Roman"/>
                      <w:color w:val="auto"/>
                      <w:sz w:val="21"/>
                      <w:szCs w:val="21"/>
                      <w:highlight w:val="none"/>
                      <w:lang w:eastAsia="zh-CN"/>
                    </w:rPr>
                  </w:pPr>
                  <w:r>
                    <w:rPr>
                      <w:rFonts w:hint="eastAsia"/>
                      <w:lang w:val="en-US" w:eastAsia="zh-CN"/>
                    </w:rPr>
                    <w:t>本</w:t>
                  </w:r>
                  <w:r>
                    <w:rPr>
                      <w:rFonts w:hint="eastAsia" w:ascii="Times New Roman" w:hAnsi="Times New Roman" w:eastAsia="宋体" w:cs="Times New Roman"/>
                      <w:color w:val="auto"/>
                      <w:sz w:val="21"/>
                      <w:szCs w:val="21"/>
                      <w:highlight w:val="none"/>
                      <w:lang w:val="en-US" w:eastAsia="zh-CN"/>
                    </w:rPr>
                    <w:t>项目不属于</w:t>
                  </w:r>
                  <w:r>
                    <w:rPr>
                      <w:rFonts w:hint="eastAsia" w:ascii="Times New Roman" w:hAnsi="Times New Roman" w:eastAsia="宋体" w:cs="Times New Roman"/>
                      <w:color w:val="auto"/>
                      <w:sz w:val="21"/>
                      <w:szCs w:val="21"/>
                      <w:highlight w:val="none"/>
                    </w:rPr>
                    <w:t>焦化、化工、农药、有色冶炼、造纸、电镀等高风险项目和危险化学品仓储设施</w:t>
                  </w:r>
                  <w:r>
                    <w:rPr>
                      <w:rFonts w:hint="eastAsia" w:ascii="Times New Roman" w:hAnsi="Times New Roman" w:eastAsia="宋体" w:cs="Times New Roman"/>
                      <w:color w:val="auto"/>
                      <w:sz w:val="21"/>
                      <w:szCs w:val="21"/>
                      <w:highlight w:val="none"/>
                      <w:lang w:eastAsia="zh-CN"/>
                    </w:rPr>
                    <w:t>。</w:t>
                  </w:r>
                </w:p>
                <w:p>
                  <w:pPr>
                    <w:autoSpaceDE w:val="0"/>
                    <w:autoSpaceDN w:val="0"/>
                    <w:adjustRightInd w:val="0"/>
                    <w:snapToGrid w:val="0"/>
                    <w:spacing w:line="360" w:lineRule="exact"/>
                    <w:rPr>
                      <w:rFonts w:hint="eastAsia"/>
                      <w:lang w:val="en-US" w:eastAsia="zh-CN"/>
                    </w:rPr>
                  </w:pPr>
                  <w:r>
                    <w:rPr>
                      <w:rFonts w:hint="default" w:ascii="Times New Roman" w:hAnsi="Times New Roman" w:eastAsia="宋体" w:cs="Times New Roman"/>
                      <w:color w:val="auto"/>
                      <w:sz w:val="21"/>
                      <w:szCs w:val="21"/>
                      <w:highlight w:val="none"/>
                      <w:lang w:val="en-US" w:eastAsia="zh-CN"/>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lang w:val="en-US" w:eastAsia="zh-CN"/>
                    </w:rPr>
                    <w:t>镇污水处理站建设项目，项目建成后，将会改善该区域生活污水乱排等现状，对区域环境产生正效益</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4.汾河干流河道水岸线以外原则上不小于100米、支流原则上不小于50米，划定生态功能保护线，建设缓冲隔离防护林带和水源涵养林带，改变农防段种植结构，提高汾河流域河流自净能力。</w:t>
                  </w:r>
                </w:p>
              </w:tc>
              <w:tc>
                <w:tcPr>
                  <w:tcW w:w="2252" w:type="pct"/>
                  <w:vMerge w:val="continue"/>
                  <w:vAlign w:val="center"/>
                </w:tcPr>
                <w:p>
                  <w:pPr>
                    <w:autoSpaceDE w:val="0"/>
                    <w:autoSpaceDN w:val="0"/>
                    <w:adjustRightInd w:val="0"/>
                    <w:snapToGrid w:val="0"/>
                    <w:spacing w:line="360" w:lineRule="exact"/>
                    <w:rPr>
                      <w:rFonts w:hint="default" w:eastAsia="宋体" w:cs="宋体"/>
                      <w:color w:val="auto"/>
                      <w:kern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5.汾河干流河岸两侧各2公里范围禁止新建炼焦、冶炼、洗煤、选矿、造纸、化工、电镀等严重污染水环境的企业；已建成的严重污染水环境的企业，应当限期改造或者搬迁。</w:t>
                  </w:r>
                </w:p>
              </w:tc>
              <w:tc>
                <w:tcPr>
                  <w:tcW w:w="2252" w:type="pct"/>
                  <w:vAlign w:val="center"/>
                </w:tcPr>
                <w:p>
                  <w:pPr>
                    <w:autoSpaceDE w:val="0"/>
                    <w:autoSpaceDN w:val="0"/>
                    <w:adjustRightInd w:val="0"/>
                    <w:snapToGrid w:val="0"/>
                    <w:spacing w:line="360" w:lineRule="exact"/>
                    <w:rPr>
                      <w:rFonts w:hint="default" w:cs="宋体"/>
                      <w:color w:val="auto"/>
                      <w:kern w:val="0"/>
                      <w:lang w:val="en-US"/>
                    </w:rPr>
                  </w:pPr>
                  <w:r>
                    <w:rPr>
                      <w:rFonts w:hint="default" w:ascii="Times New Roman" w:hAnsi="Times New Roman" w:eastAsia="宋体" w:cs="Times New Roman"/>
                      <w:kern w:val="2"/>
                      <w:sz w:val="21"/>
                      <w:szCs w:val="21"/>
                      <w:lang w:val="en-US" w:eastAsia="zh-CN" w:bidi="ar-SA"/>
                    </w:rPr>
                    <w:t>本项目为</w:t>
                  </w:r>
                  <w:r>
                    <w:rPr>
                      <w:rFonts w:hint="eastAsia" w:ascii="Times New Roman" w:hAnsi="Times New Roman" w:eastAsia="宋体" w:cs="Times New Roman"/>
                      <w:kern w:val="2"/>
                      <w:sz w:val="21"/>
                      <w:szCs w:val="21"/>
                      <w:lang w:val="en-US" w:eastAsia="zh-CN" w:bidi="ar-SA"/>
                    </w:rPr>
                    <w:t>城</w:t>
                  </w:r>
                  <w:r>
                    <w:rPr>
                      <w:rFonts w:hint="default" w:ascii="Times New Roman" w:hAnsi="Times New Roman" w:eastAsia="宋体" w:cs="Times New Roman"/>
                      <w:kern w:val="2"/>
                      <w:sz w:val="21"/>
                      <w:szCs w:val="21"/>
                      <w:lang w:val="en-US" w:eastAsia="zh-CN" w:bidi="ar-SA"/>
                    </w:rPr>
                    <w:t>镇污水处理站建设项目，项目建成后，将会改善该区域生活污水乱排等现状，对区域环境产生正效益</w:t>
                  </w:r>
                  <w:r>
                    <w:rPr>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6.滹沱河流域内的建设项目选址应当避让生态保护区、河流源头和岩溶泉域重点保护区，无法避让的，应当采取保护措施，提高防治标准，防止造成生态破坏。</w:t>
                  </w:r>
                </w:p>
              </w:tc>
              <w:tc>
                <w:tcPr>
                  <w:tcW w:w="2252" w:type="pct"/>
                  <w:vAlign w:val="center"/>
                </w:tcPr>
                <w:p>
                  <w:pPr>
                    <w:autoSpaceDE w:val="0"/>
                    <w:autoSpaceDN w:val="0"/>
                    <w:adjustRightInd w:val="0"/>
                    <w:snapToGrid w:val="0"/>
                    <w:spacing w:line="360" w:lineRule="exact"/>
                    <w:rPr>
                      <w:rFonts w:hint="eastAsia" w:eastAsia="宋体" w:cs="宋体"/>
                      <w:color w:val="auto"/>
                      <w:kern w:val="0"/>
                      <w:lang w:val="en-US" w:eastAsia="zh-CN"/>
                    </w:rPr>
                  </w:pPr>
                  <w:r>
                    <w:rPr>
                      <w:rFonts w:hint="eastAsia" w:cs="宋体"/>
                      <w:color w:val="auto"/>
                      <w:kern w:val="0"/>
                      <w:lang w:val="en-US" w:eastAsia="zh-CN"/>
                    </w:rPr>
                    <w:t>本项目不在</w:t>
                  </w:r>
                  <w:r>
                    <w:rPr>
                      <w:rFonts w:hint="eastAsia" w:cs="宋体"/>
                      <w:color w:val="auto"/>
                      <w:kern w:val="0"/>
                    </w:rPr>
                    <w:t>生态保护区、河流源头和岩溶泉域重点保护区</w:t>
                  </w:r>
                  <w:r>
                    <w:rPr>
                      <w:rFonts w:hint="eastAsia" w:cs="宋体"/>
                      <w:color w:val="auto"/>
                      <w:kern w:val="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7.严格限制地下水开采，未经有关部门批准，任何单位和个人不得凿井取水。</w:t>
                  </w:r>
                </w:p>
              </w:tc>
              <w:tc>
                <w:tcPr>
                  <w:tcW w:w="2252"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eastAsia" w:cs="宋体"/>
                      <w:color w:val="auto"/>
                      <w:kern w:val="0"/>
                      <w:lang w:val="en-US" w:eastAsia="zh-CN"/>
                    </w:rPr>
                    <w:t>本项目新鲜水用水量为2.547m</w:t>
                  </w:r>
                  <w:r>
                    <w:rPr>
                      <w:rFonts w:hint="eastAsia" w:cs="宋体"/>
                      <w:color w:val="auto"/>
                      <w:kern w:val="0"/>
                      <w:vertAlign w:val="superscript"/>
                      <w:lang w:val="en-US" w:eastAsia="zh-CN"/>
                    </w:rPr>
                    <w:t>3</w:t>
                  </w:r>
                  <w:r>
                    <w:rPr>
                      <w:rFonts w:hint="eastAsia" w:cs="宋体"/>
                      <w:color w:val="auto"/>
                      <w:kern w:val="0"/>
                      <w:lang w:val="en-US" w:eastAsia="zh-CN"/>
                    </w:rPr>
                    <w:t>/d，为集中供水。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8.地下水开采按照省人民政府划定的禁采区和限采区实行水量、水位双控制管理。在禁止开采区内，不得新开凿深井；在限制开采区内，不得增加地下水取水总量，并逐年削减地下水取水量；地下水开采区内地下水实际开采量不得超过地下水可开采量，开采强度不得超过地下水补给量。</w:t>
                  </w:r>
                </w:p>
              </w:tc>
              <w:tc>
                <w:tcPr>
                  <w:tcW w:w="2252"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eastAsia" w:cs="宋体"/>
                      <w:color w:val="auto"/>
                      <w:kern w:val="0"/>
                      <w:lang w:val="en-US" w:eastAsia="zh-CN"/>
                    </w:rPr>
                    <w:t>本项目不</w:t>
                  </w:r>
                  <w:r>
                    <w:rPr>
                      <w:rFonts w:hint="eastAsia" w:cs="宋体"/>
                      <w:color w:val="auto"/>
                      <w:kern w:val="0"/>
                    </w:rPr>
                    <w:t>新开凿深井；</w:t>
                  </w:r>
                  <w:r>
                    <w:rPr>
                      <w:rFonts w:hint="default" w:eastAsia="宋体" w:cs="宋体"/>
                      <w:color w:val="auto"/>
                      <w:kern w:val="0"/>
                      <w:lang w:val="en-US" w:eastAsia="zh-CN"/>
                    </w:rPr>
                    <w:t>本项目污水处理厂产生的尾水将首先用于市政绿化、道路浇洒、农田灌溉等，剩余尾水排入滹沱河。本项目增加了水资源的利用率。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9.禁止在河源、河道保护范围内堆放、倾倒砂、石、土、矸石、尾矿、废渣等废弃物。任何单位和个人不得在滹沱河流域饮用水水源保护区建设与水环境保护无关的项目，不得从事影响饮用水水源水质的活动。</w:t>
                  </w:r>
                </w:p>
              </w:tc>
              <w:tc>
                <w:tcPr>
                  <w:tcW w:w="2252"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eastAsia" w:cs="宋体"/>
                      <w:color w:val="auto"/>
                      <w:kern w:val="0"/>
                      <w:lang w:val="en-US" w:eastAsia="zh-CN"/>
                    </w:rPr>
                  </w:pPr>
                  <w:r>
                    <w:rPr>
                      <w:rFonts w:hint="eastAsia" w:cs="宋体"/>
                      <w:color w:val="auto"/>
                      <w:kern w:val="0"/>
                      <w:lang w:val="en-US" w:eastAsia="zh-CN"/>
                    </w:rPr>
                    <w:t>本项目产生的固废均得到了合理处置，不在</w:t>
                  </w:r>
                  <w:r>
                    <w:rPr>
                      <w:rFonts w:hint="eastAsia" w:cs="宋体"/>
                      <w:color w:val="auto"/>
                      <w:kern w:val="0"/>
                    </w:rPr>
                    <w:t>河道</w:t>
                  </w:r>
                  <w:r>
                    <w:rPr>
                      <w:rFonts w:hint="eastAsia" w:cs="宋体"/>
                      <w:color w:val="auto"/>
                      <w:kern w:val="0"/>
                      <w:lang w:val="en-US" w:eastAsia="zh-CN"/>
                    </w:rPr>
                    <w:t>内堆放、倾倒。</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default" w:eastAsia="宋体" w:cs="宋体"/>
                      <w:color w:val="auto"/>
                      <w:kern w:val="0"/>
                      <w:lang w:val="en-US" w:eastAsia="zh-CN"/>
                    </w:rPr>
                  </w:pPr>
                  <w:r>
                    <w:rPr>
                      <w:rFonts w:hint="eastAsia" w:cs="宋体"/>
                      <w:color w:val="auto"/>
                      <w:kern w:val="0"/>
                      <w:lang w:val="en-US" w:eastAsia="zh-CN"/>
                    </w:rPr>
                    <w:t>本项目不在</w:t>
                  </w:r>
                  <w:r>
                    <w:rPr>
                      <w:rFonts w:hint="eastAsia" w:cs="宋体"/>
                      <w:color w:val="auto"/>
                      <w:kern w:val="0"/>
                    </w:rPr>
                    <w:t>滹沱河流域饮用水水源保护区</w:t>
                  </w:r>
                  <w:r>
                    <w:rPr>
                      <w:rFonts w:hint="eastAsia" w:cs="宋体"/>
                      <w:color w:val="auto"/>
                      <w:kern w:val="0"/>
                      <w:lang w:val="en-US"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vAlign w:val="center"/>
                </w:tcPr>
                <w:p>
                  <w:pPr>
                    <w:autoSpaceDE w:val="0"/>
                    <w:autoSpaceDN w:val="0"/>
                    <w:adjustRightInd w:val="0"/>
                    <w:snapToGrid w:val="0"/>
                    <w:spacing w:line="360" w:lineRule="exact"/>
                    <w:jc w:val="center"/>
                    <w:rPr>
                      <w:color w:val="auto"/>
                    </w:rPr>
                  </w:pPr>
                  <w:r>
                    <w:rPr>
                      <w:rFonts w:hint="eastAsia"/>
                      <w:color w:val="auto"/>
                    </w:rPr>
                    <w:t>污染物排放管控</w:t>
                  </w: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1.强化黄河流域及重点区域水环境保护和水污染防治。</w:t>
                  </w:r>
                </w:p>
              </w:tc>
              <w:tc>
                <w:tcPr>
                  <w:tcW w:w="2252"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eastAsia" w:eastAsia="宋体"/>
                      <w:color w:val="auto"/>
                      <w:szCs w:val="21"/>
                      <w:lang w:val="en-US" w:eastAsia="zh-CN"/>
                    </w:rPr>
                  </w:pPr>
                  <w:r>
                    <w:rPr>
                      <w:rFonts w:hint="default" w:ascii="Times New Roman" w:hAnsi="Times New Roman" w:eastAsia="宋体" w:cs="Times New Roman"/>
                      <w:color w:val="auto"/>
                      <w:sz w:val="21"/>
                      <w:szCs w:val="21"/>
                      <w:highlight w:val="none"/>
                    </w:rPr>
                    <w:t>本次评价针对本项目提出了严格的污染物治理措施，项目运营期，在建设单位落实各环保设施的情况下，项目各污染物可满足相关排放标准限值要求，且项目为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2.禁止将含有汞、镉、砷、铬、铅、氰化物、黄磷等的可溶性剧毒废渣向水体排放、倾倒或者直接埋入地下。</w:t>
                  </w:r>
                </w:p>
              </w:tc>
              <w:tc>
                <w:tcPr>
                  <w:tcW w:w="2252" w:type="pct"/>
                  <w:vAlign w:val="center"/>
                </w:tcPr>
                <w:p>
                  <w:pPr>
                    <w:autoSpaceDE w:val="0"/>
                    <w:autoSpaceDN w:val="0"/>
                    <w:adjustRightInd w:val="0"/>
                    <w:snapToGrid w:val="0"/>
                    <w:spacing w:line="360" w:lineRule="exact"/>
                    <w:rPr>
                      <w:rFonts w:hint="eastAsia" w:eastAsia="宋体" w:cs="宋体"/>
                      <w:color w:val="auto"/>
                      <w:kern w:val="0"/>
                      <w:lang w:val="en-US" w:eastAsia="zh-CN"/>
                    </w:rPr>
                  </w:pPr>
                  <w:r>
                    <w:rPr>
                      <w:rFonts w:hint="default" w:ascii="Times New Roman" w:hAnsi="Times New Roman" w:eastAsia="宋体" w:cs="Times New Roman"/>
                      <w:kern w:val="2"/>
                      <w:sz w:val="21"/>
                      <w:szCs w:val="21"/>
                      <w:lang w:val="en-US" w:eastAsia="zh-CN" w:bidi="ar-SA"/>
                    </w:rPr>
                    <w:t>本项目为</w:t>
                  </w:r>
                  <w:r>
                    <w:rPr>
                      <w:rFonts w:hint="eastAsia" w:ascii="Times New Roman" w:hAnsi="Times New Roman" w:eastAsia="宋体" w:cs="Times New Roman"/>
                      <w:kern w:val="2"/>
                      <w:sz w:val="21"/>
                      <w:szCs w:val="21"/>
                      <w:lang w:val="en-US" w:eastAsia="zh-CN" w:bidi="ar-SA"/>
                    </w:rPr>
                    <w:t>城</w:t>
                  </w:r>
                  <w:r>
                    <w:rPr>
                      <w:rFonts w:hint="default" w:ascii="Times New Roman" w:hAnsi="Times New Roman" w:eastAsia="宋体" w:cs="Times New Roman"/>
                      <w:kern w:val="2"/>
                      <w:sz w:val="21"/>
                      <w:szCs w:val="21"/>
                      <w:lang w:val="en-US" w:eastAsia="zh-CN" w:bidi="ar-SA"/>
                    </w:rPr>
                    <w:t>镇污水处理站建设项目，</w:t>
                  </w:r>
                  <w:r>
                    <w:rPr>
                      <w:rFonts w:hint="eastAsia" w:cs="Times New Roman"/>
                      <w:kern w:val="2"/>
                      <w:sz w:val="21"/>
                      <w:szCs w:val="21"/>
                      <w:lang w:val="en-US" w:eastAsia="zh-CN" w:bidi="ar-SA"/>
                    </w:rPr>
                    <w:t>不含</w:t>
                  </w:r>
                  <w:r>
                    <w:rPr>
                      <w:rFonts w:hint="eastAsia" w:cs="宋体"/>
                      <w:color w:val="auto"/>
                      <w:kern w:val="0"/>
                    </w:rPr>
                    <w:t>汞、镉、砷、铬、铅、氰化物、黄磷等的可溶性剧毒</w:t>
                  </w:r>
                  <w:r>
                    <w:rPr>
                      <w:rFonts w:hint="eastAsia" w:cs="宋体"/>
                      <w:color w:val="auto"/>
                      <w:kern w:val="0"/>
                      <w:lang w:val="en-US" w:eastAsia="zh-CN"/>
                    </w:rPr>
                    <w:t>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3.禁止城乡生活污水、垃圾直接进入河道。新建集中处理污水设施，应当符合脱氮除磷达标排放要求。禁止农田灌溉退水直接排入水体。</w:t>
                  </w:r>
                </w:p>
              </w:tc>
              <w:tc>
                <w:tcPr>
                  <w:tcW w:w="2252" w:type="pc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kern w:val="2"/>
                      <w:sz w:val="21"/>
                      <w:szCs w:val="21"/>
                      <w:lang w:val="en-US" w:eastAsia="zh-CN" w:bidi="ar-SA"/>
                    </w:rPr>
                    <w:t>本项目为</w:t>
                  </w:r>
                  <w:r>
                    <w:rPr>
                      <w:rFonts w:hint="eastAsia" w:ascii="Times New Roman" w:hAnsi="Times New Roman" w:eastAsia="宋体" w:cs="Times New Roman"/>
                      <w:kern w:val="2"/>
                      <w:sz w:val="21"/>
                      <w:szCs w:val="21"/>
                      <w:lang w:val="en-US" w:eastAsia="zh-CN" w:bidi="ar-SA"/>
                    </w:rPr>
                    <w:t>城</w:t>
                  </w:r>
                  <w:r>
                    <w:rPr>
                      <w:rFonts w:hint="default" w:ascii="Times New Roman" w:hAnsi="Times New Roman" w:eastAsia="宋体" w:cs="Times New Roman"/>
                      <w:kern w:val="2"/>
                      <w:sz w:val="21"/>
                      <w:szCs w:val="21"/>
                      <w:lang w:val="en-US" w:eastAsia="zh-CN" w:bidi="ar-SA"/>
                    </w:rPr>
                    <w:t>镇污水处理站建设项目，项目建成后，将会改善该区域生活污水乱排等现状，对区域环境产生正效益</w:t>
                  </w:r>
                  <w:r>
                    <w:rPr>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4.汾河流域内所有县界城镇入河排污口水质应当达到地表水环境质量Ⅴ类及以上标准。</w:t>
                  </w:r>
                </w:p>
              </w:tc>
              <w:tc>
                <w:tcPr>
                  <w:tcW w:w="2252" w:type="pc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kern w:val="2"/>
                      <w:sz w:val="21"/>
                      <w:szCs w:val="21"/>
                      <w:lang w:val="en-US" w:eastAsia="zh-CN" w:bidi="ar-SA"/>
                    </w:rPr>
                    <w:t>本项目</w:t>
                  </w:r>
                  <w:r>
                    <w:rPr>
                      <w:rFonts w:hint="eastAsia" w:cs="Times New Roman"/>
                      <w:kern w:val="2"/>
                      <w:sz w:val="21"/>
                      <w:szCs w:val="21"/>
                      <w:lang w:val="en-US" w:eastAsia="zh-CN" w:bidi="ar-SA"/>
                    </w:rPr>
                    <w:t>污水处理厂出水可以</w:t>
                  </w:r>
                  <w:r>
                    <w:rPr>
                      <w:rFonts w:hint="eastAsia" w:cs="宋体"/>
                      <w:color w:val="auto"/>
                      <w:kern w:val="0"/>
                    </w:rPr>
                    <w:t>达到地表水环境质量Ⅴ类</w:t>
                  </w:r>
                  <w:r>
                    <w:rPr>
                      <w:rFonts w:hint="eastAsia" w:cs="宋体"/>
                      <w:color w:val="auto"/>
                      <w:kern w:val="0"/>
                      <w:lang w:val="en-US" w:eastAsia="zh-CN"/>
                    </w:rPr>
                    <w:t>标准</w:t>
                  </w:r>
                  <w:r>
                    <w:rPr>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5.禁止向汾河流域干流、支流及河滩、岸坡、坑塘、溶洞倾倒垃圾、废渣等固体废物或者堆放其他污染物。</w:t>
                  </w:r>
                </w:p>
              </w:tc>
              <w:tc>
                <w:tcPr>
                  <w:tcW w:w="2252"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textAlignment w:val="auto"/>
                    <w:rPr>
                      <w:rFonts w:hint="eastAsia" w:eastAsia="宋体" w:cs="宋体"/>
                      <w:color w:val="auto"/>
                      <w:kern w:val="0"/>
                      <w:lang w:val="en-US" w:eastAsia="zh-CN"/>
                    </w:rPr>
                  </w:pPr>
                  <w:r>
                    <w:rPr>
                      <w:rFonts w:hint="eastAsia" w:cs="宋体"/>
                      <w:color w:val="auto"/>
                      <w:kern w:val="0"/>
                      <w:lang w:val="en-US" w:eastAsia="zh-CN"/>
                    </w:rPr>
                    <w:t>本项目产生的固废均得到了合理处置，不在</w:t>
                  </w:r>
                  <w:r>
                    <w:rPr>
                      <w:rFonts w:hint="eastAsia" w:cs="宋体"/>
                      <w:color w:val="auto"/>
                      <w:kern w:val="0"/>
                    </w:rPr>
                    <w:t>河道</w:t>
                  </w:r>
                  <w:r>
                    <w:rPr>
                      <w:rFonts w:hint="eastAsia" w:cs="宋体"/>
                      <w:color w:val="auto"/>
                      <w:kern w:val="0"/>
                      <w:lang w:val="en-US" w:eastAsia="zh-CN"/>
                    </w:rPr>
                    <w:t>内堆放、倾倒。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6.在汾河流域内从事农副产品加工、规模化畜禽养殖等生产活动的，应当采取有效措施，防止水污染。</w:t>
                  </w:r>
                </w:p>
              </w:tc>
              <w:tc>
                <w:tcPr>
                  <w:tcW w:w="2252" w:type="pc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kern w:val="2"/>
                      <w:sz w:val="21"/>
                      <w:szCs w:val="21"/>
                      <w:lang w:val="en-US" w:eastAsia="zh-CN" w:bidi="ar-SA"/>
                    </w:rPr>
                    <w:t>本项目为</w:t>
                  </w:r>
                  <w:r>
                    <w:rPr>
                      <w:rFonts w:hint="eastAsia" w:ascii="Times New Roman" w:hAnsi="Times New Roman" w:eastAsia="宋体" w:cs="Times New Roman"/>
                      <w:kern w:val="2"/>
                      <w:sz w:val="21"/>
                      <w:szCs w:val="21"/>
                      <w:lang w:val="en-US" w:eastAsia="zh-CN" w:bidi="ar-SA"/>
                    </w:rPr>
                    <w:t>城</w:t>
                  </w:r>
                  <w:r>
                    <w:rPr>
                      <w:rFonts w:hint="default" w:ascii="Times New Roman" w:hAnsi="Times New Roman" w:eastAsia="宋体" w:cs="Times New Roman"/>
                      <w:kern w:val="2"/>
                      <w:sz w:val="21"/>
                      <w:szCs w:val="21"/>
                      <w:lang w:val="en-US" w:eastAsia="zh-CN" w:bidi="ar-SA"/>
                    </w:rPr>
                    <w:t>镇污水处理站建设项目，项目建成后，将会改善该区域生活污水乱排等现状，对区域环境产生正效益</w:t>
                  </w:r>
                  <w:r>
                    <w:rPr>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7.在汾河流域农田灌溉水体中，禁止倾倒垃圾、废渣等固体废物；禁止浸泡、清洗、丢弃装贮过油类、有毒污染物的车辆与器具；禁止排放油类。</w:t>
                  </w:r>
                </w:p>
              </w:tc>
              <w:tc>
                <w:tcPr>
                  <w:tcW w:w="2252"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lang w:val="en-US" w:eastAsia="zh-CN"/>
                    </w:rPr>
                    <w:t>本项目产生的固废均得到了合理处置，不在</w:t>
                  </w:r>
                  <w:r>
                    <w:rPr>
                      <w:rFonts w:hint="eastAsia" w:cs="宋体"/>
                      <w:color w:val="auto"/>
                      <w:kern w:val="0"/>
                    </w:rPr>
                    <w:t>河道</w:t>
                  </w:r>
                  <w:r>
                    <w:rPr>
                      <w:rFonts w:hint="eastAsia" w:cs="宋体"/>
                      <w:color w:val="auto"/>
                      <w:kern w:val="0"/>
                      <w:lang w:val="en-US" w:eastAsia="zh-CN"/>
                    </w:rPr>
                    <w:t>内堆放、倾倒。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8.将节水、节能、资源综合利用、清洁和可再生能源等项目列为滹沱河流域重点发展领域。</w:t>
                  </w:r>
                </w:p>
              </w:tc>
              <w:tc>
                <w:tcPr>
                  <w:tcW w:w="2252" w:type="pct"/>
                  <w:vAlign w:val="center"/>
                </w:tcPr>
                <w:p>
                  <w:pPr>
                    <w:autoSpaceDE w:val="0"/>
                    <w:autoSpaceDN w:val="0"/>
                    <w:adjustRightInd w:val="0"/>
                    <w:snapToGrid w:val="0"/>
                    <w:spacing w:line="360" w:lineRule="exact"/>
                    <w:rPr>
                      <w:rFonts w:cs="宋体"/>
                      <w:color w:val="auto"/>
                      <w:kern w:val="0"/>
                    </w:rPr>
                  </w:pPr>
                  <w:r>
                    <w:rPr>
                      <w:rFonts w:hint="default" w:eastAsia="宋体" w:cs="宋体"/>
                      <w:color w:val="auto"/>
                      <w:kern w:val="0"/>
                      <w:lang w:val="en-US" w:eastAsia="zh-CN"/>
                    </w:rPr>
                    <w:t>本项目污水处理厂产生的尾水将首先用于市政绿化、道路浇洒、农田灌溉等，剩余尾水排入滹沱河。本项目增加了水资源的利用率。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color w:val="auto"/>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9.到2030水平年滹沱河全部功能区水质达标，并进一步向优良发展。</w:t>
                  </w:r>
                </w:p>
              </w:tc>
              <w:tc>
                <w:tcPr>
                  <w:tcW w:w="2252" w:type="pc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kern w:val="2"/>
                      <w:sz w:val="21"/>
                      <w:szCs w:val="21"/>
                      <w:lang w:val="en-US" w:eastAsia="zh-CN" w:bidi="ar-SA"/>
                    </w:rPr>
                    <w:t>本项目为</w:t>
                  </w:r>
                  <w:r>
                    <w:rPr>
                      <w:rFonts w:hint="eastAsia" w:ascii="Times New Roman" w:hAnsi="Times New Roman" w:eastAsia="宋体" w:cs="Times New Roman"/>
                      <w:kern w:val="2"/>
                      <w:sz w:val="21"/>
                      <w:szCs w:val="21"/>
                      <w:lang w:val="en-US" w:eastAsia="zh-CN" w:bidi="ar-SA"/>
                    </w:rPr>
                    <w:t>城</w:t>
                  </w:r>
                  <w:r>
                    <w:rPr>
                      <w:rFonts w:hint="default" w:ascii="Times New Roman" w:hAnsi="Times New Roman" w:eastAsia="宋体" w:cs="Times New Roman"/>
                      <w:kern w:val="2"/>
                      <w:sz w:val="21"/>
                      <w:szCs w:val="21"/>
                      <w:lang w:val="en-US" w:eastAsia="zh-CN" w:bidi="ar-SA"/>
                    </w:rPr>
                    <w:t>镇污水处理站建设项目，项目建成后，将会改善该区域生活污水乱排等现状，对区域环境产生正效益</w:t>
                  </w:r>
                  <w:r>
                    <w:rPr>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Align w:val="center"/>
                </w:tcPr>
                <w:p>
                  <w:pPr>
                    <w:autoSpaceDE w:val="0"/>
                    <w:autoSpaceDN w:val="0"/>
                    <w:adjustRightInd w:val="0"/>
                    <w:snapToGrid w:val="0"/>
                    <w:spacing w:line="360" w:lineRule="exact"/>
                    <w:jc w:val="center"/>
                    <w:rPr>
                      <w:color w:val="auto"/>
                    </w:rPr>
                  </w:pPr>
                  <w:r>
                    <w:rPr>
                      <w:rFonts w:hint="eastAsia"/>
                      <w:color w:val="auto"/>
                    </w:rPr>
                    <w:t>环境风险防控</w:t>
                  </w: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1.在流域内输送、存贮废水和污水的管道、沟渠、坑塘等，应当采取防渗漏措施。</w:t>
                  </w:r>
                </w:p>
              </w:tc>
              <w:tc>
                <w:tcPr>
                  <w:tcW w:w="2252" w:type="pct"/>
                  <w:vAlign w:val="center"/>
                </w:tcPr>
                <w:p>
                  <w:pPr>
                    <w:autoSpaceDE w:val="0"/>
                    <w:autoSpaceDN w:val="0"/>
                    <w:adjustRightInd w:val="0"/>
                    <w:snapToGrid w:val="0"/>
                    <w:spacing w:line="360" w:lineRule="exact"/>
                    <w:rPr>
                      <w:rFonts w:hint="default" w:eastAsia="宋体" w:cs="宋体"/>
                      <w:color w:val="auto"/>
                      <w:kern w:val="0"/>
                      <w:lang w:val="en-US" w:eastAsia="zh-CN"/>
                    </w:rPr>
                  </w:pPr>
                  <w:r>
                    <w:rPr>
                      <w:rFonts w:hint="eastAsia" w:cs="宋体"/>
                      <w:color w:val="auto"/>
                      <w:kern w:val="0"/>
                      <w:lang w:val="en-US" w:eastAsia="zh-CN"/>
                    </w:rPr>
                    <w:t>本项目污水管道、沟渠采取了防渗漏措施。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vAlign w:val="center"/>
                </w:tcPr>
                <w:p>
                  <w:pPr>
                    <w:autoSpaceDE w:val="0"/>
                    <w:autoSpaceDN w:val="0"/>
                    <w:adjustRightInd w:val="0"/>
                    <w:snapToGrid w:val="0"/>
                    <w:spacing w:line="360" w:lineRule="exact"/>
                    <w:jc w:val="center"/>
                    <w:rPr>
                      <w:rFonts w:cs="宋体"/>
                      <w:color w:val="auto"/>
                      <w:kern w:val="0"/>
                    </w:rPr>
                  </w:pPr>
                  <w:r>
                    <w:rPr>
                      <w:rFonts w:hint="eastAsia"/>
                      <w:color w:val="auto"/>
                    </w:rPr>
                    <w:t>资源利用效率</w:t>
                  </w: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1.恢复汾河流域水域和湿地，在确保防洪安全的前提下，增强河道及其两侧调蓄水功能，科学利用洪水资源。通过对滹沱河干、支流重点县城河段蓄水以及滹沱河干流大堤外侧低洼滩涂、鱼塘、沙坑等进行整修，修建一批能调蓄径流的“珍珠串”状水域，蓄滞洪水。</w:t>
                  </w:r>
                </w:p>
              </w:tc>
              <w:tc>
                <w:tcPr>
                  <w:tcW w:w="2252" w:type="pct"/>
                  <w:vMerge w:val="restart"/>
                  <w:vAlign w:val="center"/>
                </w:tcPr>
                <w:p>
                  <w:pPr>
                    <w:autoSpaceDE w:val="0"/>
                    <w:autoSpaceDN w:val="0"/>
                    <w:adjustRightInd w:val="0"/>
                    <w:snapToGrid w:val="0"/>
                    <w:spacing w:line="360" w:lineRule="exact"/>
                    <w:rPr>
                      <w:rFonts w:cs="宋体"/>
                      <w:color w:val="auto"/>
                      <w:kern w:val="0"/>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r>
                    <w:rPr>
                      <w:rFonts w:hint="eastAsia" w:cs="Times New Roman"/>
                      <w:color w:val="auto"/>
                      <w:sz w:val="21"/>
                      <w:szCs w:val="21"/>
                      <w:highlight w:val="none"/>
                      <w:lang w:eastAsia="zh-CN"/>
                    </w:rPr>
                    <w:t>。</w:t>
                  </w:r>
                  <w:r>
                    <w:rPr>
                      <w:rFonts w:hint="default" w:eastAsia="宋体" w:cs="宋体"/>
                      <w:color w:val="auto"/>
                      <w:kern w:val="0"/>
                      <w:lang w:val="en-US" w:eastAsia="zh-CN"/>
                    </w:rPr>
                    <w:t>本项目污水处理厂产生的尾水将首先用于市政绿化、道路浇洒、农田灌溉等，剩余尾水排入滹沱河。本项目增加了水资源的利用率。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vAlign w:val="center"/>
                </w:tcPr>
                <w:p>
                  <w:pPr>
                    <w:autoSpaceDE w:val="0"/>
                    <w:autoSpaceDN w:val="0"/>
                    <w:adjustRightInd w:val="0"/>
                    <w:snapToGrid w:val="0"/>
                    <w:spacing w:line="360" w:lineRule="exact"/>
                    <w:jc w:val="center"/>
                    <w:rPr>
                      <w:rFonts w:cs="宋体"/>
                      <w:color w:val="auto"/>
                      <w:kern w:val="0"/>
                    </w:rPr>
                  </w:pPr>
                </w:p>
              </w:tc>
              <w:tc>
                <w:tcPr>
                  <w:tcW w:w="2330" w:type="pct"/>
                  <w:vAlign w:val="center"/>
                </w:tcPr>
                <w:p>
                  <w:pPr>
                    <w:autoSpaceDE w:val="0"/>
                    <w:autoSpaceDN w:val="0"/>
                    <w:adjustRightInd w:val="0"/>
                    <w:snapToGrid w:val="0"/>
                    <w:spacing w:line="360" w:lineRule="exact"/>
                    <w:rPr>
                      <w:rFonts w:cs="宋体"/>
                      <w:color w:val="auto"/>
                      <w:kern w:val="0"/>
                    </w:rPr>
                  </w:pPr>
                  <w:r>
                    <w:rPr>
                      <w:rFonts w:hint="eastAsia" w:cs="宋体"/>
                      <w:color w:val="auto"/>
                      <w:kern w:val="0"/>
                    </w:rPr>
                    <w:t>2.滹沱河流域水资源配置应当统筹兼顾上下游、左右岸和有关地区之间的利益，推进流域内河湖连通，实现多源互补，恢复流域生态功能。水资源应当严格限制使用地下水，合理使用地表水，优先使用中水和再生水，有效涵养和保护地下水。</w:t>
                  </w:r>
                </w:p>
              </w:tc>
              <w:tc>
                <w:tcPr>
                  <w:tcW w:w="2252" w:type="pct"/>
                  <w:vMerge w:val="continue"/>
                  <w:vAlign w:val="center"/>
                </w:tcPr>
                <w:p>
                  <w:pPr>
                    <w:autoSpaceDE w:val="0"/>
                    <w:autoSpaceDN w:val="0"/>
                    <w:adjustRightInd w:val="0"/>
                    <w:snapToGrid w:val="0"/>
                    <w:spacing w:line="360" w:lineRule="exact"/>
                    <w:rPr>
                      <w:rFonts w:cs="宋体"/>
                      <w:color w:val="auto"/>
                      <w:kern w:val="0"/>
                    </w:rPr>
                  </w:pPr>
                </w:p>
              </w:tc>
            </w:tr>
          </w:tbl>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eastAsia" w:cs="宋体"/>
                <w:color w:val="auto"/>
                <w:kern w:val="0"/>
                <w:sz w:val="24"/>
              </w:rPr>
              <w:t>由表1-4可知，本项目基本符合《忻州市“三线一单”生态环境分区管控实施方案》中</w:t>
            </w:r>
            <w:r>
              <w:rPr>
                <w:rFonts w:hint="eastAsia"/>
                <w:color w:val="auto"/>
                <w:kern w:val="0"/>
                <w:sz w:val="24"/>
              </w:rPr>
              <w:t>忻州市重点流域普适性生态环境准入清单的</w:t>
            </w:r>
            <w:r>
              <w:rPr>
                <w:rFonts w:hint="eastAsia" w:cs="宋体"/>
                <w:color w:val="auto"/>
                <w:kern w:val="0"/>
                <w:sz w:val="24"/>
              </w:rPr>
              <w:t>要求。</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综上，本项目的建设符合“三线一单”的管控原则要求。</w:t>
            </w:r>
          </w:p>
          <w:p>
            <w:pPr>
              <w:spacing w:line="480" w:lineRule="exact"/>
              <w:ind w:firstLine="482" w:firstLineChars="200"/>
              <w:rPr>
                <w:rFonts w:hint="default" w:ascii="Times New Roman" w:hAnsi="Times New Roman" w:eastAsia="宋体" w:cs="Times New Roman"/>
                <w:b/>
                <w:color w:val="auto"/>
                <w:sz w:val="24"/>
                <w:shd w:val="clear" w:color="auto" w:fill="auto"/>
                <w:lang w:val="en-US" w:eastAsia="zh-CN"/>
              </w:rPr>
            </w:pPr>
            <w:r>
              <w:rPr>
                <w:rFonts w:hint="eastAsia" w:cs="Times New Roman"/>
                <w:b/>
                <w:bCs/>
                <w:color w:val="auto"/>
                <w:sz w:val="24"/>
                <w:shd w:val="clear" w:color="auto" w:fill="auto"/>
                <w:lang w:val="en-US" w:eastAsia="zh-CN"/>
              </w:rPr>
              <w:t>2</w:t>
            </w:r>
            <w:r>
              <w:rPr>
                <w:rFonts w:hint="default" w:ascii="Times New Roman" w:hAnsi="Times New Roman" w:cs="Times New Roman"/>
                <w:b/>
                <w:bCs/>
                <w:color w:val="auto"/>
                <w:sz w:val="24"/>
                <w:shd w:val="clear" w:color="auto" w:fill="auto"/>
              </w:rPr>
              <w:t>、</w:t>
            </w:r>
            <w:r>
              <w:rPr>
                <w:rFonts w:hint="eastAsia"/>
                <w:b/>
                <w:color w:val="auto"/>
                <w:sz w:val="24"/>
                <w:lang w:val="en-US" w:eastAsia="zh-CN"/>
              </w:rPr>
              <w:t>五台县集中供水水源地</w:t>
            </w:r>
          </w:p>
          <w:p>
            <w:pPr>
              <w:keepNext w:val="0"/>
              <w:keepLines w:val="0"/>
              <w:suppressLineNumbers w:val="0"/>
              <w:spacing w:before="0" w:beforeAutospacing="0" w:after="0" w:afterAutospacing="0" w:line="480" w:lineRule="exact"/>
              <w:ind w:left="0" w:right="0" w:firstLine="482" w:firstLineChars="200"/>
              <w:rPr>
                <w:rFonts w:hint="default" w:eastAsia="宋体"/>
                <w:b/>
                <w:bCs/>
                <w:color w:val="auto"/>
                <w:sz w:val="24"/>
                <w:lang w:val="en-US" w:eastAsia="zh-CN"/>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rFonts w:hint="eastAsia"/>
                <w:b/>
                <w:bCs/>
                <w:color w:val="auto"/>
                <w:sz w:val="24"/>
                <w:lang w:val="en-US" w:eastAsia="zh-CN"/>
              </w:rPr>
              <w:t>县城集中供水水源地</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default" w:ascii="Times New Roman" w:hAnsi="Times New Roman" w:cs="Times New Roman"/>
                <w:color w:val="auto"/>
                <w:kern w:val="0"/>
                <w:sz w:val="24"/>
                <w:lang w:val="en-US" w:eastAsia="zh-CN"/>
              </w:rPr>
              <w:t>五台县</w:t>
            </w:r>
            <w:r>
              <w:rPr>
                <w:rFonts w:hint="eastAsia" w:cs="Times New Roman"/>
                <w:color w:val="auto"/>
                <w:kern w:val="0"/>
                <w:sz w:val="24"/>
                <w:lang w:val="en-US" w:eastAsia="zh-CN"/>
              </w:rPr>
              <w:t>县城水源地位于县城西北西庄村一带，故称西庄水源地，有4眼供水井，分布范围约0.25km</w:t>
            </w:r>
            <w:r>
              <w:rPr>
                <w:rFonts w:hint="eastAsia" w:cs="Times New Roman"/>
                <w:color w:val="auto"/>
                <w:kern w:val="0"/>
                <w:sz w:val="24"/>
                <w:vertAlign w:val="superscript"/>
                <w:lang w:val="en-US" w:eastAsia="zh-CN"/>
              </w:rPr>
              <w:t>2</w:t>
            </w:r>
            <w:r>
              <w:rPr>
                <w:rFonts w:hint="eastAsia" w:cs="Times New Roman"/>
                <w:color w:val="auto"/>
                <w:kern w:val="0"/>
                <w:sz w:val="24"/>
                <w:lang w:val="en-US" w:eastAsia="zh-CN"/>
              </w:rPr>
              <w:t>，地势比较平坦，高程1050-1060.5米，西部与文昌山相对220米，北部为唐家湾水库。2009年12月8日山西省人民政府下发的《关于同意县级以上城镇集中式饮用水水源保护区划分方案的批复》（晋政函[2009]149号）文件，对水源地保护区划分结果进行了批复：</w:t>
            </w:r>
            <w:r>
              <w:rPr>
                <w:rFonts w:hint="default" w:ascii="Times New Roman" w:hAnsi="Times New Roman" w:cs="Times New Roman"/>
                <w:color w:val="auto"/>
                <w:kern w:val="0"/>
                <w:sz w:val="24"/>
                <w:lang w:val="en-US" w:eastAsia="zh-CN"/>
              </w:rPr>
              <w:t>五台县</w:t>
            </w:r>
            <w:r>
              <w:rPr>
                <w:rFonts w:hint="eastAsia" w:cs="Times New Roman"/>
                <w:color w:val="auto"/>
                <w:kern w:val="0"/>
                <w:sz w:val="24"/>
                <w:lang w:val="en-US" w:eastAsia="zh-CN"/>
              </w:rPr>
              <w:t>县城西庄水源地一级保护区范围：以Y1、Y2、Y3、Y4水源井半径为250m的圆外接多边形的边界形成的多边形区域；不设二级保护区和准保护区。</w:t>
            </w:r>
          </w:p>
          <w:p>
            <w:pPr>
              <w:keepNext w:val="0"/>
              <w:keepLines w:val="0"/>
              <w:suppressLineNumbers w:val="0"/>
              <w:spacing w:before="0" w:beforeAutospacing="0" w:after="0" w:afterAutospacing="0" w:line="480" w:lineRule="exact"/>
              <w:ind w:left="0" w:right="0" w:firstLine="480" w:firstLineChars="200"/>
              <w:rPr>
                <w:rFonts w:hint="default" w:eastAsia="宋体"/>
                <w:color w:val="auto"/>
                <w:sz w:val="24"/>
                <w:lang w:val="en-US" w:eastAsia="zh-CN"/>
              </w:rPr>
            </w:pPr>
            <w:r>
              <w:rPr>
                <w:rFonts w:hint="eastAsia"/>
                <w:color w:val="auto"/>
                <w:sz w:val="24"/>
                <w:lang w:val="en-US" w:eastAsia="zh-CN"/>
              </w:rPr>
              <w:t>本项目拟建厂址位于五台县县城集中供水水源地以及保护区边界西南侧约13.5km，不在其保护区范围内，对供水水源无影响。</w:t>
            </w:r>
          </w:p>
          <w:p>
            <w:pPr>
              <w:keepNext w:val="0"/>
              <w:keepLines w:val="0"/>
              <w:suppressLineNumbers w:val="0"/>
              <w:spacing w:before="0" w:beforeAutospacing="0" w:after="0" w:afterAutospacing="0" w:line="480" w:lineRule="exact"/>
              <w:ind w:left="0" w:right="0" w:firstLine="482" w:firstLineChars="200"/>
              <w:rPr>
                <w:rFonts w:hint="eastAsia" w:eastAsia="宋体"/>
                <w:color w:val="auto"/>
                <w:sz w:val="24"/>
                <w:lang w:eastAsia="zh-CN"/>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w:t>
            </w:r>
            <w:r>
              <w:rPr>
                <w:rFonts w:hint="eastAsia"/>
                <w:b/>
                <w:bCs/>
                <w:color w:val="auto"/>
                <w:sz w:val="24"/>
                <w:lang w:val="en-US" w:eastAsia="zh-CN"/>
              </w:rPr>
              <w:t>乡镇集中供水水源地</w:t>
            </w:r>
          </w:p>
          <w:p>
            <w:pPr>
              <w:keepNext w:val="0"/>
              <w:keepLines w:val="0"/>
              <w:suppressLineNumbers w:val="0"/>
              <w:spacing w:before="0" w:beforeAutospacing="0" w:after="0" w:afterAutospacing="0" w:line="480" w:lineRule="exact"/>
              <w:ind w:left="0" w:right="0" w:firstLine="480" w:firstLineChars="200"/>
              <w:rPr>
                <w:rFonts w:hint="default" w:eastAsia="宋体"/>
                <w:color w:val="auto"/>
                <w:sz w:val="24"/>
                <w:lang w:val="en-US" w:eastAsia="zh-CN"/>
              </w:rPr>
            </w:pPr>
            <w:r>
              <w:rPr>
                <w:rFonts w:hint="eastAsia"/>
                <w:color w:val="auto"/>
                <w:sz w:val="24"/>
              </w:rPr>
              <w:t>根据《忻州市五台县乡镇集中式饮用水源保护区划分技术报告》，由五台县乡镇集中式饮用水源地分布图可知，距离本项目最近的乡镇集中式水源地为</w:t>
            </w:r>
            <w:r>
              <w:rPr>
                <w:rFonts w:hint="eastAsia"/>
                <w:color w:val="auto"/>
                <w:sz w:val="24"/>
                <w:lang w:val="en-US" w:eastAsia="zh-CN"/>
              </w:rPr>
              <w:t>建安乡</w:t>
            </w:r>
            <w:r>
              <w:rPr>
                <w:rFonts w:hint="eastAsia"/>
                <w:color w:val="auto"/>
                <w:sz w:val="24"/>
              </w:rPr>
              <w:t>集中供水水源地</w:t>
            </w:r>
            <w:r>
              <w:rPr>
                <w:rFonts w:hint="eastAsia"/>
                <w:color w:val="auto"/>
                <w:sz w:val="24"/>
                <w:lang w:eastAsia="zh-CN"/>
              </w:rPr>
              <w:t>。</w:t>
            </w:r>
            <w:r>
              <w:rPr>
                <w:rFonts w:hint="eastAsia"/>
                <w:color w:val="auto"/>
                <w:sz w:val="24"/>
                <w:lang w:val="en-US" w:eastAsia="zh-CN"/>
              </w:rPr>
              <w:t>建安乡</w:t>
            </w:r>
            <w:r>
              <w:rPr>
                <w:rFonts w:hint="eastAsia"/>
                <w:color w:val="auto"/>
                <w:sz w:val="24"/>
              </w:rPr>
              <w:t>集中供水水源地</w:t>
            </w:r>
            <w:r>
              <w:rPr>
                <w:rFonts w:hint="eastAsia"/>
                <w:color w:val="auto"/>
                <w:sz w:val="24"/>
                <w:lang w:val="en-US" w:eastAsia="zh-CN"/>
              </w:rPr>
              <w:t>位于王家沟沟中，水文地质单元属于冲积平原松散岩类孔隙水；一级保护区边界范围以供水井为中心，半径为100m的圆形区域为边界；不设置二级保护区。本项目拟建厂址位于其一级保护区边界东北方向约2.35km处，不在其保护区范围内，也不在其上游径流区、补给区。</w:t>
            </w:r>
          </w:p>
          <w:p>
            <w:pPr>
              <w:autoSpaceDE w:val="0"/>
              <w:autoSpaceDN w:val="0"/>
              <w:adjustRightInd w:val="0"/>
              <w:snapToGrid w:val="0"/>
              <w:spacing w:line="480" w:lineRule="exact"/>
              <w:ind w:firstLine="480" w:firstLineChars="200"/>
              <w:rPr>
                <w:rFonts w:hint="default" w:ascii="Times New Roman" w:hAnsi="Times New Roman" w:cs="Times New Roman"/>
                <w:color w:val="auto"/>
                <w:kern w:val="0"/>
                <w:sz w:val="24"/>
              </w:rPr>
            </w:pPr>
            <w:r>
              <w:rPr>
                <w:rFonts w:hint="eastAsia"/>
                <w:color w:val="auto"/>
                <w:sz w:val="24"/>
                <w:lang w:val="en-US" w:eastAsia="zh-CN"/>
              </w:rPr>
              <w:t>本项目与五台县乡镇</w:t>
            </w:r>
            <w:r>
              <w:rPr>
                <w:rFonts w:hint="eastAsia"/>
                <w:color w:val="auto"/>
                <w:sz w:val="24"/>
              </w:rPr>
              <w:t>集中供水水源地</w:t>
            </w:r>
            <w:r>
              <w:rPr>
                <w:rFonts w:hint="eastAsia"/>
                <w:color w:val="auto"/>
                <w:sz w:val="24"/>
                <w:lang w:val="en-US" w:eastAsia="zh-CN"/>
              </w:rPr>
              <w:t>相对位置</w:t>
            </w:r>
            <w:r>
              <w:rPr>
                <w:rFonts w:hint="eastAsia"/>
                <w:color w:val="auto"/>
                <w:sz w:val="24"/>
              </w:rPr>
              <w:t>见附图6</w:t>
            </w:r>
            <w:r>
              <w:rPr>
                <w:rFonts w:hint="eastAsia"/>
                <w:color w:val="auto"/>
                <w:sz w:val="24"/>
                <w:lang w:val="en-US" w:eastAsia="zh-CN"/>
              </w:rPr>
              <w:t>a</w:t>
            </w:r>
            <w:r>
              <w:rPr>
                <w:rFonts w:hint="eastAsia"/>
                <w:color w:val="auto"/>
                <w:sz w:val="24"/>
                <w:lang w:eastAsia="zh-CN"/>
              </w:rPr>
              <w:t>，</w:t>
            </w:r>
            <w:r>
              <w:rPr>
                <w:rFonts w:hint="eastAsia"/>
                <w:color w:val="auto"/>
                <w:sz w:val="24"/>
                <w:lang w:val="en-US" w:eastAsia="zh-CN"/>
              </w:rPr>
              <w:t>与建安乡集中供水水源地保护区相对位置</w:t>
            </w:r>
            <w:r>
              <w:rPr>
                <w:rFonts w:hint="eastAsia"/>
                <w:color w:val="auto"/>
                <w:sz w:val="24"/>
              </w:rPr>
              <w:t>见</w:t>
            </w:r>
            <w:r>
              <w:rPr>
                <w:rFonts w:hint="eastAsia"/>
                <w:color w:val="auto"/>
                <w:sz w:val="24"/>
                <w:lang w:val="en-US" w:eastAsia="zh-CN"/>
              </w:rPr>
              <w:t>见附图6b</w:t>
            </w:r>
            <w:r>
              <w:rPr>
                <w:rFonts w:hint="eastAsia"/>
                <w:color w:val="auto"/>
                <w:sz w:val="24"/>
              </w:rPr>
              <w:t>。</w:t>
            </w:r>
          </w:p>
          <w:p>
            <w:pPr>
              <w:spacing w:line="480" w:lineRule="exact"/>
              <w:ind w:firstLine="482" w:firstLineChars="200"/>
              <w:rPr>
                <w:rFonts w:hint="default" w:ascii="Times New Roman" w:hAnsi="Times New Roman" w:eastAsia="宋体" w:cs="Times New Roman"/>
                <w:b/>
                <w:color w:val="auto"/>
                <w:sz w:val="24"/>
                <w:shd w:val="clear" w:color="auto" w:fill="auto"/>
                <w:lang w:val="en-US" w:eastAsia="zh-CN"/>
              </w:rPr>
            </w:pPr>
            <w:r>
              <w:rPr>
                <w:rFonts w:hint="default" w:ascii="Times New Roman" w:hAnsi="Times New Roman" w:cs="Times New Roman"/>
                <w:b/>
                <w:bCs/>
                <w:color w:val="auto"/>
                <w:sz w:val="24"/>
                <w:shd w:val="clear" w:color="auto" w:fill="auto"/>
                <w:lang w:val="en-US" w:eastAsia="zh-CN"/>
              </w:rPr>
              <w:t>3</w:t>
            </w:r>
            <w:r>
              <w:rPr>
                <w:rFonts w:hint="default" w:ascii="Times New Roman" w:hAnsi="Times New Roman" w:cs="Times New Roman"/>
                <w:b/>
                <w:bCs/>
                <w:color w:val="auto"/>
                <w:sz w:val="24"/>
                <w:shd w:val="clear" w:color="auto" w:fill="auto"/>
              </w:rPr>
              <w:t>、</w:t>
            </w:r>
            <w:r>
              <w:rPr>
                <w:rFonts w:hint="eastAsia"/>
                <w:b/>
                <w:color w:val="auto"/>
                <w:sz w:val="24"/>
              </w:rPr>
              <w:t>坪上泉域</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坪上泉出露于五台县南部约30km的</w:t>
            </w:r>
            <w:r>
              <w:rPr>
                <w:rFonts w:hint="eastAsia"/>
                <w:color w:val="auto"/>
                <w:sz w:val="24"/>
                <w:lang w:val="en-US" w:eastAsia="zh-CN"/>
              </w:rPr>
              <w:t>滹沱</w:t>
            </w:r>
            <w:r>
              <w:rPr>
                <w:rFonts w:hint="eastAsia"/>
                <w:color w:val="auto"/>
                <w:sz w:val="24"/>
              </w:rPr>
              <w:t>河、清水河会合口上下游河谷中，是以散泉群形式出流的岩溶水排泄带。据1994年调查，</w:t>
            </w:r>
            <w:r>
              <w:rPr>
                <w:rFonts w:hint="eastAsia"/>
                <w:color w:val="auto"/>
                <w:sz w:val="24"/>
                <w:lang w:val="en-US" w:eastAsia="zh-CN"/>
              </w:rPr>
              <w:t>滹沱</w:t>
            </w:r>
            <w:r>
              <w:rPr>
                <w:rFonts w:hint="eastAsia"/>
                <w:color w:val="auto"/>
                <w:sz w:val="24"/>
              </w:rPr>
              <w:t>河甲子湾村以南、清水河胡家庄以西至戎家庄村东的泉域边界内，有大小泉点221个，构成4个泉组；其中</w:t>
            </w:r>
            <w:r>
              <w:rPr>
                <w:rFonts w:hint="eastAsia"/>
                <w:color w:val="auto"/>
                <w:sz w:val="24"/>
                <w:lang w:val="en-US" w:eastAsia="zh-CN"/>
              </w:rPr>
              <w:t>滹沱</w:t>
            </w:r>
            <w:r>
              <w:rPr>
                <w:rFonts w:hint="eastAsia"/>
                <w:color w:val="auto"/>
                <w:sz w:val="24"/>
              </w:rPr>
              <w:t>河区有甲子湾、水泉湾、段家庄3个泉组；清水河区为李家庄泉组(含胡家庄、耿家会、李家庄、坪上散泉群)。此外，在泉域西南端水头沟有孤立出流的大湾泉，它们组成坪上泉。</w:t>
            </w:r>
            <w:r>
              <w:rPr>
                <w:rFonts w:hint="eastAsia"/>
                <w:color w:val="auto"/>
                <w:sz w:val="24"/>
                <w:lang w:val="en-US" w:eastAsia="zh-CN"/>
              </w:rPr>
              <w:t>滹沱</w:t>
            </w:r>
            <w:r>
              <w:rPr>
                <w:rFonts w:hint="eastAsia"/>
                <w:color w:val="auto"/>
                <w:sz w:val="24"/>
              </w:rPr>
              <w:t>河在含水系统内三次切穿区域岩溶含水层底板，故坪上泉属侵蚀、接触、溢流全排型泉。</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泉水多年平均总流量为4.10m</w:t>
            </w:r>
            <w:r>
              <w:rPr>
                <w:rFonts w:hint="eastAsia"/>
                <w:color w:val="auto"/>
                <w:sz w:val="24"/>
                <w:vertAlign w:val="superscript"/>
              </w:rPr>
              <w:t>3</w:t>
            </w:r>
            <w:r>
              <w:rPr>
                <w:rFonts w:hint="eastAsia"/>
                <w:color w:val="auto"/>
                <w:sz w:val="24"/>
              </w:rPr>
              <w:t>/s (1967~1992年)，各泉组流量据1994年观测资料，水泉湾泉纽0.75m</w:t>
            </w:r>
            <w:r>
              <w:rPr>
                <w:rFonts w:hint="eastAsia"/>
                <w:color w:val="auto"/>
                <w:sz w:val="24"/>
                <w:vertAlign w:val="superscript"/>
              </w:rPr>
              <w:t>3</w:t>
            </w:r>
            <w:r>
              <w:rPr>
                <w:rFonts w:hint="eastAsia"/>
                <w:color w:val="auto"/>
                <w:sz w:val="24"/>
              </w:rPr>
              <w:t>/s，段家庄泉组0.66m</w:t>
            </w:r>
            <w:r>
              <w:rPr>
                <w:rFonts w:hint="eastAsia"/>
                <w:color w:val="auto"/>
                <w:sz w:val="24"/>
                <w:vertAlign w:val="superscript"/>
              </w:rPr>
              <w:t>3</w:t>
            </w:r>
            <w:r>
              <w:rPr>
                <w:rFonts w:hint="eastAsia"/>
                <w:color w:val="auto"/>
                <w:sz w:val="24"/>
              </w:rPr>
              <w:t>/s，李家庄泉组0.94m</w:t>
            </w:r>
            <w:r>
              <w:rPr>
                <w:rFonts w:hint="eastAsia"/>
                <w:color w:val="auto"/>
                <w:sz w:val="24"/>
                <w:vertAlign w:val="superscript"/>
              </w:rPr>
              <w:t>3</w:t>
            </w:r>
            <w:r>
              <w:rPr>
                <w:rFonts w:hint="eastAsia"/>
                <w:color w:val="auto"/>
                <w:sz w:val="24"/>
              </w:rPr>
              <w:t>/s，大湾泉0.20m</w:t>
            </w:r>
            <w:r>
              <w:rPr>
                <w:rFonts w:hint="eastAsia"/>
                <w:color w:val="auto"/>
                <w:sz w:val="24"/>
                <w:vertAlign w:val="superscript"/>
              </w:rPr>
              <w:t>3</w:t>
            </w:r>
            <w:r>
              <w:rPr>
                <w:rFonts w:hint="eastAsia"/>
                <w:color w:val="auto"/>
                <w:sz w:val="24"/>
              </w:rPr>
              <w:t>/s，甲子湾泉0.12 m</w:t>
            </w:r>
            <w:r>
              <w:rPr>
                <w:rFonts w:hint="eastAsia"/>
                <w:color w:val="auto"/>
                <w:sz w:val="24"/>
                <w:vertAlign w:val="superscript"/>
              </w:rPr>
              <w:t>3</w:t>
            </w:r>
            <w:r>
              <w:rPr>
                <w:rFonts w:hint="eastAsia"/>
                <w:color w:val="auto"/>
                <w:sz w:val="24"/>
              </w:rPr>
              <w:t>/s。水泉湾、段家庄、李家庄泉组是坪上泉主体。泉水出露标高：甲子湾泉组710.9～713.3m，水泉湾泉639.9 ~699.7m，段家庄泉组678.8~672.8m，李家庄泉组699～659.4m，大湾泉700m。泉水出露地层除水泉湾组为奥陶系中统下马家沟组外，其余均为寒武系上统或中统。</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泉水水质优良，属HCO</w:t>
            </w:r>
            <w:r>
              <w:rPr>
                <w:rFonts w:hint="eastAsia"/>
                <w:color w:val="auto"/>
                <w:sz w:val="24"/>
                <w:vertAlign w:val="subscript"/>
                <w:lang w:val="en-US" w:eastAsia="zh-CN"/>
              </w:rPr>
              <w:t>3</w:t>
            </w:r>
            <w:r>
              <w:rPr>
                <w:rFonts w:hint="eastAsia"/>
                <w:color w:val="auto"/>
                <w:sz w:val="24"/>
              </w:rPr>
              <w:t>-C</w:t>
            </w:r>
            <w:r>
              <w:rPr>
                <w:rFonts w:hint="eastAsia"/>
                <w:color w:val="auto"/>
                <w:sz w:val="24"/>
                <w:lang w:val="en-US" w:eastAsia="zh-CN"/>
              </w:rPr>
              <w:t>a</w:t>
            </w:r>
            <w:r>
              <w:rPr>
                <w:rFonts w:hint="default" w:ascii="Times New Roman" w:hAnsi="Times New Roman" w:cs="Times New Roman"/>
                <w:color w:val="auto"/>
                <w:sz w:val="24"/>
              </w:rPr>
              <w:t>·</w:t>
            </w:r>
            <w:r>
              <w:rPr>
                <w:rFonts w:hint="eastAsia"/>
                <w:color w:val="auto"/>
                <w:sz w:val="24"/>
              </w:rPr>
              <w:t>Mg型水，矿化度一般在212~333mg/l，个别415mg/1(甲子湾泉)，总硬度187.2~241.2mg/l，为良好的生活及工农业用水。</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地处山西省中东部的五台山区及系舟山区的北端，属中山地形，间夹山间盆地(茹村、五台、豆村盆地)和河流谷地，地形高程一般1000~3000m，相对切割深度500~1000m，总地形是北高南低，北部最高峰北台顶3058m，南庄附近</w:t>
            </w:r>
            <w:r>
              <w:rPr>
                <w:rFonts w:hint="eastAsia"/>
                <w:color w:val="auto"/>
                <w:sz w:val="24"/>
                <w:lang w:val="en-US" w:eastAsia="zh-CN"/>
              </w:rPr>
              <w:t>滹沱</w:t>
            </w:r>
            <w:r>
              <w:rPr>
                <w:rFonts w:hint="eastAsia"/>
                <w:color w:val="auto"/>
                <w:sz w:val="24"/>
              </w:rPr>
              <w:t>河谷最低590m。</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泉域内主要河流有</w:t>
            </w:r>
            <w:r>
              <w:rPr>
                <w:rFonts w:hint="eastAsia"/>
                <w:color w:val="auto"/>
                <w:sz w:val="24"/>
                <w:lang w:val="en-US" w:eastAsia="zh-CN"/>
              </w:rPr>
              <w:t>滹沱</w:t>
            </w:r>
            <w:r>
              <w:rPr>
                <w:rFonts w:hint="eastAsia"/>
                <w:color w:val="auto"/>
                <w:sz w:val="24"/>
              </w:rPr>
              <w:t>河及其支流清水河，属海河水系。</w:t>
            </w:r>
            <w:r>
              <w:rPr>
                <w:rFonts w:hint="eastAsia"/>
                <w:color w:val="auto"/>
                <w:sz w:val="24"/>
                <w:lang w:val="en-US" w:eastAsia="zh-CN"/>
              </w:rPr>
              <w:t>滹沱</w:t>
            </w:r>
            <w:r>
              <w:rPr>
                <w:rFonts w:hint="eastAsia"/>
                <w:color w:val="auto"/>
                <w:sz w:val="24"/>
              </w:rPr>
              <w:t>河自北而南穿过本区为过境河流，区内河长38km，多年平均径流量14.87m</w:t>
            </w:r>
            <w:r>
              <w:rPr>
                <w:rFonts w:hint="eastAsia"/>
                <w:color w:val="auto"/>
                <w:sz w:val="24"/>
                <w:vertAlign w:val="superscript"/>
              </w:rPr>
              <w:t>3</w:t>
            </w:r>
            <w:r>
              <w:rPr>
                <w:rFonts w:hint="eastAsia"/>
                <w:color w:val="auto"/>
                <w:sz w:val="24"/>
              </w:rPr>
              <w:t>/s(南庄站)。清水河发源于五台山中台，在坪上村汇入滹沱河，据南坡站资料，多年平均径流量3.78m</w:t>
            </w:r>
            <w:r>
              <w:rPr>
                <w:rFonts w:hint="eastAsia"/>
                <w:color w:val="auto"/>
                <w:sz w:val="24"/>
                <w:vertAlign w:val="superscript"/>
              </w:rPr>
              <w:t>3</w:t>
            </w:r>
            <w:r>
              <w:rPr>
                <w:rFonts w:hint="eastAsia"/>
                <w:color w:val="auto"/>
                <w:sz w:val="24"/>
              </w:rPr>
              <w:t>/s。其在岩溶区流长50km，因清水漏失，胡家庄以上大部分为干谷，以下因泉水出流时有清水。</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泉域属大陆性半干早气候，高寒微湿。降水量受地形影响变化大，山区迎风坡大，盆地河谷区小，多年平均降水量分别为537</w:t>
            </w:r>
            <w:r>
              <w:rPr>
                <w:rFonts w:hint="eastAsia"/>
                <w:color w:val="auto"/>
                <w:sz w:val="24"/>
                <w:lang w:val="en-US" w:eastAsia="zh-CN"/>
              </w:rPr>
              <w:t>-</w:t>
            </w:r>
            <w:r>
              <w:rPr>
                <w:rFonts w:hint="eastAsia"/>
                <w:color w:val="auto"/>
                <w:sz w:val="24"/>
              </w:rPr>
              <w:t>463mm。</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内出露地层有：(1)太古界、元古界深、浅变质岩，广泛分布于泉域北、东及东南部，是岩溶含水系统基底及补给岩溶水的地表水产流区；(2)下古生界寒武系、奥陶系碳酸盐岩，分布于五台山南部及系舟山区，组成轴向北东的复式向斜构造，构成坪上泉岩溶含水系统；(3)上古生界石碳系、二迭系碎屑岩，零星覆盖在奥陶系之上，使之成为埋藏型岩溶区；(4)新生界上第三系、第四系松散岩，覆盖于各时代之上，在碳酸盐岩之上都形成覆盖型岩溶区。</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岩浴水含水岩组主要是奥陶系中统下马家沟组及寒武系上、中统，以寒武系最普遍。其中以下马家沟组及寒武系上统最强，中统次之。</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岩溶水的补给来源主要是大气降水在灰岩裸露区的入渗，其次是清水河干、支流地表水的渗漏。地下水主要自东北、东、南方向向排泄区汇流，因河流侵蚀而成泉排泄。</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泉域范围</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南、东、北部边界及西北部边界：为清水河流域的地表分水岭。南起五台县陈家庄南分水岭、向东北经雷公顶-老虎头-南坨-长城岭-东台顶-北台顶-中台顶-香峪尖-凡支山-大柏山-娘娘垴，折向南沿小银河与滹沱河分水岭到黄土坡村的南山。</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西部边界：由黄土坡村南山向西经南湾村、青山底至藏孤台村的系舟山麓，以寒武系下统与中统的地层线为界。</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西南部边界：由藏孤台村南的系舟山北麓，沿黑小尖山-将军山(天翅垴) -白玉沟南山的地表分水岭再绕以南庄戎家庄以东滹沱河两岸山坡至陈家庄南地表分水岭。</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由上述边界确定泉域面积3035km</w:t>
            </w:r>
            <w:r>
              <w:rPr>
                <w:rFonts w:hint="eastAsia"/>
                <w:color w:val="auto"/>
                <w:sz w:val="24"/>
                <w:vertAlign w:val="superscript"/>
              </w:rPr>
              <w:t>2</w:t>
            </w:r>
            <w:r>
              <w:rPr>
                <w:rFonts w:hint="eastAsia"/>
                <w:color w:val="auto"/>
                <w:sz w:val="24"/>
              </w:rPr>
              <w:t>，由寒武、奥陶系碳酸盐岩组成的含水系统面积855km</w:t>
            </w:r>
            <w:r>
              <w:rPr>
                <w:rFonts w:hint="eastAsia"/>
                <w:color w:val="auto"/>
                <w:sz w:val="24"/>
                <w:vertAlign w:val="superscript"/>
              </w:rPr>
              <w:t>2</w:t>
            </w:r>
            <w:r>
              <w:rPr>
                <w:rFonts w:hint="eastAsia"/>
                <w:color w:val="auto"/>
                <w:sz w:val="24"/>
              </w:rPr>
              <w:t>,其中可溶岩裸露区面积750km</w:t>
            </w:r>
            <w:r>
              <w:rPr>
                <w:rFonts w:hint="eastAsia"/>
                <w:color w:val="auto"/>
                <w:sz w:val="24"/>
                <w:vertAlign w:val="superscript"/>
              </w:rPr>
              <w:t>2</w:t>
            </w:r>
            <w:r>
              <w:rPr>
                <w:rFonts w:hint="eastAsia"/>
                <w:color w:val="auto"/>
                <w:sz w:val="24"/>
              </w:rPr>
              <w:t>，覆盖埋藏区105km</w:t>
            </w:r>
            <w:r>
              <w:rPr>
                <w:rFonts w:hint="eastAsia"/>
                <w:color w:val="auto"/>
                <w:sz w:val="24"/>
                <w:vertAlign w:val="superscript"/>
              </w:rPr>
              <w:t>2</w:t>
            </w:r>
            <w:r>
              <w:rPr>
                <w:rFonts w:hint="eastAsia"/>
                <w:color w:val="auto"/>
                <w:sz w:val="24"/>
              </w:rPr>
              <w:t>。泉域以清水河流域为主体，行政区划上主要属忻州地区五台县，少部分为定襄县。</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重点保护区范围</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清水河、滹沱河河谷泉水集中出露带：其范围为滹沱河南湾村、清水河胡家庄以下至滹沱河戎家庄以东泉域边界的两河河谷地带，面积约8.0km</w:t>
            </w:r>
            <w:r>
              <w:rPr>
                <w:rFonts w:hint="eastAsia"/>
                <w:color w:val="auto"/>
                <w:sz w:val="24"/>
                <w:vertAlign w:val="superscript"/>
              </w:rPr>
              <w:t>2</w:t>
            </w:r>
            <w:r>
              <w:rPr>
                <w:rFonts w:hint="eastAsia"/>
                <w:color w:val="auto"/>
                <w:sz w:val="24"/>
              </w:rPr>
              <w:t>。</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泉域岩溶地下水资源及其开发利用</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根据滹沱河上下游济胜桥、南庄水文站及清水河南坡水文站多年观测资料，利用水文分割法计算坪上泉多年平均天然排泄最为4.10m</w:t>
            </w:r>
            <w:r>
              <w:rPr>
                <w:rFonts w:hint="eastAsia"/>
                <w:color w:val="auto"/>
                <w:sz w:val="24"/>
                <w:vertAlign w:val="superscript"/>
              </w:rPr>
              <w:t>3</w:t>
            </w:r>
            <w:r>
              <w:rPr>
                <w:rFonts w:hint="eastAsia"/>
                <w:color w:val="auto"/>
                <w:sz w:val="24"/>
              </w:rPr>
              <w:t>/s(1967~1992年)，因该泉为全排型泉，其值为岩溶水天然资源。经计算，97%频率的泉水资源量为2.24m</w:t>
            </w:r>
            <w:r>
              <w:rPr>
                <w:rFonts w:hint="eastAsia"/>
                <w:color w:val="auto"/>
                <w:sz w:val="24"/>
                <w:vertAlign w:val="superscript"/>
              </w:rPr>
              <w:t>3</w:t>
            </w:r>
            <w:r>
              <w:rPr>
                <w:rFonts w:hint="eastAsia"/>
                <w:color w:val="auto"/>
                <w:sz w:val="24"/>
              </w:rPr>
              <w:t>/s。</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泉域岩溶水开发利用程度很低，排泄带泉水除少量用作小型发电外，其人工开采井仪12眼，年采水量约180万m</w:t>
            </w:r>
            <w:r>
              <w:rPr>
                <w:rFonts w:hint="eastAsia"/>
                <w:color w:val="auto"/>
                <w:sz w:val="24"/>
                <w:vertAlign w:val="superscript"/>
              </w:rPr>
              <w:t>3</w:t>
            </w:r>
            <w:r>
              <w:rPr>
                <w:rFonts w:hint="eastAsia"/>
                <w:color w:val="auto"/>
                <w:sz w:val="24"/>
              </w:rPr>
              <w:t>，主要用于人畜供水。</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64"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pacing w:val="-4"/>
                <w:sz w:val="24"/>
              </w:rPr>
              <w:t>本项目</w:t>
            </w:r>
            <w:r>
              <w:rPr>
                <w:rFonts w:hint="eastAsia" w:cs="Times New Roman"/>
                <w:color w:val="auto"/>
                <w:spacing w:val="-4"/>
                <w:sz w:val="24"/>
                <w:lang w:val="en-US" w:eastAsia="zh-CN"/>
              </w:rPr>
              <w:t>拟建厂址不在坪上泉域范围内，</w:t>
            </w:r>
            <w:r>
              <w:rPr>
                <w:rFonts w:hint="default" w:ascii="Times New Roman" w:hAnsi="Times New Roman" w:cs="Times New Roman"/>
                <w:color w:val="auto"/>
                <w:spacing w:val="-4"/>
                <w:sz w:val="24"/>
              </w:rPr>
              <w:t>距泉域重点保护区</w:t>
            </w:r>
            <w:r>
              <w:rPr>
                <w:rFonts w:hint="eastAsia" w:cs="Times New Roman"/>
                <w:color w:val="auto"/>
                <w:spacing w:val="-4"/>
                <w:sz w:val="24"/>
                <w:lang w:val="en-US" w:eastAsia="zh-CN"/>
              </w:rPr>
              <w:t>边界</w:t>
            </w:r>
            <w:r>
              <w:rPr>
                <w:rFonts w:hint="default" w:ascii="Times New Roman" w:hAnsi="Times New Roman" w:cs="Times New Roman"/>
                <w:color w:val="auto"/>
                <w:spacing w:val="-4"/>
                <w:sz w:val="24"/>
              </w:rPr>
              <w:t>约</w:t>
            </w:r>
            <w:r>
              <w:rPr>
                <w:rFonts w:hint="eastAsia" w:cs="Times New Roman"/>
                <w:color w:val="auto"/>
                <w:spacing w:val="-4"/>
                <w:sz w:val="24"/>
                <w:lang w:val="en-US" w:eastAsia="zh-CN"/>
              </w:rPr>
              <w:t>5.3</w:t>
            </w:r>
            <w:r>
              <w:rPr>
                <w:rFonts w:hint="default" w:ascii="Times New Roman" w:hAnsi="Times New Roman" w:cs="Times New Roman"/>
                <w:color w:val="auto"/>
                <w:spacing w:val="-4"/>
                <w:sz w:val="24"/>
              </w:rPr>
              <w:t>km。本项目为</w:t>
            </w:r>
            <w:r>
              <w:rPr>
                <w:rFonts w:hint="default" w:ascii="Times New Roman" w:hAnsi="Times New Roman" w:cs="Times New Roman"/>
                <w:color w:val="auto"/>
                <w:spacing w:val="-4"/>
                <w:sz w:val="24"/>
                <w:lang w:val="en-US" w:eastAsia="zh-CN"/>
              </w:rPr>
              <w:t>城</w:t>
            </w:r>
            <w:r>
              <w:rPr>
                <w:rFonts w:hint="default" w:ascii="Times New Roman" w:hAnsi="Times New Roman" w:cs="Times New Roman"/>
                <w:color w:val="auto"/>
                <w:spacing w:val="-4"/>
                <w:sz w:val="24"/>
              </w:rPr>
              <w:t>镇污水处理站建设项目，项目建成后，将会改善该区域生活污水乱排等现状，对区域环境产生正效益</w:t>
            </w:r>
            <w:r>
              <w:rPr>
                <w:rFonts w:hint="default" w:ascii="Times New Roman" w:hAnsi="Times New Roman" w:cs="Times New Roman"/>
                <w:color w:val="auto"/>
                <w:spacing w:val="-4"/>
                <w:sz w:val="24"/>
                <w:lang w:eastAsia="zh-CN"/>
              </w:rPr>
              <w:t>。</w:t>
            </w:r>
            <w:r>
              <w:rPr>
                <w:rFonts w:hint="eastAsia"/>
                <w:color w:val="auto"/>
                <w:sz w:val="24"/>
                <w:lang w:val="en-US" w:eastAsia="zh-CN"/>
              </w:rPr>
              <w:t>同时场地及污废水池及管道采取了硬化防渗措施；</w:t>
            </w:r>
            <w:r>
              <w:rPr>
                <w:rFonts w:hint="eastAsia" w:eastAsia="宋体" w:cs="Times New Roman"/>
                <w:color w:val="auto"/>
                <w:sz w:val="24"/>
                <w:shd w:val="clear" w:color="auto" w:fill="auto"/>
                <w:lang w:val="en-US" w:eastAsia="zh-CN"/>
              </w:rPr>
              <w:t>在采取上述措施的前提下，对坪上泉域水环境影响较小。</w:t>
            </w:r>
            <w:r>
              <w:rPr>
                <w:rFonts w:hint="default" w:ascii="Times New Roman" w:hAnsi="Times New Roman" w:cs="Times New Roman"/>
                <w:color w:val="auto"/>
                <w:spacing w:val="-4"/>
                <w:sz w:val="24"/>
                <w:lang w:val="en-US" w:eastAsia="zh-CN"/>
              </w:rPr>
              <w:t>本项目与</w:t>
            </w:r>
            <w:r>
              <w:rPr>
                <w:rFonts w:hint="default" w:ascii="Times New Roman" w:hAnsi="Times New Roman" w:cs="Times New Roman"/>
                <w:color w:val="auto"/>
                <w:spacing w:val="-4"/>
                <w:sz w:val="24"/>
              </w:rPr>
              <w:t>坪上泉域</w:t>
            </w:r>
            <w:r>
              <w:rPr>
                <w:rFonts w:hint="default" w:ascii="Times New Roman" w:hAnsi="Times New Roman" w:cs="Times New Roman"/>
                <w:color w:val="auto"/>
                <w:spacing w:val="-4"/>
                <w:sz w:val="24"/>
                <w:lang w:val="en-US" w:eastAsia="zh-CN"/>
              </w:rPr>
              <w:t>相对位置关系</w:t>
            </w:r>
            <w:r>
              <w:rPr>
                <w:rFonts w:hint="default" w:ascii="Times New Roman" w:hAnsi="Times New Roman" w:cs="Times New Roman"/>
                <w:color w:val="auto"/>
                <w:spacing w:val="-4"/>
                <w:sz w:val="24"/>
              </w:rPr>
              <w:t>图</w:t>
            </w:r>
            <w:r>
              <w:rPr>
                <w:rFonts w:hint="default" w:ascii="Times New Roman" w:hAnsi="Times New Roman" w:cs="Times New Roman"/>
                <w:color w:val="auto"/>
                <w:sz w:val="24"/>
              </w:rPr>
              <w:t>见附图</w:t>
            </w:r>
            <w:r>
              <w:rPr>
                <w:rFonts w:hint="eastAsia" w:cs="Times New Roman"/>
                <w:color w:val="auto"/>
                <w:sz w:val="24"/>
                <w:lang w:val="en-US" w:eastAsia="zh-CN"/>
              </w:rPr>
              <w:t>7</w:t>
            </w:r>
            <w:r>
              <w:rPr>
                <w:rFonts w:hint="default" w:ascii="Times New Roman" w:hAnsi="Times New Roman" w:cs="Times New Roman"/>
                <w:color w:val="auto"/>
                <w:sz w:val="24"/>
              </w:rPr>
              <w:t>。</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sz w:val="24"/>
                <w:szCs w:val="24"/>
                <w:lang w:val="en-US" w:eastAsia="zh-CN" w:bidi="ar"/>
              </w:rPr>
            </w:pPr>
            <w:r>
              <w:rPr>
                <w:rFonts w:hint="eastAsia" w:cs="Times New Roman"/>
                <w:b/>
                <w:bCs/>
                <w:color w:val="auto"/>
                <w:sz w:val="24"/>
                <w:szCs w:val="24"/>
                <w:lang w:val="en-US" w:eastAsia="zh-CN" w:bidi="ar"/>
              </w:rPr>
              <w:t>5、五台县生态功能区划</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kern w:val="0"/>
                <w:sz w:val="24"/>
              </w:rPr>
              <w:t>根据《五台县生态功能区划》，项目区位于Ⅲ</w:t>
            </w:r>
            <w:r>
              <w:rPr>
                <w:rFonts w:hint="eastAsia"/>
                <w:color w:val="auto"/>
                <w:kern w:val="0"/>
                <w:sz w:val="24"/>
                <w:lang w:val="en-US" w:eastAsia="zh-CN"/>
              </w:rPr>
              <w:t>3滹沱河干流流域营养物质与水土保持生态功能区。该区位于县城西南滹沱河干流流域，主要包括建安、神西两个乡镇及东冶西南部地区，总面积131.4</w:t>
            </w:r>
            <w:r>
              <w:rPr>
                <w:rFonts w:hint="eastAsia"/>
                <w:color w:val="auto"/>
                <w:kern w:val="0"/>
                <w:sz w:val="24"/>
              </w:rPr>
              <w:t>km</w:t>
            </w:r>
            <w:r>
              <w:rPr>
                <w:rFonts w:hint="eastAsia"/>
                <w:color w:val="auto"/>
                <w:kern w:val="0"/>
                <w:sz w:val="24"/>
                <w:vertAlign w:val="superscript"/>
              </w:rPr>
              <w:t>2</w:t>
            </w:r>
            <w:r>
              <w:rPr>
                <w:rFonts w:hint="eastAsia"/>
                <w:color w:val="auto"/>
                <w:kern w:val="0"/>
                <w:sz w:val="24"/>
                <w:lang w:eastAsia="zh-CN"/>
              </w:rPr>
              <w:t>，</w:t>
            </w:r>
            <w:r>
              <w:rPr>
                <w:rFonts w:hint="eastAsia"/>
                <w:color w:val="auto"/>
                <w:kern w:val="0"/>
                <w:sz w:val="24"/>
              </w:rPr>
              <w:t>占县域面积</w:t>
            </w:r>
            <w:r>
              <w:rPr>
                <w:rFonts w:hint="eastAsia"/>
                <w:color w:val="auto"/>
                <w:kern w:val="0"/>
                <w:sz w:val="24"/>
                <w:lang w:val="en-US" w:eastAsia="zh-CN"/>
              </w:rPr>
              <w:t>4.6</w:t>
            </w:r>
            <w:r>
              <w:rPr>
                <w:rFonts w:hint="eastAsia"/>
                <w:color w:val="auto"/>
                <w:kern w:val="0"/>
                <w:sz w:val="24"/>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本项目与</w:t>
            </w:r>
            <w:r>
              <w:rPr>
                <w:rFonts w:hint="eastAsia"/>
                <w:color w:val="auto"/>
                <w:kern w:val="0"/>
                <w:sz w:val="24"/>
              </w:rPr>
              <w:t>Ⅲ</w:t>
            </w:r>
            <w:r>
              <w:rPr>
                <w:rFonts w:hint="eastAsia"/>
                <w:color w:val="auto"/>
                <w:kern w:val="0"/>
                <w:sz w:val="24"/>
                <w:lang w:val="en-US" w:eastAsia="zh-CN"/>
              </w:rPr>
              <w:t>3滹沱河干流流域营养物质与水土保持生态功能区</w:t>
            </w:r>
            <w:r>
              <w:rPr>
                <w:rFonts w:hint="eastAsia"/>
                <w:color w:val="auto"/>
                <w:kern w:val="0"/>
                <w:sz w:val="24"/>
              </w:rPr>
              <w:t>的保护措施和发展方向符合性分析见下表。本项目与五台县生态功能区划相对位置见附图</w:t>
            </w:r>
            <w:r>
              <w:rPr>
                <w:rFonts w:hint="eastAsia"/>
                <w:color w:val="auto"/>
                <w:kern w:val="0"/>
                <w:sz w:val="24"/>
                <w:lang w:val="en-US" w:eastAsia="zh-CN"/>
              </w:rPr>
              <w:t>8</w:t>
            </w:r>
            <w:r>
              <w:rPr>
                <w:rFonts w:hint="eastAsia"/>
                <w:color w:val="auto"/>
                <w:kern w:val="0"/>
                <w:sz w:val="24"/>
              </w:rPr>
              <w:t>。</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bCs/>
                <w:color w:val="auto"/>
                <w:kern w:val="0"/>
                <w:sz w:val="32"/>
                <w:szCs w:val="32"/>
              </w:rPr>
            </w:pPr>
            <w:r>
              <w:rPr>
                <w:rFonts w:hint="eastAsia" w:ascii="黑体" w:hAnsi="黑体" w:eastAsia="黑体"/>
                <w:bCs/>
                <w:color w:val="auto"/>
                <w:sz w:val="24"/>
              </w:rPr>
              <w:t>表1-</w:t>
            </w:r>
            <w:r>
              <w:rPr>
                <w:rFonts w:hint="eastAsia" w:ascii="黑体" w:hAnsi="黑体" w:eastAsia="黑体"/>
                <w:bCs/>
                <w:color w:val="auto"/>
                <w:sz w:val="24"/>
                <w:lang w:val="en-US" w:eastAsia="zh-CN"/>
              </w:rPr>
              <w:t>5</w:t>
            </w:r>
            <w:r>
              <w:rPr>
                <w:rFonts w:hint="eastAsia" w:ascii="黑体" w:hAnsi="黑体" w:eastAsia="黑体"/>
                <w:bCs/>
                <w:color w:val="auto"/>
                <w:sz w:val="24"/>
              </w:rPr>
              <w:t xml:space="preserve">  与</w:t>
            </w:r>
            <w:r>
              <w:rPr>
                <w:rFonts w:hint="eastAsia" w:ascii="黑体" w:hAnsi="黑体" w:eastAsia="黑体"/>
                <w:bCs/>
                <w:color w:val="auto"/>
                <w:sz w:val="24"/>
                <w:lang w:val="en-US" w:eastAsia="zh-CN"/>
              </w:rPr>
              <w:t>五台县</w:t>
            </w:r>
            <w:r>
              <w:rPr>
                <w:rFonts w:hint="eastAsia"/>
                <w:color w:val="auto"/>
                <w:kern w:val="0"/>
                <w:sz w:val="24"/>
              </w:rPr>
              <w:t>Ⅲ</w:t>
            </w:r>
            <w:r>
              <w:rPr>
                <w:rFonts w:hint="eastAsia"/>
                <w:color w:val="auto"/>
                <w:kern w:val="0"/>
                <w:sz w:val="24"/>
                <w:lang w:val="en-US" w:eastAsia="zh-CN"/>
              </w:rPr>
              <w:t>3</w:t>
            </w:r>
            <w:r>
              <w:rPr>
                <w:rFonts w:hint="eastAsia" w:ascii="黑体" w:hAnsi="黑体" w:eastAsia="黑体"/>
                <w:bCs/>
                <w:color w:val="auto"/>
                <w:sz w:val="24"/>
              </w:rPr>
              <w:t>生态功能区的符合性分析一览表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4090"/>
              <w:gridCol w:w="4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olor w:val="auto"/>
                      <w:szCs w:val="21"/>
                    </w:rPr>
                  </w:pPr>
                  <w:r>
                    <w:rPr>
                      <w:rFonts w:hint="eastAsia"/>
                      <w:color w:val="auto"/>
                      <w:szCs w:val="21"/>
                    </w:rPr>
                    <w:t>序号</w:t>
                  </w:r>
                </w:p>
              </w:tc>
              <w:tc>
                <w:tcPr>
                  <w:tcW w:w="2395"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olor w:val="auto"/>
                      <w:szCs w:val="21"/>
                    </w:rPr>
                  </w:pPr>
                  <w:r>
                    <w:rPr>
                      <w:rFonts w:hint="eastAsia"/>
                      <w:color w:val="auto"/>
                      <w:szCs w:val="21"/>
                    </w:rPr>
                    <w:t>Ⅲ</w:t>
                  </w:r>
                  <w:r>
                    <w:rPr>
                      <w:rFonts w:hint="eastAsia"/>
                      <w:color w:val="auto"/>
                      <w:szCs w:val="21"/>
                      <w:lang w:val="en-US" w:eastAsia="zh-CN"/>
                    </w:rPr>
                    <w:t>3滹沱河干流流域营养物质与水土保持生态功能区</w:t>
                  </w:r>
                  <w:r>
                    <w:rPr>
                      <w:rFonts w:hint="eastAsia"/>
                      <w:color w:val="auto"/>
                      <w:szCs w:val="21"/>
                    </w:rPr>
                    <w:t>保护措施和发展方向</w:t>
                  </w:r>
                </w:p>
              </w:tc>
              <w:tc>
                <w:tcPr>
                  <w:tcW w:w="235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olor w:val="auto"/>
                      <w:szCs w:val="21"/>
                    </w:rPr>
                  </w:pPr>
                  <w:r>
                    <w:rPr>
                      <w:rFonts w:hint="eastAsia"/>
                      <w:color w:val="auto"/>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olor w:val="auto"/>
                      <w:szCs w:val="21"/>
                    </w:rPr>
                  </w:pPr>
                  <w:r>
                    <w:rPr>
                      <w:rFonts w:hint="eastAsia"/>
                      <w:color w:val="auto"/>
                      <w:szCs w:val="21"/>
                    </w:rPr>
                    <w:t>1</w:t>
                  </w:r>
                </w:p>
              </w:tc>
              <w:tc>
                <w:tcPr>
                  <w:tcW w:w="2395"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textAlignment w:val="auto"/>
                    <w:rPr>
                      <w:rFonts w:hint="default" w:eastAsia="宋体"/>
                      <w:color w:val="auto"/>
                      <w:szCs w:val="21"/>
                      <w:lang w:val="en-US" w:eastAsia="zh-CN"/>
                    </w:rPr>
                  </w:pPr>
                  <w:r>
                    <w:rPr>
                      <w:rFonts w:hint="eastAsia"/>
                      <w:color w:val="auto"/>
                      <w:szCs w:val="21"/>
                      <w:lang w:val="en-US" w:eastAsia="zh-CN"/>
                    </w:rPr>
                    <w:t>对于水土流失相对较重的区域，实施小流域治理和植树造林等生态恢复工程，提高植被覆盖率，恢复和营造良好的生态系统；</w:t>
                  </w:r>
                </w:p>
              </w:tc>
              <w:tc>
                <w:tcPr>
                  <w:tcW w:w="2351" w:type="pct"/>
                  <w:vMerge w:val="restar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textAlignment w:val="auto"/>
                    <w:rPr>
                      <w:rFonts w:hint="default" w:eastAsia="宋体"/>
                      <w:color w:val="auto"/>
                      <w:szCs w:val="21"/>
                      <w:vertAlign w:val="superscript"/>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r>
                    <w:rPr>
                      <w:rFonts w:hint="eastAsia" w:cs="Times New Roman"/>
                      <w:color w:val="auto"/>
                      <w:sz w:val="21"/>
                      <w:szCs w:val="21"/>
                      <w:highlight w:val="none"/>
                      <w:lang w:eastAsia="zh-CN"/>
                    </w:rPr>
                    <w:t>。</w:t>
                  </w:r>
                  <w:r>
                    <w:rPr>
                      <w:rFonts w:hint="default" w:eastAsia="宋体" w:cs="宋体"/>
                      <w:color w:val="auto"/>
                      <w:kern w:val="0"/>
                      <w:lang w:val="en-US" w:eastAsia="zh-CN"/>
                    </w:rPr>
                    <w:t>本项目污水处理厂产生的尾水将首先用于市政绿化、道路浇洒、农田灌溉等，剩余尾水排入滹沱河。本项目增加了水资源的利用率。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53"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olor w:val="auto"/>
                      <w:szCs w:val="21"/>
                    </w:rPr>
                  </w:pPr>
                  <w:r>
                    <w:rPr>
                      <w:rFonts w:hint="eastAsia"/>
                      <w:color w:val="auto"/>
                      <w:szCs w:val="21"/>
                    </w:rPr>
                    <w:t>2</w:t>
                  </w:r>
                </w:p>
              </w:tc>
              <w:tc>
                <w:tcPr>
                  <w:tcW w:w="2395"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textAlignment w:val="auto"/>
                    <w:rPr>
                      <w:rFonts w:hint="default" w:eastAsia="宋体"/>
                      <w:color w:val="auto"/>
                      <w:szCs w:val="21"/>
                      <w:lang w:val="en-US" w:eastAsia="zh-CN"/>
                    </w:rPr>
                  </w:pPr>
                  <w:r>
                    <w:rPr>
                      <w:rFonts w:hint="eastAsia"/>
                      <w:color w:val="auto"/>
                      <w:szCs w:val="21"/>
                      <w:lang w:val="en-US" w:eastAsia="zh-CN"/>
                    </w:rPr>
                    <w:t>河岸两侧的耕地，鼓励使用有机肥，合理的施用化肥和农药。</w:t>
                  </w:r>
                </w:p>
              </w:tc>
              <w:tc>
                <w:tcPr>
                  <w:tcW w:w="2351" w:type="pct"/>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textAlignment w:val="auto"/>
                    <w:rPr>
                      <w:rFonts w:hint="eastAsia"/>
                      <w:color w:val="auto"/>
                      <w:szCs w:val="21"/>
                    </w:rPr>
                  </w:pP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s="Times New Roman"/>
                <w:color w:val="auto"/>
                <w:sz w:val="24"/>
                <w:lang w:val="en-US" w:eastAsia="zh-CN"/>
              </w:rPr>
            </w:pPr>
            <w:r>
              <w:rPr>
                <w:rFonts w:hint="eastAsia"/>
                <w:color w:val="auto"/>
                <w:sz w:val="24"/>
              </w:rPr>
              <w:t>综上所述，本项目</w:t>
            </w:r>
            <w:r>
              <w:rPr>
                <w:rFonts w:hint="eastAsia"/>
                <w:color w:val="auto"/>
                <w:sz w:val="24"/>
                <w:lang w:val="en-US" w:eastAsia="zh-CN"/>
              </w:rPr>
              <w:t>符合</w:t>
            </w:r>
            <w:r>
              <w:rPr>
                <w:rFonts w:hint="eastAsia"/>
                <w:color w:val="auto"/>
                <w:kern w:val="0"/>
                <w:sz w:val="24"/>
              </w:rPr>
              <w:t>Ⅲ</w:t>
            </w:r>
            <w:r>
              <w:rPr>
                <w:rFonts w:hint="eastAsia"/>
                <w:color w:val="auto"/>
                <w:kern w:val="0"/>
                <w:sz w:val="24"/>
                <w:lang w:val="en-US" w:eastAsia="zh-CN"/>
              </w:rPr>
              <w:t>3滹沱河干流流域营养物质与水土保持生态功能区</w:t>
            </w:r>
            <w:r>
              <w:rPr>
                <w:rFonts w:hint="eastAsia"/>
                <w:color w:val="auto"/>
                <w:kern w:val="0"/>
                <w:sz w:val="24"/>
              </w:rPr>
              <w:t>的保护措施和发展方向</w:t>
            </w:r>
            <w:r>
              <w:rPr>
                <w:rFonts w:hint="eastAsia"/>
                <w:color w:val="auto"/>
                <w:kern w:val="0"/>
                <w:sz w:val="24"/>
                <w:lang w:val="en-US" w:eastAsia="zh-CN"/>
              </w:rPr>
              <w:t>的</w:t>
            </w:r>
            <w:r>
              <w:rPr>
                <w:rFonts w:hint="eastAsia"/>
                <w:color w:val="auto"/>
                <w:kern w:val="0"/>
                <w:sz w:val="24"/>
              </w:rPr>
              <w:t>要求。</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sz w:val="24"/>
                <w:szCs w:val="24"/>
                <w:lang w:val="en-US" w:eastAsia="zh-CN" w:bidi="ar"/>
              </w:rPr>
            </w:pPr>
            <w:r>
              <w:rPr>
                <w:rFonts w:hint="eastAsia" w:cs="Times New Roman"/>
                <w:b/>
                <w:bCs/>
                <w:color w:val="auto"/>
                <w:sz w:val="24"/>
                <w:szCs w:val="24"/>
                <w:lang w:val="en-US" w:eastAsia="zh-CN" w:bidi="ar"/>
              </w:rPr>
              <w:t>6、五台县生态经济区划</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eastAsia="宋体"/>
                <w:color w:val="auto"/>
                <w:kern w:val="0"/>
                <w:sz w:val="24"/>
                <w:vertAlign w:val="baseline"/>
                <w:lang w:val="en-US" w:eastAsia="zh-CN"/>
              </w:rPr>
            </w:pPr>
            <w:r>
              <w:rPr>
                <w:rFonts w:hint="eastAsia"/>
                <w:color w:val="auto"/>
                <w:kern w:val="0"/>
                <w:sz w:val="24"/>
              </w:rPr>
              <w:t>根据《五台县生态</w:t>
            </w:r>
            <w:r>
              <w:rPr>
                <w:rFonts w:hint="eastAsia"/>
                <w:color w:val="auto"/>
                <w:kern w:val="0"/>
                <w:sz w:val="24"/>
                <w:lang w:val="en-US" w:eastAsia="zh-CN"/>
              </w:rPr>
              <w:t>经济</w:t>
            </w:r>
            <w:r>
              <w:rPr>
                <w:rFonts w:hint="eastAsia"/>
                <w:color w:val="auto"/>
                <w:kern w:val="0"/>
                <w:sz w:val="24"/>
              </w:rPr>
              <w:t>区划》，项目区位于Ⅱ</w:t>
            </w:r>
            <w:r>
              <w:rPr>
                <w:rFonts w:hint="eastAsia"/>
                <w:color w:val="auto"/>
                <w:kern w:val="0"/>
                <w:sz w:val="24"/>
                <w:lang w:val="en-US" w:eastAsia="zh-CN"/>
              </w:rPr>
              <w:t>7滹沱河河谷生态农业经济区；该区位于灵境、门限石及石咀的大部分地区，面积约491km</w:t>
            </w:r>
            <w:r>
              <w:rPr>
                <w:rFonts w:hint="eastAsia"/>
                <w:color w:val="auto"/>
                <w:kern w:val="0"/>
                <w:sz w:val="24"/>
                <w:vertAlign w:val="superscript"/>
                <w:lang w:val="en-US" w:eastAsia="zh-CN"/>
              </w:rPr>
              <w:t>2</w:t>
            </w:r>
            <w:r>
              <w:rPr>
                <w:rFonts w:hint="eastAsia"/>
                <w:color w:val="auto"/>
                <w:kern w:val="0"/>
                <w:sz w:val="24"/>
                <w:vertAlign w:val="baseline"/>
                <w:lang w:val="en-US" w:eastAsia="zh-CN"/>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本项目与</w:t>
            </w:r>
            <w:r>
              <w:rPr>
                <w:rFonts w:hint="eastAsia"/>
                <w:color w:val="auto"/>
                <w:kern w:val="0"/>
                <w:sz w:val="24"/>
              </w:rPr>
              <w:t>Ⅱ</w:t>
            </w:r>
            <w:r>
              <w:rPr>
                <w:rFonts w:hint="eastAsia"/>
                <w:color w:val="auto"/>
                <w:kern w:val="0"/>
                <w:sz w:val="24"/>
                <w:lang w:val="en-US" w:eastAsia="zh-CN"/>
              </w:rPr>
              <w:t>7滹沱河河谷生态农业经济区</w:t>
            </w:r>
            <w:r>
              <w:rPr>
                <w:rFonts w:hint="eastAsia"/>
                <w:color w:val="auto"/>
                <w:kern w:val="0"/>
                <w:sz w:val="24"/>
              </w:rPr>
              <w:t>的</w:t>
            </w:r>
            <w:r>
              <w:rPr>
                <w:rFonts w:hint="eastAsia"/>
                <w:color w:val="auto"/>
                <w:kern w:val="0"/>
                <w:sz w:val="24"/>
                <w:lang w:val="en-US" w:eastAsia="zh-CN"/>
              </w:rPr>
              <w:t>发展方向和生态环境保护要求的</w:t>
            </w:r>
            <w:r>
              <w:rPr>
                <w:rFonts w:hint="eastAsia"/>
                <w:color w:val="auto"/>
                <w:kern w:val="0"/>
                <w:sz w:val="24"/>
              </w:rPr>
              <w:t>符合性分析见下表。本项目与五台县生态</w:t>
            </w:r>
            <w:r>
              <w:rPr>
                <w:rFonts w:hint="eastAsia"/>
                <w:color w:val="auto"/>
                <w:kern w:val="0"/>
                <w:sz w:val="24"/>
                <w:lang w:val="en-US" w:eastAsia="zh-CN"/>
              </w:rPr>
              <w:t>经济</w:t>
            </w:r>
            <w:r>
              <w:rPr>
                <w:rFonts w:hint="eastAsia"/>
                <w:color w:val="auto"/>
                <w:kern w:val="0"/>
                <w:sz w:val="24"/>
              </w:rPr>
              <w:t>区划相对位置见附图</w:t>
            </w:r>
            <w:r>
              <w:rPr>
                <w:rFonts w:hint="eastAsia"/>
                <w:color w:val="auto"/>
                <w:kern w:val="0"/>
                <w:sz w:val="24"/>
                <w:lang w:val="en-US" w:eastAsia="zh-CN"/>
              </w:rPr>
              <w:t>10</w:t>
            </w:r>
            <w:r>
              <w:rPr>
                <w:rFonts w:hint="eastAsia"/>
                <w:color w:val="auto"/>
                <w:kern w:val="0"/>
                <w:sz w:val="24"/>
              </w:rPr>
              <w:t>。</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bCs/>
                <w:color w:val="auto"/>
                <w:kern w:val="0"/>
                <w:sz w:val="32"/>
                <w:szCs w:val="32"/>
              </w:rPr>
            </w:pPr>
            <w:r>
              <w:rPr>
                <w:rFonts w:hint="eastAsia" w:ascii="黑体" w:hAnsi="黑体" w:eastAsia="黑体"/>
                <w:bCs/>
                <w:color w:val="auto"/>
                <w:sz w:val="24"/>
              </w:rPr>
              <w:t>表1-</w:t>
            </w:r>
            <w:r>
              <w:rPr>
                <w:rFonts w:hint="eastAsia" w:ascii="黑体" w:hAnsi="黑体" w:eastAsia="黑体"/>
                <w:bCs/>
                <w:color w:val="auto"/>
                <w:sz w:val="24"/>
                <w:lang w:val="en-US" w:eastAsia="zh-CN"/>
              </w:rPr>
              <w:t>6</w:t>
            </w:r>
            <w:r>
              <w:rPr>
                <w:rFonts w:hint="eastAsia" w:ascii="黑体" w:hAnsi="黑体" w:eastAsia="黑体"/>
                <w:bCs/>
                <w:color w:val="auto"/>
                <w:sz w:val="24"/>
              </w:rPr>
              <w:t xml:space="preserve">  与Ⅱ</w:t>
            </w:r>
            <w:r>
              <w:rPr>
                <w:rFonts w:hint="eastAsia" w:ascii="黑体" w:hAnsi="黑体" w:eastAsia="黑体"/>
                <w:bCs/>
                <w:color w:val="auto"/>
                <w:sz w:val="24"/>
                <w:lang w:val="en-US" w:eastAsia="zh-CN"/>
              </w:rPr>
              <w:t>7生态经济区</w:t>
            </w:r>
            <w:r>
              <w:rPr>
                <w:rFonts w:hint="eastAsia" w:ascii="黑体" w:hAnsi="黑体" w:eastAsia="黑体"/>
                <w:bCs/>
                <w:color w:val="auto"/>
                <w:sz w:val="24"/>
              </w:rPr>
              <w:t>的符合性分析一览表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4474"/>
              <w:gridCol w:w="3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序号</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Ⅱ</w:t>
                  </w:r>
                  <w:r>
                    <w:rPr>
                      <w:rFonts w:hint="eastAsia"/>
                      <w:color w:val="auto"/>
                      <w:szCs w:val="21"/>
                      <w:lang w:val="en-US" w:eastAsia="zh-CN"/>
                    </w:rPr>
                    <w:t>7滹沱河河谷生态农业经济区</w:t>
                  </w:r>
                  <w:r>
                    <w:rPr>
                      <w:rFonts w:hint="eastAsia"/>
                      <w:color w:val="auto"/>
                      <w:szCs w:val="21"/>
                    </w:rPr>
                    <w:t>的</w:t>
                  </w:r>
                  <w:r>
                    <w:rPr>
                      <w:rFonts w:hint="eastAsia"/>
                      <w:color w:val="auto"/>
                      <w:szCs w:val="21"/>
                      <w:lang w:val="en-US" w:eastAsia="zh-CN"/>
                    </w:rPr>
                    <w:t>发展方向和生态环境保护要求</w:t>
                  </w:r>
                </w:p>
              </w:tc>
              <w:tc>
                <w:tcPr>
                  <w:tcW w:w="212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发展方向</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限制：①限制建设任何污染环境、破坏水资源的生产设施；②限制化肥、农药等的过量使用。</w:t>
                  </w:r>
                </w:p>
              </w:tc>
              <w:tc>
                <w:tcPr>
                  <w:tcW w:w="2125"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s="宋体"/>
                      <w:color w:val="auto"/>
                      <w:kern w:val="0"/>
                      <w:szCs w:val="21"/>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不属于限制类行业。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鼓励：①鼓励开发坪上泉域水资源利用；②以滹沱河沿岸生态多样性保护为前提适当的发展以蔬菜、水果、谷子、高粱等为主的生态有机农业。</w:t>
                  </w:r>
                </w:p>
              </w:tc>
              <w:tc>
                <w:tcPr>
                  <w:tcW w:w="212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生态环境保护要求</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①完善坪上泉域重点保护区监督与管理；</w:t>
                  </w:r>
                </w:p>
              </w:tc>
              <w:tc>
                <w:tcPr>
                  <w:tcW w:w="2125"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城</w:t>
                  </w:r>
                  <w:r>
                    <w:rPr>
                      <w:rFonts w:hint="default" w:ascii="Times New Roman" w:hAnsi="Times New Roman" w:eastAsia="宋体" w:cs="Times New Roman"/>
                      <w:color w:val="auto"/>
                      <w:sz w:val="21"/>
                      <w:szCs w:val="21"/>
                      <w:highlight w:val="none"/>
                    </w:rPr>
                    <w:t>镇污水处理站建设项目，项目建成后，将会改善该区域生活污水乱排等现状，对区域环境产生正效益</w:t>
                  </w:r>
                  <w:r>
                    <w:rPr>
                      <w:rFonts w:hint="eastAsia" w:cs="Times New Roman"/>
                      <w:color w:val="auto"/>
                      <w:sz w:val="21"/>
                      <w:szCs w:val="21"/>
                      <w:highlight w:val="none"/>
                      <w:lang w:eastAsia="zh-CN"/>
                    </w:rPr>
                    <w:t>。</w:t>
                  </w:r>
                  <w:r>
                    <w:rPr>
                      <w:rFonts w:hint="default" w:eastAsia="宋体" w:cs="宋体"/>
                      <w:color w:val="auto"/>
                      <w:kern w:val="0"/>
                      <w:lang w:val="en-US" w:eastAsia="zh-CN"/>
                    </w:rPr>
                    <w:t>本项目污水处理厂产生的尾水将首先用于市政绿化、道路浇洒、农田灌溉等，剩余尾水排入滹沱河。本项目增加了水资源的利用率。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②对滹沱河、清水河沿岸耕地尽快实施测土配方施肥技术，控制农药、化肥的使用量，鼓励使用有机肥；</w:t>
                  </w:r>
                </w:p>
              </w:tc>
              <w:tc>
                <w:tcPr>
                  <w:tcW w:w="212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eastAsia="宋体"/>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③科学实施种植养殖业，秸秆机械粉碎后还田，经生物菌腐化秸秆后，沤制有机肥，秸秆青贮，氨化后发展无粮饲料，利用畜牧业粪便生产、发展沼气、太阳能等清洁能源产业，维系良好的自然生态环境；</w:t>
                  </w:r>
                </w:p>
              </w:tc>
              <w:tc>
                <w:tcPr>
                  <w:tcW w:w="212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④对滹沱河、清水河沿岸实施高标准的绿化美化，对处理后的外排生活污水，应进一步实施人工湿地深度生态处理，彻底解决垃圾等固体废物倾倒入河的污染问题。</w:t>
                  </w:r>
                </w:p>
              </w:tc>
              <w:tc>
                <w:tcPr>
                  <w:tcW w:w="212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kern w:val="0"/>
                <w:sz w:val="24"/>
              </w:rPr>
            </w:pPr>
            <w:r>
              <w:rPr>
                <w:rFonts w:hint="eastAsia"/>
                <w:color w:val="auto"/>
                <w:sz w:val="24"/>
              </w:rPr>
              <w:t>综上所述，本项目</w:t>
            </w:r>
            <w:r>
              <w:rPr>
                <w:rFonts w:hint="eastAsia"/>
                <w:bCs/>
                <w:color w:val="auto"/>
                <w:sz w:val="24"/>
                <w:lang w:val="en-US" w:eastAsia="zh-CN"/>
              </w:rPr>
              <w:t>符合</w:t>
            </w:r>
            <w:r>
              <w:rPr>
                <w:rFonts w:hint="eastAsia"/>
                <w:color w:val="auto"/>
                <w:kern w:val="0"/>
                <w:sz w:val="24"/>
              </w:rPr>
              <w:t>Ⅱ</w:t>
            </w:r>
            <w:r>
              <w:rPr>
                <w:rFonts w:hint="eastAsia"/>
                <w:color w:val="auto"/>
                <w:kern w:val="0"/>
                <w:sz w:val="24"/>
                <w:lang w:val="en-US" w:eastAsia="zh-CN"/>
              </w:rPr>
              <w:t>7滹沱河河谷生态农业经济区</w:t>
            </w:r>
            <w:r>
              <w:rPr>
                <w:rFonts w:hint="eastAsia"/>
                <w:bCs/>
                <w:color w:val="auto"/>
                <w:sz w:val="24"/>
              </w:rPr>
              <w:t>的</w:t>
            </w:r>
            <w:r>
              <w:rPr>
                <w:rFonts w:hint="eastAsia"/>
                <w:bCs/>
                <w:color w:val="auto"/>
                <w:sz w:val="24"/>
                <w:lang w:val="en-US" w:eastAsia="zh-CN"/>
              </w:rPr>
              <w:t>发展方向和生态环境保护的要求</w:t>
            </w:r>
            <w:r>
              <w:rPr>
                <w:rFonts w:hint="eastAsia"/>
                <w:color w:val="auto"/>
                <w:kern w:val="0"/>
                <w:sz w:val="24"/>
              </w:rPr>
              <w:t>。</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sz w:val="24"/>
                <w:szCs w:val="24"/>
                <w:lang w:val="en-US" w:eastAsia="zh-CN" w:bidi="ar"/>
              </w:rPr>
            </w:pPr>
            <w:r>
              <w:rPr>
                <w:rFonts w:hint="eastAsia" w:cs="Times New Roman"/>
                <w:b/>
                <w:bCs/>
                <w:color w:val="auto"/>
                <w:sz w:val="24"/>
                <w:szCs w:val="24"/>
                <w:lang w:val="en-US" w:eastAsia="zh-CN" w:bidi="ar"/>
              </w:rPr>
              <w:t>7、相关政策符合性分析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default" w:eastAsia="宋体"/>
                <w:b/>
                <w:bCs/>
                <w:color w:val="auto"/>
                <w:kern w:val="0"/>
                <w:sz w:val="24"/>
                <w:lang w:val="en-US" w:eastAsia="zh-CN"/>
              </w:rPr>
            </w:pPr>
            <w:r>
              <w:rPr>
                <w:rFonts w:hint="eastAsia"/>
                <w:b/>
                <w:bCs/>
                <w:color w:val="auto"/>
                <w:kern w:val="0"/>
                <w:sz w:val="24"/>
                <w:lang w:val="en-US" w:eastAsia="zh-CN"/>
              </w:rPr>
              <w:t>①与</w:t>
            </w:r>
            <w:r>
              <w:rPr>
                <w:rFonts w:hint="eastAsia"/>
                <w:b/>
                <w:bCs/>
                <w:color w:val="auto"/>
                <w:kern w:val="0"/>
                <w:sz w:val="24"/>
              </w:rPr>
              <w:t>《山西省水污染防治条例》</w:t>
            </w:r>
            <w:r>
              <w:rPr>
                <w:rFonts w:hint="eastAsia"/>
                <w:b/>
                <w:bCs/>
                <w:color w:val="auto"/>
                <w:kern w:val="0"/>
                <w:sz w:val="24"/>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eastAsia="宋体"/>
                <w:color w:val="auto"/>
                <w:kern w:val="0"/>
                <w:sz w:val="24"/>
                <w:lang w:val="en-US" w:eastAsia="zh-CN"/>
              </w:rPr>
            </w:pPr>
            <w:r>
              <w:rPr>
                <w:rFonts w:hint="eastAsia"/>
                <w:color w:val="auto"/>
                <w:kern w:val="0"/>
                <w:sz w:val="24"/>
                <w:lang w:val="en-US" w:eastAsia="zh-CN"/>
              </w:rPr>
              <w:t>山西省水污染防治条例于2019年7月31日山西省第十三届人民代表大会常务委员会第十二次会议通过，本项目与</w:t>
            </w:r>
            <w:r>
              <w:rPr>
                <w:rFonts w:hint="eastAsia"/>
                <w:color w:val="auto"/>
                <w:kern w:val="0"/>
                <w:sz w:val="24"/>
              </w:rPr>
              <w:t>《山西省水污染防治条例》</w:t>
            </w:r>
            <w:r>
              <w:rPr>
                <w:rFonts w:hint="eastAsia"/>
                <w:color w:val="auto"/>
                <w:kern w:val="0"/>
                <w:sz w:val="24"/>
                <w:lang w:val="en-US" w:eastAsia="zh-CN"/>
              </w:rPr>
              <w:t>符合性分析如下：</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eastAsia"/>
                <w:b/>
                <w:bCs/>
                <w:color w:val="auto"/>
                <w:kern w:val="0"/>
                <w:sz w:val="24"/>
              </w:rPr>
            </w:pPr>
            <w:r>
              <w:rPr>
                <w:rFonts w:hint="eastAsia"/>
                <w:b/>
                <w:bCs/>
                <w:color w:val="auto"/>
                <w:kern w:val="0"/>
                <w:sz w:val="24"/>
                <w:lang w:val="en-US" w:eastAsia="zh-CN"/>
              </w:rPr>
              <w:t>根据</w:t>
            </w:r>
            <w:r>
              <w:rPr>
                <w:rFonts w:hint="eastAsia"/>
                <w:b/>
                <w:bCs/>
                <w:color w:val="auto"/>
                <w:kern w:val="0"/>
                <w:sz w:val="24"/>
              </w:rPr>
              <w:t>《山西省水污染防治条例》</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eastAsia"/>
                <w:b/>
                <w:bCs/>
                <w:color w:val="auto"/>
                <w:kern w:val="0"/>
                <w:sz w:val="24"/>
                <w:lang w:val="en-US" w:eastAsia="zh-CN"/>
              </w:rPr>
            </w:pPr>
            <w:r>
              <w:rPr>
                <w:rFonts w:hint="eastAsia"/>
                <w:b/>
                <w:bCs/>
                <w:color w:val="auto"/>
                <w:kern w:val="0"/>
                <w:sz w:val="24"/>
                <w:lang w:val="en-US" w:eastAsia="zh-CN"/>
              </w:rPr>
              <w:t>第二节第二十三条：</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eastAsia="宋体"/>
                <w:color w:val="auto"/>
                <w:kern w:val="0"/>
                <w:sz w:val="24"/>
                <w:lang w:val="en-US" w:eastAsia="zh-CN"/>
              </w:rPr>
            </w:pPr>
            <w:r>
              <w:rPr>
                <w:rFonts w:hint="eastAsia"/>
                <w:color w:val="auto"/>
                <w:kern w:val="0"/>
                <w:sz w:val="24"/>
                <w:lang w:val="en-US" w:eastAsia="zh-CN"/>
              </w:rPr>
              <w:t>城镇污水集中处理设施排放水污染物应当达到水污染物综合排放地方标准。</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kern w:val="0"/>
                <w:sz w:val="24"/>
                <w:lang w:val="en-US" w:eastAsia="zh-CN"/>
              </w:rPr>
            </w:pPr>
            <w:r>
              <w:rPr>
                <w:rFonts w:hint="eastAsia"/>
                <w:color w:val="auto"/>
                <w:kern w:val="0"/>
                <w:sz w:val="24"/>
                <w:lang w:val="en-US" w:eastAsia="zh-CN"/>
              </w:rPr>
              <w:t>汾河、桑干河、滹沱河、漳河、沁河等流域内所有县界城镇入河排污口水质应当达到地表水环境质量Ⅴ类及以上标准。</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eastAsia"/>
                <w:b/>
                <w:bCs/>
                <w:color w:val="auto"/>
                <w:kern w:val="0"/>
                <w:sz w:val="24"/>
                <w:lang w:val="en-US" w:eastAsia="zh-CN"/>
              </w:rPr>
            </w:pPr>
            <w:r>
              <w:rPr>
                <w:rFonts w:hint="eastAsia"/>
                <w:b/>
                <w:bCs/>
                <w:color w:val="auto"/>
                <w:kern w:val="0"/>
                <w:sz w:val="24"/>
                <w:lang w:val="en-US" w:eastAsia="zh-CN"/>
              </w:rPr>
              <w:t>第二节第二十四条：</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kern w:val="0"/>
                <w:sz w:val="24"/>
                <w:lang w:val="en-US" w:eastAsia="zh-CN"/>
              </w:rPr>
            </w:pPr>
            <w:r>
              <w:rPr>
                <w:rFonts w:hint="eastAsia"/>
                <w:color w:val="auto"/>
                <w:kern w:val="0"/>
                <w:sz w:val="24"/>
                <w:lang w:val="en-US" w:eastAsia="zh-CN"/>
              </w:rPr>
              <w:t>城镇污水集中处理设施的运营单位应当配套建设污水水质监测设施，对城镇污水集中处理设施的出入口水质、水量进行监测。</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kern w:val="0"/>
                <w:sz w:val="24"/>
                <w:lang w:val="en-US" w:eastAsia="zh-CN"/>
              </w:rPr>
            </w:pPr>
            <w:r>
              <w:rPr>
                <w:rFonts w:hint="eastAsia"/>
                <w:color w:val="auto"/>
                <w:kern w:val="0"/>
                <w:sz w:val="24"/>
                <w:lang w:val="en-US" w:eastAsia="zh-CN"/>
              </w:rPr>
              <w:t>在出现进水水质和水量发生重大变化可能导致出水水质超标，或者发生影响城镇污水处理设施安全运行的突发情况时，应当立即采取应急处理措施，并同时向城镇排水主管部门、生态环境主管部门报告。城镇排水主管部门或者生态环境主管部门接到报告后，应当及时核查处理。</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eastAsia"/>
                <w:b/>
                <w:bCs/>
                <w:color w:val="auto"/>
                <w:kern w:val="0"/>
                <w:sz w:val="24"/>
                <w:lang w:val="en-US" w:eastAsia="zh-CN"/>
              </w:rPr>
            </w:pPr>
            <w:r>
              <w:rPr>
                <w:rFonts w:hint="eastAsia"/>
                <w:b/>
                <w:bCs/>
                <w:color w:val="auto"/>
                <w:kern w:val="0"/>
                <w:sz w:val="24"/>
                <w:lang w:val="en-US" w:eastAsia="zh-CN"/>
              </w:rPr>
              <w:t>第三节第二十八条：</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color w:val="auto"/>
                <w:kern w:val="0"/>
                <w:sz w:val="24"/>
                <w:lang w:val="en-US" w:eastAsia="zh-CN"/>
              </w:rPr>
            </w:pPr>
            <w:r>
              <w:rPr>
                <w:rFonts w:hint="eastAsia"/>
                <w:color w:val="auto"/>
                <w:kern w:val="0"/>
                <w:sz w:val="24"/>
                <w:lang w:val="en-US" w:eastAsia="zh-CN"/>
              </w:rPr>
              <w:t>各级人民政府应当按照国家相关标准统筹建设农村污水、垃圾处理设施并保障其正常运行。</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kern w:val="0"/>
                <w:sz w:val="24"/>
                <w:lang w:val="en-US" w:eastAsia="zh-CN"/>
              </w:rPr>
            </w:pPr>
            <w:r>
              <w:rPr>
                <w:rFonts w:hint="eastAsia"/>
                <w:color w:val="auto"/>
                <w:kern w:val="0"/>
                <w:sz w:val="24"/>
                <w:lang w:val="en-US" w:eastAsia="zh-CN"/>
              </w:rPr>
              <w:t>位于城郊村、重点镇中心村、水源保护地周边村、沿河湖渠库村、主要景区村的生活污水应当经污水处理设施处理，不得直接排放。向地表水体排放的，应当达到农村生活污水处理设施水污染物排放地方标准。</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kern w:val="0"/>
                <w:sz w:val="24"/>
                <w:lang w:val="en-US" w:eastAsia="zh-CN"/>
              </w:rPr>
            </w:pPr>
            <w:r>
              <w:rPr>
                <w:rFonts w:hint="eastAsia"/>
                <w:color w:val="auto"/>
                <w:kern w:val="0"/>
                <w:sz w:val="24"/>
                <w:lang w:val="en-US" w:eastAsia="zh-CN"/>
              </w:rPr>
              <w:t>禁止农田灌溉退水直接排入水体。</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color w:val="auto"/>
                <w:kern w:val="0"/>
                <w:sz w:val="24"/>
                <w:lang w:val="en-US" w:eastAsia="zh-CN"/>
              </w:rPr>
            </w:pPr>
            <w:r>
              <w:rPr>
                <w:rFonts w:hint="eastAsia"/>
                <w:b w:val="0"/>
                <w:bCs w:val="0"/>
                <w:color w:val="auto"/>
                <w:sz w:val="24"/>
                <w:lang w:val="en-US" w:eastAsia="zh-CN"/>
              </w:rPr>
              <w:t>本项目服务范围为五台县建安镇7个村庄，分别为瑶池村、潭上村、西建安村、大建安村、东建安村、张家庄村、檀村；以及服务范围内的食品加工企业、养殖企业；属于乡镇及农村生活污水处理设施。</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color w:val="auto"/>
                <w:kern w:val="0"/>
                <w:sz w:val="24"/>
                <w:lang w:val="en-US" w:eastAsia="zh-CN"/>
              </w:rPr>
            </w:pPr>
            <w:r>
              <w:rPr>
                <w:rFonts w:hint="eastAsia"/>
                <w:color w:val="auto"/>
                <w:kern w:val="0"/>
                <w:sz w:val="24"/>
                <w:lang w:val="en-US" w:eastAsia="zh-CN"/>
              </w:rPr>
              <w:t>本项目污水处理厂出水指标中化学需氧量、氨氮、总磷执行山西省地方标准《污水综合排放标准》（DB14/1928-2019）中</w:t>
            </w:r>
            <w:r>
              <w:rPr>
                <w:rFonts w:hint="eastAsia"/>
                <w:color w:val="auto"/>
                <w:sz w:val="24"/>
                <w:lang w:val="en-US" w:eastAsia="zh-CN"/>
              </w:rPr>
              <w:t>表2中的限值，其他指标执行《城镇污水处理厂污染物排放标准》（GB18918-2002）表1一级A标准；满足第二节第二十三条的要求；同时污水处理厂排水口设置有在线监测设施，对污水水质、水量进行监测。</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default" w:eastAsia="宋体"/>
                <w:b/>
                <w:bCs/>
                <w:color w:val="auto"/>
                <w:kern w:val="0"/>
                <w:sz w:val="24"/>
                <w:lang w:val="en-US" w:eastAsia="zh-CN"/>
              </w:rPr>
            </w:pPr>
            <w:r>
              <w:rPr>
                <w:rFonts w:hint="eastAsia"/>
                <w:b/>
                <w:bCs/>
                <w:color w:val="auto"/>
                <w:kern w:val="0"/>
                <w:sz w:val="24"/>
                <w:lang w:val="en-US" w:eastAsia="zh-CN"/>
              </w:rPr>
              <w:t>②与《滹沱河流域生态修复与保护条例》符合性分析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eastAsia="宋体"/>
                <w:color w:val="auto"/>
                <w:kern w:val="0"/>
                <w:sz w:val="24"/>
                <w:lang w:val="en-US" w:eastAsia="zh-CN"/>
              </w:rPr>
            </w:pPr>
            <w:r>
              <w:rPr>
                <w:rFonts w:hint="eastAsia"/>
                <w:color w:val="auto"/>
                <w:kern w:val="0"/>
                <w:sz w:val="24"/>
                <w:lang w:val="en-US" w:eastAsia="zh-CN"/>
              </w:rPr>
              <w:t>《</w:t>
            </w:r>
            <w:r>
              <w:rPr>
                <w:rFonts w:hint="eastAsia" w:eastAsia="宋体"/>
                <w:color w:val="auto"/>
                <w:kern w:val="0"/>
                <w:sz w:val="24"/>
                <w:lang w:val="en-US" w:eastAsia="zh-CN"/>
              </w:rPr>
              <w:fldChar w:fldCharType="begin"/>
            </w:r>
            <w:r>
              <w:rPr>
                <w:rFonts w:hint="eastAsia" w:eastAsia="宋体"/>
                <w:color w:val="auto"/>
                <w:kern w:val="0"/>
                <w:sz w:val="24"/>
                <w:lang w:val="en-US" w:eastAsia="zh-CN"/>
              </w:rPr>
              <w:instrText xml:space="preserve"> HYPERLINK "https://baike.baidu.com/item/%E5%BF%BB%E5%B7%9E%E5%B8%82/528415?fromModule=lemma_inlink" \t "https://baike.baidu.com/item/%E5%BF%BB%E5%B7%9E%E5%B8%82%E6%BB%B9%E6%B2%B1%E6%B2%B3%E6%B5%81%E5%9F%9F%E7%94%9F%E6%80%81%E4%BF%AE%E5%A4%8D%E4%B8%8E%E4%BF%9D%E6%8A%A4%E6%9D%A1%E4%BE%8B/_blank" </w:instrText>
            </w:r>
            <w:r>
              <w:rPr>
                <w:rFonts w:hint="eastAsia" w:eastAsia="宋体"/>
                <w:color w:val="auto"/>
                <w:kern w:val="0"/>
                <w:sz w:val="24"/>
                <w:lang w:val="en-US" w:eastAsia="zh-CN"/>
              </w:rPr>
              <w:fldChar w:fldCharType="separate"/>
            </w:r>
            <w:r>
              <w:rPr>
                <w:rFonts w:hint="eastAsia" w:eastAsia="宋体"/>
                <w:color w:val="auto"/>
                <w:kern w:val="0"/>
                <w:sz w:val="24"/>
                <w:lang w:val="en-US" w:eastAsia="zh-CN"/>
              </w:rPr>
              <w:t>忻州市</w:t>
            </w:r>
            <w:r>
              <w:rPr>
                <w:rFonts w:hint="eastAsia" w:eastAsia="宋体"/>
                <w:color w:val="auto"/>
                <w:kern w:val="0"/>
                <w:sz w:val="24"/>
                <w:lang w:val="en-US" w:eastAsia="zh-CN"/>
              </w:rPr>
              <w:fldChar w:fldCharType="end"/>
            </w:r>
            <w:r>
              <w:rPr>
                <w:rFonts w:hint="eastAsia" w:eastAsia="宋体"/>
                <w:color w:val="auto"/>
                <w:kern w:val="0"/>
                <w:sz w:val="24"/>
                <w:lang w:val="en-US" w:eastAsia="zh-CN"/>
              </w:rPr>
              <w:t>滹沱河流域生态修复与保护条例</w:t>
            </w:r>
            <w:r>
              <w:rPr>
                <w:rFonts w:hint="eastAsia"/>
                <w:color w:val="auto"/>
                <w:kern w:val="0"/>
                <w:sz w:val="24"/>
                <w:lang w:val="en-US" w:eastAsia="zh-CN"/>
              </w:rPr>
              <w:t>》</w:t>
            </w:r>
            <w:r>
              <w:rPr>
                <w:rFonts w:hint="eastAsia" w:eastAsia="宋体"/>
                <w:color w:val="auto"/>
                <w:kern w:val="0"/>
                <w:sz w:val="24"/>
                <w:lang w:val="en-US" w:eastAsia="zh-CN"/>
              </w:rPr>
              <w:t>于2018年12月27日忻州市第四届人民代表大会常务委员会第十六次会议通过，山西省第十三届人民代表大会常务委员会第九次会议于2019年3月22日批准。</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default"/>
                <w:b/>
                <w:bCs/>
                <w:color w:val="auto"/>
                <w:kern w:val="0"/>
                <w:sz w:val="24"/>
                <w:lang w:val="en-US"/>
              </w:rPr>
            </w:pPr>
            <w:r>
              <w:rPr>
                <w:rFonts w:hint="eastAsia"/>
                <w:b/>
                <w:bCs/>
                <w:color w:val="auto"/>
                <w:kern w:val="0"/>
                <w:sz w:val="24"/>
                <w:lang w:val="en-US" w:eastAsia="zh-CN"/>
              </w:rPr>
              <w:t>根据《</w:t>
            </w:r>
            <w:r>
              <w:rPr>
                <w:rFonts w:hint="eastAsia"/>
                <w:b/>
                <w:bCs/>
                <w:color w:val="auto"/>
                <w:kern w:val="0"/>
                <w:sz w:val="24"/>
                <w:lang w:val="en-US" w:eastAsia="zh-CN"/>
              </w:rPr>
              <w:fldChar w:fldCharType="begin"/>
            </w:r>
            <w:r>
              <w:rPr>
                <w:rFonts w:hint="eastAsia"/>
                <w:b/>
                <w:bCs/>
                <w:color w:val="auto"/>
                <w:kern w:val="0"/>
                <w:sz w:val="24"/>
                <w:lang w:val="en-US" w:eastAsia="zh-CN"/>
              </w:rPr>
              <w:instrText xml:space="preserve"> HYPERLINK "https://baike.baidu.com/item/%E5%BF%BB%E5%B7%9E%E5%B8%82/528415?fromModule=lemma_inlink" \t "https://baike.baidu.com/item/%E5%BF%BB%E5%B7%9E%E5%B8%82%E6%BB%B9%E6%B2%B1%E6%B2%B3%E6%B5%81%E5%9F%9F%E7%94%9F%E6%80%81%E4%BF%AE%E5%A4%8D%E4%B8%8E%E4%BF%9D%E6%8A%A4%E6%9D%A1%E4%BE%8B/_blank" </w:instrText>
            </w:r>
            <w:r>
              <w:rPr>
                <w:rFonts w:hint="eastAsia"/>
                <w:b/>
                <w:bCs/>
                <w:color w:val="auto"/>
                <w:kern w:val="0"/>
                <w:sz w:val="24"/>
                <w:lang w:val="en-US" w:eastAsia="zh-CN"/>
              </w:rPr>
              <w:fldChar w:fldCharType="separate"/>
            </w:r>
            <w:r>
              <w:rPr>
                <w:rFonts w:hint="eastAsia"/>
                <w:b/>
                <w:bCs/>
                <w:color w:val="auto"/>
                <w:kern w:val="0"/>
                <w:sz w:val="24"/>
                <w:lang w:val="en-US" w:eastAsia="zh-CN"/>
              </w:rPr>
              <w:t>忻州市</w:t>
            </w:r>
            <w:r>
              <w:rPr>
                <w:rFonts w:hint="eastAsia"/>
                <w:b/>
                <w:bCs/>
                <w:color w:val="auto"/>
                <w:kern w:val="0"/>
                <w:sz w:val="24"/>
                <w:lang w:val="en-US" w:eastAsia="zh-CN"/>
              </w:rPr>
              <w:fldChar w:fldCharType="end"/>
            </w:r>
            <w:r>
              <w:rPr>
                <w:rFonts w:hint="eastAsia"/>
                <w:b/>
                <w:bCs/>
                <w:color w:val="auto"/>
                <w:kern w:val="0"/>
                <w:sz w:val="24"/>
                <w:lang w:val="en-US" w:eastAsia="zh-CN"/>
              </w:rPr>
              <w:t>滹沱河流域生态修复与保护条例》第三十条</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kern w:val="0"/>
                <w:sz w:val="24"/>
              </w:rPr>
            </w:pPr>
            <w:r>
              <w:rPr>
                <w:rFonts w:hint="eastAsia"/>
                <w:color w:val="auto"/>
                <w:kern w:val="0"/>
                <w:sz w:val="24"/>
                <w:lang w:val="en-US" w:eastAsia="zh-CN"/>
              </w:rPr>
              <w:t>自本条例实施之日起五年内，县（市、区）人民政府所在城镇和重点建制镇的生活污水应当纳入公共污水管网并经污水集中处理设施处理。禁止城乡生活污水、垃圾直接进入河道。</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kern w:val="0"/>
                <w:sz w:val="24"/>
              </w:rPr>
            </w:pPr>
            <w:r>
              <w:rPr>
                <w:rFonts w:hint="eastAsia"/>
                <w:color w:val="auto"/>
                <w:kern w:val="0"/>
                <w:sz w:val="24"/>
                <w:lang w:val="en-US" w:eastAsia="zh-CN"/>
              </w:rPr>
              <w:t>新建集中处理污水设施，应当符合脱氮除磷达标排放要求；现有的集中处理设施不符合脱氮除磷要求的，县（市、区）人民政府应当自本条例实施之日起一年内完成技术改造。</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eastAsia="宋体" w:cs="Times New Roman"/>
                <w:color w:val="auto"/>
                <w:sz w:val="24"/>
                <w:lang w:val="en-US" w:eastAsia="zh-CN"/>
              </w:rPr>
            </w:pPr>
            <w:r>
              <w:rPr>
                <w:rFonts w:hint="eastAsia"/>
                <w:b w:val="0"/>
                <w:bCs w:val="0"/>
                <w:color w:val="auto"/>
                <w:sz w:val="24"/>
                <w:lang w:val="en-US" w:eastAsia="zh-CN"/>
              </w:rPr>
              <w:t>本项目服务范围为五台县建安镇7个村庄，分别为瑶池村、潭上村、西建安村、大建安村、东建安村、张家庄村、檀村；以及服务范围内的食品加工企业、养殖企业；属于乡镇及农村生活污水处理设施。</w:t>
            </w:r>
            <w:r>
              <w:rPr>
                <w:rFonts w:hint="eastAsia"/>
                <w:color w:val="auto"/>
                <w:kern w:val="0"/>
                <w:sz w:val="24"/>
                <w:lang w:val="en-US" w:eastAsia="zh-CN"/>
              </w:rPr>
              <w:t>本项目污水处理厂出水指标中化学需氧量、氨氮、总磷执行山西省地方标准《污水综合排放标准》（DB14/1928-2019）中</w:t>
            </w:r>
            <w:r>
              <w:rPr>
                <w:rFonts w:hint="eastAsia"/>
                <w:color w:val="auto"/>
                <w:sz w:val="24"/>
                <w:lang w:val="en-US" w:eastAsia="zh-CN"/>
              </w:rPr>
              <w:t>表2中的限值，其他指标执行《城镇污水处理厂污染物排放标准》（GB18918-2002）表1一级A标准；满足排放要求。</w:t>
            </w:r>
          </w:p>
          <w:p>
            <w:pPr>
              <w:autoSpaceDE w:val="0"/>
              <w:autoSpaceDN w:val="0"/>
              <w:adjustRightInd w:val="0"/>
              <w:snapToGrid w:val="0"/>
              <w:spacing w:line="480" w:lineRule="exact"/>
              <w:ind w:firstLine="482" w:firstLineChars="200"/>
              <w:rPr>
                <w:rFonts w:hint="default" w:ascii="Times New Roman" w:hAnsi="Times New Roman" w:cs="Times New Roman"/>
                <w:b/>
                <w:bCs/>
                <w:color w:val="auto"/>
                <w:sz w:val="24"/>
                <w:szCs w:val="24"/>
                <w:lang w:val="en-US" w:eastAsia="zh-CN" w:bidi="ar"/>
              </w:rPr>
            </w:pPr>
            <w:r>
              <w:rPr>
                <w:rFonts w:hint="eastAsia" w:cs="Times New Roman"/>
                <w:b/>
                <w:bCs/>
                <w:color w:val="auto"/>
                <w:sz w:val="24"/>
                <w:szCs w:val="24"/>
                <w:lang w:val="en-US" w:eastAsia="zh-CN" w:bidi="ar"/>
              </w:rPr>
              <w:t>8、选址可行性分析</w:t>
            </w:r>
          </w:p>
          <w:p>
            <w:pPr>
              <w:autoSpaceDE w:val="0"/>
              <w:autoSpaceDN w:val="0"/>
              <w:adjustRightInd w:val="0"/>
              <w:snapToGrid w:val="0"/>
              <w:spacing w:line="480" w:lineRule="exact"/>
              <w:ind w:firstLine="480" w:firstLineChars="200"/>
              <w:rPr>
                <w:rFonts w:hint="eastAsia"/>
                <w:b w:val="0"/>
                <w:bCs/>
                <w:color w:val="auto"/>
                <w:sz w:val="24"/>
                <w:lang w:val="en-US" w:eastAsia="zh-CN"/>
              </w:rPr>
            </w:pPr>
            <w:r>
              <w:rPr>
                <w:rFonts w:hint="eastAsia"/>
                <w:b w:val="0"/>
                <w:bCs/>
                <w:color w:val="auto"/>
                <w:sz w:val="24"/>
                <w:lang w:val="en-US" w:eastAsia="zh-CN"/>
              </w:rPr>
              <w:t>①污水处理站选址符合性分析</w:t>
            </w:r>
          </w:p>
          <w:p>
            <w:pPr>
              <w:autoSpaceDE w:val="0"/>
              <w:autoSpaceDN w:val="0"/>
              <w:adjustRightInd w:val="0"/>
              <w:snapToGrid w:val="0"/>
              <w:spacing w:line="480" w:lineRule="exact"/>
              <w:ind w:firstLine="480" w:firstLineChars="200"/>
              <w:rPr>
                <w:rFonts w:hint="default"/>
                <w:b w:val="0"/>
                <w:bCs/>
                <w:color w:val="auto"/>
                <w:sz w:val="24"/>
                <w:lang w:val="en-US" w:eastAsia="zh-CN"/>
              </w:rPr>
            </w:pPr>
            <w:r>
              <w:rPr>
                <w:rFonts w:hint="eastAsia"/>
                <w:b w:val="0"/>
                <w:bCs/>
                <w:color w:val="auto"/>
                <w:sz w:val="24"/>
                <w:lang w:val="en-US" w:eastAsia="zh-CN"/>
              </w:rPr>
              <w:t>本项目污水处理站建设位置位于山西省忻州市五台县建安镇张家庄村北440m处，项目采用全地下式形式，各构筑物均加盖处理，并配套生物滤池除臭装置。同时加强绿化，在厂区的污水、污泥生产区周围设置绿化隔离带，选择种植不同系列的树种。本项目不在五台县各乡镇水源地保护区范围内，项目建成后，将会改善该区域生活污水乱排现状，对区域环境产生正效益。本项目的建设对周围村庄影响较小。本项目取得了用地预审与选址意见书（用字第140922202212008号）以及五台县自然资源局对用地预审与选址意见书得复函（无自然资函〔2022〕77号）；本项目符合国土空间规划。</w:t>
            </w:r>
          </w:p>
          <w:p>
            <w:pPr>
              <w:autoSpaceDE w:val="0"/>
              <w:autoSpaceDN w:val="0"/>
              <w:adjustRightInd w:val="0"/>
              <w:snapToGrid w:val="0"/>
              <w:spacing w:line="480" w:lineRule="exact"/>
              <w:ind w:firstLine="480" w:firstLineChars="200"/>
              <w:rPr>
                <w:rFonts w:hint="eastAsia"/>
                <w:b w:val="0"/>
                <w:bCs/>
                <w:color w:val="auto"/>
                <w:sz w:val="24"/>
                <w:lang w:val="en-US" w:eastAsia="zh-CN"/>
              </w:rPr>
            </w:pPr>
            <w:r>
              <w:rPr>
                <w:rFonts w:hint="eastAsia"/>
                <w:b w:val="0"/>
                <w:bCs/>
                <w:color w:val="auto"/>
                <w:sz w:val="24"/>
                <w:lang w:val="en-US" w:eastAsia="zh-CN"/>
              </w:rPr>
              <w:t>②与《农村生活污水处理技术指南》（DB/T727-2020）符合性分析</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bCs/>
                <w:color w:val="auto"/>
                <w:kern w:val="0"/>
                <w:sz w:val="32"/>
                <w:szCs w:val="32"/>
              </w:rPr>
            </w:pPr>
            <w:r>
              <w:rPr>
                <w:rFonts w:hint="eastAsia" w:ascii="黑体" w:hAnsi="黑体" w:eastAsia="黑体"/>
                <w:bCs/>
                <w:color w:val="auto"/>
                <w:sz w:val="24"/>
              </w:rPr>
              <w:t>表1-</w:t>
            </w:r>
            <w:r>
              <w:rPr>
                <w:rFonts w:hint="eastAsia" w:ascii="黑体" w:hAnsi="黑体" w:eastAsia="黑体"/>
                <w:bCs/>
                <w:color w:val="auto"/>
                <w:sz w:val="24"/>
                <w:lang w:val="en-US" w:eastAsia="zh-CN"/>
              </w:rPr>
              <w:t>7</w:t>
            </w:r>
            <w:r>
              <w:rPr>
                <w:rFonts w:hint="eastAsia" w:ascii="黑体" w:hAnsi="黑体" w:eastAsia="黑体"/>
                <w:bCs/>
                <w:color w:val="auto"/>
                <w:sz w:val="24"/>
              </w:rPr>
              <w:t xml:space="preserve">  </w:t>
            </w:r>
            <w:r>
              <w:rPr>
                <w:rFonts w:hint="eastAsia" w:ascii="黑体" w:hAnsi="黑体" w:eastAsia="黑体"/>
                <w:bCs/>
                <w:color w:val="auto"/>
                <w:sz w:val="24"/>
                <w:lang w:val="sq-AL"/>
              </w:rPr>
              <w:t>与《农村生活污水处理技术指南》（DB/T727-2020）符合性分析一览表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3411"/>
              <w:gridCol w:w="3334"/>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指南要求</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本项目建设内容</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一、设施选址和总体布置。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设施选址应在饮用水源下游和主导风向下风向，不受洪水或内涝威胁，且不影响行洪安全，并考虑卫生防护距离要求。</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拟建厂址在建安镇集中供水水源井下游约2.35km处；距最近的村庄约0.44km，对敏感点影响较小。同时本项目拟建厂址位于东建安村下风向；张家庄村位于侧风向位置。</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设施建设宜选在地质条件较好的地段，优先利用废旧河道、坑塘、沟谷、荒地等闲置土地。</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项目拟建厂址占用农用地，</w:t>
                  </w:r>
                  <w:r>
                    <w:rPr>
                      <w:rFonts w:hint="default" w:ascii="Times New Roman" w:hAnsi="Times New Roman" w:eastAsia="宋体" w:cs="Times New Roman"/>
                      <w:color w:val="auto"/>
                      <w:sz w:val="21"/>
                      <w:szCs w:val="21"/>
                      <w:highlight w:val="none"/>
                      <w:lang w:val="en-US" w:eastAsia="zh-CN"/>
                    </w:rPr>
                    <w:t>项目取得了用地预审与选址意见书（用字第140922202212008号）以及五台县自然资源局对用地预审与选址意见书得复函（无自然资函〔2022〕77号）；</w:t>
                  </w:r>
                  <w:r>
                    <w:rPr>
                      <w:rFonts w:hint="eastAsia" w:cs="Times New Roman"/>
                      <w:color w:val="auto"/>
                      <w:sz w:val="21"/>
                      <w:szCs w:val="21"/>
                      <w:highlight w:val="none"/>
                      <w:lang w:val="en-US" w:eastAsia="zh-CN"/>
                    </w:rPr>
                    <w:t>后续将用地性质变更为建设用地；</w:t>
                  </w:r>
                  <w:r>
                    <w:rPr>
                      <w:rFonts w:hint="default" w:ascii="Times New Roman" w:hAnsi="Times New Roman" w:eastAsia="宋体" w:cs="Times New Roman"/>
                      <w:color w:val="auto"/>
                      <w:sz w:val="21"/>
                      <w:szCs w:val="21"/>
                      <w:highlight w:val="none"/>
                      <w:lang w:val="en-US" w:eastAsia="zh-CN"/>
                    </w:rPr>
                    <w:t>本项目符合国土空间规划。</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处理设施应采取防渗措施防止污染地下水，宜采取地埋等保温措施改善冬季处理效果。</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本次评价对污水处理站提出了防渗措施要求，并采用全地下式形式保温</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高程布置应充分利用原有地形，符合排水通畅、降低能耗、平衡土石方的要求。</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本项目污水处理站选于地势较低处，以便于污水收集处理</w:t>
                  </w:r>
                  <w:r>
                    <w:rPr>
                      <w:rFonts w:hint="eastAsia" w:cs="Times New Roman"/>
                      <w:color w:val="auto"/>
                      <w:sz w:val="21"/>
                      <w:szCs w:val="21"/>
                      <w:highlight w:val="none"/>
                      <w:lang w:eastAsia="zh-CN"/>
                    </w:rPr>
                    <w:t>。</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二、污水处理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1</w:t>
                  </w:r>
                </w:p>
              </w:tc>
              <w:tc>
                <w:tcPr>
                  <w:tcW w:w="453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shd w:val="clear" w:color="auto" w:fill="FFFFFF"/>
                    </w:rPr>
                    <w:t>处理模式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1.1</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距离城镇污水管网较近，且城镇污水处理设施具有足够处理能力时，优先采用纳管处理。</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本项目所</w:t>
                  </w:r>
                  <w:r>
                    <w:rPr>
                      <w:rFonts w:hint="default" w:ascii="Times New Roman" w:hAnsi="Times New Roman" w:eastAsia="宋体" w:cs="Times New Roman"/>
                      <w:color w:val="auto"/>
                      <w:sz w:val="21"/>
                      <w:szCs w:val="21"/>
                      <w:highlight w:val="none"/>
                      <w:lang w:val="en-US" w:eastAsia="zh-CN"/>
                    </w:rPr>
                    <w:t>建</w:t>
                  </w:r>
                  <w:r>
                    <w:rPr>
                      <w:rFonts w:hint="default" w:ascii="Times New Roman" w:hAnsi="Times New Roman" w:eastAsia="宋体" w:cs="Times New Roman"/>
                      <w:color w:val="auto"/>
                      <w:sz w:val="21"/>
                      <w:szCs w:val="21"/>
                      <w:highlight w:val="none"/>
                    </w:rPr>
                    <w:t>污水处理站附近目前无城镇污水管网铺设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根据建设单位提供资料，本项目需配套的管网已进行了专项设计。</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1.2</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距离城镇污水管网较远，人口数量较多（&gt;2000 人），居住集中，管网铺设条件较好的村庄宜采用集中处理；人口数量较少（&lt;100 人），居住分散，山区丘陵地带的村庄宜采用分散处理；人口数量在 100～2000 之间的村庄，根据当地自然经济条件，选择分散处理或集中处理。</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本项目采用铺设管网，集中处理的方式对农村生活污水进行处理</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2</w:t>
                  </w:r>
                </w:p>
              </w:tc>
              <w:tc>
                <w:tcPr>
                  <w:tcW w:w="453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shd w:val="clear" w:color="auto" w:fill="FFFFFF"/>
                    </w:rPr>
                    <w:t>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2.1</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eastAsia="宋体" w:cs="Times New Roman"/>
                      <w:b/>
                      <w:bCs/>
                      <w:color w:val="auto"/>
                      <w:sz w:val="21"/>
                      <w:szCs w:val="21"/>
                      <w:highlight w:val="none"/>
                      <w:shd w:val="clear" w:color="auto" w:fill="FFFFFF"/>
                    </w:rPr>
                    <w:t>工艺分类。</w:t>
                  </w:r>
                  <w:r>
                    <w:rPr>
                      <w:rFonts w:hint="default" w:ascii="Times New Roman" w:hAnsi="Times New Roman" w:eastAsia="宋体" w:cs="Times New Roman"/>
                      <w:color w:val="auto"/>
                      <w:sz w:val="21"/>
                      <w:szCs w:val="21"/>
                      <w:highlight w:val="none"/>
                      <w:shd w:val="clear" w:color="auto" w:fill="FFFFFF"/>
                    </w:rPr>
                    <w:t>农村生活污水处理工艺可分为预处理、生物处理、生态处理等。预处理包括除渣、水质水量调节、沉淀等；生物处理包括活性污泥法、生物膜法等；生态处理包括人工湿地等</w:t>
                  </w:r>
                  <w:r>
                    <w:rPr>
                      <w:rFonts w:hint="eastAsia" w:cs="Times New Roman"/>
                      <w:color w:val="auto"/>
                      <w:sz w:val="21"/>
                      <w:szCs w:val="21"/>
                      <w:highlight w:val="none"/>
                      <w:shd w:val="clear" w:color="auto" w:fill="FFFFFF"/>
                      <w:lang w:eastAsia="zh-CN"/>
                    </w:rPr>
                    <w:t>。</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本工程污水处理工艺方案为：预处理+初沉池+五段A/O+机械絮凝+斜管沉淀池+V型滤池+消毒。</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2.2</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预处理。</w:t>
                  </w:r>
                  <w:r>
                    <w:rPr>
                      <w:rFonts w:hint="default" w:ascii="Times New Roman" w:hAnsi="Times New Roman" w:eastAsia="宋体" w:cs="Times New Roman"/>
                      <w:color w:val="auto"/>
                      <w:sz w:val="21"/>
                      <w:szCs w:val="21"/>
                      <w:highlight w:val="none"/>
                      <w:shd w:val="clear" w:color="auto" w:fill="FFFFFF"/>
                    </w:rPr>
                    <w:t>①农家乐、饭店等餐饮设施的排水应先进行隔油处理才可排入管网，处理后动植物油含量不得超过 100mg/L。 ②农村生活污水处理应设置除渣设施，除渣设施可选用机械格栅、人工格栅或格网。</w:t>
                  </w:r>
                </w:p>
              </w:tc>
              <w:tc>
                <w:tcPr>
                  <w:tcW w:w="1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本项目要求</w:t>
                  </w:r>
                  <w:r>
                    <w:rPr>
                      <w:rFonts w:hint="default" w:ascii="Times New Roman" w:hAnsi="Times New Roman" w:eastAsia="宋体" w:cs="Times New Roman"/>
                      <w:color w:val="auto"/>
                      <w:sz w:val="21"/>
                      <w:szCs w:val="21"/>
                      <w:highlight w:val="none"/>
                      <w:shd w:val="clear" w:color="auto" w:fill="FFFFFF"/>
                    </w:rPr>
                    <w:t>农家乐、饭店等餐饮设施的排水应先进行隔油处理才可排入管网，处理后动植物油含量不得超过 100mg/L；并设置除渣设施</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autoSpaceDE w:val="0"/>
              <w:autoSpaceDN w:val="0"/>
              <w:adjustRightInd w:val="0"/>
              <w:snapToGrid w:val="0"/>
              <w:spacing w:line="480" w:lineRule="exact"/>
              <w:ind w:firstLine="480" w:firstLineChars="200"/>
              <w:rPr>
                <w:rFonts w:hint="eastAsia"/>
                <w:b w:val="0"/>
                <w:bCs/>
                <w:color w:val="auto"/>
                <w:sz w:val="24"/>
                <w:lang w:val="en-US" w:eastAsia="zh-CN"/>
              </w:rPr>
            </w:pPr>
            <w:r>
              <w:rPr>
                <w:rFonts w:hint="eastAsia"/>
                <w:b w:val="0"/>
                <w:bCs/>
                <w:color w:val="auto"/>
                <w:sz w:val="24"/>
                <w:lang w:val="en-US" w:eastAsia="zh-CN"/>
              </w:rPr>
              <w:t>综上所述，本项目选址符合相关设计规范建设要求。</w:t>
            </w: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eastAsia"/>
                <w:b w:val="0"/>
                <w:bCs/>
                <w:color w:val="auto"/>
                <w:sz w:val="24"/>
                <w:lang w:val="en-US" w:eastAsia="zh-CN"/>
              </w:rPr>
            </w:pPr>
          </w:p>
          <w:p>
            <w:pPr>
              <w:autoSpaceDE w:val="0"/>
              <w:autoSpaceDN w:val="0"/>
              <w:adjustRightInd w:val="0"/>
              <w:snapToGrid w:val="0"/>
              <w:spacing w:line="480" w:lineRule="exact"/>
              <w:ind w:firstLine="480" w:firstLineChars="200"/>
              <w:rPr>
                <w:rFonts w:hint="default"/>
                <w:color w:val="auto"/>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40" w:lineRule="exact"/>
        <w:textAlignment w:val="auto"/>
        <w:rPr>
          <w:color w:val="auto"/>
        </w:rPr>
      </w:pPr>
    </w:p>
    <w:p>
      <w:pPr>
        <w:keepNext w:val="0"/>
        <w:keepLines w:val="0"/>
        <w:pageBreakBefore w:val="0"/>
        <w:widowControl w:val="0"/>
        <w:kinsoku/>
        <w:wordWrap/>
        <w:overflowPunct/>
        <w:topLinePunct w:val="0"/>
        <w:autoSpaceDE/>
        <w:autoSpaceDN/>
        <w:bidi w:val="0"/>
        <w:adjustRightInd/>
        <w:snapToGrid/>
        <w:spacing w:line="40" w:lineRule="exact"/>
        <w:textAlignment w:val="auto"/>
        <w:rPr>
          <w:color w:val="auto"/>
        </w:rPr>
        <w:sectPr>
          <w:headerReference r:id="rId4" w:type="default"/>
          <w:footerReference r:id="rId5" w:type="default"/>
          <w:pgSz w:w="11906" w:h="16838"/>
          <w:pgMar w:top="1701" w:right="1531" w:bottom="1701" w:left="1531" w:header="1134" w:footer="992" w:gutter="0"/>
          <w:pgNumType w:start="1"/>
          <w:cols w:space="425" w:num="1"/>
          <w:docGrid w:type="lines" w:linePitch="312" w:charSpace="0"/>
        </w:sectPr>
      </w:pPr>
    </w:p>
    <w:p>
      <w:pPr>
        <w:pStyle w:val="23"/>
        <w:spacing w:before="0" w:beforeAutospacing="0" w:after="0" w:afterAutospacing="0"/>
        <w:jc w:val="center"/>
        <w:outlineLvl w:val="0"/>
        <w:rPr>
          <w:rFonts w:ascii="黑体" w:hAnsi="黑体" w:eastAsia="黑体"/>
          <w:color w:val="auto"/>
          <w:sz w:val="30"/>
          <w:szCs w:val="30"/>
        </w:rPr>
      </w:pPr>
      <w:bookmarkStart w:id="2" w:name="_Toc2679"/>
      <w:r>
        <w:rPr>
          <w:rFonts w:hint="eastAsia" w:ascii="黑体" w:hAnsi="黑体" w:eastAsia="黑体"/>
          <w:color w:val="auto"/>
          <w:sz w:val="30"/>
          <w:szCs w:val="30"/>
        </w:rPr>
        <w:t>二、建设项目工程分析</w:t>
      </w:r>
      <w:bookmarkEnd w:id="2"/>
    </w:p>
    <w:tbl>
      <w:tblPr>
        <w:tblStyle w:val="27"/>
        <w:tblW w:w="52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62" w:hRule="atLeast"/>
          <w:jc w:val="center"/>
        </w:trPr>
        <w:tc>
          <w:tcPr>
            <w:tcW w:w="225" w:type="pct"/>
            <w:vAlign w:val="center"/>
          </w:tcPr>
          <w:p>
            <w:pPr>
              <w:pStyle w:val="23"/>
              <w:adjustRightInd w:val="0"/>
              <w:snapToGrid w:val="0"/>
              <w:spacing w:before="0" w:beforeAutospacing="0" w:after="0" w:afterAutospacing="0"/>
              <w:jc w:val="center"/>
              <w:rPr>
                <w:color w:val="auto"/>
                <w:sz w:val="21"/>
                <w:szCs w:val="21"/>
              </w:rPr>
            </w:pPr>
            <w:r>
              <w:rPr>
                <w:rFonts w:hint="eastAsia"/>
                <w:color w:val="auto"/>
                <w:sz w:val="21"/>
                <w:szCs w:val="21"/>
              </w:rPr>
              <w:t>建设内容</w:t>
            </w:r>
          </w:p>
        </w:tc>
        <w:tc>
          <w:tcPr>
            <w:tcW w:w="4774" w:type="pct"/>
          </w:tcPr>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color w:val="auto"/>
                <w:sz w:val="24"/>
              </w:rPr>
            </w:pPr>
            <w:r>
              <w:rPr>
                <w:rFonts w:hint="eastAsia"/>
                <w:b/>
                <w:color w:val="auto"/>
                <w:sz w:val="24"/>
                <w:lang w:val="en-US" w:eastAsia="zh-CN"/>
              </w:rPr>
              <w:t>1</w:t>
            </w:r>
            <w:r>
              <w:rPr>
                <w:rFonts w:hint="eastAsia"/>
                <w:b/>
                <w:color w:val="auto"/>
                <w:sz w:val="24"/>
              </w:rPr>
              <w:t>、项目概况</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val="0"/>
                <w:bCs/>
                <w:color w:val="auto"/>
                <w:sz w:val="24"/>
              </w:rPr>
            </w:pPr>
            <w:r>
              <w:rPr>
                <w:rFonts w:hint="eastAsia"/>
                <w:b/>
                <w:color w:val="auto"/>
                <w:sz w:val="24"/>
              </w:rPr>
              <w:t>项目名称：</w:t>
            </w:r>
            <w:r>
              <w:rPr>
                <w:rFonts w:hint="eastAsia"/>
                <w:b w:val="0"/>
                <w:bCs/>
                <w:color w:val="auto"/>
                <w:sz w:val="24"/>
                <w:lang w:val="en-US" w:eastAsia="zh-CN"/>
              </w:rPr>
              <w:t>五台县沱南污水处理厂建设项目</w:t>
            </w:r>
            <w:r>
              <w:rPr>
                <w:rFonts w:hint="eastAsia"/>
                <w:b w:val="0"/>
                <w:bCs/>
                <w:color w:val="auto"/>
                <w:sz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Cs/>
                <w:color w:val="auto"/>
                <w:sz w:val="24"/>
              </w:rPr>
            </w:pPr>
            <w:r>
              <w:rPr>
                <w:rFonts w:hint="eastAsia"/>
                <w:b/>
                <w:color w:val="auto"/>
                <w:sz w:val="24"/>
              </w:rPr>
              <w:t>项目代码：</w:t>
            </w:r>
            <w:r>
              <w:rPr>
                <w:rFonts w:hint="eastAsia" w:cs="Times New Roman"/>
                <w:bCs/>
                <w:color w:val="auto"/>
                <w:sz w:val="24"/>
                <w:lang w:val="en-US" w:eastAsia="zh-CN"/>
              </w:rPr>
              <w:t>2209-140922-89-01-782431</w:t>
            </w:r>
            <w:r>
              <w:rPr>
                <w:rFonts w:hint="eastAsia"/>
                <w:bCs/>
                <w:color w:val="auto"/>
                <w:sz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Cs/>
                <w:color w:val="auto"/>
                <w:sz w:val="24"/>
              </w:rPr>
            </w:pPr>
            <w:r>
              <w:rPr>
                <w:rFonts w:hint="eastAsia"/>
                <w:b/>
                <w:color w:val="auto"/>
                <w:sz w:val="24"/>
              </w:rPr>
              <w:t>建设单位：</w:t>
            </w:r>
            <w:r>
              <w:rPr>
                <w:rFonts w:hint="eastAsia"/>
                <w:b w:val="0"/>
                <w:bCs/>
                <w:color w:val="auto"/>
                <w:sz w:val="24"/>
                <w:lang w:val="en-US" w:eastAsia="zh-CN"/>
              </w:rPr>
              <w:t>五台县兴台基建开发有限公司</w:t>
            </w:r>
            <w:r>
              <w:rPr>
                <w:rFonts w:hint="eastAsia"/>
                <w:b w:val="0"/>
                <w:bCs/>
                <w:color w:val="auto"/>
                <w:sz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Cs/>
                <w:color w:val="auto"/>
                <w:sz w:val="24"/>
              </w:rPr>
            </w:pPr>
            <w:r>
              <w:rPr>
                <w:rFonts w:hint="eastAsia"/>
                <w:b/>
                <w:color w:val="auto"/>
                <w:sz w:val="24"/>
              </w:rPr>
              <w:t>建设性质：</w:t>
            </w:r>
            <w:r>
              <w:rPr>
                <w:rFonts w:hint="eastAsia"/>
                <w:bCs/>
                <w:color w:val="auto"/>
                <w:sz w:val="24"/>
              </w:rPr>
              <w:t>新建；</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eastAsia="宋体"/>
                <w:color w:val="auto"/>
                <w:sz w:val="24"/>
                <w:lang w:val="en-US" w:eastAsia="zh-CN"/>
              </w:rPr>
            </w:pPr>
            <w:r>
              <w:rPr>
                <w:rFonts w:hint="eastAsia"/>
                <w:b/>
                <w:color w:val="auto"/>
                <w:sz w:val="24"/>
              </w:rPr>
              <w:t>建设地点：</w:t>
            </w:r>
            <w:r>
              <w:rPr>
                <w:rFonts w:hint="eastAsia"/>
                <w:b w:val="0"/>
                <w:bCs/>
                <w:color w:val="auto"/>
                <w:sz w:val="24"/>
              </w:rPr>
              <w:t>山西省忻州市五台县建安镇张家庄村北440m处</w:t>
            </w:r>
            <w:r>
              <w:rPr>
                <w:rFonts w:hint="eastAsia"/>
                <w:b w:val="0"/>
                <w:bCs/>
                <w:color w:val="auto"/>
                <w:sz w:val="24"/>
                <w:lang w:eastAsia="zh-CN"/>
              </w:rPr>
              <w:t>，</w:t>
            </w:r>
            <w:r>
              <w:rPr>
                <w:rFonts w:hint="eastAsia"/>
                <w:b w:val="0"/>
                <w:bCs/>
                <w:color w:val="auto"/>
                <w:sz w:val="24"/>
                <w:lang w:val="en-US" w:eastAsia="zh-CN"/>
              </w:rPr>
              <w:t>占地面积为0.8998公顷，均为农用地</w:t>
            </w:r>
            <w:r>
              <w:rPr>
                <w:rFonts w:hint="eastAsia"/>
                <w:b w:val="0"/>
                <w:bCs/>
                <w:color w:val="auto"/>
                <w:sz w:val="24"/>
                <w:lang w:eastAsia="zh-CN"/>
              </w:rPr>
              <w:t>；</w:t>
            </w:r>
            <w:r>
              <w:rPr>
                <w:rFonts w:hint="eastAsia"/>
                <w:b w:val="0"/>
                <w:bCs/>
                <w:color w:val="auto"/>
                <w:sz w:val="24"/>
                <w:lang w:val="en-US" w:eastAsia="zh-CN"/>
              </w:rPr>
              <w:t>五台县行政审批服务管理局于2022年9月23日对本项目出具了用地预审与选址意见书（见附件），本项目符合国土空间用途管制要求。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eastAsia="宋体"/>
                <w:b/>
                <w:bCs/>
                <w:color w:val="auto"/>
                <w:sz w:val="24"/>
                <w:lang w:val="en-US" w:eastAsia="zh-CN"/>
              </w:rPr>
            </w:pPr>
            <w:r>
              <w:rPr>
                <w:rFonts w:hint="eastAsia"/>
                <w:b/>
                <w:bCs/>
                <w:color w:val="auto"/>
                <w:sz w:val="24"/>
                <w:lang w:val="en-US" w:eastAsia="zh-CN"/>
              </w:rPr>
              <w:t>服务范围：</w:t>
            </w:r>
            <w:r>
              <w:rPr>
                <w:rFonts w:hint="eastAsia"/>
                <w:b w:val="0"/>
                <w:bCs w:val="0"/>
                <w:color w:val="auto"/>
                <w:sz w:val="24"/>
                <w:lang w:val="en-US" w:eastAsia="zh-CN"/>
              </w:rPr>
              <w:t>本项目服务范围为建安镇7个村庄，分别为瑶池村、潭上村、西建安村、大建安村、东建安村、张家庄村、檀村；以及服务范围内的食品加工企业、养殖企业。</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b w:val="0"/>
                <w:bCs w:val="0"/>
                <w:color w:val="auto"/>
                <w:sz w:val="24"/>
                <w:lang w:val="en-US" w:eastAsia="zh-CN"/>
              </w:rPr>
            </w:pPr>
            <w:r>
              <w:rPr>
                <w:rFonts w:hint="eastAsia"/>
                <w:b/>
                <w:bCs/>
                <w:color w:val="auto"/>
                <w:sz w:val="24"/>
              </w:rPr>
              <w:t>建设</w:t>
            </w:r>
            <w:r>
              <w:rPr>
                <w:rFonts w:hint="eastAsia"/>
                <w:b/>
                <w:bCs/>
                <w:color w:val="auto"/>
                <w:sz w:val="24"/>
                <w:lang w:val="en-US" w:eastAsia="zh-CN"/>
              </w:rPr>
              <w:t>规模</w:t>
            </w:r>
            <w:r>
              <w:rPr>
                <w:rFonts w:hint="eastAsia"/>
                <w:b/>
                <w:bCs/>
                <w:color w:val="auto"/>
                <w:sz w:val="24"/>
              </w:rPr>
              <w:t>：</w:t>
            </w:r>
            <w:r>
              <w:rPr>
                <w:rFonts w:hint="eastAsia"/>
                <w:b w:val="0"/>
                <w:bCs w:val="0"/>
                <w:color w:val="auto"/>
                <w:sz w:val="24"/>
                <w:lang w:val="en-US" w:eastAsia="zh-CN"/>
              </w:rPr>
              <w:t>项目新建沱南污水处理厂一座，设计规模为2000m</w:t>
            </w:r>
            <w:r>
              <w:rPr>
                <w:rFonts w:hint="eastAsia"/>
                <w:b w:val="0"/>
                <w:bCs w:val="0"/>
                <w:color w:val="auto"/>
                <w:sz w:val="24"/>
                <w:vertAlign w:val="superscript"/>
                <w:lang w:val="en-US" w:eastAsia="zh-CN"/>
              </w:rPr>
              <w:t>3</w:t>
            </w:r>
            <w:r>
              <w:rPr>
                <w:rFonts w:hint="eastAsia"/>
                <w:b w:val="0"/>
                <w:bCs w:val="0"/>
                <w:color w:val="auto"/>
                <w:sz w:val="24"/>
                <w:lang w:val="en-US" w:eastAsia="zh-CN"/>
              </w:rPr>
              <w:t>/d。</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b w:val="0"/>
                <w:bCs w:val="0"/>
                <w:color w:val="auto"/>
                <w:sz w:val="24"/>
                <w:lang w:val="en-US"/>
              </w:rPr>
            </w:pPr>
            <w:r>
              <w:rPr>
                <w:rFonts w:hint="eastAsia"/>
                <w:b/>
                <w:bCs/>
                <w:color w:val="auto"/>
                <w:sz w:val="24"/>
                <w:lang w:val="en-US" w:eastAsia="zh-CN"/>
              </w:rPr>
              <w:t>劳动定员及工作制度：</w:t>
            </w:r>
            <w:r>
              <w:rPr>
                <w:rFonts w:hint="eastAsia"/>
                <w:b w:val="0"/>
                <w:bCs w:val="0"/>
                <w:color w:val="auto"/>
                <w:sz w:val="24"/>
                <w:lang w:val="en-US" w:eastAsia="zh-CN"/>
              </w:rPr>
              <w:t>本项目劳动定员12人，全年运行，3班制。</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lang w:val="en-US" w:eastAsia="zh-CN"/>
              </w:rPr>
            </w:pPr>
            <w:r>
              <w:rPr>
                <w:rFonts w:hint="eastAsia"/>
                <w:b/>
                <w:bCs/>
                <w:color w:val="auto"/>
                <w:sz w:val="24"/>
                <w:lang w:val="en-US" w:eastAsia="zh-CN"/>
              </w:rPr>
              <w:t>2、服务范围及人口</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pPr>
            <w:r>
              <w:rPr>
                <w:rFonts w:hint="eastAsia"/>
                <w:color w:val="auto"/>
                <w:sz w:val="24"/>
                <w:lang w:val="en-US" w:eastAsia="zh-CN"/>
              </w:rPr>
              <w:t>本项目服务范围为建安镇分别为瑶池村、潭上村、西建安村、大建安村、东建安村、张家庄村和檀村</w:t>
            </w:r>
            <w:r>
              <w:rPr>
                <w:rFonts w:hint="default"/>
                <w:color w:val="auto"/>
                <w:sz w:val="24"/>
                <w:lang w:val="en-US" w:eastAsia="zh-CN"/>
              </w:rPr>
              <w:t>7</w:t>
            </w:r>
            <w:r>
              <w:rPr>
                <w:rFonts w:hint="eastAsia"/>
                <w:color w:val="auto"/>
                <w:sz w:val="24"/>
                <w:lang w:val="en-US" w:eastAsia="zh-CN"/>
              </w:rPr>
              <w:t>个村庄；以及</w:t>
            </w:r>
            <w:r>
              <w:rPr>
                <w:rFonts w:hint="eastAsia"/>
                <w:b w:val="0"/>
                <w:bCs w:val="0"/>
                <w:color w:val="auto"/>
                <w:sz w:val="24"/>
                <w:lang w:val="en-US" w:eastAsia="zh-CN"/>
              </w:rPr>
              <w:t>服务范围内的食品加工企业、养殖企业。</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lang w:val="en-US" w:eastAsia="zh-CN"/>
              </w:rPr>
            </w:pPr>
            <w:r>
              <w:rPr>
                <w:rFonts w:hint="eastAsia"/>
                <w:b/>
                <w:bCs/>
                <w:color w:val="auto"/>
                <w:sz w:val="24"/>
                <w:lang w:val="en-US" w:eastAsia="zh-CN"/>
              </w:rPr>
              <w:t>3、设计规模</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lang w:val="en-US" w:eastAsia="zh-CN"/>
              </w:rPr>
            </w:pPr>
            <w:r>
              <w:rPr>
                <w:rFonts w:hint="eastAsia"/>
                <w:b/>
                <w:bCs/>
                <w:color w:val="auto"/>
                <w:sz w:val="24"/>
                <w:lang w:val="en-US" w:eastAsia="zh-CN"/>
              </w:rPr>
              <w:t>（1）污水量预测参数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r>
              <w:rPr>
                <w:rFonts w:hint="eastAsia"/>
                <w:color w:val="auto"/>
                <w:sz w:val="24"/>
                <w:lang w:val="en-US" w:eastAsia="zh-CN"/>
              </w:rPr>
              <w:t xml:space="preserve">①人均综合生活用水量指标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r>
              <w:rPr>
                <w:rFonts w:hint="eastAsia"/>
                <w:color w:val="auto"/>
                <w:sz w:val="24"/>
                <w:lang w:val="en-US" w:eastAsia="zh-CN"/>
              </w:rPr>
              <w:t>随着人们生活水平的提高、城镇化水平的加快，生活用水量相应增加。根据《农村生活污水处理技术指南（DB14T727-2020）》，农村人均综合生活污水排放指标为80L/人·日。</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lang w:val="en-US" w:eastAsia="zh-CN"/>
              </w:rPr>
            </w:pPr>
            <w:r>
              <w:rPr>
                <w:rFonts w:hint="default"/>
                <w:color w:val="auto"/>
                <w:sz w:val="24"/>
                <w:lang w:val="en-US" w:eastAsia="zh-CN"/>
              </w:rPr>
              <w:t>②畜禽养殖废水最高允许排放量指标</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表2-1  畜禽养殖废水最高允许排放量一览表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1630"/>
              <w:gridCol w:w="1630"/>
              <w:gridCol w:w="1632"/>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种类</w:t>
                  </w:r>
                </w:p>
              </w:tc>
              <w:tc>
                <w:tcPr>
                  <w:tcW w:w="9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羊</w:t>
                  </w:r>
                </w:p>
              </w:tc>
              <w:tc>
                <w:tcPr>
                  <w:tcW w:w="9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猪</w:t>
                  </w:r>
                </w:p>
              </w:tc>
              <w:tc>
                <w:tcPr>
                  <w:tcW w:w="9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牛</w:t>
                  </w:r>
                </w:p>
              </w:tc>
              <w:tc>
                <w:tcPr>
                  <w:tcW w:w="9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用水量（m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/百头·d）</w:t>
                  </w:r>
                </w:p>
              </w:tc>
              <w:tc>
                <w:tcPr>
                  <w:tcW w:w="9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1.2</w:t>
                  </w:r>
                </w:p>
              </w:tc>
              <w:tc>
                <w:tcPr>
                  <w:tcW w:w="9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3.5</w:t>
                  </w:r>
                </w:p>
              </w:tc>
              <w:tc>
                <w:tcPr>
                  <w:tcW w:w="9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30</w:t>
                  </w:r>
                </w:p>
              </w:tc>
              <w:tc>
                <w:tcPr>
                  <w:tcW w:w="9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1.2</w:t>
                  </w:r>
                </w:p>
              </w:tc>
            </w:tr>
          </w:tbl>
          <w:p>
            <w:pPr>
              <w:adjustRightInd w:val="0"/>
              <w:snapToGrid w:val="0"/>
              <w:spacing w:line="480" w:lineRule="exact"/>
              <w:ind w:firstLine="482" w:firstLineChars="200"/>
              <w:rPr>
                <w:rFonts w:hint="eastAsia"/>
                <w:b/>
                <w:bCs/>
                <w:color w:val="auto"/>
                <w:sz w:val="24"/>
              </w:rPr>
            </w:pPr>
            <w:r>
              <w:rPr>
                <w:rFonts w:hint="eastAsia"/>
                <w:b/>
                <w:bCs/>
                <w:color w:val="auto"/>
                <w:sz w:val="24"/>
                <w:lang w:val="en-US" w:eastAsia="zh-CN"/>
              </w:rPr>
              <w:t>（2）污水量预测</w:t>
            </w:r>
          </w:p>
          <w:p>
            <w:pPr>
              <w:adjustRightInd w:val="0"/>
              <w:snapToGrid w:val="0"/>
              <w:spacing w:line="480" w:lineRule="exact"/>
              <w:ind w:firstLine="480" w:firstLineChars="200"/>
              <w:rPr>
                <w:rFonts w:hint="eastAsia"/>
                <w:b w:val="0"/>
                <w:bCs w:val="0"/>
                <w:color w:val="auto"/>
                <w:sz w:val="24"/>
              </w:rPr>
            </w:pPr>
            <w:r>
              <w:rPr>
                <w:rFonts w:hint="eastAsia"/>
                <w:b w:val="0"/>
                <w:bCs w:val="0"/>
                <w:color w:val="auto"/>
                <w:sz w:val="24"/>
                <w:lang w:val="en-US" w:eastAsia="zh-CN"/>
              </w:rPr>
              <w:t>本工程污水由综合生活污水、畜禽养殖废水、食品加工废水、地下水入渗水量组成。综合生活污水量可根据有关设计规范按服务区人口和人均综合生活污水定额计算；畜禽养殖废水量根据畜禽养殖数量及单位养殖用水量计算；地下水入渗水量按综合生活污水量、畜禽养殖废水量及食品加工废水三者之和的15%计。</w:t>
            </w:r>
          </w:p>
          <w:p>
            <w:pPr>
              <w:adjustRightInd w:val="0"/>
              <w:snapToGrid w:val="0"/>
              <w:spacing w:line="480" w:lineRule="exact"/>
              <w:ind w:firstLine="480" w:firstLineChars="200"/>
              <w:rPr>
                <w:rFonts w:hint="eastAsia"/>
                <w:b w:val="0"/>
                <w:bCs w:val="0"/>
                <w:color w:val="auto"/>
                <w:sz w:val="24"/>
              </w:rPr>
            </w:pPr>
            <w:r>
              <w:rPr>
                <w:rFonts w:hint="eastAsia"/>
                <w:b w:val="0"/>
                <w:bCs w:val="0"/>
                <w:color w:val="auto"/>
                <w:sz w:val="24"/>
                <w:lang w:val="en-US" w:eastAsia="zh-CN"/>
              </w:rPr>
              <w:t>①综合生活污水量</w:t>
            </w:r>
          </w:p>
          <w:p>
            <w:pPr>
              <w:adjustRightInd w:val="0"/>
              <w:snapToGrid w:val="0"/>
              <w:spacing w:line="480" w:lineRule="exact"/>
              <w:ind w:firstLine="480" w:firstLineChars="200"/>
              <w:rPr>
                <w:rFonts w:hint="eastAsia"/>
                <w:b w:val="0"/>
                <w:bCs w:val="0"/>
                <w:color w:val="auto"/>
                <w:sz w:val="24"/>
              </w:rPr>
            </w:pPr>
            <w:r>
              <w:rPr>
                <w:rFonts w:hint="eastAsia"/>
                <w:b w:val="0"/>
                <w:bCs w:val="0"/>
                <w:color w:val="auto"/>
                <w:sz w:val="24"/>
                <w:lang w:val="en-US" w:eastAsia="zh-CN"/>
              </w:rPr>
              <w:t>本项目收集建安镇7个村庄生活污水，现状污水量为1290.64m</w:t>
            </w:r>
            <w:r>
              <w:rPr>
                <w:rFonts w:hint="eastAsia"/>
                <w:b w:val="0"/>
                <w:bCs w:val="0"/>
                <w:color w:val="auto"/>
                <w:sz w:val="24"/>
                <w:vertAlign w:val="superscript"/>
                <w:lang w:val="en-US" w:eastAsia="zh-CN"/>
              </w:rPr>
              <w:t>3</w:t>
            </w:r>
            <w:r>
              <w:rPr>
                <w:rFonts w:hint="eastAsia"/>
                <w:b w:val="0"/>
                <w:bCs w:val="0"/>
                <w:color w:val="auto"/>
                <w:sz w:val="24"/>
                <w:lang w:val="en-US" w:eastAsia="zh-CN"/>
              </w:rPr>
              <w:t>/d，具体各村庄污水量计算值见下表。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  建安镇生活污水量计算一览表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522"/>
              <w:gridCol w:w="1522"/>
              <w:gridCol w:w="1524"/>
              <w:gridCol w:w="1529"/>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序号</w:t>
                  </w:r>
                </w:p>
              </w:tc>
              <w:tc>
                <w:tcPr>
                  <w:tcW w:w="86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村名</w:t>
                  </w:r>
                </w:p>
              </w:tc>
              <w:tc>
                <w:tcPr>
                  <w:tcW w:w="86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户籍数</w:t>
                  </w:r>
                </w:p>
              </w:tc>
              <w:tc>
                <w:tcPr>
                  <w:tcW w:w="1731"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人口规模</w:t>
                  </w:r>
                </w:p>
              </w:tc>
              <w:tc>
                <w:tcPr>
                  <w:tcW w:w="864"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污水总量</w:t>
                  </w:r>
                </w:p>
                <w:p>
                  <w:pPr>
                    <w:pStyle w:val="25"/>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户籍人口</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常驻人口</w:t>
                  </w:r>
                </w:p>
              </w:tc>
              <w:tc>
                <w:tcPr>
                  <w:tcW w:w="86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檀村</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562</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1422</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1100</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张家庄村</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697</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1712</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1200</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136.96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东建安村</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1111</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2741</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2582</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219.28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大建安村</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2013</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5162</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7133</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570.64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西建安村</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474</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1102</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900</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88.16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6</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潭上村</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321</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809</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681</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64.</w:t>
                  </w:r>
                  <w:r>
                    <w:rPr>
                      <w:rFonts w:hint="eastAsia"/>
                      <w:bCs/>
                      <w:color w:val="auto"/>
                      <w:sz w:val="21"/>
                      <w:szCs w:val="21"/>
                      <w:vertAlign w:val="baseline"/>
                      <w:lang w:val="en-US" w:eastAsia="zh-CN"/>
                    </w:rPr>
                    <w:t>7</w:t>
                  </w:r>
                  <w:r>
                    <w:rPr>
                      <w:rFonts w:hint="default"/>
                      <w:bCs/>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7</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瑶池村</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662</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1214</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1043</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97.12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总计</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建安镇</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5840</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14162</w:t>
                  </w:r>
                </w:p>
              </w:tc>
              <w:tc>
                <w:tcPr>
                  <w:tcW w:w="8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14639</w:t>
                  </w:r>
                </w:p>
              </w:tc>
              <w:tc>
                <w:tcPr>
                  <w:tcW w:w="8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1290.64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注：户籍人口＞常驻人口时，以户籍人口计算污水量，户籍人口＜常驻人口时，以常驻人口计算污水量。</w:t>
                  </w:r>
                </w:p>
              </w:tc>
            </w:tr>
          </w:tbl>
          <w:p>
            <w:pPr>
              <w:adjustRightInd w:val="0"/>
              <w:snapToGrid w:val="0"/>
              <w:spacing w:line="480" w:lineRule="exact"/>
              <w:ind w:firstLine="480" w:firstLineChars="200"/>
              <w:rPr>
                <w:rFonts w:hint="eastAsia"/>
                <w:color w:val="auto"/>
                <w:sz w:val="24"/>
                <w:lang w:val="en-US" w:eastAsia="zh-CN"/>
              </w:rPr>
            </w:pPr>
            <w:r>
              <w:rPr>
                <w:rFonts w:hint="eastAsia"/>
                <w:color w:val="auto"/>
                <w:sz w:val="24"/>
                <w:lang w:val="en-US" w:eastAsia="zh-CN"/>
              </w:rPr>
              <w:t xml:space="preserve">②畜禽养殖废水量 </w:t>
            </w:r>
          </w:p>
          <w:p>
            <w:pPr>
              <w:adjustRightInd w:val="0"/>
              <w:snapToGrid w:val="0"/>
              <w:spacing w:line="480" w:lineRule="exact"/>
              <w:ind w:firstLine="480" w:firstLineChars="200"/>
              <w:rPr>
                <w:rFonts w:hint="eastAsia"/>
                <w:color w:val="auto"/>
                <w:sz w:val="24"/>
                <w:lang w:val="en-US" w:eastAsia="zh-CN"/>
              </w:rPr>
            </w:pPr>
            <w:r>
              <w:rPr>
                <w:rFonts w:hint="eastAsia"/>
                <w:color w:val="auto"/>
                <w:sz w:val="24"/>
                <w:lang w:val="en-US" w:eastAsia="zh-CN"/>
              </w:rPr>
              <w:t>本次收集建安镇7个村庄畜禽养殖废水，现状污水量为210.87m</w:t>
            </w:r>
            <w:r>
              <w:rPr>
                <w:rFonts w:hint="eastAsia"/>
                <w:color w:val="auto"/>
                <w:sz w:val="24"/>
                <w:vertAlign w:val="superscript"/>
                <w:lang w:val="en-US" w:eastAsia="zh-CN"/>
              </w:rPr>
              <w:t>3</w:t>
            </w:r>
            <w:r>
              <w:rPr>
                <w:rFonts w:hint="eastAsia"/>
                <w:color w:val="auto"/>
                <w:sz w:val="24"/>
                <w:lang w:val="en-US" w:eastAsia="zh-CN"/>
              </w:rPr>
              <w:t>/d，具体各村庄畜禽养殖废水计算值见下表。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表2-3  建安镇畜禽养殖废水量计算一览表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105"/>
              <w:gridCol w:w="792"/>
              <w:gridCol w:w="792"/>
              <w:gridCol w:w="792"/>
              <w:gridCol w:w="796"/>
              <w:gridCol w:w="792"/>
              <w:gridCol w:w="748"/>
              <w:gridCol w:w="715"/>
              <w:gridCol w:w="829"/>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序号</w:t>
                  </w:r>
                </w:p>
              </w:tc>
              <w:tc>
                <w:tcPr>
                  <w:tcW w:w="62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村名</w:t>
                  </w:r>
                </w:p>
              </w:tc>
              <w:tc>
                <w:tcPr>
                  <w:tcW w:w="1798" w:type="pct"/>
                  <w:gridSpan w:val="4"/>
                  <w:vAlign w:val="center"/>
                </w:tcPr>
                <w:p>
                  <w:pPr>
                    <w:pStyle w:val="25"/>
                    <w:keepNext w:val="0"/>
                    <w:keepLines w:val="0"/>
                    <w:pageBreakBefore w:val="0"/>
                    <w:widowControl w:val="0"/>
                    <w:kinsoku/>
                    <w:wordWrap/>
                    <w:overflowPunct/>
                    <w:topLinePunct w:val="0"/>
                    <w:autoSpaceDE/>
                    <w:autoSpaceDN/>
                    <w:bidi w:val="0"/>
                    <w:spacing w:after="0"/>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数量 （只/头）</w:t>
                  </w:r>
                </w:p>
              </w:tc>
              <w:tc>
                <w:tcPr>
                  <w:tcW w:w="1748" w:type="pct"/>
                  <w:gridSpan w:val="4"/>
                  <w:vAlign w:val="center"/>
                </w:tcPr>
                <w:p>
                  <w:pPr>
                    <w:pStyle w:val="25"/>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废水量（m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50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污水总量</w:t>
                  </w:r>
                </w:p>
                <w:p>
                  <w:pPr>
                    <w:pStyle w:val="25"/>
                    <w:keepNext w:val="0"/>
                    <w:keepLines w:val="0"/>
                    <w:pageBreakBefore w:val="0"/>
                    <w:widowControl w:val="0"/>
                    <w:kinsoku/>
                    <w:wordWrap/>
                    <w:overflowPunct/>
                    <w:topLinePunct w:val="0"/>
                    <w:autoSpaceDE/>
                    <w:autoSpaceDN/>
                    <w:bidi w:val="0"/>
                    <w:spacing w:after="0"/>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p>
              </w:tc>
              <w:tc>
                <w:tcPr>
                  <w:tcW w:w="62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羊</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猪</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牛</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鸡</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羊</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猪</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牛</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鸡</w:t>
                  </w:r>
                </w:p>
              </w:tc>
              <w:tc>
                <w:tcPr>
                  <w:tcW w:w="502" w:type="pct"/>
                  <w:vMerge w:val="continue"/>
                  <w:vAlign w:val="center"/>
                </w:tcPr>
                <w:p>
                  <w:pPr>
                    <w:pStyle w:val="25"/>
                    <w:keepNext w:val="0"/>
                    <w:keepLines w:val="0"/>
                    <w:pageBreakBefore w:val="0"/>
                    <w:widowControl w:val="0"/>
                    <w:kinsoku/>
                    <w:wordWrap/>
                    <w:overflowPunct/>
                    <w:topLinePunct w:val="0"/>
                    <w:autoSpaceDE/>
                    <w:autoSpaceDN/>
                    <w:bidi w:val="0"/>
                    <w:spacing w:after="0"/>
                    <w:ind w:right="0" w:rightChars="0" w:firstLine="0" w:firstLineChars="0"/>
                    <w:jc w:val="center"/>
                    <w:textAlignment w:val="auto"/>
                    <w:rPr>
                      <w:rFonts w:hint="eastAsia" w:ascii="Times New Roman" w:hAnsi="Times New Roman" w:eastAsia="宋体" w:cs="Times New Roman"/>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w:t>
                  </w:r>
                </w:p>
              </w:tc>
              <w:tc>
                <w:tcPr>
                  <w:tcW w:w="6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檀村</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1000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140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30</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12</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4.7</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9</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0</w:t>
                  </w:r>
                </w:p>
              </w:tc>
              <w:tc>
                <w:tcPr>
                  <w:tcW w:w="50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w:t>
                  </w:r>
                </w:p>
              </w:tc>
              <w:tc>
                <w:tcPr>
                  <w:tcW w:w="6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张家庄村</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400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40</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4.6</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1.75</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12</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0</w:t>
                  </w:r>
                </w:p>
              </w:tc>
              <w:tc>
                <w:tcPr>
                  <w:tcW w:w="50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18.55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w:t>
                  </w:r>
                </w:p>
              </w:tc>
              <w:tc>
                <w:tcPr>
                  <w:tcW w:w="6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东建安村</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210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80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20</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30000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2.52</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2.8</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6</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36</w:t>
                  </w:r>
                </w:p>
              </w:tc>
              <w:tc>
                <w:tcPr>
                  <w:tcW w:w="50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47.32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w:t>
                  </w:r>
                </w:p>
              </w:tc>
              <w:tc>
                <w:tcPr>
                  <w:tcW w:w="6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大建安村</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500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150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130</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1000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6</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5.25</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39</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1.2</w:t>
                  </w:r>
                </w:p>
              </w:tc>
              <w:tc>
                <w:tcPr>
                  <w:tcW w:w="50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51.45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w:t>
                  </w:r>
                </w:p>
              </w:tc>
              <w:tc>
                <w:tcPr>
                  <w:tcW w:w="6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西建安村</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3000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0.6</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1.05</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3.6</w:t>
                  </w:r>
                </w:p>
              </w:tc>
              <w:tc>
                <w:tcPr>
                  <w:tcW w:w="50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6</w:t>
                  </w:r>
                </w:p>
              </w:tc>
              <w:tc>
                <w:tcPr>
                  <w:tcW w:w="6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潭上村</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200</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60</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50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7</w:t>
                  </w:r>
                </w:p>
              </w:tc>
              <w:tc>
                <w:tcPr>
                  <w:tcW w:w="6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瑶池村</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200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2.4</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50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总计</w:t>
                  </w:r>
                </w:p>
              </w:tc>
              <w:tc>
                <w:tcPr>
                  <w:tcW w:w="6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建安镇</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2360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450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420</w:t>
                  </w:r>
                </w:p>
              </w:tc>
              <w:tc>
                <w:tcPr>
                  <w:tcW w:w="4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34000</w:t>
                  </w:r>
                </w:p>
              </w:tc>
              <w:tc>
                <w:tcPr>
                  <w:tcW w:w="4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28932</w:t>
                  </w:r>
                </w:p>
              </w:tc>
              <w:tc>
                <w:tcPr>
                  <w:tcW w:w="4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15.75</w:t>
                  </w:r>
                </w:p>
              </w:tc>
              <w:tc>
                <w:tcPr>
                  <w:tcW w:w="40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126</w:t>
                  </w:r>
                </w:p>
              </w:tc>
              <w:tc>
                <w:tcPr>
                  <w:tcW w:w="4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40.8</w:t>
                  </w:r>
                </w:p>
              </w:tc>
              <w:tc>
                <w:tcPr>
                  <w:tcW w:w="50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210.87</w:t>
                  </w:r>
                </w:p>
              </w:tc>
            </w:tr>
          </w:tbl>
          <w:p>
            <w:p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 xml:space="preserve">③食品加工废水 </w:t>
            </w:r>
          </w:p>
          <w:p>
            <w:p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建安镇张家庄村有一家食品加工企业，为五台山利康食品有限公司，该公司冷冻豆腐丸子制作满负荷运行浆水日排6m</w:t>
            </w:r>
            <w:r>
              <w:rPr>
                <w:rFonts w:hint="default"/>
                <w:color w:val="auto"/>
                <w:sz w:val="24"/>
                <w:vertAlign w:val="superscript"/>
                <w:lang w:val="en-US" w:eastAsia="zh-CN"/>
              </w:rPr>
              <w:t>3</w:t>
            </w:r>
            <w:r>
              <w:rPr>
                <w:rFonts w:hint="default"/>
                <w:color w:val="auto"/>
                <w:sz w:val="24"/>
                <w:lang w:val="en-US" w:eastAsia="zh-CN"/>
              </w:rPr>
              <w:t>。</w:t>
            </w:r>
          </w:p>
          <w:p>
            <w:p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 xml:space="preserve">④地下水入渗水量 </w:t>
            </w:r>
          </w:p>
          <w:p>
            <w:p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地下水入渗水量取综合生活污水量、畜禽养殖废水量、食品加工废水之和的15%计。详细水量计算见下表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default" w:ascii="黑体" w:hAnsi="黑体" w:eastAsia="黑体" w:cs="黑体"/>
                <w:b w:val="0"/>
                <w:bCs w:val="0"/>
                <w:color w:val="auto"/>
                <w:sz w:val="24"/>
                <w:szCs w:val="21"/>
                <w:lang w:val="en-US" w:eastAsia="zh-CN"/>
              </w:rPr>
              <w:t>表</w:t>
            </w:r>
            <w:r>
              <w:rPr>
                <w:rFonts w:hint="eastAsia" w:ascii="黑体" w:hAnsi="黑体" w:eastAsia="黑体" w:cs="黑体"/>
                <w:b w:val="0"/>
                <w:bCs w:val="0"/>
                <w:color w:val="auto"/>
                <w:sz w:val="24"/>
                <w:szCs w:val="21"/>
                <w:lang w:val="en-US" w:eastAsia="zh-CN"/>
              </w:rPr>
              <w:t xml:space="preserve">2-4  </w:t>
            </w:r>
            <w:r>
              <w:rPr>
                <w:rFonts w:hint="default" w:ascii="黑体" w:hAnsi="黑体" w:eastAsia="黑体" w:cs="黑体"/>
                <w:b w:val="0"/>
                <w:bCs w:val="0"/>
                <w:color w:val="auto"/>
                <w:sz w:val="24"/>
                <w:szCs w:val="21"/>
                <w:lang w:val="en-US" w:eastAsia="zh-CN"/>
              </w:rPr>
              <w:t>地下水入渗水量计算表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59"/>
              <w:gridCol w:w="1259"/>
              <w:gridCol w:w="1259"/>
              <w:gridCol w:w="1259"/>
              <w:gridCol w:w="1259"/>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项目</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综合生活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污水量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畜禽养殖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废水量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食品加工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废水量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前三者之和 (m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比例</w:t>
                  </w:r>
                </w:p>
                <w:p>
                  <w:pPr>
                    <w:pStyle w:val="25"/>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w:t>
                  </w:r>
                </w:p>
              </w:tc>
              <w:tc>
                <w:tcPr>
                  <w:tcW w:w="71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地下水入渗量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建安镇</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1290.64</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210.87</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6</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1507.51</w:t>
                  </w:r>
                </w:p>
              </w:tc>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15%</w:t>
                  </w:r>
                </w:p>
              </w:tc>
              <w:tc>
                <w:tcPr>
                  <w:tcW w:w="71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226.13</w:t>
                  </w:r>
                </w:p>
              </w:tc>
            </w:tr>
          </w:tbl>
          <w:p>
            <w:pPr>
              <w:numPr>
                <w:ilvl w:val="0"/>
                <w:numId w:val="0"/>
              </w:numPr>
              <w:adjustRightInd w:val="0"/>
              <w:snapToGrid w:val="0"/>
              <w:spacing w:line="480" w:lineRule="exact"/>
              <w:ind w:firstLine="482" w:firstLineChars="200"/>
              <w:rPr>
                <w:rFonts w:hint="eastAsia"/>
                <w:b/>
                <w:bCs/>
                <w:color w:val="auto"/>
                <w:sz w:val="24"/>
                <w:lang w:val="en-US" w:eastAsia="zh-CN"/>
              </w:rPr>
            </w:pPr>
            <w:r>
              <w:rPr>
                <w:rFonts w:hint="eastAsia"/>
                <w:b/>
                <w:bCs/>
                <w:color w:val="auto"/>
                <w:sz w:val="24"/>
                <w:lang w:val="en-US" w:eastAsia="zh-CN"/>
              </w:rPr>
              <w:t>（3）设计规模的确定</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eastAsia"/>
                <w:color w:val="auto"/>
                <w:sz w:val="24"/>
                <w:lang w:val="en-US" w:eastAsia="zh-CN"/>
              </w:rPr>
              <w:t>本项目</w:t>
            </w:r>
            <w:r>
              <w:rPr>
                <w:rFonts w:hint="default"/>
                <w:color w:val="auto"/>
                <w:sz w:val="24"/>
                <w:lang w:val="en-US" w:eastAsia="zh-CN"/>
              </w:rPr>
              <w:t>服务范围为五台县建安镇7个村（瑶池村、潭上村、西建安、大建安、东建安、张家庄、檀村）的生活污水、畜牧养殖废水、食品加工废水</w:t>
            </w:r>
            <w:r>
              <w:rPr>
                <w:rFonts w:hint="eastAsia"/>
                <w:color w:val="auto"/>
                <w:sz w:val="24"/>
                <w:lang w:val="en-US" w:eastAsia="zh-CN"/>
              </w:rPr>
              <w:t>，</w:t>
            </w:r>
            <w:r>
              <w:rPr>
                <w:rFonts w:hint="default"/>
                <w:color w:val="auto"/>
                <w:sz w:val="24"/>
                <w:lang w:val="en-US" w:eastAsia="zh-CN"/>
              </w:rPr>
              <w:t>分类统计如</w:t>
            </w:r>
            <w:r>
              <w:rPr>
                <w:rFonts w:hint="eastAsia"/>
                <w:color w:val="auto"/>
                <w:sz w:val="24"/>
                <w:lang w:val="en-US" w:eastAsia="zh-CN"/>
              </w:rPr>
              <w:t>下表</w:t>
            </w:r>
            <w:r>
              <w:rPr>
                <w:rFonts w:hint="default"/>
                <w:color w:val="auto"/>
                <w:sz w:val="24"/>
                <w:lang w:val="en-US" w:eastAsia="zh-CN"/>
              </w:rPr>
              <w:t>所示。</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default" w:ascii="黑体" w:hAnsi="黑体" w:eastAsia="黑体" w:cs="黑体"/>
                <w:b w:val="0"/>
                <w:bCs w:val="0"/>
                <w:color w:val="auto"/>
                <w:sz w:val="24"/>
                <w:szCs w:val="21"/>
                <w:lang w:val="en-US" w:eastAsia="zh-CN"/>
              </w:rPr>
              <w:t>表</w:t>
            </w:r>
            <w:r>
              <w:rPr>
                <w:rFonts w:hint="eastAsia" w:ascii="黑体" w:hAnsi="黑体" w:eastAsia="黑体" w:cs="黑体"/>
                <w:b w:val="0"/>
                <w:bCs w:val="0"/>
                <w:color w:val="auto"/>
                <w:sz w:val="24"/>
                <w:szCs w:val="21"/>
                <w:lang w:val="en-US" w:eastAsia="zh-CN"/>
              </w:rPr>
              <w:t xml:space="preserve">2-5 </w:t>
            </w:r>
            <w:r>
              <w:rPr>
                <w:rFonts w:hint="default" w:ascii="黑体" w:hAnsi="黑体" w:eastAsia="黑体" w:cs="黑体"/>
                <w:b w:val="0"/>
                <w:bCs w:val="0"/>
                <w:color w:val="auto"/>
                <w:sz w:val="24"/>
                <w:szCs w:val="21"/>
                <w:lang w:val="en-US" w:eastAsia="zh-CN"/>
              </w:rPr>
              <w:t xml:space="preserve"> 污水总量计算表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511"/>
              <w:gridCol w:w="1511"/>
              <w:gridCol w:w="1511"/>
              <w:gridCol w:w="1511"/>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项目</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综合生活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污水量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畜禽养殖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废水量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食品加工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废水量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地下水入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渗量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c>
                <w:tcPr>
                  <w:tcW w:w="8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合计</w:t>
                  </w:r>
                </w:p>
                <w:p>
                  <w:pPr>
                    <w:pStyle w:val="25"/>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lang w:val="en-US" w:eastAsia="zh-CN"/>
                    </w:rPr>
                  </w:pPr>
                  <w:r>
                    <w:rPr>
                      <w:rFonts w:hint="eastAsia"/>
                      <w:bCs/>
                      <w:color w:val="auto"/>
                      <w:sz w:val="21"/>
                      <w:szCs w:val="21"/>
                      <w:vertAlign w:val="baseline"/>
                      <w:lang w:val="en-US" w:eastAsia="zh-CN"/>
                    </w:rPr>
                    <w:t>(m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建安镇</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1290.64</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210.87</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default"/>
                      <w:bCs/>
                      <w:color w:val="auto"/>
                      <w:sz w:val="21"/>
                      <w:szCs w:val="21"/>
                      <w:vertAlign w:val="baseline"/>
                      <w:lang w:val="en-US" w:eastAsia="zh-CN"/>
                    </w:rPr>
                    <w:t>6</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bCs/>
                      <w:color w:val="auto"/>
                      <w:sz w:val="21"/>
                      <w:szCs w:val="21"/>
                      <w:vertAlign w:val="baseline"/>
                      <w:lang w:val="en-US" w:eastAsia="zh-CN"/>
                    </w:rPr>
                    <w:t>226.13</w:t>
                  </w:r>
                </w:p>
              </w:tc>
              <w:tc>
                <w:tcPr>
                  <w:tcW w:w="8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1733.64</w:t>
                  </w:r>
                </w:p>
              </w:tc>
            </w:tr>
          </w:tbl>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根据污水量预测，本次工程服务范围内污水总量为1733.64m³/d，考虑一定余量，确定沱南污水处理厂及配套排水管网设计规模</w:t>
            </w:r>
            <w:r>
              <w:rPr>
                <w:rFonts w:hint="eastAsia"/>
                <w:color w:val="auto"/>
                <w:sz w:val="24"/>
                <w:lang w:val="en-US" w:eastAsia="zh-CN"/>
              </w:rPr>
              <w:t>为</w:t>
            </w:r>
            <w:r>
              <w:rPr>
                <w:rFonts w:hint="default"/>
                <w:color w:val="auto"/>
                <w:sz w:val="24"/>
                <w:lang w:val="en-US" w:eastAsia="zh-CN"/>
              </w:rPr>
              <w:t>2000m³/d。</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lang w:val="en-US" w:eastAsia="zh-CN"/>
              </w:rPr>
            </w:pPr>
            <w:r>
              <w:rPr>
                <w:rFonts w:hint="eastAsia"/>
                <w:b/>
                <w:bCs/>
                <w:color w:val="auto"/>
                <w:sz w:val="24"/>
                <w:lang w:val="en-US" w:eastAsia="zh-CN"/>
              </w:rPr>
              <w:t>4、设计水质</w:t>
            </w:r>
          </w:p>
          <w:p>
            <w:pPr>
              <w:numPr>
                <w:ilvl w:val="0"/>
                <w:numId w:val="0"/>
              </w:numPr>
              <w:adjustRightInd w:val="0"/>
              <w:snapToGrid w:val="0"/>
              <w:spacing w:line="480" w:lineRule="exact"/>
              <w:ind w:firstLine="482" w:firstLineChars="200"/>
              <w:rPr>
                <w:rFonts w:hint="default"/>
                <w:b/>
                <w:bCs/>
                <w:color w:val="auto"/>
                <w:sz w:val="24"/>
                <w:lang w:val="en-US" w:eastAsia="zh-CN"/>
              </w:rPr>
            </w:pPr>
            <w:r>
              <w:rPr>
                <w:rFonts w:hint="eastAsia"/>
                <w:b/>
                <w:bCs/>
                <w:color w:val="auto"/>
                <w:sz w:val="24"/>
                <w:lang w:val="en-US" w:eastAsia="zh-CN"/>
              </w:rPr>
              <w:t>（1）污染源分析</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本工程污水来源主要为五台县建安镇生活污水和畜牧养殖废水，及少量食品加工废水。在建安镇范围内，没有集中污水处理厂，周边村庄未建设污水收集管网及处理设施。村庄居民生活污水多泼洒庭院、街道，或者倾倒至村边荒沟。</w:t>
            </w:r>
          </w:p>
          <w:p>
            <w:pPr>
              <w:numPr>
                <w:ilvl w:val="0"/>
                <w:numId w:val="0"/>
              </w:numPr>
              <w:adjustRightInd w:val="0"/>
              <w:snapToGrid w:val="0"/>
              <w:spacing w:line="480" w:lineRule="exact"/>
              <w:ind w:firstLine="482" w:firstLineChars="200"/>
              <w:rPr>
                <w:rFonts w:hint="default"/>
                <w:b/>
                <w:bCs/>
                <w:color w:val="auto"/>
                <w:sz w:val="24"/>
                <w:lang w:val="en-US" w:eastAsia="zh-CN"/>
              </w:rPr>
            </w:pPr>
            <w:r>
              <w:rPr>
                <w:rFonts w:hint="eastAsia"/>
                <w:b/>
                <w:bCs/>
                <w:color w:val="auto"/>
                <w:sz w:val="24"/>
                <w:lang w:val="en-US" w:eastAsia="zh-CN"/>
              </w:rPr>
              <w:t>（2）生活污染源分析</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生活污水主要包括卫生间污水、厨房污水和洗涤污水。生活污水中还含有大量有机物，如纤维素、淀粉、糖类和脂肪蛋白质等无机盐类的氯化物、硫酸盐、磷酸盐、碳酸氢盐和钠、钾、钙、镁等。总的特点是含氮、含硫和含磷高，在厌氧细菌作用下，易生恶臭物质。未经处理的生活污水肆意排放，会严重污染生态环境。</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由于无实测数据，本工程生活污水水质采用常规农村生活污水水质，生活污水水质预测情况见</w:t>
            </w:r>
            <w:r>
              <w:rPr>
                <w:rFonts w:hint="eastAsia"/>
                <w:color w:val="auto"/>
                <w:sz w:val="24"/>
                <w:lang w:val="en-US" w:eastAsia="zh-CN"/>
              </w:rPr>
              <w:t>下</w:t>
            </w:r>
            <w:r>
              <w:rPr>
                <w:rFonts w:hint="default"/>
                <w:color w:val="auto"/>
                <w:sz w:val="24"/>
                <w:lang w:val="en-US" w:eastAsia="zh-CN"/>
              </w:rPr>
              <w:t>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default" w:ascii="黑体" w:hAnsi="黑体" w:eastAsia="黑体" w:cs="黑体"/>
                <w:b w:val="0"/>
                <w:bCs w:val="0"/>
                <w:color w:val="auto"/>
                <w:sz w:val="24"/>
                <w:szCs w:val="21"/>
                <w:lang w:val="en-US" w:eastAsia="zh-CN"/>
              </w:rPr>
              <w:t>表</w:t>
            </w:r>
            <w:r>
              <w:rPr>
                <w:rFonts w:hint="eastAsia" w:ascii="黑体" w:hAnsi="黑体" w:eastAsia="黑体" w:cs="黑体"/>
                <w:b w:val="0"/>
                <w:bCs w:val="0"/>
                <w:color w:val="auto"/>
                <w:sz w:val="24"/>
                <w:szCs w:val="21"/>
                <w:lang w:val="en-US" w:eastAsia="zh-CN"/>
              </w:rPr>
              <w:t xml:space="preserve">2-6 </w:t>
            </w:r>
            <w:r>
              <w:rPr>
                <w:rFonts w:hint="default" w:ascii="黑体" w:hAnsi="黑体" w:eastAsia="黑体" w:cs="黑体"/>
                <w:b w:val="0"/>
                <w:bCs w:val="0"/>
                <w:color w:val="auto"/>
                <w:sz w:val="24"/>
                <w:szCs w:val="21"/>
                <w:lang w:val="en-US" w:eastAsia="zh-CN"/>
              </w:rPr>
              <w:t xml:space="preserve"> </w:t>
            </w:r>
            <w:r>
              <w:rPr>
                <w:rFonts w:hint="eastAsia" w:ascii="黑体" w:hAnsi="黑体" w:eastAsia="黑体" w:cs="黑体"/>
                <w:b w:val="0"/>
                <w:bCs w:val="0"/>
                <w:color w:val="auto"/>
                <w:sz w:val="24"/>
                <w:szCs w:val="21"/>
                <w:lang w:val="en-US" w:eastAsia="zh-CN"/>
              </w:rPr>
              <w:t>生活污水水质预测</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59"/>
              <w:gridCol w:w="1260"/>
              <w:gridCol w:w="1260"/>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水质指标</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COD</w:t>
                  </w:r>
                  <w:r>
                    <w:rPr>
                      <w:rFonts w:hint="eastAsia"/>
                      <w:color w:val="auto"/>
                      <w:sz w:val="21"/>
                      <w:szCs w:val="18"/>
                      <w:vertAlign w:val="subscript"/>
                      <w:lang w:val="en-US" w:eastAsia="zh-CN"/>
                    </w:rPr>
                    <w:t>Cr</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BOD</w:t>
                  </w:r>
                  <w:r>
                    <w:rPr>
                      <w:rFonts w:hint="eastAsia"/>
                      <w:color w:val="auto"/>
                      <w:sz w:val="21"/>
                      <w:szCs w:val="18"/>
                      <w:vertAlign w:val="subscript"/>
                      <w:lang w:val="en-US" w:eastAsia="zh-CN"/>
                    </w:rPr>
                    <w:t>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NH</w:t>
                  </w:r>
                  <w:r>
                    <w:rPr>
                      <w:rFonts w:hint="eastAsia"/>
                      <w:color w:val="auto"/>
                      <w:sz w:val="21"/>
                      <w:szCs w:val="18"/>
                      <w:vertAlign w:val="subscript"/>
                      <w:lang w:val="en-US" w:eastAsia="zh-CN"/>
                    </w:rPr>
                    <w:t>3</w:t>
                  </w:r>
                  <w:r>
                    <w:rPr>
                      <w:rFonts w:hint="eastAsia"/>
                      <w:color w:val="auto"/>
                      <w:sz w:val="21"/>
                      <w:szCs w:val="18"/>
                      <w:vertAlign w:val="baseline"/>
                      <w:lang w:val="en-US" w:eastAsia="zh-CN"/>
                    </w:rPr>
                    <w: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TP</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数值</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500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160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50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5.5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单位</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r>
          </w:tbl>
          <w:p>
            <w:pPr>
              <w:numPr>
                <w:ilvl w:val="0"/>
                <w:numId w:val="0"/>
              </w:numPr>
              <w:adjustRightInd w:val="0"/>
              <w:snapToGrid w:val="0"/>
              <w:spacing w:line="480" w:lineRule="exact"/>
              <w:ind w:firstLine="482" w:firstLineChars="200"/>
              <w:rPr>
                <w:rFonts w:hint="default"/>
                <w:b/>
                <w:bCs/>
                <w:color w:val="auto"/>
                <w:sz w:val="24"/>
                <w:lang w:val="en-US" w:eastAsia="zh-CN"/>
              </w:rPr>
            </w:pPr>
            <w:r>
              <w:rPr>
                <w:rFonts w:hint="eastAsia"/>
                <w:b/>
                <w:bCs/>
                <w:color w:val="auto"/>
                <w:sz w:val="24"/>
                <w:lang w:val="en-US" w:eastAsia="zh-CN"/>
              </w:rPr>
              <w:t>（3）畜牧养殖污染源分析</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目前建安镇畜牧养殖业以饲养生猪、羊、牛、鸡为主。畜禽养殖废水主要包含养殖冲洗时的粪、尿、残余药剂混合水以及部分生活污水，水质水量变化大，悬浮物多、有机物浓度高、氨氮浓度高、含有致病菌并有恶臭。常规畜禽养殖废水水质情况如下表所示</w:t>
            </w:r>
            <w:r>
              <w:rPr>
                <w:rFonts w:hint="eastAsia"/>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default" w:ascii="黑体" w:hAnsi="黑体" w:eastAsia="黑体" w:cs="黑体"/>
                <w:b w:val="0"/>
                <w:bCs w:val="0"/>
                <w:color w:val="auto"/>
                <w:sz w:val="24"/>
                <w:szCs w:val="21"/>
                <w:lang w:val="en-US" w:eastAsia="zh-CN"/>
              </w:rPr>
              <w:t>表</w:t>
            </w:r>
            <w:r>
              <w:rPr>
                <w:rFonts w:hint="eastAsia" w:ascii="黑体" w:hAnsi="黑体" w:eastAsia="黑体" w:cs="黑体"/>
                <w:b w:val="0"/>
                <w:bCs w:val="0"/>
                <w:color w:val="auto"/>
                <w:sz w:val="24"/>
                <w:szCs w:val="21"/>
                <w:lang w:val="en-US" w:eastAsia="zh-CN"/>
              </w:rPr>
              <w:t xml:space="preserve">2-7 </w:t>
            </w:r>
            <w:r>
              <w:rPr>
                <w:rFonts w:hint="default" w:ascii="黑体" w:hAnsi="黑体" w:eastAsia="黑体" w:cs="黑体"/>
                <w:b w:val="0"/>
                <w:bCs w:val="0"/>
                <w:color w:val="auto"/>
                <w:sz w:val="24"/>
                <w:szCs w:val="21"/>
                <w:lang w:val="en-US" w:eastAsia="zh-CN"/>
              </w:rPr>
              <w:t xml:space="preserve"> 畜禽养殖废水水质预测</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59"/>
              <w:gridCol w:w="1260"/>
              <w:gridCol w:w="1260"/>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水质指标</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COD</w:t>
                  </w:r>
                  <w:r>
                    <w:rPr>
                      <w:rFonts w:hint="eastAsia"/>
                      <w:color w:val="auto"/>
                      <w:sz w:val="21"/>
                      <w:szCs w:val="18"/>
                      <w:vertAlign w:val="subscript"/>
                      <w:lang w:val="en-US" w:eastAsia="zh-CN"/>
                    </w:rPr>
                    <w:t>Cr</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BOD</w:t>
                  </w:r>
                  <w:r>
                    <w:rPr>
                      <w:rFonts w:hint="eastAsia"/>
                      <w:color w:val="auto"/>
                      <w:sz w:val="21"/>
                      <w:szCs w:val="18"/>
                      <w:vertAlign w:val="subscript"/>
                      <w:lang w:val="en-US" w:eastAsia="zh-CN"/>
                    </w:rPr>
                    <w:t>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NH</w:t>
                  </w:r>
                  <w:r>
                    <w:rPr>
                      <w:rFonts w:hint="eastAsia"/>
                      <w:color w:val="auto"/>
                      <w:sz w:val="21"/>
                      <w:szCs w:val="18"/>
                      <w:vertAlign w:val="subscript"/>
                      <w:lang w:val="en-US" w:eastAsia="zh-CN"/>
                    </w:rPr>
                    <w:t>3</w:t>
                  </w:r>
                  <w:r>
                    <w:rPr>
                      <w:rFonts w:hint="eastAsia"/>
                      <w:color w:val="auto"/>
                      <w:sz w:val="21"/>
                      <w:szCs w:val="18"/>
                      <w:vertAlign w:val="baseline"/>
                      <w:lang w:val="en-US" w:eastAsia="zh-CN"/>
                    </w:rPr>
                    <w: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TP</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数值</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3470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3000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120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165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24</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单位</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r>
          </w:tbl>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畜禽养殖废水主要是一些高浓度、高氨氮、高悬浮物、处理难度大的“三高”废水。具有数量大、相对集中、处理难度大的特点。该类废水不可直接排入污水管网，需要经过处理设施处理后达到一定标准再排入污水处理厂进行进一步处理。本次设计依据《畜禽养殖业污染物排放标准（GB 18596-2001）》中表5最高允许日均排放浓度指标和《污水排入城镇下水道水质标准（GB/T31962-2015）》的A级标准，综合分析确定其排入污水管网限值，具体水质指标排放限值见下表。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default" w:ascii="黑体" w:hAnsi="黑体" w:eastAsia="黑体" w:cs="黑体"/>
                <w:b w:val="0"/>
                <w:bCs w:val="0"/>
                <w:color w:val="auto"/>
                <w:sz w:val="24"/>
                <w:szCs w:val="21"/>
                <w:lang w:val="en-US" w:eastAsia="zh-CN"/>
              </w:rPr>
              <w:t>表</w:t>
            </w:r>
            <w:r>
              <w:rPr>
                <w:rFonts w:hint="eastAsia" w:ascii="黑体" w:hAnsi="黑体" w:eastAsia="黑体" w:cs="黑体"/>
                <w:b w:val="0"/>
                <w:bCs w:val="0"/>
                <w:color w:val="auto"/>
                <w:sz w:val="24"/>
                <w:szCs w:val="21"/>
                <w:lang w:val="en-US" w:eastAsia="zh-CN"/>
              </w:rPr>
              <w:t xml:space="preserve">2-8 </w:t>
            </w:r>
            <w:r>
              <w:rPr>
                <w:rFonts w:hint="default" w:ascii="黑体" w:hAnsi="黑体" w:eastAsia="黑体" w:cs="黑体"/>
                <w:b w:val="0"/>
                <w:bCs w:val="0"/>
                <w:color w:val="auto"/>
                <w:sz w:val="24"/>
                <w:szCs w:val="21"/>
                <w:lang w:val="en-US" w:eastAsia="zh-CN"/>
              </w:rPr>
              <w:t xml:space="preserve"> 畜禽养殖废水排入污水管网水质标准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59"/>
              <w:gridCol w:w="1260"/>
              <w:gridCol w:w="1260"/>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水质指标</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COD</w:t>
                  </w:r>
                  <w:r>
                    <w:rPr>
                      <w:rFonts w:hint="eastAsia"/>
                      <w:color w:val="auto"/>
                      <w:sz w:val="21"/>
                      <w:szCs w:val="18"/>
                      <w:vertAlign w:val="subscript"/>
                      <w:lang w:val="en-US" w:eastAsia="zh-CN"/>
                    </w:rPr>
                    <w:t>Cr</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BOD</w:t>
                  </w:r>
                  <w:r>
                    <w:rPr>
                      <w:rFonts w:hint="eastAsia"/>
                      <w:color w:val="auto"/>
                      <w:sz w:val="21"/>
                      <w:szCs w:val="18"/>
                      <w:vertAlign w:val="subscript"/>
                      <w:lang w:val="en-US" w:eastAsia="zh-CN"/>
                    </w:rPr>
                    <w:t>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NH</w:t>
                  </w:r>
                  <w:r>
                    <w:rPr>
                      <w:rFonts w:hint="eastAsia"/>
                      <w:color w:val="auto"/>
                      <w:sz w:val="21"/>
                      <w:szCs w:val="18"/>
                      <w:vertAlign w:val="subscript"/>
                      <w:lang w:val="en-US" w:eastAsia="zh-CN"/>
                    </w:rPr>
                    <w:t>3</w:t>
                  </w:r>
                  <w:r>
                    <w:rPr>
                      <w:rFonts w:hint="eastAsia"/>
                      <w:color w:val="auto"/>
                      <w:sz w:val="21"/>
                      <w:szCs w:val="18"/>
                      <w:vertAlign w:val="baseline"/>
                      <w:lang w:val="en-US" w:eastAsia="zh-CN"/>
                    </w:rPr>
                    <w: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TP</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数值</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400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150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单位</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r>
          </w:tbl>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畜禽养殖废水需经畜禽养殖企业废水处理设施处理达到表</w:t>
            </w:r>
            <w:r>
              <w:rPr>
                <w:rFonts w:hint="eastAsia"/>
                <w:color w:val="auto"/>
                <w:sz w:val="24"/>
                <w:lang w:val="en-US" w:eastAsia="zh-CN"/>
              </w:rPr>
              <w:t>2-8</w:t>
            </w:r>
            <w:r>
              <w:rPr>
                <w:rFonts w:hint="default"/>
                <w:color w:val="auto"/>
                <w:sz w:val="24"/>
                <w:lang w:val="en-US" w:eastAsia="zh-CN"/>
              </w:rPr>
              <w:t>中污染物排放限值后方可排入污水收集管网。</w:t>
            </w:r>
          </w:p>
          <w:p>
            <w:pPr>
              <w:numPr>
                <w:ilvl w:val="0"/>
                <w:numId w:val="0"/>
              </w:numPr>
              <w:adjustRightInd w:val="0"/>
              <w:snapToGrid w:val="0"/>
              <w:spacing w:line="480" w:lineRule="exact"/>
              <w:ind w:firstLine="482" w:firstLineChars="200"/>
              <w:rPr>
                <w:rFonts w:hint="default"/>
                <w:b/>
                <w:bCs/>
                <w:color w:val="auto"/>
                <w:sz w:val="24"/>
                <w:lang w:val="en-US" w:eastAsia="zh-CN"/>
              </w:rPr>
            </w:pPr>
            <w:r>
              <w:rPr>
                <w:rFonts w:hint="eastAsia"/>
                <w:b/>
                <w:bCs/>
                <w:color w:val="auto"/>
                <w:sz w:val="24"/>
                <w:lang w:val="en-US" w:eastAsia="zh-CN"/>
              </w:rPr>
              <w:t>（4）企业污染源分析</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本工程服务范围内只有一家食品加工企业，即位于张家庄村的五台山利康食品有限公司，该公司经营冷冻豆腐丸子制作，满负荷运行浆水日排6吨，其水质有机物浓度较高，其中含有蛋白质、脂肪、淀粉等有机物，有较好的生物降解性，适宜用生物处理法进行处理。该企业污水需经过预处理达到《污水排入城镇下水道水质标准（GB/T31962-2015）》的A级标准，方可排入污水收集管网，进入污水处理厂处理。</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default" w:ascii="黑体" w:hAnsi="黑体" w:eastAsia="黑体" w:cs="黑体"/>
                <w:b w:val="0"/>
                <w:bCs w:val="0"/>
                <w:color w:val="auto"/>
                <w:sz w:val="24"/>
                <w:szCs w:val="21"/>
                <w:lang w:val="en-US" w:eastAsia="zh-CN"/>
              </w:rPr>
              <w:t>表</w:t>
            </w:r>
            <w:r>
              <w:rPr>
                <w:rFonts w:hint="eastAsia" w:ascii="黑体" w:hAnsi="黑体" w:eastAsia="黑体" w:cs="黑体"/>
                <w:b w:val="0"/>
                <w:bCs w:val="0"/>
                <w:color w:val="auto"/>
                <w:sz w:val="24"/>
                <w:szCs w:val="21"/>
                <w:lang w:val="en-US" w:eastAsia="zh-CN"/>
              </w:rPr>
              <w:t xml:space="preserve">2-9 </w:t>
            </w:r>
            <w:r>
              <w:rPr>
                <w:rFonts w:hint="default" w:ascii="黑体" w:hAnsi="黑体" w:eastAsia="黑体" w:cs="黑体"/>
                <w:b w:val="0"/>
                <w:bCs w:val="0"/>
                <w:color w:val="auto"/>
                <w:sz w:val="24"/>
                <w:szCs w:val="21"/>
                <w:lang w:val="en-US" w:eastAsia="zh-CN"/>
              </w:rPr>
              <w:t xml:space="preserve"> 污水排入城镇下水道水质标准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59"/>
              <w:gridCol w:w="1260"/>
              <w:gridCol w:w="1260"/>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水质指标</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COD</w:t>
                  </w:r>
                  <w:r>
                    <w:rPr>
                      <w:rFonts w:hint="eastAsia"/>
                      <w:color w:val="auto"/>
                      <w:sz w:val="21"/>
                      <w:szCs w:val="18"/>
                      <w:vertAlign w:val="subscript"/>
                      <w:lang w:val="en-US" w:eastAsia="zh-CN"/>
                    </w:rPr>
                    <w:t>Cr</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BOD</w:t>
                  </w:r>
                  <w:r>
                    <w:rPr>
                      <w:rFonts w:hint="eastAsia"/>
                      <w:color w:val="auto"/>
                      <w:sz w:val="21"/>
                      <w:szCs w:val="18"/>
                      <w:vertAlign w:val="subscript"/>
                      <w:lang w:val="en-US" w:eastAsia="zh-CN"/>
                    </w:rPr>
                    <w:t>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NH</w:t>
                  </w:r>
                  <w:r>
                    <w:rPr>
                      <w:rFonts w:hint="eastAsia"/>
                      <w:color w:val="auto"/>
                      <w:sz w:val="21"/>
                      <w:szCs w:val="18"/>
                      <w:vertAlign w:val="subscript"/>
                      <w:lang w:val="en-US" w:eastAsia="zh-CN"/>
                    </w:rPr>
                    <w:t>3</w:t>
                  </w:r>
                  <w:r>
                    <w:rPr>
                      <w:rFonts w:hint="eastAsia"/>
                      <w:color w:val="auto"/>
                      <w:sz w:val="21"/>
                      <w:szCs w:val="18"/>
                      <w:vertAlign w:val="baseline"/>
                      <w:lang w:val="en-US" w:eastAsia="zh-CN"/>
                    </w:rPr>
                    <w: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TP</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数值</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500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350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单位</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r>
          </w:tbl>
          <w:p>
            <w:pPr>
              <w:numPr>
                <w:ilvl w:val="0"/>
                <w:numId w:val="0"/>
              </w:numPr>
              <w:adjustRightInd w:val="0"/>
              <w:snapToGrid w:val="0"/>
              <w:spacing w:line="480" w:lineRule="exact"/>
              <w:ind w:firstLine="482" w:firstLineChars="200"/>
              <w:rPr>
                <w:rFonts w:hint="default"/>
                <w:b/>
                <w:bCs/>
                <w:color w:val="auto"/>
                <w:sz w:val="24"/>
                <w:lang w:val="en-US" w:eastAsia="zh-CN"/>
              </w:rPr>
            </w:pPr>
            <w:r>
              <w:rPr>
                <w:rFonts w:hint="eastAsia"/>
                <w:b/>
                <w:bCs/>
                <w:color w:val="auto"/>
                <w:sz w:val="24"/>
                <w:lang w:val="en-US" w:eastAsia="zh-CN"/>
              </w:rPr>
              <w:t>（5）设计进水水质</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依据《山西省农村生活污水处理技术指南（DB 14/T 727-2020）》，结合建安镇生活污水处理项目的前述水质数据和水量预测为基础，采用适当保证率确定进水水质，综合考虑确定设计进水水质如下表。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default" w:ascii="黑体" w:hAnsi="黑体" w:eastAsia="黑体" w:cs="黑体"/>
                <w:b w:val="0"/>
                <w:bCs w:val="0"/>
                <w:color w:val="auto"/>
                <w:sz w:val="24"/>
                <w:szCs w:val="21"/>
                <w:lang w:val="en-US" w:eastAsia="zh-CN"/>
              </w:rPr>
              <w:t>表</w:t>
            </w:r>
            <w:r>
              <w:rPr>
                <w:rFonts w:hint="eastAsia" w:ascii="黑体" w:hAnsi="黑体" w:eastAsia="黑体" w:cs="黑体"/>
                <w:b w:val="0"/>
                <w:bCs w:val="0"/>
                <w:color w:val="auto"/>
                <w:sz w:val="24"/>
                <w:szCs w:val="21"/>
                <w:lang w:val="en-US" w:eastAsia="zh-CN"/>
              </w:rPr>
              <w:t xml:space="preserve">2-10 </w:t>
            </w:r>
            <w:r>
              <w:rPr>
                <w:rFonts w:hint="default" w:ascii="黑体" w:hAnsi="黑体" w:eastAsia="黑体" w:cs="黑体"/>
                <w:b w:val="0"/>
                <w:bCs w:val="0"/>
                <w:color w:val="auto"/>
                <w:sz w:val="24"/>
                <w:szCs w:val="21"/>
                <w:lang w:val="en-US" w:eastAsia="zh-CN"/>
              </w:rPr>
              <w:t xml:space="preserve"> 污水排入城镇下水道水质标准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59"/>
              <w:gridCol w:w="1260"/>
              <w:gridCol w:w="1260"/>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水质指标</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COD</w:t>
                  </w:r>
                  <w:r>
                    <w:rPr>
                      <w:rFonts w:hint="eastAsia"/>
                      <w:color w:val="auto"/>
                      <w:sz w:val="21"/>
                      <w:szCs w:val="18"/>
                      <w:vertAlign w:val="subscript"/>
                      <w:lang w:val="en-US" w:eastAsia="zh-CN"/>
                    </w:rPr>
                    <w:t>Cr</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BOD</w:t>
                  </w:r>
                  <w:r>
                    <w:rPr>
                      <w:rFonts w:hint="eastAsia"/>
                      <w:color w:val="auto"/>
                      <w:sz w:val="21"/>
                      <w:szCs w:val="18"/>
                      <w:vertAlign w:val="subscript"/>
                      <w:lang w:val="en-US" w:eastAsia="zh-CN"/>
                    </w:rPr>
                    <w:t>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NH</w:t>
                  </w:r>
                  <w:r>
                    <w:rPr>
                      <w:rFonts w:hint="eastAsia"/>
                      <w:color w:val="auto"/>
                      <w:sz w:val="21"/>
                      <w:szCs w:val="18"/>
                      <w:vertAlign w:val="subscript"/>
                      <w:lang w:val="en-US" w:eastAsia="zh-CN"/>
                    </w:rPr>
                    <w:t>3</w:t>
                  </w:r>
                  <w:r>
                    <w:rPr>
                      <w:rFonts w:hint="eastAsia"/>
                      <w:color w:val="auto"/>
                      <w:sz w:val="21"/>
                      <w:szCs w:val="18"/>
                      <w:vertAlign w:val="baseline"/>
                      <w:lang w:val="en-US" w:eastAsia="zh-CN"/>
                    </w:rPr>
                    <w: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TN</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TP</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数值</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≤500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≤160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≤45</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≤60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≤6.0</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sz w:val="21"/>
                      <w:szCs w:val="18"/>
                      <w:vertAlign w:val="baseline"/>
                      <w:lang w:val="en-US" w:eastAsia="zh-CN"/>
                    </w:rPr>
                  </w:pPr>
                  <w:r>
                    <w:rPr>
                      <w:rFonts w:hint="eastAsia"/>
                      <w:color w:val="auto"/>
                      <w:sz w:val="21"/>
                      <w:szCs w:val="18"/>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单位</w:t>
                  </w:r>
                </w:p>
              </w:tc>
              <w:tc>
                <w:tcPr>
                  <w:tcW w:w="125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2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r>
          </w:tbl>
          <w:p>
            <w:pPr>
              <w:numPr>
                <w:ilvl w:val="0"/>
                <w:numId w:val="0"/>
              </w:numPr>
              <w:adjustRightInd w:val="0"/>
              <w:snapToGrid w:val="0"/>
              <w:spacing w:line="480" w:lineRule="exact"/>
              <w:ind w:firstLine="482" w:firstLineChars="200"/>
              <w:rPr>
                <w:rFonts w:hint="default"/>
                <w:b/>
                <w:bCs/>
                <w:color w:val="auto"/>
                <w:sz w:val="24"/>
                <w:lang w:val="en-US" w:eastAsia="zh-CN"/>
              </w:rPr>
            </w:pPr>
            <w:r>
              <w:rPr>
                <w:rFonts w:hint="eastAsia"/>
                <w:b/>
                <w:bCs/>
                <w:color w:val="auto"/>
                <w:sz w:val="24"/>
                <w:lang w:val="en-US" w:eastAsia="zh-CN"/>
              </w:rPr>
              <w:t>（6）设计出水水质</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建安镇周边没有工业企业可以利用污水处理厂尾水，且污水量也较小，规划尾水用于周边农田灌溉，多余的水可以排入周边河道。</w:t>
            </w:r>
          </w:p>
          <w:p>
            <w:pPr>
              <w:numPr>
                <w:ilvl w:val="0"/>
                <w:numId w:val="0"/>
              </w:numPr>
              <w:adjustRightInd w:val="0"/>
              <w:snapToGrid w:val="0"/>
              <w:spacing w:line="480" w:lineRule="exact"/>
              <w:ind w:firstLine="480" w:firstLineChars="200"/>
              <w:rPr>
                <w:rFonts w:hint="default"/>
                <w:color w:val="auto"/>
                <w:sz w:val="24"/>
                <w:lang w:val="en-US" w:eastAsia="zh-CN"/>
              </w:rPr>
            </w:pPr>
            <w:r>
              <w:rPr>
                <w:rFonts w:hint="default"/>
                <w:color w:val="auto"/>
                <w:sz w:val="24"/>
                <w:lang w:val="en-US" w:eastAsia="zh-CN"/>
              </w:rPr>
              <w:t>根据《山西省人民政府办公厅关于印发山西省建制镇生活污水处理设施建设三年攻坚行动实施方案的通知》晋政办发〔2020〕第90号文件第四条严格执行出水排放标准中的论述：全省新建和提标改造后的建制镇生活污水处理厂（站）出水水质执行《山西省污水综合排放标准（DB14/1928-2019）》，化学需氧量、氨氮、总磷三项指标执行地表水V类排放限值，其他指标执行《城镇污水处理厂污染物排放标准（GB18918-2002）》中一级A的排放限值，具体指标详见下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default" w:ascii="黑体" w:hAnsi="黑体" w:eastAsia="黑体" w:cs="黑体"/>
                <w:b w:val="0"/>
                <w:bCs w:val="0"/>
                <w:color w:val="auto"/>
                <w:sz w:val="24"/>
                <w:szCs w:val="21"/>
                <w:lang w:val="en-US" w:eastAsia="zh-CN"/>
              </w:rPr>
              <w:t>表</w:t>
            </w:r>
            <w:r>
              <w:rPr>
                <w:rFonts w:hint="eastAsia" w:ascii="黑体" w:hAnsi="黑体" w:eastAsia="黑体" w:cs="黑体"/>
                <w:b w:val="0"/>
                <w:bCs w:val="0"/>
                <w:color w:val="auto"/>
                <w:sz w:val="24"/>
                <w:szCs w:val="21"/>
                <w:lang w:val="en-US" w:eastAsia="zh-CN"/>
              </w:rPr>
              <w:t xml:space="preserve">2-11 </w:t>
            </w:r>
            <w:r>
              <w:rPr>
                <w:rFonts w:hint="default" w:ascii="黑体" w:hAnsi="黑体" w:eastAsia="黑体" w:cs="黑体"/>
                <w:b w:val="0"/>
                <w:bCs w:val="0"/>
                <w:color w:val="auto"/>
                <w:sz w:val="24"/>
                <w:szCs w:val="21"/>
                <w:lang w:val="en-US" w:eastAsia="zh-CN"/>
              </w:rPr>
              <w:t xml:space="preserve"> 设计出水标准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099"/>
              <w:gridCol w:w="1101"/>
              <w:gridCol w:w="1101"/>
              <w:gridCol w:w="1101"/>
              <w:gridCol w:w="1101"/>
              <w:gridCol w:w="1101"/>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水质指标</w:t>
                  </w:r>
                </w:p>
              </w:tc>
              <w:tc>
                <w:tcPr>
                  <w:tcW w:w="1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COD</w:t>
                  </w:r>
                  <w:r>
                    <w:rPr>
                      <w:rFonts w:hint="eastAsia"/>
                      <w:color w:val="auto"/>
                      <w:sz w:val="21"/>
                      <w:szCs w:val="18"/>
                      <w:vertAlign w:val="subscript"/>
                      <w:lang w:val="en-US" w:eastAsia="zh-CN"/>
                    </w:rPr>
                    <w:t>Cr</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BOD</w:t>
                  </w:r>
                  <w:r>
                    <w:rPr>
                      <w:rFonts w:hint="eastAsia"/>
                      <w:color w:val="auto"/>
                      <w:sz w:val="21"/>
                      <w:szCs w:val="18"/>
                      <w:vertAlign w:val="subscript"/>
                      <w:lang w:val="en-US" w:eastAsia="zh-CN"/>
                    </w:rPr>
                    <w:t>5</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NH</w:t>
                  </w:r>
                  <w:r>
                    <w:rPr>
                      <w:rFonts w:hint="eastAsia"/>
                      <w:color w:val="auto"/>
                      <w:sz w:val="21"/>
                      <w:szCs w:val="18"/>
                      <w:vertAlign w:val="subscript"/>
                      <w:lang w:val="en-US" w:eastAsia="zh-CN"/>
                    </w:rPr>
                    <w:t>3</w:t>
                  </w:r>
                  <w:r>
                    <w:rPr>
                      <w:rFonts w:hint="eastAsia"/>
                      <w:color w:val="auto"/>
                      <w:sz w:val="21"/>
                      <w:szCs w:val="18"/>
                      <w:vertAlign w:val="baseline"/>
                      <w:lang w:val="en-US" w:eastAsia="zh-CN"/>
                    </w:rPr>
                    <w:t>-N</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TN</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TP</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SS</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数值</w:t>
                  </w:r>
                </w:p>
              </w:tc>
              <w:tc>
                <w:tcPr>
                  <w:tcW w:w="1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≤40</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≤10</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≤2.0</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≤15</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≤0.4</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sz w:val="21"/>
                      <w:szCs w:val="18"/>
                      <w:vertAlign w:val="baseline"/>
                      <w:lang w:val="en-US" w:eastAsia="zh-CN"/>
                    </w:rPr>
                  </w:pPr>
                  <w:r>
                    <w:rPr>
                      <w:rFonts w:hint="eastAsia"/>
                      <w:color w:val="auto"/>
                      <w:sz w:val="21"/>
                      <w:szCs w:val="18"/>
                      <w:vertAlign w:val="baseline"/>
                      <w:lang w:val="en-US" w:eastAsia="zh-CN"/>
                    </w:rPr>
                    <w:t>≤10</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单位</w:t>
                  </w:r>
                </w:p>
              </w:tc>
              <w:tc>
                <w:tcPr>
                  <w:tcW w:w="1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mg/L</w:t>
                  </w:r>
                </w:p>
              </w:tc>
              <w:tc>
                <w:tcPr>
                  <w:tcW w:w="11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无量纲</w:t>
                  </w:r>
                </w:p>
              </w:tc>
            </w:tr>
          </w:tbl>
          <w:p>
            <w:pPr>
              <w:adjustRightInd w:val="0"/>
              <w:snapToGrid w:val="0"/>
              <w:spacing w:line="480" w:lineRule="exact"/>
              <w:ind w:firstLine="482" w:firstLineChars="200"/>
              <w:rPr>
                <w:rFonts w:hint="eastAsia"/>
                <w:b w:val="0"/>
                <w:bCs w:val="0"/>
                <w:color w:val="auto"/>
                <w:sz w:val="24"/>
                <w:highlight w:val="none"/>
                <w:lang w:val="en-US" w:eastAsia="zh-CN"/>
              </w:rPr>
            </w:pPr>
            <w:r>
              <w:rPr>
                <w:rFonts w:hint="eastAsia"/>
                <w:b/>
                <w:bCs/>
                <w:color w:val="auto"/>
                <w:sz w:val="24"/>
                <w:highlight w:val="none"/>
                <w:lang w:val="en-US" w:eastAsia="zh-CN"/>
              </w:rPr>
              <w:t>5、建设内容</w:t>
            </w:r>
          </w:p>
          <w:p>
            <w:pPr>
              <w:adjustRightInd w:val="0"/>
              <w:snapToGrid w:val="0"/>
              <w:spacing w:line="480" w:lineRule="exact"/>
              <w:ind w:firstLine="480" w:firstLineChars="200"/>
              <w:rPr>
                <w:rFonts w:hint="default"/>
                <w:b w:val="0"/>
                <w:bCs w:val="0"/>
                <w:color w:val="auto"/>
                <w:sz w:val="24"/>
                <w:lang w:val="en-US" w:eastAsia="zh-CN"/>
              </w:rPr>
            </w:pPr>
            <w:r>
              <w:rPr>
                <w:rFonts w:hint="default"/>
                <w:b w:val="0"/>
                <w:bCs w:val="0"/>
                <w:color w:val="auto"/>
                <w:sz w:val="24"/>
                <w:lang w:val="en-US" w:eastAsia="zh-CN"/>
              </w:rPr>
              <w:t>本项目建设内容为服务范围内村庄生活污水处理厂建设及配套污水管网建设。污水处理厂工程包括污水处理构建筑物、设备安装、公共及辅助用房、变配电等附属设施工程；污水管网工程包括污水主管网、支管网、检查井、收集槽等配套设施</w:t>
            </w:r>
            <w:r>
              <w:rPr>
                <w:rFonts w:hint="eastAsia"/>
                <w:b w:val="0"/>
                <w:bCs w:val="0"/>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表2-12  项目主要建设内容一览表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711"/>
              <w:gridCol w:w="1202"/>
              <w:gridCol w:w="5744"/>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名称</w:t>
                  </w:r>
                </w:p>
              </w:tc>
              <w:tc>
                <w:tcPr>
                  <w:tcW w:w="4339" w:type="pct"/>
                  <w:gridSpan w:val="3"/>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建设内容及规模</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主体</w:t>
                  </w:r>
                </w:p>
                <w:p>
                  <w:pPr>
                    <w:pStyle w:val="108"/>
                    <w:rPr>
                      <w:rFonts w:hint="default" w:ascii="Times New Roman" w:hAnsi="Times New Roman" w:eastAsia="宋体" w:cs="Times New Roman"/>
                    </w:rPr>
                  </w:pPr>
                  <w:r>
                    <w:rPr>
                      <w:rFonts w:hint="default" w:ascii="Times New Roman" w:hAnsi="Times New Roman" w:eastAsia="宋体" w:cs="Times New Roman"/>
                    </w:rPr>
                    <w:t>工程</w:t>
                  </w:r>
                </w:p>
              </w:tc>
              <w:tc>
                <w:tcPr>
                  <w:tcW w:w="403" w:type="pct"/>
                  <w:vMerge w:val="restar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污水预处理</w:t>
                  </w:r>
                </w:p>
              </w:tc>
              <w:tc>
                <w:tcPr>
                  <w:tcW w:w="681" w:type="pct"/>
                  <w:noWrap w:val="0"/>
                  <w:vAlign w:val="center"/>
                </w:tcPr>
                <w:p>
                  <w:pPr>
                    <w:pStyle w:val="108"/>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rPr>
                    <w:t>粗格栅间</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1座，框架结构；设计流量：</w:t>
                  </w:r>
                  <w:r>
                    <w:rPr>
                      <w:rFonts w:hint="default" w:ascii="Times New Roman" w:hAnsi="Times New Roman" w:eastAsia="宋体" w:cs="Times New Roman"/>
                      <w:spacing w:val="-6"/>
                      <w:lang w:val="en-US" w:eastAsia="zh-CN"/>
                    </w:rPr>
                    <w:t>192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h</w:t>
                  </w:r>
                  <w:r>
                    <w:rPr>
                      <w:rFonts w:hint="default" w:ascii="Times New Roman" w:hAnsi="Times New Roman" w:eastAsia="宋体" w:cs="Times New Roman"/>
                    </w:rPr>
                    <w:t>；</w:t>
                  </w:r>
                </w:p>
                <w:p>
                  <w:pPr>
                    <w:pStyle w:val="108"/>
                    <w:jc w:val="left"/>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格栅渠分为2格，每格选用1台机械格栅除污机，格栅根据格栅前水位高低控制运行或强制运行，自动耙渣，截留下的栅渣采用栅渣小车定期外运。</w:t>
                  </w:r>
                </w:p>
              </w:tc>
              <w:tc>
                <w:tcPr>
                  <w:tcW w:w="395" w:type="pct"/>
                  <w:noWrap w:val="0"/>
                  <w:vAlign w:val="center"/>
                </w:tcPr>
                <w:p>
                  <w:pPr>
                    <w:pStyle w:val="108"/>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vMerge w:val="continue"/>
                  <w:noWrap w:val="0"/>
                  <w:vAlign w:val="center"/>
                </w:tcPr>
                <w:p>
                  <w:pPr>
                    <w:pStyle w:val="108"/>
                    <w:rPr>
                      <w:rFonts w:hint="default" w:ascii="Times New Roman" w:hAnsi="Times New Roman" w:eastAsia="宋体" w:cs="Times New Roman"/>
                    </w:rPr>
                  </w:pPr>
                </w:p>
              </w:tc>
              <w:tc>
                <w:tcPr>
                  <w:tcW w:w="681" w:type="pct"/>
                  <w:noWrap w:val="0"/>
                  <w:vAlign w:val="center"/>
                </w:tcPr>
                <w:p>
                  <w:pPr>
                    <w:pStyle w:val="108"/>
                    <w:rPr>
                      <w:rFonts w:hint="default" w:ascii="Times New Roman" w:hAnsi="Times New Roman" w:eastAsia="宋体" w:cs="Times New Roman"/>
                      <w:lang w:eastAsia="zh-CN"/>
                    </w:rPr>
                  </w:pPr>
                  <w:r>
                    <w:rPr>
                      <w:rFonts w:hint="default" w:ascii="Times New Roman" w:hAnsi="Times New Roman" w:eastAsia="宋体" w:cs="Times New Roman"/>
                    </w:rPr>
                    <w:t>提升泵</w:t>
                  </w:r>
                  <w:r>
                    <w:rPr>
                      <w:rFonts w:hint="default" w:ascii="Times New Roman" w:hAnsi="Times New Roman" w:eastAsia="宋体" w:cs="Times New Roman"/>
                      <w:lang w:val="en-US" w:eastAsia="zh-CN"/>
                    </w:rPr>
                    <w:t>池</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1座，半地下式钢筋砼构筑物；</w:t>
                  </w:r>
                  <w:r>
                    <w:rPr>
                      <w:rFonts w:hint="default" w:ascii="Times New Roman" w:hAnsi="Times New Roman" w:eastAsia="宋体" w:cs="Times New Roman"/>
                      <w:lang w:val="en-US" w:eastAsia="zh-CN"/>
                    </w:rPr>
                    <w:t>提升泵池停留时间8h，可兼做调节池。</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vMerge w:val="continue"/>
                  <w:noWrap w:val="0"/>
                  <w:vAlign w:val="center"/>
                </w:tcPr>
                <w:p>
                  <w:pPr>
                    <w:pStyle w:val="108"/>
                    <w:rPr>
                      <w:rFonts w:hint="default" w:ascii="Times New Roman" w:hAnsi="Times New Roman" w:eastAsia="宋体" w:cs="Times New Roman"/>
                    </w:rPr>
                  </w:pPr>
                </w:p>
              </w:tc>
              <w:tc>
                <w:tcPr>
                  <w:tcW w:w="681" w:type="pct"/>
                  <w:noWrap w:val="0"/>
                  <w:vAlign w:val="center"/>
                </w:tcPr>
                <w:p>
                  <w:pPr>
                    <w:pStyle w:val="108"/>
                    <w:rPr>
                      <w:rFonts w:hint="default" w:ascii="Times New Roman" w:hAnsi="Times New Roman" w:eastAsia="宋体" w:cs="Times New Roman"/>
                      <w:lang w:val="en-US" w:eastAsia="zh-CN"/>
                    </w:rPr>
                  </w:pPr>
                  <w:r>
                    <w:rPr>
                      <w:rFonts w:hint="default" w:ascii="Times New Roman" w:hAnsi="Times New Roman" w:eastAsia="宋体" w:cs="Times New Roman"/>
                    </w:rPr>
                    <w:t>细格栅</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1座，设计流量：</w:t>
                  </w:r>
                  <w:r>
                    <w:rPr>
                      <w:rFonts w:hint="default" w:ascii="Times New Roman" w:hAnsi="Times New Roman" w:eastAsia="宋体" w:cs="Times New Roman"/>
                      <w:spacing w:val="-6"/>
                      <w:lang w:val="en-US" w:eastAsia="zh-CN"/>
                    </w:rPr>
                    <w:t>192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h</w:t>
                  </w:r>
                  <w:r>
                    <w:rPr>
                      <w:rFonts w:hint="default" w:ascii="Times New Roman" w:hAnsi="Times New Roman" w:eastAsia="宋体" w:cs="Times New Roman"/>
                    </w:rPr>
                    <w:t>；</w:t>
                  </w:r>
                </w:p>
                <w:p>
                  <w:pPr>
                    <w:pStyle w:val="108"/>
                    <w:jc w:val="left"/>
                    <w:rPr>
                      <w:rFonts w:hint="default" w:ascii="Times New Roman" w:hAnsi="Times New Roman" w:eastAsia="宋体" w:cs="Times New Roman"/>
                    </w:rPr>
                  </w:pPr>
                  <w:r>
                    <w:rPr>
                      <w:rFonts w:hint="default" w:ascii="Times New Roman" w:hAnsi="Times New Roman" w:eastAsia="宋体" w:cs="Times New Roman"/>
                    </w:rPr>
                    <w:t>内设1座细格栅池，钢筋混凝土结构，</w:t>
                  </w:r>
                  <w:r>
                    <w:rPr>
                      <w:rFonts w:hint="default" w:ascii="Times New Roman" w:hAnsi="Times New Roman" w:eastAsia="宋体" w:cs="Times New Roman"/>
                      <w:lang w:val="en-US" w:eastAsia="zh-CN"/>
                    </w:rPr>
                    <w:t>细格栅槽2条</w:t>
                  </w:r>
                  <w:r>
                    <w:rPr>
                      <w:rFonts w:hint="default" w:ascii="Times New Roman" w:hAnsi="Times New Roman" w:eastAsia="宋体" w:cs="Times New Roman"/>
                    </w:rPr>
                    <w:t>；</w:t>
                  </w:r>
                </w:p>
                <w:p>
                  <w:pPr>
                    <w:pStyle w:val="108"/>
                    <w:jc w:val="left"/>
                    <w:rPr>
                      <w:rFonts w:hint="default" w:ascii="Times New Roman" w:hAnsi="Times New Roman" w:eastAsia="宋体" w:cs="Times New Roman"/>
                    </w:rPr>
                  </w:pPr>
                  <w:r>
                    <w:rPr>
                      <w:rFonts w:hint="default" w:ascii="Times New Roman" w:hAnsi="Times New Roman" w:eastAsia="宋体" w:cs="Times New Roman"/>
                    </w:rPr>
                    <w:t>配套</w:t>
                  </w:r>
                  <w:r>
                    <w:rPr>
                      <w:rFonts w:hint="default" w:ascii="Times New Roman" w:hAnsi="Times New Roman" w:eastAsia="宋体" w:cs="Times New Roman"/>
                      <w:lang w:val="en-US" w:eastAsia="zh-CN"/>
                    </w:rPr>
                    <w:t>2</w:t>
                  </w:r>
                  <w:r>
                    <w:rPr>
                      <w:rFonts w:hint="default" w:ascii="Times New Roman" w:hAnsi="Times New Roman" w:eastAsia="宋体" w:cs="Times New Roman"/>
                    </w:rPr>
                    <w:t>台机械细格栅机、1台高压压榨机、</w:t>
                  </w:r>
                  <w:r>
                    <w:rPr>
                      <w:rFonts w:hint="default" w:ascii="Times New Roman" w:hAnsi="Times New Roman" w:eastAsia="宋体" w:cs="Times New Roman"/>
                      <w:lang w:val="en-US" w:eastAsia="zh-CN"/>
                    </w:rPr>
                    <w:t>2</w:t>
                  </w:r>
                  <w:r>
                    <w:rPr>
                      <w:rFonts w:hint="default" w:ascii="Times New Roman" w:hAnsi="Times New Roman" w:eastAsia="宋体" w:cs="Times New Roman"/>
                    </w:rPr>
                    <w:t>台栅渣清洗水</w:t>
                  </w:r>
                  <w:r>
                    <w:rPr>
                      <w:rFonts w:hint="default" w:ascii="Times New Roman" w:hAnsi="Times New Roman" w:eastAsia="宋体" w:cs="Times New Roman"/>
                      <w:lang w:val="en-US" w:eastAsia="zh-CN"/>
                    </w:rPr>
                    <w:t>泵</w:t>
                  </w:r>
                  <w:r>
                    <w:rPr>
                      <w:rFonts w:hint="default" w:ascii="Times New Roman" w:hAnsi="Times New Roman" w:eastAsia="宋体" w:cs="Times New Roman"/>
                    </w:rPr>
                    <w:t>；</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vMerge w:val="continue"/>
                  <w:noWrap w:val="0"/>
                  <w:vAlign w:val="center"/>
                </w:tcPr>
                <w:p>
                  <w:pPr>
                    <w:pStyle w:val="108"/>
                    <w:rPr>
                      <w:rFonts w:hint="default" w:ascii="Times New Roman" w:hAnsi="Times New Roman" w:eastAsia="宋体" w:cs="Times New Roman"/>
                    </w:rPr>
                  </w:pPr>
                </w:p>
              </w:tc>
              <w:tc>
                <w:tcPr>
                  <w:tcW w:w="681"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lang w:val="en-US" w:eastAsia="zh-CN"/>
                    </w:rPr>
                    <w:t>旋流</w:t>
                  </w:r>
                  <w:r>
                    <w:rPr>
                      <w:rFonts w:hint="default" w:ascii="Times New Roman" w:hAnsi="Times New Roman" w:eastAsia="宋体" w:cs="Times New Roman"/>
                    </w:rPr>
                    <w:t>沉砂池</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座，钢筋混凝土结构；设计流量：</w:t>
                  </w:r>
                  <w:r>
                    <w:rPr>
                      <w:rFonts w:hint="default" w:ascii="Times New Roman" w:hAnsi="Times New Roman" w:eastAsia="宋体" w:cs="Times New Roman"/>
                      <w:spacing w:val="-6"/>
                      <w:lang w:val="en-US" w:eastAsia="zh-CN"/>
                    </w:rPr>
                    <w:t>192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h</w:t>
                  </w:r>
                  <w:r>
                    <w:rPr>
                      <w:rFonts w:hint="default" w:ascii="Times New Roman" w:hAnsi="Times New Roman" w:eastAsia="宋体" w:cs="Times New Roman"/>
                    </w:rPr>
                    <w:t>；</w:t>
                  </w:r>
                </w:p>
                <w:p>
                  <w:pPr>
                    <w:pStyle w:val="108"/>
                    <w:jc w:val="left"/>
                    <w:rPr>
                      <w:rFonts w:hint="default" w:ascii="Times New Roman" w:hAnsi="Times New Roman" w:eastAsia="宋体" w:cs="Times New Roman"/>
                    </w:rPr>
                  </w:pPr>
                  <w:r>
                    <w:rPr>
                      <w:rFonts w:hint="default" w:ascii="Times New Roman" w:hAnsi="Times New Roman" w:eastAsia="宋体" w:cs="Times New Roman"/>
                    </w:rPr>
                    <w:t>配套1台</w:t>
                  </w:r>
                  <w:r>
                    <w:rPr>
                      <w:rFonts w:hint="default" w:ascii="Times New Roman" w:hAnsi="Times New Roman" w:eastAsia="宋体" w:cs="Times New Roman"/>
                      <w:lang w:val="en-US" w:eastAsia="zh-CN"/>
                    </w:rPr>
                    <w:t>砂水分离器</w:t>
                  </w:r>
                  <w:r>
                    <w:rPr>
                      <w:rFonts w:hint="default" w:ascii="Times New Roman" w:hAnsi="Times New Roman" w:eastAsia="宋体" w:cs="Times New Roman"/>
                    </w:rPr>
                    <w:t>、2台</w:t>
                  </w:r>
                  <w:r>
                    <w:rPr>
                      <w:rFonts w:hint="default" w:ascii="Times New Roman" w:hAnsi="Times New Roman" w:eastAsia="宋体" w:cs="Times New Roman"/>
                      <w:lang w:val="en-US" w:eastAsia="zh-CN"/>
                    </w:rPr>
                    <w:t>除砂机</w:t>
                  </w:r>
                  <w:r>
                    <w:rPr>
                      <w:rFonts w:hint="default" w:ascii="Times New Roman" w:hAnsi="Times New Roman" w:eastAsia="宋体" w:cs="Times New Roma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台罗茨鼓风机（</w:t>
                  </w:r>
                  <w:r>
                    <w:rPr>
                      <w:rFonts w:hint="default" w:ascii="Times New Roman" w:hAnsi="Times New Roman" w:eastAsia="宋体" w:cs="Times New Roman"/>
                      <w:lang w:val="en-US" w:eastAsia="zh-CN"/>
                    </w:rPr>
                    <w:t>1</w:t>
                  </w:r>
                  <w:r>
                    <w:rPr>
                      <w:rFonts w:hint="default" w:ascii="Times New Roman" w:hAnsi="Times New Roman" w:eastAsia="宋体" w:cs="Times New Roman"/>
                    </w:rPr>
                    <w:t>用1备）</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vMerge w:val="continue"/>
                  <w:noWrap w:val="0"/>
                  <w:vAlign w:val="center"/>
                </w:tcPr>
                <w:p>
                  <w:pPr>
                    <w:pStyle w:val="108"/>
                    <w:rPr>
                      <w:rFonts w:hint="default" w:ascii="Times New Roman" w:hAnsi="Times New Roman" w:eastAsia="宋体" w:cs="Times New Roman"/>
                    </w:rPr>
                  </w:pPr>
                </w:p>
              </w:tc>
              <w:tc>
                <w:tcPr>
                  <w:tcW w:w="681"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初沉池</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lang w:val="en-US" w:eastAsia="zh-CN"/>
                    </w:rPr>
                    <w:t>1</w:t>
                  </w:r>
                  <w:r>
                    <w:rPr>
                      <w:rFonts w:hint="default" w:ascii="Times New Roman" w:hAnsi="Times New Roman" w:eastAsia="宋体" w:cs="Times New Roman"/>
                    </w:rPr>
                    <w:t>座，钢筋混凝土结构，</w:t>
                  </w:r>
                  <w:r>
                    <w:rPr>
                      <w:rFonts w:hint="default" w:ascii="Times New Roman" w:hAnsi="Times New Roman" w:eastAsia="宋体" w:cs="Times New Roman"/>
                      <w:lang w:val="en-US" w:eastAsia="zh-CN"/>
                    </w:rPr>
                    <w:t>分2组</w:t>
                  </w:r>
                  <w:r>
                    <w:rPr>
                      <w:rFonts w:hint="default" w:ascii="Times New Roman" w:hAnsi="Times New Roman" w:eastAsia="宋体" w:cs="Times New Roman"/>
                    </w:rPr>
                    <w:t>；</w:t>
                  </w:r>
                </w:p>
                <w:p>
                  <w:pPr>
                    <w:pStyle w:val="108"/>
                    <w:jc w:val="left"/>
                    <w:rPr>
                      <w:rFonts w:hint="default" w:ascii="Times New Roman" w:hAnsi="Times New Roman" w:eastAsia="宋体" w:cs="Times New Roman"/>
                    </w:rPr>
                  </w:pPr>
                  <w:r>
                    <w:rPr>
                      <w:rFonts w:hint="default" w:ascii="Times New Roman" w:hAnsi="Times New Roman" w:eastAsia="宋体" w:cs="Times New Roman"/>
                    </w:rPr>
                    <w:t>设计流量：</w:t>
                  </w:r>
                  <w:r>
                    <w:rPr>
                      <w:rFonts w:hint="default" w:ascii="Times New Roman" w:hAnsi="Times New Roman" w:eastAsia="宋体" w:cs="Times New Roman"/>
                      <w:spacing w:val="-6"/>
                      <w:lang w:val="en-US" w:eastAsia="zh-CN"/>
                    </w:rPr>
                    <w:t>192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g</w:t>
                  </w:r>
                  <w:r>
                    <w:rPr>
                      <w:rFonts w:hint="default" w:ascii="Times New Roman" w:hAnsi="Times New Roman" w:eastAsia="宋体" w:cs="Times New Roman"/>
                    </w:rPr>
                    <w:t>，有效水深</w:t>
                  </w:r>
                  <w:r>
                    <w:rPr>
                      <w:rFonts w:hint="default" w:ascii="Times New Roman" w:hAnsi="Times New Roman" w:eastAsia="宋体" w:cs="Times New Roman"/>
                      <w:lang w:val="en-US" w:eastAsia="zh-CN"/>
                    </w:rPr>
                    <w:t>2.</w:t>
                  </w:r>
                  <w:r>
                    <w:rPr>
                      <w:rFonts w:hint="default" w:ascii="Times New Roman" w:hAnsi="Times New Roman" w:eastAsia="宋体" w:cs="Times New Roman"/>
                    </w:rPr>
                    <w:t>5m，停留时间1.</w:t>
                  </w:r>
                  <w:r>
                    <w:rPr>
                      <w:rFonts w:hint="default" w:ascii="Times New Roman" w:hAnsi="Times New Roman" w:eastAsia="宋体" w:cs="Times New Roman"/>
                      <w:lang w:val="en-US" w:eastAsia="zh-CN"/>
                    </w:rPr>
                    <w:t>67</w:t>
                  </w:r>
                  <w:r>
                    <w:rPr>
                      <w:rFonts w:hint="default" w:ascii="Times New Roman" w:hAnsi="Times New Roman" w:eastAsia="宋体" w:cs="Times New Roman"/>
                    </w:rPr>
                    <w:t>h；</w:t>
                  </w:r>
                </w:p>
                <w:p>
                  <w:pPr>
                    <w:pStyle w:val="108"/>
                    <w:jc w:val="left"/>
                    <w:rPr>
                      <w:rFonts w:hint="default" w:ascii="Times New Roman" w:hAnsi="Times New Roman" w:eastAsia="宋体" w:cs="Times New Roman"/>
                    </w:rPr>
                  </w:pPr>
                  <w:r>
                    <w:rPr>
                      <w:rFonts w:hint="default" w:ascii="Times New Roman" w:hAnsi="Times New Roman" w:eastAsia="宋体" w:cs="Times New Roman"/>
                    </w:rPr>
                    <w:t>配套2台全桥式中心传动刮泥机；</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vMerge w:val="restar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污水二级生物处理</w:t>
                  </w:r>
                </w:p>
              </w:tc>
              <w:tc>
                <w:tcPr>
                  <w:tcW w:w="681" w:type="pct"/>
                  <w:noWrap w:val="0"/>
                  <w:vAlign w:val="center"/>
                </w:tcPr>
                <w:p>
                  <w:pPr>
                    <w:pStyle w:val="108"/>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rPr>
                    <w:t>A/O生化池</w:t>
                  </w:r>
                </w:p>
              </w:tc>
              <w:tc>
                <w:tcPr>
                  <w:tcW w:w="3255" w:type="pct"/>
                  <w:noWrap w:val="0"/>
                  <w:vAlign w:val="center"/>
                </w:tcPr>
                <w:p>
                  <w:pPr>
                    <w:pStyle w:val="109"/>
                    <w:spacing w:line="240" w:lineRule="auto"/>
                    <w:ind w:firstLine="0" w:firstLineChars="0"/>
                    <w:jc w:val="left"/>
                    <w:rPr>
                      <w:rFonts w:hint="default" w:ascii="Times New Roman" w:hAnsi="Times New Roman" w:eastAsia="宋体" w:cs="Times New Roman"/>
                      <w:snapToGrid w:val="0"/>
                      <w:kern w:val="2"/>
                      <w:sz w:val="24"/>
                      <w:szCs w:val="21"/>
                      <w:lang w:val="en-US" w:eastAsia="zh-CN" w:bidi="ar-SA"/>
                    </w:rPr>
                  </w:pPr>
                  <w:r>
                    <w:rPr>
                      <w:rFonts w:hint="default" w:ascii="Times New Roman" w:hAnsi="Times New Roman" w:eastAsia="宋体" w:cs="Times New Roman"/>
                      <w:sz w:val="21"/>
                      <w:szCs w:val="21"/>
                      <w:lang w:val="en-US" w:eastAsia="zh-CN"/>
                    </w:rPr>
                    <w:t>一座五段A/O生化池，单座设计规模2000m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/d。分两组运行，单组处理规模1000m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/d。五段A/O生化池包含厌氧池、I段缺氧池、I段好氧池、II段缺氧池、II段好氧池。配套4台潜水搅拌机、4台潜水推流器，、4台混合液回流泵。</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vMerge w:val="continue"/>
                  <w:noWrap w:val="0"/>
                  <w:vAlign w:val="center"/>
                </w:tcPr>
                <w:p>
                  <w:pPr>
                    <w:pStyle w:val="108"/>
                    <w:rPr>
                      <w:rFonts w:hint="default" w:ascii="Times New Roman" w:hAnsi="Times New Roman" w:eastAsia="宋体" w:cs="Times New Roman"/>
                    </w:rPr>
                  </w:pPr>
                </w:p>
              </w:tc>
              <w:tc>
                <w:tcPr>
                  <w:tcW w:w="681" w:type="pct"/>
                  <w:noWrap w:val="0"/>
                  <w:vAlign w:val="center"/>
                </w:tcPr>
                <w:p>
                  <w:pPr>
                    <w:pStyle w:val="108"/>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lang w:val="en-US" w:eastAsia="zh-CN"/>
                    </w:rPr>
                    <w:t>二沉池</w:t>
                  </w:r>
                </w:p>
              </w:tc>
              <w:tc>
                <w:tcPr>
                  <w:tcW w:w="3255" w:type="pct"/>
                  <w:noWrap w:val="0"/>
                  <w:vAlign w:val="center"/>
                </w:tcPr>
                <w:p>
                  <w:pPr>
                    <w:pStyle w:val="109"/>
                    <w:spacing w:line="240" w:lineRule="auto"/>
                    <w:ind w:firstLine="0" w:firstLineChars="0"/>
                    <w:jc w:val="left"/>
                    <w:rPr>
                      <w:rFonts w:hint="default" w:ascii="Times New Roman" w:hAnsi="Times New Roman" w:eastAsia="宋体" w:cs="Times New Roman"/>
                      <w:snapToGrid w:val="0"/>
                      <w:kern w:val="2"/>
                      <w:sz w:val="24"/>
                      <w:szCs w:val="21"/>
                      <w:lang w:val="en-US" w:eastAsia="zh-CN" w:bidi="ar-SA"/>
                    </w:rPr>
                  </w:pPr>
                  <w:r>
                    <w:rPr>
                      <w:rFonts w:hint="default" w:ascii="Times New Roman" w:hAnsi="Times New Roman" w:eastAsia="宋体" w:cs="Times New Roman"/>
                      <w:sz w:val="21"/>
                      <w:szCs w:val="21"/>
                      <w:lang w:val="en-US" w:eastAsia="zh-CN"/>
                    </w:rPr>
                    <w:t>2座，单座设计规模1000m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/d，配套有2台刮泥板、4台潜污泵、2套浮渣篓4座阀门井。</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vMerge w:val="continue"/>
                  <w:noWrap w:val="0"/>
                  <w:vAlign w:val="center"/>
                </w:tcPr>
                <w:p>
                  <w:pPr>
                    <w:pStyle w:val="108"/>
                    <w:rPr>
                      <w:rFonts w:hint="default" w:ascii="Times New Roman" w:hAnsi="Times New Roman" w:eastAsia="宋体" w:cs="Times New Roman"/>
                    </w:rPr>
                  </w:pPr>
                </w:p>
              </w:tc>
              <w:tc>
                <w:tcPr>
                  <w:tcW w:w="681" w:type="pct"/>
                  <w:noWrap w:val="0"/>
                  <w:vAlign w:val="center"/>
                </w:tcPr>
                <w:p>
                  <w:pPr>
                    <w:pStyle w:val="10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组合水池</w:t>
                  </w:r>
                </w:p>
              </w:tc>
              <w:tc>
                <w:tcPr>
                  <w:tcW w:w="3255" w:type="pct"/>
                  <w:noWrap w:val="0"/>
                  <w:vAlign w:val="center"/>
                </w:tcPr>
                <w:p>
                  <w:pPr>
                    <w:pStyle w:val="109"/>
                    <w:spacing w:line="240" w:lineRule="auto"/>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sz w:val="21"/>
                      <w:szCs w:val="21"/>
                      <w:lang w:val="en-US" w:eastAsia="zh-CN"/>
                    </w:rPr>
                    <w:t>组合水池包括中间水池、消毒池、回用水池，各1座，均为钢筋混凝土结构。组合水池上设水泵房及出水监测间。水泵房设厂区回用水泵、消防水泵等配套设施；出水监测间放置污水厂出水在线监测设备。</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污水深度处理</w:t>
                  </w:r>
                </w:p>
              </w:tc>
              <w:tc>
                <w:tcPr>
                  <w:tcW w:w="681" w:type="pct"/>
                  <w:noWrap w:val="0"/>
                  <w:vAlign w:val="center"/>
                </w:tcPr>
                <w:p>
                  <w:pPr>
                    <w:pStyle w:val="10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深度处理车间</w:t>
                  </w:r>
                </w:p>
              </w:tc>
              <w:tc>
                <w:tcPr>
                  <w:tcW w:w="3255" w:type="pct"/>
                  <w:noWrap w:val="0"/>
                  <w:vAlign w:val="center"/>
                </w:tcPr>
                <w:p>
                  <w:pPr>
                    <w:pStyle w:val="109"/>
                    <w:spacing w:line="24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深度处理系统设计建设规模2000m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/d，深度处理系统位于深度 处理车间内，深度处理车间尺寸：32.4m×17.7m，高度 8.0m，车间内放置絮凝沉淀池1座、V型滤池1座、配套加药设备、储药间、风机房、配电室。</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403"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尾水排放</w:t>
                  </w:r>
                </w:p>
              </w:tc>
              <w:tc>
                <w:tcPr>
                  <w:tcW w:w="681"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出水渠道及巴氏计量槽</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1座，钢筋混凝土结构，设计流量：</w:t>
                  </w:r>
                  <w:r>
                    <w:rPr>
                      <w:rFonts w:hint="default" w:ascii="Times New Roman" w:hAnsi="Times New Roman" w:eastAsia="宋体" w:cs="Times New Roman"/>
                      <w:lang w:val="en-US" w:eastAsia="zh-CN"/>
                    </w:rPr>
                    <w:t>125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h</w:t>
                  </w:r>
                  <w:r>
                    <w:rPr>
                      <w:rFonts w:hint="default" w:ascii="Times New Roman" w:hAnsi="Times New Roman" w:eastAsia="宋体" w:cs="Times New Roman"/>
                    </w:rPr>
                    <w:t>，峰值流量</w:t>
                  </w:r>
                  <w:r>
                    <w:rPr>
                      <w:rFonts w:hint="default" w:ascii="Times New Roman" w:hAnsi="Times New Roman" w:eastAsia="宋体" w:cs="Times New Roman"/>
                      <w:lang w:val="en-US" w:eastAsia="zh-CN"/>
                    </w:rPr>
                    <w:t>192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h</w:t>
                  </w:r>
                  <w:r>
                    <w:rPr>
                      <w:rFonts w:hint="default" w:ascii="Times New Roman" w:hAnsi="Times New Roman" w:eastAsia="宋体" w:cs="Times New Roman"/>
                    </w:rPr>
                    <w:t>；</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eastAsia" w:ascii="Times New Roman" w:hAnsi="Times New Roman" w:eastAsia="宋体" w:cs="Times New Roman"/>
                      <w:lang w:val="en-US" w:eastAsia="zh-CN"/>
                    </w:rPr>
                    <w:t>污水收集管线</w:t>
                  </w:r>
                </w:p>
              </w:tc>
              <w:tc>
                <w:tcPr>
                  <w:tcW w:w="3255" w:type="pct"/>
                  <w:noWrap w:val="0"/>
                  <w:vAlign w:val="center"/>
                </w:tcPr>
                <w:p>
                  <w:pPr>
                    <w:pStyle w:val="108"/>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在建安镇各村庄内新建污水收集管网，自流进入新建污水提升泵站，由泵站将污水提升至污水处理厂。建安镇污水干管分为东线和西线两条，详细布置为</w:t>
                  </w:r>
                  <w:r>
                    <w:rPr>
                      <w:rFonts w:hint="eastAsia" w:ascii="Times New Roman" w:hAnsi="Times New Roman" w:eastAsia="宋体" w:cs="Times New Roman"/>
                      <w:lang w:val="en-US" w:eastAsia="zh-CN"/>
                    </w:rPr>
                    <w:t>：</w:t>
                  </w:r>
                </w:p>
                <w:p>
                  <w:pPr>
                    <w:pStyle w:val="108"/>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西线从瑶池村开始，沿环河线敷设，由西向东依次穿越潭上村、西建安村、大建安村、东建安村、张家庄村，最终排入污水处理厂内。收水范围为潭上村、西建安村、大建安村、东建安村、张家庄村生活污水，管径为 DN200-DN400。</w:t>
                  </w:r>
                </w:p>
                <w:p>
                  <w:pPr>
                    <w:pStyle w:val="108"/>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②东线收集谭村生活污水后，沿环河线向西北方向敷设，最终排入污水处理厂内。收水范围为潭村的生活污水，管径为DN200。</w:t>
                  </w:r>
                </w:p>
                <w:p>
                  <w:pPr>
                    <w:pStyle w:val="108"/>
                    <w:jc w:val="both"/>
                    <w:rPr>
                      <w:rFonts w:hint="default" w:ascii="Times New Roman" w:hAnsi="Times New Roman" w:eastAsia="宋体" w:cs="Times New Roman"/>
                      <w:lang w:val="en-US"/>
                    </w:rPr>
                  </w:pPr>
                  <w:r>
                    <w:rPr>
                      <w:rFonts w:hint="eastAsia" w:ascii="Times New Roman" w:hAnsi="Times New Roman" w:eastAsia="宋体" w:cs="Times New Roman"/>
                      <w:lang w:val="en-US" w:eastAsia="zh-CN"/>
                    </w:rPr>
                    <w:t>本工程考虑每户建设污水收集槽，村民入户污水的收集通过在每户设置污水收集水槽（陶瓷拖布池：尺寸为 34×34×41cm，包括 6 米 De160 的 PVC-U 排水管），村民每天产生的洗衣、洗菜等生活污水倒入污水集水槽后，通过敷设De160的PVC-U排水管道将污水就近排入室外污水收集管道系统。</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辅助</w:t>
                  </w:r>
                </w:p>
                <w:p>
                  <w:pPr>
                    <w:pStyle w:val="108"/>
                    <w:rPr>
                      <w:rFonts w:hint="default" w:ascii="Times New Roman" w:hAnsi="Times New Roman" w:eastAsia="宋体" w:cs="Times New Roman"/>
                    </w:rPr>
                  </w:pPr>
                  <w:r>
                    <w:rPr>
                      <w:rFonts w:hint="default" w:ascii="Times New Roman" w:hAnsi="Times New Roman" w:eastAsia="宋体" w:cs="Times New Roman"/>
                    </w:rPr>
                    <w:t>工程</w:t>
                  </w: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污泥浓缩脱水车间</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1座，框架结构；设</w:t>
                  </w:r>
                  <w:r>
                    <w:rPr>
                      <w:rFonts w:hint="default" w:ascii="Times New Roman" w:hAnsi="Times New Roman" w:eastAsia="宋体" w:cs="Times New Roman"/>
                      <w:lang w:val="en-US" w:eastAsia="zh-CN"/>
                    </w:rPr>
                    <w:t>1</w:t>
                  </w:r>
                  <w:r>
                    <w:rPr>
                      <w:rFonts w:hint="default" w:ascii="Times New Roman" w:hAnsi="Times New Roman" w:eastAsia="宋体" w:cs="Times New Roman"/>
                    </w:rPr>
                    <w:t>座</w:t>
                  </w:r>
                  <w:r>
                    <w:rPr>
                      <w:rFonts w:hint="default" w:ascii="Times New Roman" w:hAnsi="Times New Roman" w:eastAsia="宋体" w:cs="Times New Roman"/>
                      <w:lang w:val="en-US" w:eastAsia="zh-CN"/>
                    </w:rPr>
                    <w:t>污泥平衡池</w:t>
                  </w:r>
                  <w:r>
                    <w:rPr>
                      <w:rFonts w:hint="default" w:ascii="Times New Roman" w:hAnsi="Times New Roman" w:eastAsia="宋体" w:cs="Times New Roman"/>
                    </w:rPr>
                    <w:t>，钢筋混凝土结构；配套</w:t>
                  </w:r>
                  <w:r>
                    <w:rPr>
                      <w:rFonts w:hint="default" w:ascii="Times New Roman" w:hAnsi="Times New Roman" w:eastAsia="宋体" w:cs="Times New Roman"/>
                      <w:lang w:val="en-US" w:eastAsia="zh-CN"/>
                    </w:rPr>
                    <w:t>2</w:t>
                  </w:r>
                  <w:r>
                    <w:rPr>
                      <w:rFonts w:hint="default" w:ascii="Times New Roman" w:hAnsi="Times New Roman" w:eastAsia="宋体" w:cs="Times New Roman"/>
                    </w:rPr>
                    <w:t>台带式污泥脱水机、</w:t>
                  </w:r>
                  <w:r>
                    <w:rPr>
                      <w:rFonts w:hint="default" w:ascii="Times New Roman" w:hAnsi="Times New Roman" w:eastAsia="宋体" w:cs="Times New Roman"/>
                      <w:lang w:val="en-US" w:eastAsia="zh-CN"/>
                    </w:rPr>
                    <w:t>3</w:t>
                  </w:r>
                  <w:r>
                    <w:rPr>
                      <w:rFonts w:hint="default" w:ascii="Times New Roman" w:hAnsi="Times New Roman" w:eastAsia="宋体" w:cs="Times New Roman"/>
                    </w:rPr>
                    <w:t>台污泥螺杆泵（2用</w:t>
                  </w:r>
                  <w:r>
                    <w:rPr>
                      <w:rFonts w:hint="default" w:ascii="Times New Roman" w:hAnsi="Times New Roman" w:eastAsia="宋体" w:cs="Times New Roman"/>
                      <w:lang w:val="en-US" w:eastAsia="zh-CN"/>
                    </w:rPr>
                    <w:t>1</w:t>
                  </w:r>
                  <w:r>
                    <w:rPr>
                      <w:rFonts w:hint="default" w:ascii="Times New Roman" w:hAnsi="Times New Roman" w:eastAsia="宋体" w:cs="Times New Roman"/>
                    </w:rPr>
                    <w:t>备）、</w:t>
                  </w:r>
                  <w:r>
                    <w:rPr>
                      <w:rFonts w:hint="default" w:ascii="Times New Roman" w:hAnsi="Times New Roman" w:eastAsia="宋体" w:cs="Times New Roman"/>
                      <w:lang w:val="en-US" w:eastAsia="zh-CN"/>
                    </w:rPr>
                    <w:t>1</w:t>
                  </w:r>
                  <w:r>
                    <w:rPr>
                      <w:rFonts w:hint="default" w:ascii="Times New Roman" w:hAnsi="Times New Roman" w:eastAsia="宋体" w:cs="Times New Roman"/>
                    </w:rPr>
                    <w:t>台储泥池搅拌器、1台水平螺旋输送机、</w:t>
                  </w:r>
                  <w:r>
                    <w:rPr>
                      <w:rFonts w:hint="default" w:ascii="Times New Roman" w:hAnsi="Times New Roman" w:eastAsia="宋体" w:cs="Times New Roman"/>
                      <w:lang w:val="en-US" w:eastAsia="zh-CN"/>
                    </w:rPr>
                    <w:t>2台</w:t>
                  </w:r>
                  <w:r>
                    <w:rPr>
                      <w:rFonts w:hint="default" w:ascii="Times New Roman" w:hAnsi="Times New Roman" w:eastAsia="宋体" w:cs="Times New Roman"/>
                    </w:rPr>
                    <w:t>污泥斗、</w:t>
                  </w:r>
                  <w:r>
                    <w:rPr>
                      <w:rFonts w:hint="default" w:ascii="Times New Roman" w:hAnsi="Times New Roman" w:eastAsia="宋体" w:cs="Times New Roman"/>
                      <w:lang w:val="en-US" w:eastAsia="zh-CN"/>
                    </w:rPr>
                    <w:t>1</w:t>
                  </w:r>
                  <w:r>
                    <w:rPr>
                      <w:rFonts w:hint="default" w:ascii="Times New Roman" w:hAnsi="Times New Roman" w:eastAsia="宋体" w:cs="Times New Roman"/>
                    </w:rPr>
                    <w:t>台空压机、PA</w:t>
                  </w:r>
                  <w:r>
                    <w:rPr>
                      <w:rFonts w:hint="default" w:ascii="Times New Roman" w:hAnsi="Times New Roman" w:eastAsia="宋体" w:cs="Times New Roman"/>
                      <w:lang w:val="en-US" w:eastAsia="zh-CN"/>
                    </w:rPr>
                    <w:t>C</w:t>
                  </w:r>
                  <w:r>
                    <w:rPr>
                      <w:rFonts w:hint="default" w:ascii="Times New Roman" w:hAnsi="Times New Roman" w:eastAsia="宋体" w:cs="Times New Roman"/>
                    </w:rPr>
                    <w:t>加药装置</w:t>
                  </w:r>
                  <w:r>
                    <w:rPr>
                      <w:rFonts w:hint="default" w:ascii="Times New Roman" w:hAnsi="Times New Roman" w:eastAsia="宋体" w:cs="Times New Roman"/>
                      <w:lang w:val="en-US" w:eastAsia="zh-CN"/>
                    </w:rPr>
                    <w:t>2</w:t>
                  </w:r>
                  <w:r>
                    <w:rPr>
                      <w:rFonts w:hint="default" w:ascii="Times New Roman" w:hAnsi="Times New Roman" w:eastAsia="宋体" w:cs="Times New Roman"/>
                    </w:rPr>
                    <w:t>套</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1用1备）</w:t>
                  </w:r>
                  <w:r>
                    <w:rPr>
                      <w:rFonts w:hint="default" w:ascii="Times New Roman" w:hAnsi="Times New Roman" w:eastAsia="宋体" w:cs="Times New Roman"/>
                    </w:rPr>
                    <w:t>；</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风机房</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1座，框架结构；内设</w:t>
                  </w:r>
                  <w:r>
                    <w:rPr>
                      <w:rFonts w:hint="default" w:ascii="Times New Roman" w:hAnsi="Times New Roman" w:eastAsia="宋体" w:cs="Times New Roman"/>
                      <w:lang w:val="en-US" w:eastAsia="zh-CN"/>
                    </w:rPr>
                    <w:t>空气</w:t>
                  </w:r>
                  <w:r>
                    <w:rPr>
                      <w:rFonts w:hint="default" w:ascii="Times New Roman" w:hAnsi="Times New Roman" w:eastAsia="宋体" w:cs="Times New Roman"/>
                    </w:rPr>
                    <w:t>悬浮风机</w:t>
                  </w:r>
                  <w:r>
                    <w:rPr>
                      <w:rFonts w:hint="default" w:ascii="Times New Roman" w:hAnsi="Times New Roman" w:eastAsia="宋体" w:cs="Times New Roman"/>
                      <w:lang w:val="en-US" w:eastAsia="zh-CN"/>
                    </w:rPr>
                    <w:t>2</w:t>
                  </w:r>
                  <w:r>
                    <w:rPr>
                      <w:rFonts w:hint="default" w:ascii="Times New Roman" w:hAnsi="Times New Roman" w:eastAsia="宋体" w:cs="Times New Roman"/>
                    </w:rPr>
                    <w:t>台（</w:t>
                  </w:r>
                  <w:r>
                    <w:rPr>
                      <w:rFonts w:hint="default" w:ascii="Times New Roman" w:hAnsi="Times New Roman" w:eastAsia="宋体" w:cs="Times New Roman"/>
                      <w:lang w:val="en-US" w:eastAsia="zh-CN"/>
                    </w:rPr>
                    <w:t>1</w:t>
                  </w:r>
                  <w:r>
                    <w:rPr>
                      <w:rFonts w:hint="default" w:ascii="Times New Roman" w:hAnsi="Times New Roman" w:eastAsia="宋体" w:cs="Times New Roman"/>
                    </w:rPr>
                    <w:t>用1备）</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机修间</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1座，框架结构，1层，建筑面积54m</w:t>
                  </w:r>
                  <w:r>
                    <w:rPr>
                      <w:rFonts w:hint="default" w:ascii="Times New Roman" w:hAnsi="Times New Roman" w:eastAsia="宋体" w:cs="Times New Roman"/>
                      <w:vertAlign w:val="superscript"/>
                    </w:rPr>
                    <w:t>2</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储药间</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1座，框架结构，1层，建筑面积54m</w:t>
                  </w:r>
                  <w:r>
                    <w:rPr>
                      <w:rFonts w:hint="default" w:ascii="Times New Roman" w:hAnsi="Times New Roman" w:eastAsia="宋体" w:cs="Times New Roman"/>
                      <w:vertAlign w:val="superscript"/>
                    </w:rPr>
                    <w:t>2</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加药间</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1座，框架结构，1层，建筑面积166.8m</w:t>
                  </w:r>
                  <w:r>
                    <w:rPr>
                      <w:rFonts w:hint="default" w:ascii="Times New Roman" w:hAnsi="Times New Roman" w:eastAsia="宋体" w:cs="Times New Roman"/>
                      <w:vertAlign w:val="superscript"/>
                    </w:rPr>
                    <w:t>2</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公用</w:t>
                  </w:r>
                </w:p>
                <w:p>
                  <w:pPr>
                    <w:pStyle w:val="108"/>
                    <w:rPr>
                      <w:rFonts w:hint="default" w:ascii="Times New Roman" w:hAnsi="Times New Roman" w:eastAsia="宋体" w:cs="Times New Roman"/>
                    </w:rPr>
                  </w:pPr>
                  <w:r>
                    <w:rPr>
                      <w:rFonts w:hint="default" w:ascii="Times New Roman" w:hAnsi="Times New Roman" w:eastAsia="宋体" w:cs="Times New Roman"/>
                    </w:rPr>
                    <w:t>工程</w:t>
                  </w: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供电</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设1座变配电所，框架结构，内设10KV配电室、控制室、低压配电室；</w:t>
                  </w:r>
                  <w:r>
                    <w:rPr>
                      <w:rFonts w:hint="default" w:ascii="Times New Roman" w:hAnsi="Times New Roman" w:eastAsia="宋体" w:cs="Times New Roman"/>
                      <w:lang w:val="en-US" w:eastAsia="zh-CN"/>
                    </w:rPr>
                    <w:t>2</w:t>
                  </w:r>
                  <w:r>
                    <w:rPr>
                      <w:rFonts w:hint="default" w:ascii="Times New Roman" w:hAnsi="Times New Roman" w:eastAsia="宋体" w:cs="Times New Roman"/>
                    </w:rPr>
                    <w:t>台</w:t>
                  </w:r>
                  <w:r>
                    <w:rPr>
                      <w:rFonts w:hint="default" w:ascii="Times New Roman" w:hAnsi="Times New Roman" w:eastAsia="宋体" w:cs="Times New Roman"/>
                      <w:lang w:val="en-US" w:eastAsia="zh-CN"/>
                    </w:rPr>
                    <w:t>250</w:t>
                  </w:r>
                  <w:r>
                    <w:rPr>
                      <w:rFonts w:hint="default" w:ascii="Times New Roman" w:hAnsi="Times New Roman" w:eastAsia="宋体" w:cs="Times New Roman"/>
                    </w:rPr>
                    <w:t>KVA10/0.4KV变压器。</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供热</w:t>
                  </w:r>
                </w:p>
              </w:tc>
              <w:tc>
                <w:tcPr>
                  <w:tcW w:w="3255" w:type="pct"/>
                  <w:noWrap w:val="0"/>
                  <w:vAlign w:val="center"/>
                </w:tcPr>
                <w:p>
                  <w:pPr>
                    <w:pStyle w:val="108"/>
                    <w:jc w:val="left"/>
                    <w:rPr>
                      <w:rFonts w:hint="default" w:ascii="Times New Roman" w:hAnsi="Times New Roman" w:eastAsia="宋体" w:cs="Times New Roman"/>
                      <w:lang w:val="en-US" w:eastAsia="zh-CN"/>
                    </w:rPr>
                  </w:pPr>
                  <w:r>
                    <w:rPr>
                      <w:rFonts w:hint="default" w:ascii="Times New Roman" w:hAnsi="Times New Roman" w:eastAsia="宋体" w:cs="Times New Roman"/>
                      <w:color w:val="auto"/>
                      <w:lang w:val="en-US" w:eastAsia="zh-CN"/>
                    </w:rPr>
                    <w:t>采用空气能采暖</w:t>
                  </w:r>
                  <w:r>
                    <w:rPr>
                      <w:rFonts w:hint="eastAsia" w:ascii="Times New Roman" w:hAnsi="Times New Roman" w:cs="Times New Roman"/>
                      <w:color w:val="auto"/>
                      <w:lang w:val="en-US" w:eastAsia="zh-CN"/>
                    </w:rPr>
                    <w:t>装置</w:t>
                  </w:r>
                  <w:r>
                    <w:rPr>
                      <w:rFonts w:hint="default" w:ascii="Times New Roman" w:hAnsi="Times New Roman" w:eastAsia="宋体" w:cs="Times New Roman"/>
                      <w:color w:val="auto"/>
                      <w:lang w:val="en-US" w:eastAsia="zh-CN"/>
                    </w:rPr>
                    <w:t>。</w:t>
                  </w:r>
                </w:p>
              </w:tc>
              <w:tc>
                <w:tcPr>
                  <w:tcW w:w="395" w:type="pct"/>
                  <w:noWrap w:val="0"/>
                  <w:vAlign w:val="center"/>
                </w:tcPr>
                <w:p>
                  <w:pPr>
                    <w:pStyle w:val="10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供水</w:t>
                  </w:r>
                </w:p>
              </w:tc>
              <w:tc>
                <w:tcPr>
                  <w:tcW w:w="3255" w:type="pct"/>
                  <w:noWrap w:val="0"/>
                  <w:vAlign w:val="center"/>
                </w:tcPr>
                <w:p>
                  <w:pPr>
                    <w:pStyle w:val="108"/>
                    <w:jc w:val="left"/>
                    <w:rPr>
                      <w:rFonts w:hint="default" w:ascii="Times New Roman" w:hAnsi="Times New Roman" w:eastAsia="宋体" w:cs="Times New Roman"/>
                      <w:lang w:val="en-US" w:eastAsia="zh-CN"/>
                    </w:rPr>
                  </w:pPr>
                  <w:r>
                    <w:rPr>
                      <w:rFonts w:hint="default" w:ascii="Times New Roman" w:hAnsi="Times New Roman" w:eastAsia="宋体" w:cs="Times New Roman"/>
                    </w:rPr>
                    <w:t>厂内生产用水、职工生活用水和消防用水</w:t>
                  </w:r>
                  <w:r>
                    <w:rPr>
                      <w:rFonts w:hint="default" w:ascii="Times New Roman" w:hAnsi="Times New Roman" w:eastAsia="宋体" w:cs="Times New Roman"/>
                      <w:lang w:val="en-US" w:eastAsia="zh-CN"/>
                    </w:rPr>
                    <w:t>接自市政自来水总管</w:t>
                  </w:r>
                </w:p>
              </w:tc>
              <w:tc>
                <w:tcPr>
                  <w:tcW w:w="395" w:type="pct"/>
                  <w:noWrap w:val="0"/>
                  <w:vAlign w:val="center"/>
                </w:tcPr>
                <w:p>
                  <w:pPr>
                    <w:pStyle w:val="10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办公生活</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设1座综合办公楼和1座门房，钢砼框架结构，</w:t>
                  </w:r>
                  <w:r>
                    <w:rPr>
                      <w:rFonts w:hint="default" w:ascii="Times New Roman" w:hAnsi="Times New Roman" w:eastAsia="宋体" w:cs="Times New Roman"/>
                      <w:lang w:val="en-US" w:eastAsia="zh-CN"/>
                    </w:rPr>
                    <w:t>办公楼2层，20×10×7.2m</w:t>
                  </w:r>
                  <w:r>
                    <w:rPr>
                      <w:rFonts w:hint="default" w:ascii="Times New Roman" w:hAnsi="Times New Roman" w:eastAsia="宋体" w:cs="Times New Roman"/>
                    </w:rPr>
                    <w:t>；</w:t>
                  </w:r>
                  <w:r>
                    <w:rPr>
                      <w:rFonts w:hint="default" w:ascii="Times New Roman" w:hAnsi="Times New Roman" w:eastAsia="宋体" w:cs="Times New Roman"/>
                      <w:lang w:val="en-US" w:eastAsia="zh-CN"/>
                    </w:rPr>
                    <w:t>门房建筑面积17.64m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rPr>
                    <w:t xml:space="preserve"> </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环保</w:t>
                  </w:r>
                </w:p>
                <w:p>
                  <w:pPr>
                    <w:pStyle w:val="108"/>
                    <w:rPr>
                      <w:rFonts w:hint="default" w:ascii="Times New Roman" w:hAnsi="Times New Roman" w:eastAsia="宋体" w:cs="Times New Roman"/>
                    </w:rPr>
                  </w:pPr>
                  <w:r>
                    <w:rPr>
                      <w:rFonts w:hint="default" w:ascii="Times New Roman" w:hAnsi="Times New Roman" w:eastAsia="宋体" w:cs="Times New Roman"/>
                    </w:rPr>
                    <w:t>工程</w:t>
                  </w:r>
                </w:p>
              </w:tc>
              <w:tc>
                <w:tcPr>
                  <w:tcW w:w="1084" w:type="pct"/>
                  <w:gridSpan w:val="2"/>
                  <w:noWrap w:val="0"/>
                  <w:vAlign w:val="center"/>
                </w:tcPr>
                <w:p>
                  <w:pPr>
                    <w:pStyle w:val="108"/>
                    <w:rPr>
                      <w:rStyle w:val="110"/>
                      <w:rFonts w:hint="default" w:ascii="Times New Roman" w:hAnsi="Times New Roman" w:eastAsia="宋体" w:cs="Times New Roman"/>
                    </w:rPr>
                  </w:pPr>
                  <w:r>
                    <w:rPr>
                      <w:rStyle w:val="110"/>
                      <w:rFonts w:hint="default" w:ascii="Times New Roman" w:hAnsi="Times New Roman" w:eastAsia="宋体" w:cs="Times New Roman"/>
                    </w:rPr>
                    <w:t>废气</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lang w:val="en-GB"/>
                    </w:rPr>
                    <w:t>粗格栅及提升井、细格栅、沉砂池、初沉池、厌氧池、缺氧池、储泥池及污水脱水机</w:t>
                  </w:r>
                  <w:r>
                    <w:rPr>
                      <w:rFonts w:hint="default" w:ascii="Times New Roman" w:hAnsi="Times New Roman" w:eastAsia="宋体" w:cs="Times New Roman"/>
                    </w:rPr>
                    <w:t>产臭点全部封闭，</w:t>
                  </w:r>
                  <w:r>
                    <w:rPr>
                      <w:rFonts w:hint="default" w:ascii="Times New Roman" w:hAnsi="Times New Roman" w:eastAsia="宋体" w:cs="Times New Roman"/>
                      <w:lang w:val="en-GB"/>
                    </w:rPr>
                    <w:t>臭气通过管道引至1套生物滤池除臭装置进行处理，处理后经15m高排气筒排放</w:t>
                  </w:r>
                  <w:r>
                    <w:rPr>
                      <w:rFonts w:hint="default" w:ascii="Times New Roman" w:hAnsi="Times New Roman" w:eastAsia="宋体" w:cs="Times New Roman"/>
                    </w:rPr>
                    <w:t>；</w:t>
                  </w:r>
                  <w:r>
                    <w:rPr>
                      <w:rFonts w:hint="default" w:ascii="Times New Roman" w:hAnsi="Times New Roman" w:eastAsia="宋体" w:cs="Times New Roman"/>
                      <w:lang w:val="en-GB"/>
                    </w:rPr>
                    <w:t>生物滤池除臭装置</w:t>
                  </w:r>
                  <w:r>
                    <w:rPr>
                      <w:rFonts w:hint="default" w:ascii="Times New Roman" w:hAnsi="Times New Roman" w:eastAsia="宋体" w:cs="Times New Roman"/>
                    </w:rPr>
                    <w:t>处理规模为</w:t>
                  </w:r>
                  <w:r>
                    <w:rPr>
                      <w:rFonts w:hint="default" w:ascii="Times New Roman" w:hAnsi="Times New Roman" w:eastAsia="宋体" w:cs="Times New Roman"/>
                      <w:lang w:val="en-US" w:eastAsia="zh-CN"/>
                    </w:rPr>
                    <w:t>1</w:t>
                  </w:r>
                  <w:r>
                    <w:rPr>
                      <w:rFonts w:hint="default" w:ascii="Times New Roman" w:hAnsi="Times New Roman" w:eastAsia="宋体" w:cs="Times New Roman"/>
                    </w:rPr>
                    <w:t>万m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eastAsia" w:ascii="Times New Roman" w:hAnsi="Times New Roman" w:cs="Times New Roman"/>
                      <w:lang w:val="en-US" w:eastAsia="zh-CN"/>
                    </w:rPr>
                    <w:t>h</w:t>
                  </w:r>
                  <w:r>
                    <w:rPr>
                      <w:rFonts w:hint="default" w:ascii="Times New Roman" w:hAnsi="Times New Roman" w:eastAsia="宋体" w:cs="Times New Roman"/>
                    </w:rPr>
                    <w:t>，</w:t>
                  </w:r>
                  <w:r>
                    <w:rPr>
                      <w:rFonts w:hint="default" w:ascii="Times New Roman" w:hAnsi="Times New Roman" w:eastAsia="宋体" w:cs="Times New Roman"/>
                      <w:lang w:val="en-GB"/>
                    </w:rPr>
                    <w:t>硫化氢和氨的去除率可以达到90%以上。</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vMerge w:val="restart"/>
                  <w:noWrap w:val="0"/>
                  <w:vAlign w:val="center"/>
                </w:tcPr>
                <w:p>
                  <w:pPr>
                    <w:pStyle w:val="108"/>
                    <w:rPr>
                      <w:rStyle w:val="110"/>
                      <w:rFonts w:hint="default" w:ascii="Times New Roman" w:hAnsi="Times New Roman" w:eastAsia="宋体" w:cs="Times New Roman"/>
                    </w:rPr>
                  </w:pPr>
                  <w:r>
                    <w:rPr>
                      <w:rStyle w:val="110"/>
                      <w:rFonts w:hint="default" w:ascii="Times New Roman" w:hAnsi="Times New Roman" w:eastAsia="宋体" w:cs="Times New Roman"/>
                    </w:rPr>
                    <w:t>废水</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污泥脱水滤液经管道排至至粗格栅间，进入污水处理系统处理。</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vMerge w:val="continue"/>
                  <w:noWrap w:val="0"/>
                  <w:vAlign w:val="center"/>
                </w:tcPr>
                <w:p>
                  <w:pPr>
                    <w:pStyle w:val="108"/>
                    <w:rPr>
                      <w:rStyle w:val="110"/>
                      <w:rFonts w:hint="default" w:ascii="Times New Roman" w:hAnsi="Times New Roman" w:eastAsia="宋体" w:cs="Times New Roman"/>
                    </w:rPr>
                  </w:pP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生物滤池除臭系统排水经管道排至至粗格栅间，进入污水处理系统处理。</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vMerge w:val="continue"/>
                  <w:noWrap w:val="0"/>
                  <w:vAlign w:val="center"/>
                </w:tcPr>
                <w:p>
                  <w:pPr>
                    <w:pStyle w:val="108"/>
                    <w:rPr>
                      <w:rStyle w:val="110"/>
                      <w:rFonts w:hint="default" w:ascii="Times New Roman" w:hAnsi="Times New Roman" w:eastAsia="宋体" w:cs="Times New Roman"/>
                    </w:rPr>
                  </w:pP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rPr>
                    <w:t>职工生活经化粪池处理后排至粗格栅间，进入污水处理系统处理。</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vMerge w:val="restart"/>
                  <w:noWrap w:val="0"/>
                  <w:vAlign w:val="center"/>
                </w:tcPr>
                <w:p>
                  <w:pPr>
                    <w:pStyle w:val="108"/>
                    <w:rPr>
                      <w:rStyle w:val="110"/>
                      <w:rFonts w:hint="default" w:ascii="Times New Roman" w:hAnsi="Times New Roman" w:eastAsia="宋体" w:cs="Times New Roman"/>
                    </w:rPr>
                  </w:pPr>
                  <w:r>
                    <w:rPr>
                      <w:rStyle w:val="110"/>
                      <w:rFonts w:hint="default" w:ascii="Times New Roman" w:hAnsi="Times New Roman" w:eastAsia="宋体" w:cs="Times New Roman"/>
                    </w:rPr>
                    <w:t>固体废物</w:t>
                  </w:r>
                </w:p>
              </w:tc>
              <w:tc>
                <w:tcPr>
                  <w:tcW w:w="3255" w:type="pct"/>
                  <w:noWrap w:val="0"/>
                  <w:vAlign w:val="center"/>
                </w:tcPr>
                <w:p>
                  <w:pPr>
                    <w:pStyle w:val="108"/>
                    <w:jc w:val="left"/>
                    <w:rPr>
                      <w:rFonts w:hint="default" w:ascii="Times New Roman" w:hAnsi="Times New Roman" w:eastAsia="宋体" w:cs="Times New Roman"/>
                    </w:rPr>
                  </w:pPr>
                  <w:r>
                    <w:rPr>
                      <w:rFonts w:hint="default" w:ascii="Times New Roman" w:hAnsi="Times New Roman" w:eastAsia="宋体" w:cs="Times New Roman"/>
                      <w:snapToGrid w:val="0"/>
                    </w:rPr>
                    <w:t>污泥经浓缩脱水处理后，含水率低于</w:t>
                  </w:r>
                  <w:r>
                    <w:rPr>
                      <w:rFonts w:hint="eastAsia" w:ascii="Times New Roman" w:hAnsi="Times New Roman" w:eastAsia="宋体" w:cs="Times New Roman"/>
                      <w:snapToGrid w:val="0"/>
                      <w:lang w:val="en-US" w:eastAsia="zh-CN"/>
                    </w:rPr>
                    <w:t>6</w:t>
                  </w:r>
                  <w:r>
                    <w:rPr>
                      <w:rFonts w:hint="default" w:ascii="Times New Roman" w:hAnsi="Times New Roman" w:eastAsia="宋体" w:cs="Times New Roman"/>
                      <w:snapToGrid w:val="0"/>
                    </w:rPr>
                    <w:t>0%，脱水后的泥饼送至</w:t>
                  </w:r>
                  <w:r>
                    <w:rPr>
                      <w:rFonts w:hint="default" w:ascii="Times New Roman" w:hAnsi="Times New Roman" w:eastAsia="宋体" w:cs="Times New Roman"/>
                      <w:snapToGrid w:val="0"/>
                      <w:lang w:val="en-US" w:eastAsia="zh-CN"/>
                    </w:rPr>
                    <w:t>五台县垃圾填埋场</w:t>
                  </w:r>
                  <w:r>
                    <w:rPr>
                      <w:rFonts w:hint="default" w:ascii="Times New Roman" w:hAnsi="Times New Roman" w:eastAsia="宋体" w:cs="Times New Roman"/>
                      <w:snapToGrid w:val="0"/>
                    </w:rPr>
                    <w:t>。</w:t>
                  </w:r>
                </w:p>
              </w:tc>
              <w:tc>
                <w:tcPr>
                  <w:tcW w:w="395" w:type="pct"/>
                  <w:noWrap w:val="0"/>
                  <w:vAlign w:val="center"/>
                </w:tcPr>
                <w:p>
                  <w:pPr>
                    <w:pStyle w:val="108"/>
                    <w:rPr>
                      <w:rFonts w:hint="default" w:ascii="Times New Roman" w:hAnsi="Times New Roman" w:eastAsia="宋体" w:cs="Times New Roman"/>
                      <w:snapToGrid w:val="0"/>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vMerge w:val="continue"/>
                  <w:noWrap w:val="0"/>
                  <w:vAlign w:val="center"/>
                </w:tcPr>
                <w:p>
                  <w:pPr>
                    <w:pStyle w:val="108"/>
                    <w:rPr>
                      <w:rStyle w:val="110"/>
                      <w:rFonts w:hint="default" w:ascii="Times New Roman" w:hAnsi="Times New Roman" w:eastAsia="宋体" w:cs="Times New Roman"/>
                    </w:rPr>
                  </w:pPr>
                </w:p>
              </w:tc>
              <w:tc>
                <w:tcPr>
                  <w:tcW w:w="3255" w:type="pct"/>
                  <w:noWrap w:val="0"/>
                  <w:vAlign w:val="center"/>
                </w:tcPr>
                <w:p>
                  <w:pPr>
                    <w:pStyle w:val="108"/>
                    <w:jc w:val="left"/>
                    <w:rPr>
                      <w:rFonts w:hint="eastAsia" w:ascii="Times New Roman" w:hAnsi="Times New Roman" w:eastAsia="宋体" w:cs="Times New Roman"/>
                      <w:snapToGrid w:val="0"/>
                      <w:lang w:val="en-US" w:eastAsia="zh-CN"/>
                    </w:rPr>
                  </w:pPr>
                  <w:r>
                    <w:rPr>
                      <w:rFonts w:hint="default" w:ascii="Times New Roman" w:hAnsi="Times New Roman" w:eastAsia="宋体" w:cs="Times New Roman"/>
                      <w:snapToGrid w:val="0"/>
                    </w:rPr>
                    <w:t>栅渣、沉砂全部集中收集后委托当地环卫部门统一清运处置，要求日产日清</w:t>
                  </w:r>
                  <w:r>
                    <w:rPr>
                      <w:rFonts w:hint="eastAsia" w:ascii="Times New Roman" w:hAnsi="Times New Roman" w:eastAsia="宋体" w:cs="Times New Roman"/>
                      <w:snapToGrid w:val="0"/>
                      <w:lang w:val="en-US" w:eastAsia="zh-CN"/>
                    </w:rPr>
                    <w:t>。</w:t>
                  </w:r>
                </w:p>
              </w:tc>
              <w:tc>
                <w:tcPr>
                  <w:tcW w:w="395" w:type="pct"/>
                  <w:noWrap w:val="0"/>
                  <w:vAlign w:val="center"/>
                </w:tcPr>
                <w:p>
                  <w:pPr>
                    <w:pStyle w:val="108"/>
                    <w:rPr>
                      <w:rFonts w:hint="default" w:ascii="Times New Roman" w:hAnsi="Times New Roman" w:eastAsia="宋体" w:cs="Times New Roman"/>
                      <w:snapToGrid w:val="0"/>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vMerge w:val="continue"/>
                  <w:noWrap w:val="0"/>
                  <w:vAlign w:val="center"/>
                </w:tcPr>
                <w:p>
                  <w:pPr>
                    <w:pStyle w:val="108"/>
                    <w:rPr>
                      <w:rStyle w:val="110"/>
                      <w:rFonts w:hint="default" w:ascii="Times New Roman" w:hAnsi="Times New Roman" w:eastAsia="宋体" w:cs="Times New Roman"/>
                    </w:rPr>
                  </w:pPr>
                </w:p>
              </w:tc>
              <w:tc>
                <w:tcPr>
                  <w:tcW w:w="3255" w:type="pct"/>
                  <w:noWrap w:val="0"/>
                  <w:vAlign w:val="center"/>
                </w:tcPr>
                <w:p>
                  <w:pPr>
                    <w:pStyle w:val="108"/>
                    <w:jc w:val="left"/>
                    <w:rPr>
                      <w:rFonts w:hint="default" w:ascii="Times New Roman" w:hAnsi="Times New Roman" w:eastAsia="宋体" w:cs="Times New Roman"/>
                      <w:snapToGrid w:val="0"/>
                    </w:rPr>
                  </w:pPr>
                  <w:r>
                    <w:rPr>
                      <w:rFonts w:hint="default" w:ascii="Times New Roman" w:hAnsi="Times New Roman" w:eastAsia="宋体" w:cs="Times New Roman"/>
                      <w:snapToGrid w:val="0"/>
                    </w:rPr>
                    <w:t>设备维修保养产生的废机油、废棉纱、废手套、废机油桶收集后在厂区内新建的危险废物暂存间进行暂存，最后由有资质的单位进行收集处置；设置1座</w:t>
                  </w:r>
                  <w:r>
                    <w:rPr>
                      <w:rFonts w:hint="default" w:ascii="Times New Roman" w:hAnsi="Times New Roman" w:eastAsia="宋体" w:cs="Times New Roman"/>
                      <w:snapToGrid w:val="0"/>
                      <w:lang w:val="en-US" w:eastAsia="zh-CN"/>
                    </w:rPr>
                    <w:t>20</w:t>
                  </w:r>
                  <w:r>
                    <w:rPr>
                      <w:rFonts w:hint="default" w:ascii="Times New Roman" w:hAnsi="Times New Roman" w:eastAsia="宋体" w:cs="Times New Roman"/>
                      <w:snapToGrid w:val="0"/>
                    </w:rPr>
                    <w:t>m</w:t>
                  </w:r>
                  <w:r>
                    <w:rPr>
                      <w:rFonts w:hint="default" w:ascii="Times New Roman" w:hAnsi="Times New Roman" w:eastAsia="宋体" w:cs="Times New Roman"/>
                      <w:snapToGrid w:val="0"/>
                      <w:vertAlign w:val="superscript"/>
                    </w:rPr>
                    <w:t>2</w:t>
                  </w:r>
                  <w:r>
                    <w:rPr>
                      <w:rFonts w:hint="default" w:ascii="Times New Roman" w:hAnsi="Times New Roman" w:eastAsia="宋体" w:cs="Times New Roman"/>
                      <w:snapToGrid w:val="0"/>
                    </w:rPr>
                    <w:t>危废暂存间</w:t>
                  </w:r>
                  <w:r>
                    <w:rPr>
                      <w:rFonts w:hint="default" w:ascii="Times New Roman" w:hAnsi="Times New Roman" w:eastAsia="宋体" w:cs="Times New Roman"/>
                      <w:snapToGrid w:val="0"/>
                      <w:lang w:eastAsia="zh-CN"/>
                    </w:rPr>
                    <w:t>。</w:t>
                  </w:r>
                </w:p>
              </w:tc>
              <w:tc>
                <w:tcPr>
                  <w:tcW w:w="395" w:type="pct"/>
                  <w:noWrap w:val="0"/>
                  <w:vAlign w:val="center"/>
                </w:tcPr>
                <w:p>
                  <w:pPr>
                    <w:pStyle w:val="108"/>
                    <w:rPr>
                      <w:rFonts w:hint="default" w:ascii="Times New Roman" w:hAnsi="Times New Roman" w:eastAsia="宋体" w:cs="Times New Roman"/>
                      <w:bCs/>
                      <w:snapToGrid w:val="0"/>
                      <w:sz w:val="21"/>
                      <w:szCs w:val="21"/>
                      <w:lang w:val="en-US" w:eastAsia="zh-CN" w:bidi="ar-SA"/>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vMerge w:val="continue"/>
                  <w:noWrap w:val="0"/>
                  <w:vAlign w:val="center"/>
                </w:tcPr>
                <w:p>
                  <w:pPr>
                    <w:pStyle w:val="108"/>
                    <w:rPr>
                      <w:rStyle w:val="110"/>
                      <w:rFonts w:hint="default" w:ascii="Times New Roman" w:hAnsi="Times New Roman" w:eastAsia="宋体" w:cs="Times New Roman"/>
                    </w:rPr>
                  </w:pPr>
                </w:p>
              </w:tc>
              <w:tc>
                <w:tcPr>
                  <w:tcW w:w="3255" w:type="pct"/>
                  <w:noWrap w:val="0"/>
                  <w:vAlign w:val="center"/>
                </w:tcPr>
                <w:p>
                  <w:pPr>
                    <w:pStyle w:val="108"/>
                    <w:jc w:val="left"/>
                    <w:rPr>
                      <w:rStyle w:val="110"/>
                      <w:rFonts w:hint="eastAsia" w:ascii="Times New Roman" w:hAnsi="Times New Roman" w:eastAsia="宋体" w:cs="Times New Roman"/>
                      <w:lang w:eastAsia="zh-CN"/>
                    </w:rPr>
                  </w:pPr>
                  <w:r>
                    <w:rPr>
                      <w:rFonts w:hint="default" w:ascii="Times New Roman" w:hAnsi="Times New Roman" w:eastAsia="宋体" w:cs="Times New Roman"/>
                      <w:snapToGrid w:val="0"/>
                    </w:rPr>
                    <w:t>生活垃圾</w:t>
                  </w:r>
                  <w:r>
                    <w:rPr>
                      <w:rFonts w:hint="default" w:ascii="Times New Roman" w:hAnsi="Times New Roman" w:eastAsia="宋体" w:cs="Times New Roman"/>
                    </w:rPr>
                    <w:t>封闭式垃圾箱集中收集后委托环卫部门统一清运</w:t>
                  </w:r>
                  <w:r>
                    <w:rPr>
                      <w:rFonts w:hint="eastAsia" w:ascii="Times New Roman" w:hAnsi="Times New Roman" w:eastAsia="宋体" w:cs="Times New Roman"/>
                      <w:snapToGrid w:val="0"/>
                      <w:lang w:eastAsia="zh-CN"/>
                    </w:rPr>
                    <w:t>。</w:t>
                  </w:r>
                </w:p>
              </w:tc>
              <w:tc>
                <w:tcPr>
                  <w:tcW w:w="395" w:type="pct"/>
                  <w:noWrap w:val="0"/>
                  <w:vAlign w:val="center"/>
                </w:tcPr>
                <w:p>
                  <w:pPr>
                    <w:pStyle w:val="108"/>
                    <w:rPr>
                      <w:rFonts w:hint="default" w:ascii="Times New Roman" w:hAnsi="Times New Roman" w:eastAsia="宋体" w:cs="Times New Roman"/>
                      <w:snapToGrid w:val="0"/>
                    </w:rPr>
                  </w:pPr>
                  <w:r>
                    <w:rPr>
                      <w:rFonts w:hint="default" w:ascii="Times New Roman" w:hAnsi="Times New Roman" w:eastAsia="宋体" w:cs="Times New Roma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pStyle w:val="108"/>
                    <w:rPr>
                      <w:rFonts w:hint="default" w:ascii="Times New Roman" w:hAnsi="Times New Roman" w:eastAsia="宋体" w:cs="Times New Roman"/>
                    </w:rPr>
                  </w:pPr>
                </w:p>
              </w:tc>
              <w:tc>
                <w:tcPr>
                  <w:tcW w:w="1084" w:type="pct"/>
                  <w:gridSpan w:val="2"/>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噪声</w:t>
                  </w:r>
                </w:p>
              </w:tc>
              <w:tc>
                <w:tcPr>
                  <w:tcW w:w="3255" w:type="pct"/>
                  <w:noWrap w:val="0"/>
                  <w:vAlign w:val="center"/>
                </w:tcPr>
                <w:p>
                  <w:pPr>
                    <w:pStyle w:val="109"/>
                    <w:spacing w:line="240" w:lineRule="auto"/>
                    <w:ind w:firstLine="0" w:firstLineChars="0"/>
                    <w:jc w:val="left"/>
                    <w:rPr>
                      <w:rFonts w:hint="eastAsia" w:ascii="Times New Roman" w:hAnsi="Times New Roman" w:eastAsia="宋体" w:cs="Times New Roman"/>
                      <w:lang w:eastAsia="zh-CN"/>
                    </w:rPr>
                  </w:pPr>
                  <w:r>
                    <w:rPr>
                      <w:rFonts w:hint="default" w:ascii="Times New Roman" w:hAnsi="Times New Roman" w:eastAsia="宋体" w:cs="Times New Roman"/>
                      <w:sz w:val="21"/>
                      <w:szCs w:val="21"/>
                    </w:rPr>
                    <w:t>优化设备选型，生产设备布置在室内，建筑隔声、基础减振，风机和空压机安装消声器</w:t>
                  </w:r>
                  <w:r>
                    <w:rPr>
                      <w:rFonts w:hint="eastAsia" w:ascii="Times New Roman" w:hAnsi="Times New Roman" w:eastAsia="宋体" w:cs="Times New Roman"/>
                      <w:sz w:val="21"/>
                      <w:szCs w:val="21"/>
                      <w:lang w:eastAsia="zh-CN"/>
                    </w:rPr>
                    <w:t>。</w:t>
                  </w:r>
                </w:p>
              </w:tc>
              <w:tc>
                <w:tcPr>
                  <w:tcW w:w="395" w:type="pct"/>
                  <w:noWrap w:val="0"/>
                  <w:vAlign w:val="center"/>
                </w:tcPr>
                <w:p>
                  <w:pPr>
                    <w:pStyle w:val="108"/>
                    <w:rPr>
                      <w:rFonts w:hint="default" w:ascii="Times New Roman" w:hAnsi="Times New Roman" w:eastAsia="宋体" w:cs="Times New Roman"/>
                    </w:rPr>
                  </w:pPr>
                  <w:r>
                    <w:rPr>
                      <w:rFonts w:hint="default" w:ascii="Times New Roman" w:hAnsi="Times New Roman" w:eastAsia="宋体" w:cs="Times New Roman"/>
                    </w:rPr>
                    <w:t>新建</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bCs/>
                <w:sz w:val="24"/>
              </w:rPr>
            </w:pPr>
            <w:r>
              <w:rPr>
                <w:rFonts w:hint="default" w:ascii="Times New Roman" w:hAnsi="Times New Roman" w:cs="Times New Roman"/>
                <w:color w:val="auto"/>
                <w:sz w:val="24"/>
                <w:lang w:val="en-US" w:eastAsia="zh-CN"/>
              </w:rPr>
              <w:t>6、</w:t>
            </w:r>
            <w:r>
              <w:rPr>
                <w:rFonts w:hint="default" w:ascii="Times New Roman" w:hAnsi="Times New Roman" w:cs="Times New Roman"/>
                <w:b/>
                <w:bCs/>
                <w:sz w:val="24"/>
              </w:rPr>
              <w:t>项目主要建构筑设施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项目主要建构筑物设施见</w:t>
            </w:r>
            <w:r>
              <w:rPr>
                <w:rFonts w:hint="default" w:ascii="Times New Roman" w:hAnsi="Times New Roman" w:cs="Times New Roman"/>
                <w:sz w:val="24"/>
                <w:lang w:val="en-US" w:eastAsia="zh-CN"/>
              </w:rPr>
              <w:t>下</w:t>
            </w:r>
            <w:r>
              <w:rPr>
                <w:rFonts w:hint="default" w:ascii="Times New Roman" w:hAnsi="Times New Roman" w:cs="Times New Roman"/>
                <w:sz w:val="24"/>
              </w:rPr>
              <w:t>表，项目建构筑物设施一次性建成。</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表2-13  项目主要建构筑物设施一览表</w:t>
            </w:r>
          </w:p>
          <w:tbl>
            <w:tblPr>
              <w:tblStyle w:val="27"/>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05"/>
              <w:gridCol w:w="1540"/>
              <w:gridCol w:w="1858"/>
              <w:gridCol w:w="1028"/>
              <w:gridCol w:w="904"/>
              <w:gridCol w:w="1397"/>
              <w:gridCol w:w="11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名称</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规格</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数量</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单位</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结构形式</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eastAsia" w:ascii="宋体" w:eastAsia="宋体"/>
                      <w:b/>
                      <w:sz w:val="23"/>
                    </w:rPr>
                  </w:pPr>
                  <w:r>
                    <w:rPr>
                      <w:rFonts w:hint="eastAsia" w:ascii="Times New Roman" w:hAnsi="Times New Roman" w:eastAsia="宋体" w:cs="Times New Roman"/>
                      <w:b/>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粗格栅间提升泵房</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 1×5×4m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框架结构</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进水井</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2×2×3.0m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粗格栅渠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6.7×0.8×3.0m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提升泵池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9×8×7.5m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框架</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细格栅间</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8.4×7.8×7.8m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框架结构</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细格栅槽</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8.4×0.8×7.8m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旋流沉砂池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Φ×H= 1.8×3.0m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初沉池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16×8.3m×3.0m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生化反应池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 1×24.6×6.0m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二沉池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Φ×H= 13×4m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中间水池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2.5×4.2×5.6m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消毒池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4.2×5.0×5.6m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回用水池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7.5×4.0×5.6m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水泵房及出水在线监测间</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7.5×5. 1×3.6</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b/>
                      <w:sz w:val="21"/>
                      <w:szCs w:val="21"/>
                    </w:rPr>
                  </w:pPr>
                </w:p>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深度处理间</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20×15×6.6m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门式钢架</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污泥脱水间</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22.5×7.2×6.0m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框架结构</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污泥调理池</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2.5×2.5×3.5m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鼓风机房及配电间</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15×10.2×4.6m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框架结构</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巴氏计量槽</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3.72×1.2×2m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除臭设备基础</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16×4.2×3.5m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钢砼</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办公楼</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20.0×10m×72m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框架结构</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3"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87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门房及大门</w:t>
                  </w:r>
                </w:p>
              </w:tc>
              <w:tc>
                <w:tcPr>
                  <w:tcW w:w="105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4.2×4.2m</w:t>
                  </w:r>
                </w:p>
              </w:tc>
              <w:tc>
                <w:tcPr>
                  <w:tcW w:w="58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1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91"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砖混结构</w:t>
                  </w:r>
                </w:p>
              </w:tc>
              <w:tc>
                <w:tcPr>
                  <w:tcW w:w="67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320" w:lineRule="exact"/>
                    <w:ind w:left="0" w:right="0" w:firstLine="0"/>
                    <w:jc w:val="center"/>
                    <w:textAlignment w:val="auto"/>
                    <w:rPr>
                      <w:sz w:val="24"/>
                    </w:rPr>
                  </w:pPr>
                </w:p>
              </w:tc>
            </w:tr>
          </w:tbl>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黑体" w:hAnsi="黑体" w:eastAsia="黑体" w:cs="黑体"/>
                <w:b w:val="0"/>
                <w:bCs w:val="0"/>
                <w:color w:val="auto"/>
                <w:sz w:val="24"/>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表2-14  建安镇污水管网工程量一览表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2623"/>
              <w:gridCol w:w="1763"/>
              <w:gridCol w:w="265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18"/>
                      <w:vertAlign w:val="baseline"/>
                      <w:lang w:val="en-US" w:eastAsia="zh-CN"/>
                    </w:rPr>
                  </w:pPr>
                  <w:r>
                    <w:rPr>
                      <w:rFonts w:hint="eastAsia" w:ascii="Times New Roman" w:hAnsi="Times New Roman" w:eastAsia="宋体" w:cs="Times New Roman"/>
                      <w:b/>
                      <w:bCs/>
                      <w:sz w:val="21"/>
                      <w:szCs w:val="18"/>
                      <w:vertAlign w:val="baseline"/>
                      <w:lang w:val="en-US" w:eastAsia="zh-CN"/>
                    </w:rPr>
                    <w:t>序号</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18"/>
                      <w:vertAlign w:val="baseline"/>
                      <w:lang w:val="en-US" w:eastAsia="zh-CN"/>
                    </w:rPr>
                  </w:pPr>
                  <w:r>
                    <w:rPr>
                      <w:rFonts w:hint="eastAsia" w:ascii="Times New Roman" w:hAnsi="Times New Roman" w:eastAsia="宋体" w:cs="Times New Roman"/>
                      <w:b/>
                      <w:bCs/>
                      <w:sz w:val="21"/>
                      <w:szCs w:val="18"/>
                      <w:vertAlign w:val="baseline"/>
                      <w:lang w:val="en-US" w:eastAsia="zh-CN"/>
                    </w:rPr>
                    <w:t>管径（mm）</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18"/>
                      <w:vertAlign w:val="baseline"/>
                      <w:lang w:val="en-US" w:eastAsia="zh-CN"/>
                    </w:rPr>
                  </w:pPr>
                  <w:r>
                    <w:rPr>
                      <w:rFonts w:hint="eastAsia" w:ascii="Times New Roman" w:hAnsi="Times New Roman" w:eastAsia="宋体" w:cs="Times New Roman"/>
                      <w:b/>
                      <w:bCs/>
                      <w:sz w:val="21"/>
                      <w:szCs w:val="18"/>
                      <w:vertAlign w:val="baseline"/>
                      <w:lang w:val="en-US" w:eastAsia="zh-CN"/>
                    </w:rPr>
                    <w:t>长度（km）</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18"/>
                      <w:vertAlign w:val="baseline"/>
                      <w:lang w:val="en-US" w:eastAsia="zh-CN"/>
                    </w:rPr>
                  </w:pPr>
                  <w:r>
                    <w:rPr>
                      <w:rFonts w:hint="eastAsia" w:ascii="Times New Roman" w:hAnsi="Times New Roman" w:eastAsia="宋体" w:cs="Times New Roman"/>
                      <w:b/>
                      <w:bCs/>
                      <w:sz w:val="21"/>
                      <w:szCs w:val="18"/>
                      <w:vertAlign w:val="baseline"/>
                      <w:lang w:val="en-US" w:eastAsia="zh-CN"/>
                    </w:rPr>
                    <w:t>管材</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18"/>
                      <w:vertAlign w:val="baseline"/>
                      <w:lang w:val="en-US" w:eastAsia="zh-CN"/>
                    </w:rPr>
                  </w:pPr>
                  <w:r>
                    <w:rPr>
                      <w:rFonts w:hint="eastAsia" w:ascii="Times New Roman" w:hAnsi="Times New Roman" w:eastAsia="宋体" w:cs="Times New Roman"/>
                      <w:b/>
                      <w:bCs/>
                      <w:sz w:val="21"/>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1</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DN200</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74</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HDPE管</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2</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DN300</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27.8</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HDPE管</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3</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DN400</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5.6</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HDPE管</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4</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DN400</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0.6</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钢筋混凝土管</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5</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收集槽</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5840座</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成品，尺寸为34×34×41cm，包括6米De160的PVC-U排水管</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6</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100m</w:t>
                  </w:r>
                  <w:r>
                    <w:rPr>
                      <w:rFonts w:hint="eastAsia" w:ascii="Times New Roman" w:hAnsi="Times New Roman" w:eastAsia="宋体" w:cs="Times New Roman"/>
                      <w:b w:val="0"/>
                      <w:bCs w:val="0"/>
                      <w:sz w:val="21"/>
                      <w:szCs w:val="18"/>
                      <w:vertAlign w:val="superscript"/>
                      <w:lang w:val="en-US" w:eastAsia="zh-CN"/>
                    </w:rPr>
                    <w:t>3</w:t>
                  </w:r>
                  <w:r>
                    <w:rPr>
                      <w:rFonts w:hint="eastAsia" w:ascii="Times New Roman" w:hAnsi="Times New Roman" w:eastAsia="宋体" w:cs="Times New Roman"/>
                      <w:b w:val="0"/>
                      <w:bCs w:val="0"/>
                      <w:sz w:val="21"/>
                      <w:szCs w:val="18"/>
                      <w:vertAlign w:val="baseline"/>
                      <w:lang w:val="en-US" w:eastAsia="zh-CN"/>
                    </w:rPr>
                    <w:t>/d泵站</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1座</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7</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600m</w:t>
                  </w:r>
                  <w:r>
                    <w:rPr>
                      <w:rFonts w:hint="eastAsia" w:ascii="Times New Roman" w:hAnsi="Times New Roman" w:eastAsia="宋体" w:cs="Times New Roman"/>
                      <w:b w:val="0"/>
                      <w:bCs w:val="0"/>
                      <w:sz w:val="21"/>
                      <w:szCs w:val="18"/>
                      <w:vertAlign w:val="superscript"/>
                      <w:lang w:val="en-US" w:eastAsia="zh-CN"/>
                    </w:rPr>
                    <w:t>3</w:t>
                  </w:r>
                  <w:r>
                    <w:rPr>
                      <w:rFonts w:hint="eastAsia" w:ascii="Times New Roman" w:hAnsi="Times New Roman" w:eastAsia="宋体" w:cs="Times New Roman"/>
                      <w:b w:val="0"/>
                      <w:bCs w:val="0"/>
                      <w:sz w:val="21"/>
                      <w:szCs w:val="18"/>
                      <w:vertAlign w:val="baseline"/>
                      <w:lang w:val="en-US" w:eastAsia="zh-CN"/>
                    </w:rPr>
                    <w:t>/d泵站</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1座</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8</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DN65</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3.7</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焊接钢管</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9</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DN80</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1.2</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焊接钢管</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10</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检查井</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5797座</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成品</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11</w:t>
                  </w:r>
                </w:p>
              </w:tc>
              <w:tc>
                <w:tcPr>
                  <w:tcW w:w="26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排气井</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3座</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ascii="Times New Roman" w:hAnsi="Times New Roman" w:eastAsia="宋体" w:cs="Times New Roman"/>
                      <w:b w:val="0"/>
                      <w:bCs w:val="0"/>
                      <w:sz w:val="21"/>
                      <w:szCs w:val="18"/>
                      <w:vertAlign w:val="baseline"/>
                      <w:lang w:val="en-US" w:eastAsia="zh-CN"/>
                    </w:rPr>
                    <w:t>成品</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18"/>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7、总平面布置</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（1）总平面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污水处理厂分为生产区和生活区</w:t>
            </w:r>
            <w:r>
              <w:rPr>
                <w:rFonts w:hint="eastAsia" w:ascii="Times New Roman" w:hAnsi="Times New Roman" w:eastAsia="宋体" w:cs="Times New Roman"/>
                <w:b w:val="0"/>
                <w:bCs w:val="0"/>
                <w:sz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生产区形成整体集中和功能分区明确的布置方式，划分为四个功能区，分别为：厂前管理区；预处理、二级处理区；深度处理区和污泥处理区。整个厂区总图的布置分区明确，工艺流程顺畅，平面布置紧凑，满足污水工艺、室外装置、消防及汽车运输等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生活区主要设置值班室，用道路和绿化带同生产区隔离开来，形成局部的独立区域，以减少污水气味对其的影响。污泥处理等污染区远离办公生活区，厂区办公环境较好，厂区内主要建筑朝向均较好，且便于工程的远期工程发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污水</w:t>
            </w:r>
            <w:r>
              <w:rPr>
                <w:rFonts w:hint="default" w:ascii="Times New Roman" w:hAnsi="Times New Roman" w:eastAsia="宋体" w:cs="Times New Roman"/>
                <w:b w:val="0"/>
                <w:bCs w:val="0"/>
                <w:sz w:val="24"/>
                <w:lang w:val="en-US" w:eastAsia="zh-CN"/>
              </w:rPr>
              <w:t>处理厂设两个大门，即人流通道和物流通道，分别用于人员出入和生产资料及污泥运输的出入口。</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（2）道路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为便于交通运输和设备的安装、维护，厂内四周设主要干道形成环路，双车道宽度6.0m，单车道宽度4.0m。主要是为连通主干道与建（构）筑物所铺设的道路。路面结构采用沥青砼路面，转弯半径为6m。</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（3）绿化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由于污水处理厂的生产工艺的特点，厂区环境较差，气味难闻，噪声不断。污水处理厂作为城市基础设施对外的窗口，应该有一个优美、舒适的环境，通过对厂内进行美化、绿化，可以营造一个优美的工作环境，同时也起到降噪除臭的效果。</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厂内绿化以不影响生产运营为前提，尽量提高绿化率，并进行垂直绿化，沿围墙四周种植乔木防护林。厂内其它地方要利用构建筑物之间的空地充分绿化，以灌木为主，适当的栽种草皮、花卉等，管线上方以低矮灌木、草皮为主，选择耐移植的品种。道路两侧采用先灌木、行道树后植草皮的方式，以不遮挡汽车视线为原则进行绿化。厂内绿化面积为总占地面积的30％。</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cs="Times New Roman"/>
                <w:b/>
                <w:bCs/>
                <w:sz w:val="24"/>
                <w:lang w:val="en-US" w:eastAsia="zh-CN"/>
              </w:rPr>
            </w:pPr>
            <w:r>
              <w:rPr>
                <w:rFonts w:hint="eastAsia" w:cs="Times New Roman"/>
                <w:b/>
                <w:bCs/>
                <w:sz w:val="24"/>
                <w:lang w:val="en-US" w:eastAsia="zh-CN"/>
              </w:rPr>
              <w:t>（4）污水收集管线</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val="0"/>
                <w:sz w:val="24"/>
                <w:lang w:val="en-US" w:eastAsia="zh-CN"/>
              </w:rPr>
            </w:pPr>
            <w:r>
              <w:rPr>
                <w:rFonts w:hint="eastAsia" w:cs="Times New Roman"/>
                <w:b w:val="0"/>
                <w:bCs w:val="0"/>
                <w:sz w:val="24"/>
                <w:lang w:val="en-US" w:eastAsia="zh-CN"/>
              </w:rPr>
              <w:t>在建安镇各村庄内新建污水收集管网，自流进入新建污水提升泵站，由泵站将污水提升至污水处理厂。建安镇污水干管分为东线和西线两条，详细布置为：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val="0"/>
                <w:sz w:val="24"/>
                <w:lang w:val="en-US" w:eastAsia="zh-CN"/>
              </w:rPr>
            </w:pPr>
            <w:r>
              <w:rPr>
                <w:rFonts w:hint="eastAsia" w:cs="Times New Roman"/>
                <w:b w:val="0"/>
                <w:bCs w:val="0"/>
                <w:sz w:val="24"/>
                <w:lang w:val="en-US" w:eastAsia="zh-CN"/>
              </w:rPr>
              <w:t>①西线从瑶池村开始，沿环河线敷设，由西向东依次穿越潭上村、西建安村、大建安村、东建安村、张家庄村，最终排入污水处理厂内。收水范围为潭上村、西建安村、大建安村、东建安村、张家庄村生活污水，管径为 DN200-DN400。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val="0"/>
                <w:sz w:val="24"/>
                <w:lang w:val="en-US" w:eastAsia="zh-CN"/>
              </w:rPr>
            </w:pPr>
            <w:r>
              <w:rPr>
                <w:rFonts w:hint="eastAsia" w:cs="Times New Roman"/>
                <w:b w:val="0"/>
                <w:bCs w:val="0"/>
                <w:sz w:val="24"/>
                <w:lang w:val="en-US" w:eastAsia="zh-CN"/>
              </w:rPr>
              <w:t>②东线收集谭村生活污水后，沿环河线向西北方向敷设，最终排入污水处理厂内。收水范围为潭村的生活污水，管径为DN200。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val="0"/>
                <w:sz w:val="24"/>
                <w:lang w:val="en-US" w:eastAsia="zh-CN"/>
              </w:rPr>
            </w:pPr>
            <w:r>
              <w:rPr>
                <w:rFonts w:hint="eastAsia" w:cs="Times New Roman"/>
                <w:b w:val="0"/>
                <w:bCs w:val="0"/>
                <w:sz w:val="24"/>
                <w:lang w:val="en-US" w:eastAsia="zh-CN"/>
              </w:rPr>
              <w:t>本工程考虑每户建设污水收集槽，村民入户污水的收集通过在每户设置污水收集水槽（陶瓷拖布池：尺寸为 34×34×41cm，包括6米De160的PVC-U排水管），村民每天产生的洗衣、洗菜等生活污水倒入污水集水槽后，通过敷设De160的PVC-U排水管道将污水就近排入室外污水收集管道系统。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val="0"/>
                <w:sz w:val="24"/>
                <w:lang w:val="en-US" w:eastAsia="zh-CN"/>
              </w:rPr>
            </w:pPr>
            <w:r>
              <w:rPr>
                <w:rFonts w:hint="eastAsia" w:cs="Times New Roman"/>
                <w:b w:val="0"/>
                <w:bCs w:val="0"/>
                <w:sz w:val="24"/>
                <w:lang w:val="en-US" w:eastAsia="zh-CN"/>
              </w:rPr>
              <w:t>污水干管的竖向设计应控制好起点埋深以免造成管道埋设太深。各条管道起点为该条管道的控制点，根据当地最大冻土深度、地面荷载及管道相互衔接的要求，并结合现状及规划路网标高，确定设计起点控制埋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本项目总平面布置图见附图3。</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sz w:val="24"/>
              </w:rPr>
            </w:pPr>
            <w:r>
              <w:rPr>
                <w:rFonts w:hint="eastAsia" w:ascii="Times New Roman" w:hAnsi="Times New Roman" w:eastAsia="黑体" w:cs="Times New Roman"/>
                <w:b/>
                <w:bCs/>
                <w:sz w:val="24"/>
                <w:lang w:val="en-US" w:eastAsia="zh-CN"/>
              </w:rPr>
              <w:t>8</w:t>
            </w:r>
            <w:r>
              <w:rPr>
                <w:rFonts w:hint="default" w:ascii="Times New Roman" w:hAnsi="Times New Roman" w:eastAsia="黑体" w:cs="Times New Roman"/>
                <w:b/>
                <w:bCs/>
                <w:sz w:val="24"/>
              </w:rPr>
              <w:t>、</w:t>
            </w:r>
            <w:r>
              <w:rPr>
                <w:rFonts w:hint="default" w:ascii="Times New Roman" w:hAnsi="Times New Roman" w:cs="Times New Roman"/>
                <w:b/>
                <w:bCs/>
                <w:sz w:val="24"/>
              </w:rPr>
              <w:t>项目主要生产设备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本项目主要生产设备见</w:t>
            </w:r>
            <w:r>
              <w:rPr>
                <w:rFonts w:hint="default" w:ascii="Times New Roman" w:hAnsi="Times New Roman" w:cs="Times New Roman"/>
                <w:sz w:val="24"/>
                <w:lang w:val="en-US" w:eastAsia="zh-CN"/>
              </w:rPr>
              <w:t>下表</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表2-15  生产设备一览表</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5"/>
              <w:gridCol w:w="32"/>
              <w:gridCol w:w="2163"/>
              <w:gridCol w:w="3104"/>
              <w:gridCol w:w="692"/>
              <w:gridCol w:w="713"/>
              <w:gridCol w:w="1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244"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名称</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设备参数</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数量</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单位</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7"/>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val="0"/>
                      <w:bCs/>
                      <w:sz w:val="21"/>
                      <w:szCs w:val="21"/>
                      <w:lang w:val="en-US" w:eastAsia="zh-CN"/>
                    </w:rPr>
                    <w:t>一、粗格栅和提升泵房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4"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格栅渠进水手电两控铸铁镶铜圆闸门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DN500，N=0.37kW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配套手电两用启闭机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4"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回转式格栅除污机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栅槽宽800mm，栅槽深2.7m，栅条间距20mm，安装角度75°</w:t>
                  </w:r>
                  <w:r>
                    <w:rPr>
                      <w:rFonts w:hint="eastAsia" w:cs="Times New Roman"/>
                      <w:spacing w:val="0"/>
                      <w:sz w:val="21"/>
                      <w:szCs w:val="21"/>
                      <w:lang w:val="en-US" w:eastAsia="zh-CN"/>
                    </w:rPr>
                    <w:t xml:space="preserve"> </w:t>
                  </w:r>
                  <w:r>
                    <w:rPr>
                      <w:rFonts w:hint="default" w:ascii="Times New Roman" w:hAnsi="Times New Roman" w:eastAsia="宋体" w:cs="Times New Roman"/>
                      <w:spacing w:val="0"/>
                      <w:sz w:val="21"/>
                      <w:szCs w:val="21"/>
                    </w:rPr>
                    <w:t>N=0.75kW，304SS材质</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配套PLC控制柜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44"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运渣小车</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成品，载重200kg</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辆</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244"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格栅渠出水手电两控铸铁镶铜圆闸门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DN500，N=0.37kW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配套手电两用启闭机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244"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提升泵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Q=60m</w:t>
                  </w:r>
                  <w:r>
                    <w:rPr>
                      <w:rFonts w:hint="eastAsia" w:cs="Times New Roman"/>
                      <w:spacing w:val="0"/>
                      <w:sz w:val="21"/>
                      <w:szCs w:val="21"/>
                      <w:vertAlign w:val="superscript"/>
                      <w:lang w:val="en-US" w:eastAsia="zh-CN"/>
                    </w:rPr>
                    <w:t>3</w:t>
                  </w:r>
                  <w:r>
                    <w:rPr>
                      <w:rFonts w:hint="default" w:ascii="Times New Roman" w:hAnsi="Times New Roman" w:eastAsia="宋体" w:cs="Times New Roman"/>
                      <w:spacing w:val="0"/>
                      <w:sz w:val="21"/>
                      <w:szCs w:val="21"/>
                    </w:rPr>
                    <w:t>/h，H=13m，N=4kW，配套耦合器及提升导轨</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2用1备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44"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螺旋输送压榨机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D=150mm，L=3.2m，N=1.5kw，304SS材质</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配套PLC控制柜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244"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电动单轨吊车</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起吊重量0.5t，起吊高度9m，</w:t>
                  </w:r>
                </w:p>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N=1.1kW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7"/>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二、细格栅和沉砂池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手电两控插板闸</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800×800N=0.37kW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配套手电两用启闭机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回转式格栅除污机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栅槽宽800mm，栅槽深1.2m，栅间隙2mm，安装角度75°，N=1.1kW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配套PLC控制柜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螺旋压榨输送机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D=150mm，L=4m，N=1.5kw，304SS 材质</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配套于格栅机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砂水分离器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U型槽宽260mm，处理量5-12L/s，N=0.37kW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5</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罗茨鼓风机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Q=1.28m</w:t>
                  </w:r>
                  <w:r>
                    <w:rPr>
                      <w:rFonts w:hint="eastAsia" w:cs="Times New Roman"/>
                      <w:spacing w:val="0"/>
                      <w:sz w:val="21"/>
                      <w:szCs w:val="21"/>
                      <w:vertAlign w:val="superscript"/>
                      <w:lang w:val="en-US" w:eastAsia="zh-CN"/>
                    </w:rPr>
                    <w:t>3</w:t>
                  </w:r>
                  <w:r>
                    <w:rPr>
                      <w:rFonts w:hint="default" w:ascii="Times New Roman" w:hAnsi="Times New Roman" w:eastAsia="宋体" w:cs="Times New Roman"/>
                      <w:spacing w:val="0"/>
                      <w:sz w:val="21"/>
                      <w:szCs w:val="21"/>
                    </w:rPr>
                    <w:t>/min，P=0.3kgf/cm</w:t>
                  </w:r>
                  <w:r>
                    <w:rPr>
                      <w:rFonts w:hint="eastAsia" w:cs="Times New Roman"/>
                      <w:spacing w:val="0"/>
                      <w:sz w:val="21"/>
                      <w:szCs w:val="21"/>
                      <w:vertAlign w:val="superscript"/>
                      <w:lang w:val="en-US" w:eastAsia="zh-CN"/>
                    </w:rPr>
                    <w:t>2</w:t>
                  </w:r>
                  <w:r>
                    <w:rPr>
                      <w:rFonts w:hint="default" w:ascii="Times New Roman" w:hAnsi="Times New Roman" w:eastAsia="宋体" w:cs="Times New Roman"/>
                      <w:spacing w:val="0"/>
                      <w:sz w:val="21"/>
                      <w:szCs w:val="21"/>
                    </w:rPr>
                    <w:t>，N=2.2kW，1850rpm</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1用1备，配套控制器、进出口消音器泄压阀、压力表、弹性接头、止回阀放空阀等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6</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旋流沉砂器除砂机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池径1.83m，池深1.1m，砂斗直径 0.91m，砂斗深度1.5m，搅拌机20rpm，N=0.55kW，配套气提排砂装置</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台</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7</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栅渣小车</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载重200kg</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台</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吸砂机配套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7"/>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三、生化池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潜水搅拌机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叶片转速740rpm，叶片直径400mm，N=1.5kW，叶轮材质304SS</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厌氧池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潜水搅拌机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叶轮直径Φ320mm，</w:t>
                  </w:r>
                </w:p>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position w:val="1"/>
                      <w:sz w:val="21"/>
                      <w:szCs w:val="21"/>
                    </w:rPr>
                    <w:t>N=2.</w:t>
                  </w:r>
                  <w:r>
                    <w:rPr>
                      <w:rFonts w:hint="default" w:ascii="Times New Roman" w:hAnsi="Times New Roman" w:eastAsia="宋体" w:cs="Times New Roman"/>
                      <w:spacing w:val="0"/>
                      <w:sz w:val="21"/>
                      <w:szCs w:val="21"/>
                    </w:rPr>
                    <w:t>2kW，转速 740r/min</w:t>
                  </w:r>
                </w:p>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材质不锈钢</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Ⅱ段缺氧池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潜水推流器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叶片转速60rpm，叶片</w:t>
                  </w:r>
                  <w:r>
                    <w:rPr>
                      <w:rFonts w:hint="default" w:ascii="Times New Roman" w:hAnsi="Times New Roman" w:eastAsia="宋体" w:cs="Times New Roman"/>
                      <w:spacing w:val="0"/>
                      <w:position w:val="1"/>
                      <w:sz w:val="21"/>
                      <w:szCs w:val="21"/>
                    </w:rPr>
                    <w:t>直径100mm，N=1.5k</w:t>
                  </w:r>
                  <w:r>
                    <w:rPr>
                      <w:rFonts w:hint="default" w:ascii="Times New Roman" w:hAnsi="Times New Roman" w:eastAsia="宋体" w:cs="Times New Roman"/>
                      <w:spacing w:val="0"/>
                      <w:sz w:val="21"/>
                      <w:szCs w:val="21"/>
                    </w:rPr>
                    <w:t>W，叶轮材质高强玻璃钢</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Ⅰ段缺氧池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混合液回流泵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叶轮直径 400mm，</w:t>
                  </w:r>
                  <w:r>
                    <w:rPr>
                      <w:rFonts w:hint="default" w:ascii="Times New Roman" w:hAnsi="Times New Roman" w:eastAsia="宋体" w:cs="Times New Roman"/>
                      <w:spacing w:val="0"/>
                      <w:position w:val="2"/>
                      <w:sz w:val="21"/>
                      <w:szCs w:val="21"/>
                    </w:rPr>
                    <w:t>Q=1</w:t>
                  </w:r>
                  <w:r>
                    <w:rPr>
                      <w:rFonts w:hint="default" w:ascii="Times New Roman" w:hAnsi="Times New Roman" w:eastAsia="宋体" w:cs="Times New Roman"/>
                      <w:spacing w:val="0"/>
                      <w:sz w:val="21"/>
                      <w:szCs w:val="21"/>
                    </w:rPr>
                    <w:t>30m</w:t>
                  </w:r>
                  <w:r>
                    <w:rPr>
                      <w:rFonts w:hint="eastAsia" w:cs="Times New Roman"/>
                      <w:spacing w:val="0"/>
                      <w:sz w:val="21"/>
                      <w:szCs w:val="21"/>
                      <w:vertAlign w:val="superscript"/>
                      <w:lang w:val="en-US" w:eastAsia="zh-CN"/>
                    </w:rPr>
                    <w:t>3</w:t>
                  </w:r>
                  <w:r>
                    <w:rPr>
                      <w:rFonts w:hint="default" w:ascii="Times New Roman" w:hAnsi="Times New Roman" w:eastAsia="宋体" w:cs="Times New Roman"/>
                      <w:spacing w:val="0"/>
                      <w:sz w:val="21"/>
                      <w:szCs w:val="21"/>
                    </w:rPr>
                    <w:t>/h，H=1m，N=1.5kW，含拍门</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2用2备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val="en-US" w:eastAsia="zh-CN"/>
                    </w:rPr>
                    <w:t>5</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调节堰门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800×300mm，不锈钢</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配备1.5kW启闭装置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val="en-US" w:eastAsia="zh-CN"/>
                    </w:rPr>
                    <w:t>6</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拍门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PM-400</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个</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val="en-US" w:eastAsia="zh-CN"/>
                    </w:rPr>
                    <w:t>7</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曝气器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Φ210</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320</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7"/>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四、沉淀池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周边传动全桥式刮泥机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D=13m，池深 H=4.0m、0.75kW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组合件，刮泥机厂家配套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浮渣斗</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个</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出水三角堰板</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B=300mm，δ=4mm， L=40m</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不锈钢，刮泥机厂家配套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浮渣挡板</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B=400mm，δ=4mm，</w:t>
                  </w:r>
                  <w:r>
                    <w:rPr>
                      <w:rFonts w:hint="default" w:ascii="Times New Roman" w:hAnsi="Times New Roman" w:eastAsia="宋体" w:cs="Times New Roman"/>
                      <w:spacing w:val="0"/>
                      <w:position w:val="2"/>
                      <w:sz w:val="21"/>
                      <w:szCs w:val="21"/>
                    </w:rPr>
                    <w:t>L=</w:t>
                  </w:r>
                  <w:r>
                    <w:rPr>
                      <w:rFonts w:hint="default" w:ascii="Times New Roman" w:hAnsi="Times New Roman" w:eastAsia="宋体" w:cs="Times New Roman"/>
                      <w:spacing w:val="0"/>
                      <w:sz w:val="21"/>
                      <w:szCs w:val="21"/>
                    </w:rPr>
                    <w:t>38m</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不锈钢，刮泥机厂家配套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5</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稳流筒</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D=2500、H=950</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个</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6</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潜污泵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Q=108m</w:t>
                  </w:r>
                  <w:r>
                    <w:rPr>
                      <w:rFonts w:hint="eastAsia" w:cs="Times New Roman"/>
                      <w:spacing w:val="0"/>
                      <w:sz w:val="21"/>
                      <w:szCs w:val="21"/>
                      <w:vertAlign w:val="superscript"/>
                      <w:lang w:val="en-US" w:eastAsia="zh-CN"/>
                    </w:rPr>
                    <w:t>3</w:t>
                  </w:r>
                  <w:r>
                    <w:rPr>
                      <w:rFonts w:hint="default" w:ascii="Times New Roman" w:hAnsi="Times New Roman" w:eastAsia="宋体" w:cs="Times New Roman"/>
                      <w:spacing w:val="0"/>
                      <w:sz w:val="21"/>
                      <w:szCs w:val="21"/>
                    </w:rPr>
                    <w:t>/h，H=10m，N=5.5kW、变频控制、自耦安装、配套控制柜</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7</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潜污泵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Q=15m</w:t>
                  </w:r>
                  <w:r>
                    <w:rPr>
                      <w:rFonts w:hint="eastAsia" w:cs="Times New Roman"/>
                      <w:spacing w:val="0"/>
                      <w:sz w:val="21"/>
                      <w:szCs w:val="21"/>
                      <w:vertAlign w:val="superscript"/>
                      <w:lang w:val="en-US" w:eastAsia="zh-CN"/>
                    </w:rPr>
                    <w:t>3</w:t>
                  </w:r>
                  <w:r>
                    <w:rPr>
                      <w:rFonts w:hint="default" w:ascii="Times New Roman" w:hAnsi="Times New Roman" w:eastAsia="宋体" w:cs="Times New Roman"/>
                      <w:spacing w:val="0"/>
                      <w:sz w:val="21"/>
                      <w:szCs w:val="21"/>
                    </w:rPr>
                    <w:t>/h，H=11m，N=1.1kW、变频控制、自耦安装、配套控制柜</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8</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超声波液位计</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AC220V供电，输出信号4-20mA，量程：0~10米</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计入自控（数据回传中控）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9</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污泥界面仪</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AC220V供电，输出信号4-20mA，量程：0~10米</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计入自控（数据回传中控）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10</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浮渣篓</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500*500*500mm、孔径1mm、配套起吊装置</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11</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单轨电动葫芦</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2t、起吊高度：7m、0.75kW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12</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阀门井</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2000*1200</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座</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rPr>
                    <w:t>1</w:t>
                  </w:r>
                  <w:r>
                    <w:rPr>
                      <w:rFonts w:hint="default" w:ascii="Times New Roman" w:hAnsi="Times New Roman" w:eastAsia="宋体" w:cs="Times New Roman"/>
                      <w:spacing w:val="0"/>
                      <w:sz w:val="21"/>
                      <w:szCs w:val="21"/>
                      <w:lang w:val="en-US" w:eastAsia="zh-CN"/>
                    </w:rPr>
                    <w:t>3</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阀门井</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1200*1200</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座</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rPr>
                    <w:t>1</w:t>
                  </w:r>
                  <w:r>
                    <w:rPr>
                      <w:rFonts w:hint="default" w:ascii="Times New Roman" w:hAnsi="Times New Roman" w:eastAsia="宋体" w:cs="Times New Roman"/>
                      <w:spacing w:val="0"/>
                      <w:sz w:val="21"/>
                      <w:szCs w:val="21"/>
                      <w:lang w:val="en-US" w:eastAsia="zh-CN"/>
                    </w:rPr>
                    <w:t>4</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浮渣井</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1000*1200</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座</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7"/>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五、组合水池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中间水池提升泵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Q=130.2m</w:t>
                  </w:r>
                  <w:r>
                    <w:rPr>
                      <w:rFonts w:hint="default" w:ascii="Times New Roman" w:hAnsi="Times New Roman" w:eastAsia="宋体" w:cs="Times New Roman"/>
                      <w:spacing w:val="0"/>
                      <w:w w:val="99"/>
                      <w:position w:val="0"/>
                      <w:sz w:val="21"/>
                      <w:szCs w:val="21"/>
                      <w:vertAlign w:val="superscript"/>
                    </w:rPr>
                    <w:t>3</w:t>
                  </w:r>
                  <w:r>
                    <w:rPr>
                      <w:rFonts w:hint="default" w:ascii="Times New Roman" w:hAnsi="Times New Roman" w:eastAsia="宋体" w:cs="Times New Roman"/>
                      <w:spacing w:val="0"/>
                      <w:position w:val="0"/>
                      <w:sz w:val="21"/>
                      <w:szCs w:val="21"/>
                    </w:rPr>
                    <w:t>/h，H=14.6m</w:t>
                  </w:r>
                  <w:r>
                    <w:rPr>
                      <w:rFonts w:hint="eastAsia" w:cs="Times New Roman"/>
                      <w:spacing w:val="0"/>
                      <w:position w:val="0"/>
                      <w:sz w:val="21"/>
                      <w:szCs w:val="21"/>
                      <w:lang w:eastAsia="zh-CN"/>
                    </w:rPr>
                    <w:t>，</w:t>
                  </w:r>
                  <w:r>
                    <w:rPr>
                      <w:rFonts w:hint="default" w:ascii="Times New Roman" w:hAnsi="Times New Roman" w:eastAsia="宋体" w:cs="Times New Roman"/>
                      <w:spacing w:val="0"/>
                      <w:position w:val="0"/>
                      <w:sz w:val="21"/>
                      <w:szCs w:val="21"/>
                    </w:rPr>
                    <w:t>N=11kW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w:t>
                  </w:r>
                </w:p>
              </w:tc>
              <w:tc>
                <w:tcPr>
                  <w:tcW w:w="85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滤池反洗水泵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Q=280m</w:t>
                  </w:r>
                  <w:r>
                    <w:rPr>
                      <w:rFonts w:hint="default" w:ascii="Times New Roman" w:hAnsi="Times New Roman" w:eastAsia="宋体" w:cs="Times New Roman"/>
                      <w:spacing w:val="0"/>
                      <w:position w:val="0"/>
                      <w:sz w:val="21"/>
                      <w:szCs w:val="21"/>
                      <w:vertAlign w:val="superscript"/>
                    </w:rPr>
                    <w:t>3</w:t>
                  </w:r>
                  <w:r>
                    <w:rPr>
                      <w:rFonts w:hint="default" w:ascii="Times New Roman" w:hAnsi="Times New Roman" w:eastAsia="宋体" w:cs="Times New Roman"/>
                      <w:spacing w:val="0"/>
                      <w:position w:val="0"/>
                      <w:sz w:val="21"/>
                      <w:szCs w:val="21"/>
                    </w:rPr>
                    <w:t>/h，H=15m，N=22kW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w:t>
                  </w:r>
                </w:p>
              </w:tc>
              <w:tc>
                <w:tcPr>
                  <w:tcW w:w="85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3</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压力表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0-1.0MPa</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4</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安装于水泵出水管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4</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厂区回用水泵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Q=12.5m</w:t>
                  </w:r>
                  <w:r>
                    <w:rPr>
                      <w:rFonts w:hint="default" w:ascii="Times New Roman" w:hAnsi="Times New Roman" w:eastAsia="宋体" w:cs="Times New Roman"/>
                      <w:spacing w:val="0"/>
                      <w:position w:val="0"/>
                      <w:sz w:val="21"/>
                      <w:szCs w:val="21"/>
                      <w:vertAlign w:val="superscript"/>
                    </w:rPr>
                    <w:t>3</w:t>
                  </w:r>
                  <w:r>
                    <w:rPr>
                      <w:rFonts w:hint="default" w:ascii="Times New Roman" w:hAnsi="Times New Roman" w:eastAsia="宋体" w:cs="Times New Roman"/>
                      <w:spacing w:val="0"/>
                      <w:position w:val="0"/>
                      <w:sz w:val="21"/>
                      <w:szCs w:val="21"/>
                    </w:rPr>
                    <w:t>/h，H=32 m，N=3kW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w:t>
                  </w:r>
                </w:p>
              </w:tc>
              <w:tc>
                <w:tcPr>
                  <w:tcW w:w="85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5</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厂区消火栓主泵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Q=15L/s，H=30m，N=7.5kW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w:t>
                  </w:r>
                </w:p>
              </w:tc>
              <w:tc>
                <w:tcPr>
                  <w:tcW w:w="85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6</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稳压泵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Q=1. 11L/s，H=43m， N= 1 1kW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w:t>
                  </w:r>
                </w:p>
              </w:tc>
              <w:tc>
                <w:tcPr>
                  <w:tcW w:w="85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7</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气压罐</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总容积 1500L，有效容积300L，Φ=1000mm</w:t>
                  </w:r>
                  <w:r>
                    <w:rPr>
                      <w:rFonts w:hint="eastAsia" w:cs="Times New Roman"/>
                      <w:spacing w:val="0"/>
                      <w:position w:val="0"/>
                      <w:sz w:val="21"/>
                      <w:szCs w:val="21"/>
                      <w:lang w:val="en-US" w:eastAsia="zh-CN"/>
                    </w:rPr>
                    <w:t xml:space="preserve"> </w:t>
                  </w:r>
                  <w:r>
                    <w:rPr>
                      <w:rFonts w:hint="default" w:ascii="Times New Roman" w:hAnsi="Times New Roman" w:eastAsia="宋体" w:cs="Times New Roman"/>
                      <w:spacing w:val="0"/>
                      <w:position w:val="0"/>
                      <w:sz w:val="21"/>
                      <w:szCs w:val="21"/>
                    </w:rPr>
                    <w:t>H=2400mm</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8</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排污泵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Q=10m</w:t>
                  </w:r>
                  <w:r>
                    <w:rPr>
                      <w:rFonts w:hint="default" w:ascii="Times New Roman" w:hAnsi="Times New Roman" w:eastAsia="宋体" w:cs="Times New Roman"/>
                      <w:spacing w:val="0"/>
                      <w:position w:val="0"/>
                      <w:sz w:val="21"/>
                      <w:szCs w:val="21"/>
                      <w:vertAlign w:val="superscript"/>
                    </w:rPr>
                    <w:t>3</w:t>
                  </w:r>
                  <w:r>
                    <w:rPr>
                      <w:rFonts w:hint="default" w:ascii="Times New Roman" w:hAnsi="Times New Roman" w:eastAsia="宋体" w:cs="Times New Roman"/>
                      <w:spacing w:val="0"/>
                      <w:position w:val="0"/>
                      <w:sz w:val="21"/>
                      <w:szCs w:val="21"/>
                    </w:rPr>
                    <w:t>/h，H=10m，N=0.75kW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9</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单轨吊车</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起吊重量0.5t，起吊高度9m</w:t>
                  </w:r>
                </w:p>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N=1.1kW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10</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出水取样泵</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Q=1.5m</w:t>
                  </w:r>
                  <w:r>
                    <w:rPr>
                      <w:rFonts w:hint="default" w:ascii="Times New Roman" w:hAnsi="Times New Roman" w:eastAsia="宋体" w:cs="Times New Roman"/>
                      <w:spacing w:val="0"/>
                      <w:position w:val="0"/>
                      <w:sz w:val="21"/>
                      <w:szCs w:val="21"/>
                      <w:vertAlign w:val="superscript"/>
                    </w:rPr>
                    <w:t>3</w:t>
                  </w:r>
                  <w:r>
                    <w:rPr>
                      <w:rFonts w:hint="default" w:ascii="Times New Roman" w:hAnsi="Times New Roman" w:eastAsia="宋体" w:cs="Times New Roman"/>
                      <w:spacing w:val="0"/>
                      <w:position w:val="0"/>
                      <w:sz w:val="21"/>
                      <w:szCs w:val="21"/>
                    </w:rPr>
                    <w:t>/h，H=17m，N=0.37kW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sz w:val="21"/>
                      <w:szCs w:val="21"/>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7"/>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六、深度处理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26" w:type="pct"/>
                  <w:tcBorders>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混合池桨板式机械搅拌机</w:t>
                  </w:r>
                </w:p>
              </w:tc>
              <w:tc>
                <w:tcPr>
                  <w:tcW w:w="1759" w:type="pct"/>
                  <w:tcBorders>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桨板外缘直径</w:t>
                  </w:r>
                  <w:r>
                    <w:rPr>
                      <w:rFonts w:hint="default" w:ascii="Times New Roman" w:hAnsi="Times New Roman" w:eastAsia="宋体" w:cs="Times New Roman"/>
                      <w:spacing w:val="-5"/>
                      <w:position w:val="2"/>
                      <w:sz w:val="21"/>
                      <w:szCs w:val="21"/>
                    </w:rPr>
                    <w:t>D=1.0</w:t>
                  </w:r>
                  <w:r>
                    <w:rPr>
                      <w:rFonts w:hint="default" w:ascii="Times New Roman" w:hAnsi="Times New Roman" w:eastAsia="宋体" w:cs="Times New Roman"/>
                      <w:spacing w:val="-5"/>
                      <w:sz w:val="21"/>
                      <w:szCs w:val="21"/>
                    </w:rPr>
                    <w:t>m</w:t>
                  </w:r>
                  <w:r>
                    <w:rPr>
                      <w:rFonts w:hint="default" w:ascii="Times New Roman" w:hAnsi="Times New Roman" w:eastAsia="宋体" w:cs="Times New Roman"/>
                      <w:spacing w:val="1"/>
                      <w:sz w:val="21"/>
                      <w:szCs w:val="21"/>
                    </w:rPr>
                    <w:t>，桨板宽度</w:t>
                  </w:r>
                  <w:r>
                    <w:rPr>
                      <w:rFonts w:hint="default" w:ascii="Times New Roman" w:hAnsi="Times New Roman" w:eastAsia="宋体" w:cs="Times New Roman"/>
                      <w:spacing w:val="2"/>
                      <w:sz w:val="21"/>
                      <w:szCs w:val="21"/>
                    </w:rPr>
                    <w:t>0.2m</w:t>
                  </w:r>
                  <w:r>
                    <w:rPr>
                      <w:rFonts w:hint="default" w:ascii="Times New Roman" w:hAnsi="Times New Roman" w:eastAsia="宋体" w:cs="Times New Roman"/>
                      <w:spacing w:val="4"/>
                      <w:sz w:val="21"/>
                      <w:szCs w:val="21"/>
                    </w:rPr>
                    <w:t>，桨板</w:t>
                  </w:r>
                  <w:r>
                    <w:rPr>
                      <w:rFonts w:hint="default" w:ascii="Times New Roman" w:hAnsi="Times New Roman" w:eastAsia="宋体" w:cs="Times New Roman"/>
                      <w:spacing w:val="-8"/>
                      <w:position w:val="1"/>
                      <w:sz w:val="21"/>
                      <w:szCs w:val="21"/>
                    </w:rPr>
                    <w:t>长度</w:t>
                  </w:r>
                  <w:r>
                    <w:rPr>
                      <w:rFonts w:hint="default" w:ascii="Times New Roman" w:hAnsi="Times New Roman" w:eastAsia="宋体" w:cs="Times New Roman"/>
                      <w:position w:val="1"/>
                      <w:sz w:val="21"/>
                      <w:szCs w:val="21"/>
                    </w:rPr>
                    <w:t>0.3m，</w:t>
                  </w:r>
                  <w:r>
                    <w:rPr>
                      <w:rFonts w:hint="default" w:ascii="Times New Roman" w:hAnsi="Times New Roman" w:eastAsia="宋体" w:cs="Times New Roman"/>
                      <w:spacing w:val="1"/>
                      <w:sz w:val="21"/>
                      <w:szCs w:val="21"/>
                    </w:rPr>
                    <w:t>转速</w:t>
                  </w:r>
                  <w:r>
                    <w:rPr>
                      <w:rFonts w:hint="default" w:ascii="Times New Roman" w:hAnsi="Times New Roman" w:eastAsia="宋体" w:cs="Times New Roman"/>
                      <w:sz w:val="21"/>
                      <w:szCs w:val="21"/>
                    </w:rPr>
                    <w:t>38r/min，</w:t>
                  </w:r>
                  <w:r>
                    <w:rPr>
                      <w:rFonts w:hint="default" w:ascii="Times New Roman" w:hAnsi="Times New Roman" w:eastAsia="宋体" w:cs="Times New Roman"/>
                      <w:spacing w:val="10"/>
                      <w:sz w:val="21"/>
                      <w:szCs w:val="21"/>
                    </w:rPr>
                    <w:t>N=0.55</w:t>
                  </w:r>
                  <w:r>
                    <w:rPr>
                      <w:rFonts w:hint="default" w:ascii="Times New Roman" w:hAnsi="Times New Roman" w:eastAsia="宋体" w:cs="Times New Roman"/>
                      <w:spacing w:val="-8"/>
                      <w:sz w:val="21"/>
                      <w:szCs w:val="21"/>
                    </w:rPr>
                    <w:t>kW</w:t>
                  </w:r>
                </w:p>
              </w:tc>
              <w:tc>
                <w:tcPr>
                  <w:tcW w:w="392" w:type="pct"/>
                  <w:tcBorders>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04" w:type="pct"/>
                  <w:tcBorders>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0" w:type="pct"/>
                  <w:tcBorders>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left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sz w:val="21"/>
                      <w:szCs w:val="21"/>
                    </w:rPr>
                    <w:t>絮凝池甲型桨板式机械搅拌机</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叶轮直径D=1.5m，单块桨板宽度 0.1m，桨板长度1.2m，第一块桨板距离垂直轴距离0.3m，转速9r/min，N=0.55kW</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0" w:type="pct"/>
                  <w:tcBorders>
                    <w:top w:val="single" w:color="auto" w:sz="4" w:space="0"/>
                    <w:bottom w:val="single" w:color="auto" w:sz="4" w:space="0"/>
                    <w:right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226" w:type="pct"/>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絮凝池乙型桨板式机械搅拌机</w:t>
                  </w:r>
                </w:p>
              </w:tc>
              <w:tc>
                <w:tcPr>
                  <w:tcW w:w="1759" w:type="pct"/>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position w:val="0"/>
                      <w:sz w:val="21"/>
                      <w:szCs w:val="21"/>
                    </w:rPr>
                    <w:t>叶轮直径D=1.5m单块桨板宽度0.1m，桨板长度1.2m，第一块桨板距离垂直轴距离0.3m，转速6r/min，N=0.55kW</w:t>
                  </w:r>
                </w:p>
              </w:tc>
              <w:tc>
                <w:tcPr>
                  <w:tcW w:w="392" w:type="pct"/>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04" w:type="pct"/>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0" w:type="pct"/>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絮凝池丙型桨板式机械搅拌机</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position w:val="0"/>
                      <w:sz w:val="21"/>
                      <w:szCs w:val="21"/>
                    </w:rPr>
                    <w:t>叶轮直径D=1.5m，单块桨板宽度 0.1m，桨板长度1.2m，第一块桨板距离垂直轴距离0.3m，转速4r/min，N=0.55kW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斜管及支撑</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Φ80mm，L= 1m，60°安装</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m</w:t>
                  </w:r>
                  <w:r>
                    <w:rPr>
                      <w:rFonts w:hint="default" w:ascii="Times New Roman" w:hAnsi="Times New Roman" w:eastAsia="宋体" w:cs="Times New Roman"/>
                      <w:spacing w:val="0"/>
                      <w:position w:val="0"/>
                      <w:sz w:val="21"/>
                      <w:szCs w:val="21"/>
                      <w:vertAlign w:val="superscript"/>
                    </w:rPr>
                    <w:t>2</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59</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穿孔集水槽</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200×470mm，L=5.3m</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10</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根</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压力表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0-1.0MPa</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8</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台</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lang w:eastAsia="zh-CN"/>
                    </w:rPr>
                  </w:pPr>
                  <w:r>
                    <w:rPr>
                      <w:rFonts w:hint="default" w:ascii="Times New Roman" w:hAnsi="Times New Roman" w:eastAsia="宋体" w:cs="Times New Roman"/>
                      <w:spacing w:val="0"/>
                      <w:position w:val="0"/>
                      <w:sz w:val="21"/>
                      <w:szCs w:val="21"/>
                      <w:lang w:val="en-US" w:eastAsia="zh-CN"/>
                    </w:rPr>
                    <w:t>8</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PAC加药装置</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V=3m</w:t>
                  </w:r>
                  <w:r>
                    <w:rPr>
                      <w:rFonts w:hint="default" w:ascii="Times New Roman" w:hAnsi="Times New Roman" w:eastAsia="宋体" w:cs="Times New Roman"/>
                      <w:spacing w:val="0"/>
                      <w:position w:val="0"/>
                      <w:sz w:val="21"/>
                      <w:szCs w:val="21"/>
                      <w:vertAlign w:val="superscript"/>
                    </w:rPr>
                    <w:t>3</w:t>
                  </w:r>
                  <w:r>
                    <w:rPr>
                      <w:rFonts w:hint="default" w:ascii="Times New Roman" w:hAnsi="Times New Roman" w:eastAsia="宋体" w:cs="Times New Roman"/>
                      <w:spacing w:val="0"/>
                      <w:position w:val="0"/>
                      <w:sz w:val="21"/>
                      <w:szCs w:val="21"/>
                    </w:rPr>
                    <w:t>，配套1.5kW搅拌机，计量泵2台（1用1备）：0-500L/h，功率0.75 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安装于室内地面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lang w:eastAsia="zh-CN"/>
                    </w:rPr>
                  </w:pPr>
                  <w:r>
                    <w:rPr>
                      <w:rFonts w:hint="default" w:ascii="Times New Roman" w:hAnsi="Times New Roman" w:eastAsia="宋体" w:cs="Times New Roman"/>
                      <w:spacing w:val="0"/>
                      <w:position w:val="0"/>
                      <w:sz w:val="21"/>
                      <w:szCs w:val="21"/>
                      <w:lang w:val="en-US" w:eastAsia="zh-CN"/>
                    </w:rPr>
                    <w:t>9</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PAM一体化加药设备</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功率2.25kW。加药计量泵，2台（1 备），加药量500L/h</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安装于室内地面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spacing w:val="0"/>
                      <w:position w:val="0"/>
                      <w:sz w:val="21"/>
                      <w:szCs w:val="21"/>
                      <w:lang w:val="en-US" w:eastAsia="zh-CN"/>
                    </w:rPr>
                    <w:t>10</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碳源加药装置</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V=3m</w:t>
                  </w:r>
                  <w:r>
                    <w:rPr>
                      <w:rFonts w:hint="default" w:ascii="Times New Roman" w:hAnsi="Times New Roman" w:eastAsia="宋体" w:cs="Times New Roman"/>
                      <w:spacing w:val="0"/>
                      <w:position w:val="0"/>
                      <w:sz w:val="21"/>
                      <w:szCs w:val="21"/>
                      <w:vertAlign w:val="superscript"/>
                    </w:rPr>
                    <w:t>3</w:t>
                  </w:r>
                  <w:r>
                    <w:rPr>
                      <w:rFonts w:hint="default" w:ascii="Times New Roman" w:hAnsi="Times New Roman" w:eastAsia="宋体" w:cs="Times New Roman"/>
                      <w:spacing w:val="0"/>
                      <w:position w:val="0"/>
                      <w:sz w:val="21"/>
                      <w:szCs w:val="21"/>
                    </w:rPr>
                    <w:t>，配套1.5kW搅拌机，计量泵2台（1用1备）：Q=0-200L/h</w:t>
                  </w:r>
                  <w:r>
                    <w:rPr>
                      <w:rFonts w:hint="eastAsia" w:cs="Times New Roman"/>
                      <w:spacing w:val="0"/>
                      <w:position w:val="0"/>
                      <w:sz w:val="21"/>
                      <w:szCs w:val="21"/>
                      <w:lang w:val="en-US" w:eastAsia="zh-CN"/>
                    </w:rPr>
                    <w:t xml:space="preserve"> </w:t>
                  </w:r>
                  <w:r>
                    <w:rPr>
                      <w:rFonts w:hint="default" w:ascii="Times New Roman" w:hAnsi="Times New Roman" w:eastAsia="宋体" w:cs="Times New Roman"/>
                      <w:spacing w:val="0"/>
                      <w:position w:val="0"/>
                      <w:sz w:val="21"/>
                      <w:szCs w:val="21"/>
                    </w:rPr>
                    <w:t>H=40m，N= 0.37kW</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安装于室内地面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spacing w:val="0"/>
                      <w:position w:val="0"/>
                      <w:sz w:val="21"/>
                      <w:szCs w:val="21"/>
                      <w:lang w:val="en-US" w:eastAsia="zh-CN"/>
                    </w:rPr>
                    <w:t>11</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干粉磷酸铵盐灭火器</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MF/ ABC4</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具</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10</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spacing w:val="0"/>
                      <w:position w:val="0"/>
                      <w:sz w:val="21"/>
                      <w:szCs w:val="21"/>
                      <w:lang w:val="en-US" w:eastAsia="zh-CN"/>
                    </w:rPr>
                    <w:t>12</w:t>
                  </w:r>
                </w:p>
              </w:tc>
              <w:tc>
                <w:tcPr>
                  <w:tcW w:w="1226"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次氯酸钠加药装置</w:t>
                  </w:r>
                </w:p>
              </w:tc>
              <w:tc>
                <w:tcPr>
                  <w:tcW w:w="1759"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酸储药罐10m³；PE材质。消毒加药泵2台（1用1备）：Q=0-50L/h，</w:t>
                  </w:r>
                </w:p>
              </w:tc>
              <w:tc>
                <w:tcPr>
                  <w:tcW w:w="392"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套</w:t>
                  </w:r>
                </w:p>
              </w:tc>
              <w:tc>
                <w:tcPr>
                  <w:tcW w:w="404"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r>
                    <w:rPr>
                      <w:rFonts w:hint="default" w:ascii="Times New Roman" w:hAnsi="Times New Roman" w:eastAsia="宋体" w:cs="Times New Roman"/>
                      <w:spacing w:val="0"/>
                      <w:position w:val="0"/>
                      <w:sz w:val="21"/>
                      <w:szCs w:val="21"/>
                    </w:rPr>
                    <w:t>1</w:t>
                  </w:r>
                </w:p>
              </w:tc>
              <w:tc>
                <w:tcPr>
                  <w:tcW w:w="850" w:type="pct"/>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7"/>
                  <w:tcBorders>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七、计量槽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left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标准巴氏计量槽</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量程：3.0~250L/S，咽喉净宽250mm 配套超声波明渠流量计，量程：0~300L/S</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套</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850" w:type="pct"/>
                  <w:tcBorders>
                    <w:top w:val="single" w:color="auto" w:sz="4" w:space="0"/>
                    <w:bottom w:val="single" w:color="auto" w:sz="4" w:space="0"/>
                    <w:right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手动渠道闸门</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730×400</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只</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7"/>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八、污泥脱水设备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1</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高压隔膜压滤机</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过滤面积60m</w:t>
                  </w:r>
                  <w:r>
                    <w:rPr>
                      <w:rFonts w:hint="default" w:ascii="Times New Roman" w:hAnsi="Times New Roman" w:eastAsia="宋体" w:cs="Times New Roman"/>
                      <w:spacing w:val="0"/>
                      <w:sz w:val="21"/>
                      <w:szCs w:val="21"/>
                      <w:vertAlign w:val="superscript"/>
                    </w:rPr>
                    <w:t>2</w:t>
                  </w:r>
                  <w:r>
                    <w:rPr>
                      <w:rFonts w:hint="default" w:ascii="Times New Roman" w:hAnsi="Times New Roman" w:eastAsia="宋体" w:cs="Times New Roman"/>
                      <w:spacing w:val="0"/>
                      <w:sz w:val="21"/>
                      <w:szCs w:val="21"/>
                    </w:rPr>
                    <w:t>，滤板规格870×870mm，滤室容积900L，滤饼厚度30mm，过滤压力0.6Mpa，压榨压力1.2Mpa，N=4.65kW</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台</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2</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2</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污泥斗</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3.5×1.5×1.2m，材质碳钢防腐</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2</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3</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调理池框式搅拌机</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浆板直径1800mm，高度</w:t>
                  </w:r>
                </w:p>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1800mm，N=3kW，浆叶材质304SS，变频调速</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1</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4</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PAC 加药装置</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加药桶Φ×H=1020×1060mm，V=1000L，材质PE；配搅拌机，N=11kW，材质304SS，加药泵：Q=4m3/h，H=15m，</w:t>
                  </w:r>
                </w:p>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N=0.37kW，过流部件316L</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套</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2</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5</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污泥螺杆泵</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Q=8m</w:t>
                  </w:r>
                  <w:r>
                    <w:rPr>
                      <w:rFonts w:hint="default" w:ascii="Times New Roman" w:hAnsi="Times New Roman" w:eastAsia="宋体" w:cs="Times New Roman"/>
                      <w:spacing w:val="0"/>
                      <w:sz w:val="21"/>
                      <w:szCs w:val="21"/>
                      <w:vertAlign w:val="superscript"/>
                    </w:rPr>
                    <w:t>3</w:t>
                  </w:r>
                  <w:r>
                    <w:rPr>
                      <w:rFonts w:hint="default" w:ascii="Times New Roman" w:hAnsi="Times New Roman" w:eastAsia="宋体" w:cs="Times New Roman"/>
                      <w:spacing w:val="0"/>
                      <w:sz w:val="21"/>
                      <w:szCs w:val="21"/>
                    </w:rPr>
                    <w:t>/h，P=0.6Mpa，N=3kW</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3</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2用1备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6</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压榨水箱</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Φ=1300mm，H=1420mm，</w:t>
                  </w:r>
                </w:p>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V=2000L，材质PE</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台</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1</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7</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压榨水泵</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Q=3m</w:t>
                  </w:r>
                  <w:r>
                    <w:rPr>
                      <w:rFonts w:hint="default" w:ascii="Times New Roman" w:hAnsi="Times New Roman" w:eastAsia="宋体" w:cs="Times New Roman"/>
                      <w:spacing w:val="0"/>
                      <w:sz w:val="21"/>
                      <w:szCs w:val="21"/>
                      <w:vertAlign w:val="superscript"/>
                    </w:rPr>
                    <w:t>3</w:t>
                  </w:r>
                  <w:r>
                    <w:rPr>
                      <w:rFonts w:hint="default" w:ascii="Times New Roman" w:hAnsi="Times New Roman" w:eastAsia="宋体" w:cs="Times New Roman"/>
                      <w:spacing w:val="0"/>
                      <w:sz w:val="21"/>
                      <w:szCs w:val="21"/>
                    </w:rPr>
                    <w:t>/h，H= 132m，N=2.2kW，过流部件304SS，变频控制</w:t>
                  </w:r>
                </w:p>
              </w:tc>
              <w:tc>
                <w:tcPr>
                  <w:tcW w:w="392"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404"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2</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8</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空压机</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Q=0.36m</w:t>
                  </w:r>
                  <w:r>
                    <w:rPr>
                      <w:rFonts w:hint="default" w:ascii="Times New Roman" w:hAnsi="Times New Roman" w:eastAsia="宋体" w:cs="Times New Roman"/>
                      <w:spacing w:val="0"/>
                      <w:sz w:val="21"/>
                      <w:szCs w:val="21"/>
                      <w:vertAlign w:val="superscript"/>
                    </w:rPr>
                    <w:t>3</w:t>
                  </w:r>
                  <w:r>
                    <w:rPr>
                      <w:rFonts w:hint="default" w:ascii="Times New Roman" w:hAnsi="Times New Roman" w:eastAsia="宋体" w:cs="Times New Roman"/>
                      <w:spacing w:val="0"/>
                      <w:sz w:val="21"/>
                      <w:szCs w:val="21"/>
                    </w:rPr>
                    <w:t>/min，P=0.8Mpa，N=3kW</w:t>
                  </w:r>
                </w:p>
              </w:tc>
              <w:tc>
                <w:tcPr>
                  <w:tcW w:w="691"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712"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1</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9</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反吹储气罐</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V=1m</w:t>
                  </w:r>
                  <w:r>
                    <w:rPr>
                      <w:rFonts w:hint="default" w:ascii="Times New Roman" w:hAnsi="Times New Roman" w:eastAsia="宋体" w:cs="Times New Roman"/>
                      <w:spacing w:val="0"/>
                      <w:sz w:val="21"/>
                      <w:szCs w:val="21"/>
                      <w:vertAlign w:val="superscript"/>
                    </w:rPr>
                    <w:t>3</w:t>
                  </w:r>
                </w:p>
              </w:tc>
              <w:tc>
                <w:tcPr>
                  <w:tcW w:w="691"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712"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1</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10</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仪表储气罐</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V=1m</w:t>
                  </w:r>
                  <w:r>
                    <w:rPr>
                      <w:rFonts w:hint="default" w:ascii="Times New Roman" w:hAnsi="Times New Roman" w:eastAsia="宋体" w:cs="Times New Roman"/>
                      <w:spacing w:val="0"/>
                      <w:sz w:val="21"/>
                      <w:szCs w:val="21"/>
                      <w:vertAlign w:val="superscript"/>
                    </w:rPr>
                    <w:t>3</w:t>
                  </w:r>
                </w:p>
              </w:tc>
              <w:tc>
                <w:tcPr>
                  <w:tcW w:w="691"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712"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1</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11</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冷干机</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Q=1.5m</w:t>
                  </w:r>
                  <w:r>
                    <w:rPr>
                      <w:rFonts w:hint="default" w:ascii="Times New Roman" w:hAnsi="Times New Roman" w:eastAsia="宋体" w:cs="Times New Roman"/>
                      <w:spacing w:val="0"/>
                      <w:sz w:val="21"/>
                      <w:szCs w:val="21"/>
                      <w:vertAlign w:val="superscript"/>
                    </w:rPr>
                    <w:t>3</w:t>
                  </w:r>
                  <w:r>
                    <w:rPr>
                      <w:rFonts w:hint="default" w:ascii="Times New Roman" w:hAnsi="Times New Roman" w:eastAsia="宋体" w:cs="Times New Roman"/>
                      <w:spacing w:val="0"/>
                      <w:sz w:val="21"/>
                      <w:szCs w:val="21"/>
                    </w:rPr>
                    <w:t>/min，P=10bar，N=0.6kW</w:t>
                  </w:r>
                </w:p>
              </w:tc>
              <w:tc>
                <w:tcPr>
                  <w:tcW w:w="691"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712"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1</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12</w:t>
                  </w:r>
                </w:p>
              </w:tc>
              <w:tc>
                <w:tcPr>
                  <w:tcW w:w="1226"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水平倾斜皮带输送机</w:t>
                  </w:r>
                </w:p>
              </w:tc>
              <w:tc>
                <w:tcPr>
                  <w:tcW w:w="1759"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带宽0.5米，水平长度约5m，倾斜长度约6m，N=5.5KW</w:t>
                  </w:r>
                </w:p>
              </w:tc>
              <w:tc>
                <w:tcPr>
                  <w:tcW w:w="691"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712" w:type="dxa"/>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2</w:t>
                  </w:r>
                </w:p>
              </w:tc>
              <w:tc>
                <w:tcPr>
                  <w:tcW w:w="850" w:type="pct"/>
                  <w:tcBorders>
                    <w:top w:val="single" w:color="auto" w:sz="4"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7" w:type="pct"/>
                  <w:gridSpan w:val="2"/>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cs="Times New Roman"/>
                      <w:spacing w:val="0"/>
                      <w:sz w:val="21"/>
                      <w:szCs w:val="21"/>
                      <w:lang w:val="en-US" w:eastAsia="zh-CN"/>
                    </w:rPr>
                  </w:pPr>
                  <w:r>
                    <w:rPr>
                      <w:rFonts w:hint="eastAsia" w:cs="Times New Roman"/>
                      <w:spacing w:val="0"/>
                      <w:sz w:val="21"/>
                      <w:szCs w:val="21"/>
                      <w:lang w:val="en-US" w:eastAsia="zh-CN"/>
                    </w:rPr>
                    <w:t>13</w:t>
                  </w:r>
                </w:p>
              </w:tc>
              <w:tc>
                <w:tcPr>
                  <w:tcW w:w="1226" w:type="pct"/>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滤液槽</w:t>
                  </w:r>
                </w:p>
              </w:tc>
              <w:tc>
                <w:tcPr>
                  <w:tcW w:w="1759" w:type="pct"/>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4500×300×300mm，碳钢防腐</w:t>
                  </w:r>
                </w:p>
              </w:tc>
              <w:tc>
                <w:tcPr>
                  <w:tcW w:w="691" w:type="dxa"/>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sz w:val="21"/>
                      <w:szCs w:val="21"/>
                    </w:rPr>
                  </w:pPr>
                  <w:r>
                    <w:rPr>
                      <w:rFonts w:hint="eastAsia" w:cs="Times New Roman"/>
                      <w:spacing w:val="0"/>
                      <w:sz w:val="21"/>
                      <w:szCs w:val="21"/>
                      <w:lang w:val="en-US" w:eastAsia="zh-CN"/>
                    </w:rPr>
                    <w:t>台</w:t>
                  </w:r>
                </w:p>
              </w:tc>
              <w:tc>
                <w:tcPr>
                  <w:tcW w:w="712" w:type="dxa"/>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spacing w:val="0"/>
                      <w:sz w:val="21"/>
                      <w:szCs w:val="21"/>
                      <w:lang w:val="en-US" w:eastAsia="zh-CN"/>
                    </w:rPr>
                  </w:pPr>
                  <w:r>
                    <w:rPr>
                      <w:rFonts w:hint="eastAsia" w:cs="Times New Roman"/>
                      <w:spacing w:val="0"/>
                      <w:sz w:val="21"/>
                      <w:szCs w:val="21"/>
                      <w:lang w:val="en-US" w:eastAsia="zh-CN"/>
                    </w:rPr>
                    <w:t>4</w:t>
                  </w:r>
                </w:p>
              </w:tc>
              <w:tc>
                <w:tcPr>
                  <w:tcW w:w="850" w:type="pct"/>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spacing w:val="0"/>
                      <w:sz w:val="21"/>
                      <w:szCs w:val="21"/>
                    </w:rPr>
                  </w:pPr>
                </w:p>
              </w:tc>
            </w:tr>
          </w:tbl>
          <w:p>
            <w:pPr>
              <w:keepNext w:val="0"/>
              <w:keepLines w:val="0"/>
              <w:pageBreakBefore w:val="0"/>
              <w:widowControl w:val="0"/>
              <w:kinsoku/>
              <w:wordWrap/>
              <w:overflowPunct/>
              <w:topLinePunct w:val="0"/>
              <w:autoSpaceDE/>
              <w:autoSpaceDN/>
              <w:bidi w:val="0"/>
              <w:spacing w:line="480" w:lineRule="exact"/>
              <w:ind w:right="0"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lang w:val="en-US" w:eastAsia="zh-CN"/>
              </w:rPr>
              <w:t>9</w:t>
            </w:r>
            <w:r>
              <w:rPr>
                <w:rFonts w:hint="default" w:ascii="Times New Roman" w:hAnsi="Times New Roman" w:cs="Times New Roman"/>
                <w:b/>
                <w:bCs/>
                <w:sz w:val="24"/>
              </w:rPr>
              <w:t>、原辅材料</w:t>
            </w:r>
          </w:p>
          <w:p>
            <w:pPr>
              <w:keepNext w:val="0"/>
              <w:keepLines w:val="0"/>
              <w:pageBreakBefore w:val="0"/>
              <w:widowControl w:val="0"/>
              <w:kinsoku/>
              <w:wordWrap/>
              <w:overflowPunct/>
              <w:topLinePunct w:val="0"/>
              <w:autoSpaceDE/>
              <w:autoSpaceDN/>
              <w:bidi w:val="0"/>
              <w:spacing w:line="480" w:lineRule="exact"/>
              <w:ind w:right="0" w:firstLine="482" w:firstLineChars="200"/>
              <w:textAlignment w:val="auto"/>
              <w:rPr>
                <w:b/>
                <w:bCs/>
                <w:sz w:val="24"/>
              </w:rPr>
            </w:pPr>
            <w:r>
              <w:rPr>
                <w:rFonts w:hint="eastAsia"/>
                <w:b/>
                <w:bCs/>
                <w:sz w:val="24"/>
                <w:lang w:eastAsia="zh-CN"/>
              </w:rPr>
              <w:t>（</w:t>
            </w:r>
            <w:r>
              <w:rPr>
                <w:rFonts w:hint="eastAsia"/>
                <w:b/>
                <w:bCs/>
                <w:sz w:val="24"/>
                <w:lang w:val="en-US" w:eastAsia="zh-CN"/>
              </w:rPr>
              <w:t>1</w:t>
            </w:r>
            <w:r>
              <w:rPr>
                <w:rFonts w:hint="eastAsia"/>
                <w:b/>
                <w:bCs/>
                <w:sz w:val="24"/>
                <w:lang w:eastAsia="zh-CN"/>
              </w:rPr>
              <w:t>）</w:t>
            </w:r>
            <w:r>
              <w:rPr>
                <w:rFonts w:hint="eastAsia"/>
                <w:b/>
                <w:bCs/>
                <w:sz w:val="24"/>
              </w:rPr>
              <w:t>原料</w:t>
            </w:r>
          </w:p>
          <w:p>
            <w:pPr>
              <w:keepNext w:val="0"/>
              <w:keepLines w:val="0"/>
              <w:pageBreakBefore w:val="0"/>
              <w:widowControl w:val="0"/>
              <w:kinsoku/>
              <w:wordWrap/>
              <w:overflowPunct/>
              <w:topLinePunct w:val="0"/>
              <w:autoSpaceDE/>
              <w:autoSpaceDN/>
              <w:bidi w:val="0"/>
              <w:snapToGrid w:val="0"/>
              <w:spacing w:line="480" w:lineRule="exact"/>
              <w:ind w:right="0" w:firstLine="480" w:firstLineChars="200"/>
              <w:textAlignment w:val="auto"/>
              <w:rPr>
                <w:rFonts w:ascii="宋体" w:hAnsi="宋体"/>
                <w:sz w:val="24"/>
              </w:rPr>
            </w:pPr>
            <w:r>
              <w:rPr>
                <w:rFonts w:hint="eastAsia" w:ascii="宋体" w:hAnsi="宋体"/>
                <w:sz w:val="24"/>
              </w:rPr>
              <w:t>项目污水处理系统原水为生活污水，污水量为</w:t>
            </w:r>
            <w:r>
              <w:rPr>
                <w:rFonts w:hint="eastAsia" w:ascii="宋体" w:hAnsi="宋体"/>
                <w:sz w:val="24"/>
                <w:lang w:val="en-US" w:eastAsia="zh-CN"/>
              </w:rPr>
              <w:t>2000</w:t>
            </w:r>
            <w:r>
              <w:rPr>
                <w:rFonts w:hint="eastAsia" w:ascii="宋体" w:hAnsi="宋体"/>
                <w:sz w:val="24"/>
              </w:rPr>
              <w:t>m</w:t>
            </w:r>
            <w:r>
              <w:rPr>
                <w:rFonts w:ascii="宋体" w:hAnsi="宋体"/>
                <w:sz w:val="24"/>
                <w:vertAlign w:val="superscript"/>
              </w:rPr>
              <w:t>3</w:t>
            </w:r>
            <w:r>
              <w:rPr>
                <w:rFonts w:hint="eastAsia" w:ascii="宋体" w:hAnsi="宋体"/>
                <w:sz w:val="24"/>
              </w:rPr>
              <w:t>/d。</w:t>
            </w:r>
          </w:p>
          <w:p>
            <w:pPr>
              <w:keepNext w:val="0"/>
              <w:keepLines w:val="0"/>
              <w:pageBreakBefore w:val="0"/>
              <w:widowControl w:val="0"/>
              <w:kinsoku/>
              <w:wordWrap/>
              <w:overflowPunct/>
              <w:topLinePunct w:val="0"/>
              <w:autoSpaceDE/>
              <w:autoSpaceDN/>
              <w:bidi w:val="0"/>
              <w:spacing w:line="480" w:lineRule="exact"/>
              <w:ind w:right="0" w:firstLine="482" w:firstLineChars="200"/>
              <w:textAlignment w:val="auto"/>
              <w:rPr>
                <w:rFonts w:ascii="Times New Roman" w:hAnsi="Times New Roman"/>
                <w:b/>
                <w:bCs/>
                <w:sz w:val="24"/>
              </w:rPr>
            </w:pPr>
            <w:r>
              <w:rPr>
                <w:rFonts w:hint="eastAsia"/>
                <w:b/>
                <w:bCs/>
                <w:sz w:val="24"/>
                <w:lang w:eastAsia="zh-CN"/>
              </w:rPr>
              <w:t>（</w:t>
            </w:r>
            <w:r>
              <w:rPr>
                <w:rFonts w:hint="eastAsia"/>
                <w:b/>
                <w:bCs/>
                <w:sz w:val="24"/>
                <w:lang w:val="en-US" w:eastAsia="zh-CN"/>
              </w:rPr>
              <w:t>2</w:t>
            </w:r>
            <w:r>
              <w:rPr>
                <w:rFonts w:hint="eastAsia"/>
                <w:b/>
                <w:bCs/>
                <w:sz w:val="24"/>
                <w:lang w:eastAsia="zh-CN"/>
              </w:rPr>
              <w:t>）</w:t>
            </w:r>
            <w:r>
              <w:rPr>
                <w:rFonts w:hint="eastAsia" w:ascii="Times New Roman" w:hAnsi="Times New Roman"/>
                <w:b/>
                <w:bCs/>
                <w:sz w:val="24"/>
              </w:rPr>
              <w:t>辅料</w:t>
            </w:r>
          </w:p>
          <w:p>
            <w:pPr>
              <w:keepNext w:val="0"/>
              <w:keepLines w:val="0"/>
              <w:pageBreakBefore w:val="0"/>
              <w:widowControl w:val="0"/>
              <w:kinsoku/>
              <w:wordWrap/>
              <w:overflowPunct/>
              <w:topLinePunct w:val="0"/>
              <w:autoSpaceDE/>
              <w:autoSpaceDN/>
              <w:bidi w:val="0"/>
              <w:adjustRightInd w:val="0"/>
              <w:snapToGrid w:val="0"/>
              <w:spacing w:line="480" w:lineRule="exact"/>
              <w:ind w:right="0" w:firstLine="480" w:firstLineChars="200"/>
              <w:textAlignment w:val="auto"/>
              <w:rPr>
                <w:rFonts w:ascii="Times New Roman" w:hAnsi="Times New Roman"/>
                <w:bCs/>
                <w:sz w:val="24"/>
              </w:rPr>
            </w:pPr>
            <w:r>
              <w:rPr>
                <w:rFonts w:hint="eastAsia" w:ascii="Times New Roman" w:hAnsi="Times New Roman"/>
                <w:bCs/>
                <w:sz w:val="24"/>
              </w:rPr>
              <w:t>污水处理过程中涉及的辅料包括生物碱源、除磷剂、次氯酸钠、乙酸钠、氢氧化钠</w:t>
            </w:r>
            <w:r>
              <w:rPr>
                <w:rFonts w:ascii="Times New Roman" w:hAnsi="Times New Roman"/>
                <w:bCs/>
                <w:sz w:val="24"/>
              </w:rPr>
              <w:t>。</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表2-16  原辅材料消耗表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995"/>
              <w:gridCol w:w="2314"/>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项目</w:t>
                  </w:r>
                </w:p>
              </w:tc>
              <w:tc>
                <w:tcPr>
                  <w:tcW w:w="1130"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名称</w:t>
                  </w:r>
                </w:p>
              </w:tc>
              <w:tc>
                <w:tcPr>
                  <w:tcW w:w="1311"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年用量</w:t>
                  </w:r>
                </w:p>
              </w:tc>
              <w:tc>
                <w:tcPr>
                  <w:tcW w:w="203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原料</w:t>
                  </w:r>
                </w:p>
              </w:tc>
              <w:tc>
                <w:tcPr>
                  <w:tcW w:w="1130"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生活污水</w:t>
                  </w:r>
                </w:p>
              </w:tc>
              <w:tc>
                <w:tcPr>
                  <w:tcW w:w="1311"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2000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/d</w:t>
                  </w:r>
                </w:p>
              </w:tc>
              <w:tc>
                <w:tcPr>
                  <w:tcW w:w="203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厂外污水管网直接输送至粗格栅间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辅料</w:t>
                  </w:r>
                </w:p>
              </w:tc>
              <w:tc>
                <w:tcPr>
                  <w:tcW w:w="1130"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除磷剂</w:t>
                  </w:r>
                  <w:r>
                    <w:rPr>
                      <w:rFonts w:hint="eastAsia" w:cs="Times New Roman"/>
                      <w:bCs/>
                      <w:sz w:val="21"/>
                      <w:szCs w:val="21"/>
                      <w:lang w:val="en-US" w:eastAsia="zh-CN"/>
                    </w:rPr>
                    <w:t>PAC</w:t>
                  </w:r>
                </w:p>
              </w:tc>
              <w:tc>
                <w:tcPr>
                  <w:tcW w:w="1311"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36.81</w:t>
                  </w:r>
                  <w:r>
                    <w:rPr>
                      <w:rFonts w:hint="default" w:ascii="Times New Roman" w:hAnsi="Times New Roman" w:cs="Times New Roman"/>
                      <w:bCs/>
                      <w:sz w:val="21"/>
                      <w:szCs w:val="21"/>
                    </w:rPr>
                    <w:t>t/a</w:t>
                  </w:r>
                </w:p>
              </w:tc>
              <w:tc>
                <w:tcPr>
                  <w:tcW w:w="203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外购、固态、袋装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p>
              </w:tc>
              <w:tc>
                <w:tcPr>
                  <w:tcW w:w="1130"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乙酸钠</w:t>
                  </w:r>
                </w:p>
              </w:tc>
              <w:tc>
                <w:tcPr>
                  <w:tcW w:w="1311"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111.98</w:t>
                  </w:r>
                </w:p>
              </w:tc>
              <w:tc>
                <w:tcPr>
                  <w:tcW w:w="203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外购、液态、罐车运输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p>
              </w:tc>
              <w:tc>
                <w:tcPr>
                  <w:tcW w:w="1130"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次氯酸钠</w:t>
                  </w:r>
                </w:p>
              </w:tc>
              <w:tc>
                <w:tcPr>
                  <w:tcW w:w="1311"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24.09</w:t>
                  </w:r>
                  <w:r>
                    <w:rPr>
                      <w:rFonts w:hint="default" w:ascii="Times New Roman" w:hAnsi="Times New Roman" w:cs="Times New Roman"/>
                      <w:bCs/>
                      <w:sz w:val="21"/>
                      <w:szCs w:val="21"/>
                    </w:rPr>
                    <w:t>t/a</w:t>
                  </w:r>
                </w:p>
              </w:tc>
              <w:tc>
                <w:tcPr>
                  <w:tcW w:w="203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外购、液态、罐车运输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sz w:val="21"/>
                      <w:szCs w:val="21"/>
                    </w:rPr>
                  </w:pPr>
                </w:p>
              </w:tc>
              <w:tc>
                <w:tcPr>
                  <w:tcW w:w="1130"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PAM</w:t>
                  </w:r>
                </w:p>
              </w:tc>
              <w:tc>
                <w:tcPr>
                  <w:tcW w:w="1311"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1.16</w:t>
                  </w:r>
                  <w:r>
                    <w:rPr>
                      <w:rFonts w:hint="default" w:ascii="Times New Roman" w:hAnsi="Times New Roman" w:cs="Times New Roman"/>
                      <w:bCs/>
                      <w:sz w:val="21"/>
                      <w:szCs w:val="21"/>
                    </w:rPr>
                    <w:t>t/a</w:t>
                  </w:r>
                </w:p>
              </w:tc>
              <w:tc>
                <w:tcPr>
                  <w:tcW w:w="203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外购、固态、袋装</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val="0"/>
                <w:bCs w:val="0"/>
                <w:sz w:val="24"/>
                <w:lang w:val="en-US" w:eastAsia="zh-CN"/>
              </w:rPr>
            </w:pPr>
            <w:r>
              <w:rPr>
                <w:rFonts w:hint="default" w:ascii="Times New Roman" w:hAnsi="Times New Roman" w:cs="Times New Roman"/>
                <w:b/>
                <w:bCs/>
                <w:sz w:val="24"/>
                <w:lang w:val="en-US" w:eastAsia="zh-CN"/>
              </w:rPr>
              <w:t>除磷剂PAC</w:t>
            </w:r>
            <w:r>
              <w:rPr>
                <w:rFonts w:hint="eastAsia" w:cs="Times New Roman"/>
                <w:b/>
                <w:bCs/>
                <w:sz w:val="24"/>
                <w:lang w:val="en-US" w:eastAsia="zh-CN"/>
              </w:rPr>
              <w:t>：</w:t>
            </w:r>
            <w:r>
              <w:rPr>
                <w:rFonts w:hint="eastAsia" w:cs="Times New Roman"/>
                <w:b w:val="0"/>
                <w:bCs w:val="0"/>
                <w:sz w:val="24"/>
                <w:lang w:val="en-US" w:eastAsia="zh-CN"/>
              </w:rPr>
              <w:t>聚合氯化铝（PAC）是一种无机物，一种新兴净水材料、</w:t>
            </w:r>
            <w:r>
              <w:rPr>
                <w:rFonts w:hint="eastAsia" w:cs="Times New Roman"/>
                <w:b w:val="0"/>
                <w:bCs w:val="0"/>
                <w:sz w:val="24"/>
                <w:lang w:val="en-US" w:eastAsia="zh-CN"/>
              </w:rPr>
              <w:fldChar w:fldCharType="begin"/>
            </w:r>
            <w:r>
              <w:rPr>
                <w:rFonts w:hint="eastAsia" w:cs="Times New Roman"/>
                <w:b w:val="0"/>
                <w:bCs w:val="0"/>
                <w:sz w:val="24"/>
                <w:lang w:val="en-US" w:eastAsia="zh-CN"/>
              </w:rPr>
              <w:instrText xml:space="preserve"> HYPERLINK "https://baike.baidu.com/item/%E6%97%A0%E6%9C%BA%E9%AB%98%E5%88%86%E5%AD%90/10251184?fromModule=lemma_inlink" \t "https://baike.baidu.com/_blank" </w:instrText>
            </w:r>
            <w:r>
              <w:rPr>
                <w:rFonts w:hint="eastAsia" w:cs="Times New Roman"/>
                <w:b w:val="0"/>
                <w:bCs w:val="0"/>
                <w:sz w:val="24"/>
                <w:lang w:val="en-US" w:eastAsia="zh-CN"/>
              </w:rPr>
              <w:fldChar w:fldCharType="separate"/>
            </w:r>
            <w:r>
              <w:rPr>
                <w:rFonts w:hint="eastAsia" w:cs="Times New Roman"/>
                <w:b w:val="0"/>
                <w:bCs w:val="0"/>
                <w:sz w:val="24"/>
                <w:lang w:val="en-US" w:eastAsia="zh-CN"/>
              </w:rPr>
              <w:t>无机高分子</w:t>
            </w:r>
            <w:r>
              <w:rPr>
                <w:rFonts w:hint="eastAsia" w:cs="Times New Roman"/>
                <w:b w:val="0"/>
                <w:bCs w:val="0"/>
                <w:sz w:val="24"/>
                <w:lang w:val="en-US" w:eastAsia="zh-CN"/>
              </w:rPr>
              <w:fldChar w:fldCharType="end"/>
            </w:r>
            <w:r>
              <w:rPr>
                <w:rFonts w:hint="eastAsia" w:cs="Times New Roman"/>
                <w:b w:val="0"/>
                <w:bCs w:val="0"/>
                <w:sz w:val="24"/>
                <w:lang w:val="en-US" w:eastAsia="zh-CN"/>
              </w:rPr>
              <w:t>混凝剂，简称聚铝。它是介于AlCl</w:t>
            </w:r>
            <w:r>
              <w:rPr>
                <w:rFonts w:hint="eastAsia" w:cs="Times New Roman"/>
                <w:b w:val="0"/>
                <w:bCs w:val="0"/>
                <w:sz w:val="24"/>
                <w:vertAlign w:val="subscript"/>
                <w:lang w:val="en-US" w:eastAsia="zh-CN"/>
              </w:rPr>
              <w:t>3</w:t>
            </w:r>
            <w:r>
              <w:rPr>
                <w:rFonts w:hint="eastAsia" w:cs="Times New Roman"/>
                <w:b w:val="0"/>
                <w:bCs w:val="0"/>
                <w:sz w:val="24"/>
                <w:lang w:val="en-US" w:eastAsia="zh-CN"/>
              </w:rPr>
              <w:t>和Al(OH)</w:t>
            </w:r>
            <w:r>
              <w:rPr>
                <w:rFonts w:hint="eastAsia" w:cs="Times New Roman"/>
                <w:b w:val="0"/>
                <w:bCs w:val="0"/>
                <w:sz w:val="24"/>
                <w:vertAlign w:val="subscript"/>
                <w:lang w:val="en-US" w:eastAsia="zh-CN"/>
              </w:rPr>
              <w:t>3</w:t>
            </w:r>
            <w:r>
              <w:rPr>
                <w:rFonts w:hint="eastAsia" w:cs="Times New Roman"/>
                <w:b w:val="0"/>
                <w:bCs w:val="0"/>
                <w:sz w:val="24"/>
                <w:lang w:val="en-US" w:eastAsia="zh-CN"/>
              </w:rPr>
              <w:t>之间的一种水溶性无机高分子聚合物，化学通式为[Al</w:t>
            </w:r>
            <w:r>
              <w:rPr>
                <w:rFonts w:hint="eastAsia" w:cs="Times New Roman"/>
                <w:b w:val="0"/>
                <w:bCs w:val="0"/>
                <w:sz w:val="24"/>
                <w:vertAlign w:val="subscript"/>
                <w:lang w:val="en-US" w:eastAsia="zh-CN"/>
              </w:rPr>
              <w:t>2</w:t>
            </w:r>
            <w:r>
              <w:rPr>
                <w:rFonts w:hint="eastAsia" w:cs="Times New Roman"/>
                <w:b w:val="0"/>
                <w:bCs w:val="0"/>
                <w:sz w:val="24"/>
                <w:lang w:val="en-US" w:eastAsia="zh-CN"/>
              </w:rPr>
              <w:t>(OH)nCl</w:t>
            </w:r>
            <w:r>
              <w:rPr>
                <w:rFonts w:hint="eastAsia" w:cs="Times New Roman"/>
                <w:b w:val="0"/>
                <w:bCs w:val="0"/>
                <w:sz w:val="24"/>
                <w:vertAlign w:val="subscript"/>
                <w:lang w:val="en-US" w:eastAsia="zh-CN"/>
              </w:rPr>
              <w:t>6</w:t>
            </w:r>
            <w:r>
              <w:rPr>
                <w:rFonts w:hint="eastAsia" w:cs="Times New Roman"/>
                <w:b w:val="0"/>
                <w:bCs w:val="0"/>
                <w:sz w:val="24"/>
                <w:lang w:val="en-US" w:eastAsia="zh-CN"/>
              </w:rPr>
              <w:t>-n]m，其中m代表聚合程度，n表示PAC产品的中性程度。n=1~5为具有Keggin结构的高电荷聚合环链体，对水中胶体和颗粒物具有高度电中和及桥联作用，并可强力去除微有毒物及重金属离子，性状稳定。</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val="0"/>
                <w:bCs w:val="0"/>
                <w:sz w:val="24"/>
                <w:lang w:val="en-US" w:eastAsia="zh-CN"/>
              </w:rPr>
            </w:pPr>
            <w:r>
              <w:rPr>
                <w:rFonts w:hint="default" w:ascii="Times New Roman" w:hAnsi="Times New Roman" w:cs="Times New Roman"/>
                <w:b/>
                <w:bCs/>
                <w:sz w:val="24"/>
                <w:lang w:val="en-US" w:eastAsia="zh-CN"/>
              </w:rPr>
              <w:t>乙酸钠</w:t>
            </w:r>
            <w:r>
              <w:rPr>
                <w:rFonts w:hint="eastAsia" w:cs="Times New Roman"/>
                <w:b/>
                <w:bCs/>
                <w:sz w:val="24"/>
                <w:lang w:val="en-US" w:eastAsia="zh-CN"/>
              </w:rPr>
              <w:t>：</w:t>
            </w:r>
            <w:r>
              <w:rPr>
                <w:rFonts w:hint="eastAsia" w:cs="Times New Roman"/>
                <w:b w:val="0"/>
                <w:bCs w:val="0"/>
                <w:sz w:val="24"/>
                <w:lang w:val="en-US" w:eastAsia="zh-CN"/>
              </w:rPr>
              <w:t>乙酸钠，又称醋酸钠，是一种</w:t>
            </w:r>
            <w:r>
              <w:rPr>
                <w:rFonts w:hint="eastAsia" w:cs="Times New Roman"/>
                <w:b w:val="0"/>
                <w:bCs w:val="0"/>
                <w:sz w:val="24"/>
                <w:lang w:val="en-US" w:eastAsia="zh-CN"/>
              </w:rPr>
              <w:fldChar w:fldCharType="begin"/>
            </w:r>
            <w:r>
              <w:rPr>
                <w:rFonts w:hint="eastAsia" w:cs="Times New Roman"/>
                <w:b w:val="0"/>
                <w:bCs w:val="0"/>
                <w:sz w:val="24"/>
                <w:lang w:val="en-US" w:eastAsia="zh-CN"/>
              </w:rPr>
              <w:instrText xml:space="preserve"> HYPERLINK "https://baike.baidu.com/item/%E6%9C%89%E6%9C%BA%E7%89%A9/300787?fromModule=lemma_inlink" \t "https://baike.baidu.com/_blank" </w:instrText>
            </w:r>
            <w:r>
              <w:rPr>
                <w:rFonts w:hint="eastAsia" w:cs="Times New Roman"/>
                <w:b w:val="0"/>
                <w:bCs w:val="0"/>
                <w:sz w:val="24"/>
                <w:lang w:val="en-US" w:eastAsia="zh-CN"/>
              </w:rPr>
              <w:fldChar w:fldCharType="separate"/>
            </w:r>
            <w:r>
              <w:rPr>
                <w:rFonts w:hint="eastAsia" w:cs="Times New Roman"/>
                <w:b w:val="0"/>
                <w:bCs w:val="0"/>
                <w:sz w:val="24"/>
                <w:lang w:val="en-US" w:eastAsia="zh-CN"/>
              </w:rPr>
              <w:t>有机物</w:t>
            </w:r>
            <w:r>
              <w:rPr>
                <w:rFonts w:hint="eastAsia" w:cs="Times New Roman"/>
                <w:b w:val="0"/>
                <w:bCs w:val="0"/>
                <w:sz w:val="24"/>
                <w:lang w:val="en-US" w:eastAsia="zh-CN"/>
              </w:rPr>
              <w:fldChar w:fldCharType="end"/>
            </w:r>
            <w:r>
              <w:rPr>
                <w:rFonts w:hint="eastAsia" w:cs="Times New Roman"/>
                <w:b w:val="0"/>
                <w:bCs w:val="0"/>
                <w:sz w:val="24"/>
                <w:lang w:val="en-US" w:eastAsia="zh-CN"/>
              </w:rPr>
              <w:t>，分子式为CH</w:t>
            </w:r>
            <w:r>
              <w:rPr>
                <w:rFonts w:hint="eastAsia" w:cs="Times New Roman"/>
                <w:b w:val="0"/>
                <w:bCs w:val="0"/>
                <w:sz w:val="24"/>
                <w:vertAlign w:val="subscript"/>
                <w:lang w:val="en-US" w:eastAsia="zh-CN"/>
              </w:rPr>
              <w:t>3</w:t>
            </w:r>
            <w:r>
              <w:rPr>
                <w:rFonts w:hint="eastAsia" w:cs="Times New Roman"/>
                <w:b w:val="0"/>
                <w:bCs w:val="0"/>
                <w:sz w:val="24"/>
                <w:lang w:val="en-US" w:eastAsia="zh-CN"/>
              </w:rPr>
              <w:t>COONa，分子量为82.03。三水合物乙酸钠性状为白色结晶体，相对密度1.45，熔点为58℃，在干燥空气中风化，在120℃时失去结晶水，温度再高时分解；无水乙酸钠为无色透明结晶体，熔点324℃。易溶于水。</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次氯酸钠</w:t>
            </w:r>
            <w:r>
              <w:rPr>
                <w:rFonts w:hint="eastAsia" w:cs="Times New Roman"/>
                <w:b/>
                <w:bCs/>
                <w:sz w:val="24"/>
                <w:lang w:val="en-US" w:eastAsia="zh-CN"/>
              </w:rPr>
              <w:t>：</w:t>
            </w:r>
            <w:r>
              <w:rPr>
                <w:rFonts w:hint="eastAsia" w:cs="Times New Roman"/>
                <w:b w:val="0"/>
                <w:bCs w:val="0"/>
                <w:sz w:val="24"/>
                <w:lang w:val="en-US" w:eastAsia="zh-CN"/>
              </w:rPr>
              <w:t>次氯酸钠，是一种</w:t>
            </w:r>
            <w:r>
              <w:rPr>
                <w:rFonts w:hint="eastAsia" w:cs="Times New Roman"/>
                <w:b w:val="0"/>
                <w:bCs w:val="0"/>
                <w:sz w:val="24"/>
                <w:lang w:val="en-US" w:eastAsia="zh-CN"/>
              </w:rPr>
              <w:fldChar w:fldCharType="begin"/>
            </w:r>
            <w:r>
              <w:rPr>
                <w:rFonts w:hint="eastAsia" w:cs="Times New Roman"/>
                <w:b w:val="0"/>
                <w:bCs w:val="0"/>
                <w:sz w:val="24"/>
                <w:lang w:val="en-US" w:eastAsia="zh-CN"/>
              </w:rPr>
              <w:instrText xml:space="preserve"> HYPERLINK "https://baike.baidu.com/item/%E6%97%A0%E6%9C%BA%E5%8C%96%E5%90%88%E7%89%A9/10716655?fromModule=lemma_inlink" \t "https://baike.baidu.com/item/%E6%AC%A1%E6%B0%AF%E9%85%B8%E9%92%A0/_blank" </w:instrText>
            </w:r>
            <w:r>
              <w:rPr>
                <w:rFonts w:hint="eastAsia" w:cs="Times New Roman"/>
                <w:b w:val="0"/>
                <w:bCs w:val="0"/>
                <w:sz w:val="24"/>
                <w:lang w:val="en-US" w:eastAsia="zh-CN"/>
              </w:rPr>
              <w:fldChar w:fldCharType="separate"/>
            </w:r>
            <w:r>
              <w:rPr>
                <w:rFonts w:hint="eastAsia" w:cs="Times New Roman"/>
                <w:b w:val="0"/>
                <w:bCs w:val="0"/>
                <w:sz w:val="24"/>
                <w:lang w:val="en-US" w:eastAsia="zh-CN"/>
              </w:rPr>
              <w:t>无机化合物</w:t>
            </w:r>
            <w:r>
              <w:rPr>
                <w:rFonts w:hint="eastAsia" w:cs="Times New Roman"/>
                <w:b w:val="0"/>
                <w:bCs w:val="0"/>
                <w:sz w:val="24"/>
                <w:lang w:val="en-US" w:eastAsia="zh-CN"/>
              </w:rPr>
              <w:fldChar w:fldCharType="end"/>
            </w:r>
            <w:r>
              <w:rPr>
                <w:rFonts w:hint="eastAsia" w:cs="Times New Roman"/>
                <w:b w:val="0"/>
                <w:bCs w:val="0"/>
                <w:sz w:val="24"/>
                <w:lang w:val="en-US" w:eastAsia="zh-CN"/>
              </w:rPr>
              <w:t>，化学式为NaClO，是一种</w:t>
            </w:r>
            <w:r>
              <w:rPr>
                <w:rFonts w:hint="eastAsia" w:cs="Times New Roman"/>
                <w:b w:val="0"/>
                <w:bCs w:val="0"/>
                <w:sz w:val="24"/>
                <w:lang w:val="en-US" w:eastAsia="zh-CN"/>
              </w:rPr>
              <w:fldChar w:fldCharType="begin"/>
            </w:r>
            <w:r>
              <w:rPr>
                <w:rFonts w:hint="eastAsia" w:cs="Times New Roman"/>
                <w:b w:val="0"/>
                <w:bCs w:val="0"/>
                <w:sz w:val="24"/>
                <w:lang w:val="en-US" w:eastAsia="zh-CN"/>
              </w:rPr>
              <w:instrText xml:space="preserve"> HYPERLINK "https://baike.baidu.com/item/%E6%AC%A1%E6%B0%AF%E9%85%B8%E7%9B%90/6289780?fromModule=lemma_inlink" \t "https://baike.baidu.com/item/%E6%AC%A1%E6%B0%AF%E9%85%B8%E9%92%A0/_blank" </w:instrText>
            </w:r>
            <w:r>
              <w:rPr>
                <w:rFonts w:hint="eastAsia" w:cs="Times New Roman"/>
                <w:b w:val="0"/>
                <w:bCs w:val="0"/>
                <w:sz w:val="24"/>
                <w:lang w:val="en-US" w:eastAsia="zh-CN"/>
              </w:rPr>
              <w:fldChar w:fldCharType="separate"/>
            </w:r>
            <w:r>
              <w:rPr>
                <w:rFonts w:hint="eastAsia" w:cs="Times New Roman"/>
                <w:b w:val="0"/>
                <w:bCs w:val="0"/>
                <w:sz w:val="24"/>
                <w:lang w:val="en-US" w:eastAsia="zh-CN"/>
              </w:rPr>
              <w:t>次氯酸盐</w:t>
            </w:r>
            <w:r>
              <w:rPr>
                <w:rFonts w:hint="eastAsia" w:cs="Times New Roman"/>
                <w:b w:val="0"/>
                <w:bCs w:val="0"/>
                <w:sz w:val="24"/>
                <w:lang w:val="en-US" w:eastAsia="zh-CN"/>
              </w:rPr>
              <w:fldChar w:fldCharType="end"/>
            </w:r>
            <w:r>
              <w:rPr>
                <w:rFonts w:hint="eastAsia" w:cs="Times New Roman"/>
                <w:b w:val="0"/>
                <w:bCs w:val="0"/>
                <w:sz w:val="24"/>
                <w:lang w:val="en-US" w:eastAsia="zh-CN"/>
              </w:rPr>
              <w:t>，是最普通的家庭洗涤中的氯</w:t>
            </w:r>
            <w:r>
              <w:rPr>
                <w:rFonts w:hint="eastAsia" w:cs="Times New Roman"/>
                <w:b w:val="0"/>
                <w:bCs w:val="0"/>
                <w:sz w:val="24"/>
                <w:lang w:val="en-US" w:eastAsia="zh-CN"/>
              </w:rPr>
              <w:fldChar w:fldCharType="begin"/>
            </w:r>
            <w:r>
              <w:rPr>
                <w:rFonts w:hint="eastAsia" w:cs="Times New Roman"/>
                <w:b w:val="0"/>
                <w:bCs w:val="0"/>
                <w:sz w:val="24"/>
                <w:lang w:val="en-US" w:eastAsia="zh-CN"/>
              </w:rPr>
              <w:instrText xml:space="preserve"> HYPERLINK "https://baike.baidu.com/item/%E6%BC%82%E7%99%BD%E5%89%82/2531107?fromModule=lemma_inlink" \t "https://baike.baidu.com/item/%E6%AC%A1%E6%B0%AF%E9%85%B8%E9%92%A0/_blank" </w:instrText>
            </w:r>
            <w:r>
              <w:rPr>
                <w:rFonts w:hint="eastAsia" w:cs="Times New Roman"/>
                <w:b w:val="0"/>
                <w:bCs w:val="0"/>
                <w:sz w:val="24"/>
                <w:lang w:val="en-US" w:eastAsia="zh-CN"/>
              </w:rPr>
              <w:fldChar w:fldCharType="separate"/>
            </w:r>
            <w:r>
              <w:rPr>
                <w:rFonts w:hint="eastAsia" w:cs="Times New Roman"/>
                <w:b w:val="0"/>
                <w:bCs w:val="0"/>
                <w:sz w:val="24"/>
                <w:lang w:val="en-US" w:eastAsia="zh-CN"/>
              </w:rPr>
              <w:t>漂白剂</w:t>
            </w:r>
            <w:r>
              <w:rPr>
                <w:rFonts w:hint="eastAsia" w:cs="Times New Roman"/>
                <w:b w:val="0"/>
                <w:bCs w:val="0"/>
                <w:sz w:val="24"/>
                <w:lang w:val="en-US" w:eastAsia="zh-CN"/>
              </w:rPr>
              <w:fldChar w:fldCharType="end"/>
            </w:r>
            <w:r>
              <w:rPr>
                <w:rFonts w:hint="eastAsia" w:cs="Times New Roman"/>
                <w:b w:val="0"/>
                <w:bCs w:val="0"/>
                <w:sz w:val="24"/>
                <w:lang w:val="en-US" w:eastAsia="zh-CN"/>
              </w:rPr>
              <w:t>。为白色结晶性粉末，可溶于水；是强碱弱酸盐，溶液显碱性；</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val="0"/>
                <w:bCs w:val="0"/>
                <w:sz w:val="24"/>
                <w:lang w:val="en-US" w:eastAsia="zh-CN"/>
              </w:rPr>
            </w:pPr>
            <w:r>
              <w:rPr>
                <w:rFonts w:hint="default" w:ascii="Times New Roman" w:hAnsi="Times New Roman" w:cs="Times New Roman"/>
                <w:b/>
                <w:bCs/>
                <w:sz w:val="24"/>
                <w:lang w:val="en-US" w:eastAsia="zh-CN"/>
              </w:rPr>
              <w:t>PAM</w:t>
            </w:r>
            <w:r>
              <w:rPr>
                <w:rFonts w:hint="eastAsia" w:cs="Times New Roman"/>
                <w:b/>
                <w:bCs/>
                <w:sz w:val="24"/>
                <w:lang w:val="en-US" w:eastAsia="zh-CN"/>
              </w:rPr>
              <w:t>：</w:t>
            </w:r>
            <w:r>
              <w:rPr>
                <w:rFonts w:hint="eastAsia" w:cs="Times New Roman"/>
                <w:b w:val="0"/>
                <w:bCs w:val="0"/>
                <w:sz w:val="24"/>
                <w:lang w:val="en-US" w:eastAsia="zh-CN"/>
              </w:rPr>
              <w:t>聚丙烯酰胺（PAM）是一种线型高分子</w:t>
            </w:r>
            <w:r>
              <w:rPr>
                <w:rFonts w:hint="eastAsia" w:cs="Times New Roman"/>
                <w:b w:val="0"/>
                <w:bCs w:val="0"/>
                <w:sz w:val="24"/>
                <w:lang w:val="en-US" w:eastAsia="zh-CN"/>
              </w:rPr>
              <w:fldChar w:fldCharType="begin"/>
            </w:r>
            <w:r>
              <w:rPr>
                <w:rFonts w:hint="eastAsia" w:cs="Times New Roman"/>
                <w:b w:val="0"/>
                <w:bCs w:val="0"/>
                <w:sz w:val="24"/>
                <w:lang w:val="en-US" w:eastAsia="zh-CN"/>
              </w:rPr>
              <w:instrText xml:space="preserve"> HYPERLINK "https://baike.baidu.com/item/%E8%81%9A%E5%90%88%E7%89%A9/6252844?fromModule=lemma_inlink" \t "https://baike.baidu.com/item/%E8%81%9A%E4%B8%99%E7%83%AF%E9%85%B0%E8%83%BA/_blank" </w:instrText>
            </w:r>
            <w:r>
              <w:rPr>
                <w:rFonts w:hint="eastAsia" w:cs="Times New Roman"/>
                <w:b w:val="0"/>
                <w:bCs w:val="0"/>
                <w:sz w:val="24"/>
                <w:lang w:val="en-US" w:eastAsia="zh-CN"/>
              </w:rPr>
              <w:fldChar w:fldCharType="separate"/>
            </w:r>
            <w:r>
              <w:rPr>
                <w:rFonts w:hint="eastAsia" w:cs="Times New Roman"/>
                <w:b w:val="0"/>
                <w:bCs w:val="0"/>
                <w:sz w:val="24"/>
                <w:lang w:val="en-US" w:eastAsia="zh-CN"/>
              </w:rPr>
              <w:t>聚合物</w:t>
            </w:r>
            <w:r>
              <w:rPr>
                <w:rFonts w:hint="eastAsia" w:cs="Times New Roman"/>
                <w:b w:val="0"/>
                <w:bCs w:val="0"/>
                <w:sz w:val="24"/>
                <w:lang w:val="en-US" w:eastAsia="zh-CN"/>
              </w:rPr>
              <w:fldChar w:fldCharType="end"/>
            </w:r>
            <w:r>
              <w:rPr>
                <w:rFonts w:hint="eastAsia" w:cs="Times New Roman"/>
                <w:b w:val="0"/>
                <w:bCs w:val="0"/>
                <w:sz w:val="24"/>
                <w:lang w:val="en-US" w:eastAsia="zh-CN"/>
              </w:rPr>
              <w:t>，化学式为(C3H5NO)n。在常温下为坚硬的玻璃态固体，产品有胶液、胶乳和白色粉粒、半透明珠粒和薄片等。热稳定性良好。能以任意比例溶于水，水溶液为均匀透明的液体。长期存放后会因聚合物缓慢的降解而使溶液粘度下降，特别是在贮运条件较差时更为明显。聚丙烯酰胺为白色粉末或者小颗粒状物，密度为1.302g/cm</w:t>
            </w:r>
            <w:r>
              <w:rPr>
                <w:rFonts w:hint="eastAsia" w:cs="Times New Roman"/>
                <w:b w:val="0"/>
                <w:bCs w:val="0"/>
                <w:sz w:val="24"/>
                <w:vertAlign w:val="superscript"/>
                <w:lang w:val="en-US" w:eastAsia="zh-CN"/>
              </w:rPr>
              <w:t>3</w:t>
            </w:r>
            <w:r>
              <w:rPr>
                <w:rFonts w:hint="eastAsia" w:cs="Times New Roman"/>
                <w:b w:val="0"/>
                <w:bCs w:val="0"/>
                <w:sz w:val="24"/>
                <w:lang w:val="en-US" w:eastAsia="zh-CN"/>
              </w:rPr>
              <w:t>（23℃），玻璃化温度为153℃，软化温度210℃，一般方法干燥时含有少量的水，干时又会很快从环境中吸取水分，用冷冻干燥法分离的均聚物是白色松软的非结晶固体，但是当从溶液中沉淀并干燥后则为玻璃状部分透明的固体，完全干燥的聚丙烯酰胺PAM是脆性的白色固体，商品聚丙烯酰胺通常是在适度的条件下干燥的，一般含水量为5%~15%，浇铸在玻璃板上制备的高分子膜，则是透明、坚硬、易碎的固体。</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lang w:val="en-US" w:eastAsia="zh-CN"/>
              </w:rPr>
              <w:t>10</w:t>
            </w:r>
            <w:r>
              <w:rPr>
                <w:rFonts w:hint="default" w:ascii="Times New Roman" w:hAnsi="Times New Roman" w:cs="Times New Roman"/>
                <w:b/>
                <w:bCs/>
                <w:sz w:val="24"/>
              </w:rPr>
              <w:t>、公用工程</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（1）供电</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本项目</w:t>
            </w:r>
            <w:r>
              <w:rPr>
                <w:rFonts w:hint="default" w:ascii="Times New Roman" w:hAnsi="Times New Roman" w:cs="Times New Roman"/>
                <w:sz w:val="24"/>
                <w:lang w:val="en-US" w:eastAsia="zh-CN"/>
              </w:rPr>
              <w:t>采用双回路供电系统。全厂用电设备均为低压，配电电压为380V/220V，其380V双回路电源引自附近10kv变电所。厂区设计干式变压器2台，承担全厂的生产和生活用电，干式变压器选用2台SCB13-250KVA干式变压器。</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（2）供热</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w:t>
            </w:r>
            <w:r>
              <w:rPr>
                <w:rFonts w:hint="eastAsia" w:cs="Times New Roman"/>
                <w:sz w:val="24"/>
                <w:lang w:val="en-US" w:eastAsia="zh-CN"/>
              </w:rPr>
              <w:t>项目</w:t>
            </w:r>
            <w:r>
              <w:rPr>
                <w:rFonts w:hint="default" w:ascii="Times New Roman" w:hAnsi="Times New Roman" w:cs="Times New Roman"/>
                <w:sz w:val="24"/>
                <w:lang w:val="en-US" w:eastAsia="zh-CN"/>
              </w:rPr>
              <w:t>采用空气能采暖</w:t>
            </w:r>
            <w:r>
              <w:rPr>
                <w:rFonts w:hint="eastAsia" w:cs="Times New Roman"/>
                <w:sz w:val="24"/>
                <w:lang w:val="en-US" w:eastAsia="zh-CN"/>
              </w:rPr>
              <w:t>装置</w:t>
            </w:r>
            <w:r>
              <w:rPr>
                <w:rFonts w:hint="default" w:ascii="Times New Roman" w:hAnsi="Times New Roman" w:cs="Times New Roman"/>
                <w:sz w:val="24"/>
                <w:lang w:val="en-US" w:eastAsia="zh-CN"/>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lang w:val="en-US" w:eastAsia="zh-CN"/>
              </w:rPr>
            </w:pPr>
            <w:r>
              <w:rPr>
                <w:rFonts w:hint="eastAsia" w:cs="Times New Roman"/>
                <w:sz w:val="24"/>
                <w:lang w:val="en-US" w:eastAsia="zh-CN"/>
              </w:rPr>
              <w:t>本项目采暖面积总计约1161.91m</w:t>
            </w:r>
            <w:r>
              <w:rPr>
                <w:rFonts w:hint="eastAsia" w:cs="Times New Roman"/>
                <w:sz w:val="24"/>
                <w:vertAlign w:val="superscript"/>
                <w:lang w:val="en-US" w:eastAsia="zh-CN"/>
              </w:rPr>
              <w:t>2</w:t>
            </w:r>
            <w:r>
              <w:rPr>
                <w:rFonts w:hint="eastAsia" w:cs="Times New Roman"/>
                <w:sz w:val="24"/>
                <w:lang w:val="en-US" w:eastAsia="zh-CN"/>
              </w:rPr>
              <w:t>，建筑物采暖负荷以70W/m</w:t>
            </w:r>
            <w:r>
              <w:rPr>
                <w:rFonts w:hint="eastAsia" w:cs="Times New Roman"/>
                <w:sz w:val="24"/>
                <w:vertAlign w:val="superscript"/>
                <w:lang w:val="en-US" w:eastAsia="zh-CN"/>
              </w:rPr>
              <w:t>2</w:t>
            </w:r>
            <w:r>
              <w:rPr>
                <w:rFonts w:hint="eastAsia" w:cs="Times New Roman"/>
                <w:sz w:val="24"/>
                <w:lang w:val="en-US" w:eastAsia="zh-CN"/>
              </w:rPr>
              <w:t>计，则本项目采暖负荷总计约81.33kW，本项目选用1台制热量为124kW的空气能采暖装置，可以满足供暖需求。</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3）供水</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val="en-US" w:eastAsia="zh-CN"/>
              </w:rPr>
              <w:t>供水水源来自市政自来水，自来水管网引入一条DN100给水管，主要用于工作人员的生活饮用水。全厂职工12人，每人每天用水量为70L。</w:t>
            </w:r>
            <w:r>
              <w:rPr>
                <w:rFonts w:hint="default" w:ascii="Times New Roman" w:hAnsi="Times New Roman" w:cs="Times New Roman"/>
                <w:sz w:val="24"/>
              </w:rPr>
              <w:t>则生活用水量为</w:t>
            </w:r>
            <w:r>
              <w:rPr>
                <w:rFonts w:hint="default" w:ascii="Times New Roman" w:hAnsi="Times New Roman" w:cs="Times New Roman"/>
                <w:sz w:val="24"/>
                <w:lang w:val="en-US" w:eastAsia="zh-CN"/>
              </w:rPr>
              <w:t>0.84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default" w:ascii="Times New Roman" w:hAnsi="Times New Roman" w:cs="Times New Roman"/>
                <w:bCs/>
                <w:sz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生产用水：</w:t>
            </w:r>
            <w:r>
              <w:rPr>
                <w:rFonts w:hint="eastAsia" w:hAnsi="宋体"/>
                <w:color w:val="auto"/>
                <w:sz w:val="24"/>
              </w:rPr>
              <w:t>生产用水主要是加药装置药剂配置用水</w:t>
            </w:r>
            <w:r>
              <w:rPr>
                <w:rFonts w:hint="eastAsia" w:hAnsi="宋体"/>
                <w:color w:val="auto"/>
                <w:sz w:val="24"/>
                <w:lang w:eastAsia="zh-CN"/>
              </w:rPr>
              <w:t>，</w:t>
            </w:r>
            <w:r>
              <w:rPr>
                <w:rFonts w:hint="eastAsia" w:hAnsi="宋体"/>
                <w:color w:val="auto"/>
                <w:sz w:val="24"/>
              </w:rPr>
              <w:t>药剂配置用水包括</w:t>
            </w:r>
            <w:r>
              <w:rPr>
                <w:rFonts w:hint="eastAsia" w:hAnsi="宋体"/>
                <w:color w:val="auto"/>
                <w:sz w:val="24"/>
                <w:lang w:val="en-US" w:eastAsia="zh-CN"/>
              </w:rPr>
              <w:t>乙</w:t>
            </w:r>
            <w:r>
              <w:rPr>
                <w:rFonts w:hint="eastAsia" w:hAnsi="宋体"/>
                <w:color w:val="auto"/>
                <w:sz w:val="24"/>
              </w:rPr>
              <w:t>酸钠、除磷剂、P</w:t>
            </w:r>
            <w:r>
              <w:rPr>
                <w:rFonts w:hAnsi="宋体"/>
                <w:color w:val="auto"/>
                <w:sz w:val="24"/>
              </w:rPr>
              <w:t>AM</w:t>
            </w:r>
            <w:r>
              <w:rPr>
                <w:rFonts w:hint="eastAsia" w:hAnsi="宋体"/>
                <w:color w:val="auto"/>
                <w:sz w:val="24"/>
                <w:lang w:eastAsia="zh-CN"/>
              </w:rPr>
              <w:t>、</w:t>
            </w:r>
            <w:r>
              <w:rPr>
                <w:rFonts w:hint="eastAsia" w:hAnsi="宋体"/>
                <w:color w:val="auto"/>
                <w:sz w:val="24"/>
                <w:lang w:val="en-US" w:eastAsia="zh-CN"/>
              </w:rPr>
              <w:t>PAC</w:t>
            </w:r>
            <w:r>
              <w:rPr>
                <w:rFonts w:hint="eastAsia" w:hAnsi="宋体"/>
                <w:color w:val="auto"/>
                <w:sz w:val="24"/>
              </w:rPr>
              <w:t>的用水，最大用水量约为</w:t>
            </w:r>
            <w:r>
              <w:rPr>
                <w:rFonts w:hint="eastAsia" w:hAnsi="宋体"/>
                <w:color w:val="auto"/>
                <w:sz w:val="24"/>
                <w:lang w:val="en-US" w:eastAsia="zh-CN"/>
              </w:rPr>
              <w:t>1.707</w:t>
            </w:r>
            <w:r>
              <w:rPr>
                <w:rFonts w:hint="eastAsia" w:hAnsi="宋体"/>
                <w:color w:val="auto"/>
                <w:sz w:val="24"/>
              </w:rPr>
              <w:t>m</w:t>
            </w:r>
            <w:r>
              <w:rPr>
                <w:rFonts w:hAnsi="宋体"/>
                <w:color w:val="auto"/>
                <w:sz w:val="24"/>
                <w:vertAlign w:val="superscript"/>
              </w:rPr>
              <w:t>3</w:t>
            </w:r>
            <w:r>
              <w:rPr>
                <w:rFonts w:hint="eastAsia" w:hAnsi="宋体"/>
                <w:color w:val="auto"/>
                <w:sz w:val="24"/>
              </w:rPr>
              <w:t>/d</w:t>
            </w:r>
            <w:r>
              <w:rPr>
                <w:rFonts w:hint="eastAsia" w:hAnsi="宋体"/>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
                <w:bCs/>
                <w:color w:val="auto"/>
                <w:sz w:val="24"/>
              </w:rPr>
            </w:pPr>
            <w:r>
              <w:rPr>
                <w:rFonts w:hint="default" w:ascii="Times New Roman" w:hAnsi="Times New Roman" w:cs="Times New Roman"/>
                <w:bCs/>
                <w:sz w:val="24"/>
              </w:rPr>
              <w:t>道路和绿化用水：厂内道路及场地硬化面积</w:t>
            </w:r>
            <w:r>
              <w:rPr>
                <w:rFonts w:hint="default" w:ascii="Times New Roman" w:hAnsi="Times New Roman" w:cs="Times New Roman"/>
                <w:bCs/>
                <w:sz w:val="24"/>
                <w:lang w:val="en-US" w:eastAsia="zh-CN"/>
              </w:rPr>
              <w:t>2000</w:t>
            </w:r>
            <w:r>
              <w:rPr>
                <w:rFonts w:hint="default" w:ascii="Times New Roman" w:hAnsi="Times New Roman" w:cs="Times New Roman"/>
                <w:bCs/>
                <w:sz w:val="24"/>
              </w:rPr>
              <w:t>m</w:t>
            </w:r>
            <w:r>
              <w:rPr>
                <w:rFonts w:hint="default" w:ascii="Times New Roman" w:hAnsi="Times New Roman" w:cs="Times New Roman"/>
                <w:bCs/>
                <w:sz w:val="24"/>
                <w:vertAlign w:val="superscript"/>
              </w:rPr>
              <w:t>2</w:t>
            </w:r>
            <w:r>
              <w:rPr>
                <w:rFonts w:hint="default" w:ascii="Times New Roman" w:hAnsi="Times New Roman" w:cs="Times New Roman"/>
                <w:bCs/>
                <w:sz w:val="24"/>
              </w:rPr>
              <w:t>，用水量按1.5L/m</w:t>
            </w:r>
            <w:r>
              <w:rPr>
                <w:rFonts w:hint="default" w:ascii="Times New Roman" w:hAnsi="Times New Roman" w:cs="Times New Roman"/>
                <w:bCs/>
                <w:sz w:val="24"/>
                <w:vertAlign w:val="superscript"/>
              </w:rPr>
              <w:t>2</w:t>
            </w:r>
            <w:r>
              <w:rPr>
                <w:rFonts w:hint="default" w:ascii="Times New Roman" w:hAnsi="Times New Roman" w:cs="Times New Roman"/>
                <w:bCs/>
                <w:sz w:val="24"/>
                <w:lang w:val="en-US" w:eastAsia="zh-CN"/>
              </w:rPr>
              <w:t>·</w:t>
            </w:r>
            <w:r>
              <w:rPr>
                <w:rFonts w:hint="default" w:ascii="Times New Roman" w:hAnsi="Times New Roman" w:cs="Times New Roman"/>
                <w:bCs/>
                <w:sz w:val="24"/>
              </w:rPr>
              <w:t>d计，则用水量约为</w:t>
            </w:r>
            <w:r>
              <w:rPr>
                <w:rFonts w:hint="default" w:ascii="Times New Roman" w:hAnsi="Times New Roman" w:cs="Times New Roman"/>
                <w:bCs/>
                <w:sz w:val="24"/>
                <w:lang w:val="en-US" w:eastAsia="zh-CN"/>
              </w:rPr>
              <w:t>3</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default" w:ascii="Times New Roman" w:hAnsi="Times New Roman" w:cs="Times New Roman"/>
                <w:bCs/>
                <w:sz w:val="24"/>
              </w:rPr>
              <w:t>。</w:t>
            </w:r>
            <w:r>
              <w:rPr>
                <w:rFonts w:hint="default" w:ascii="Times New Roman" w:hAnsi="Times New Roman" w:cs="Times New Roman"/>
                <w:sz w:val="24"/>
              </w:rPr>
              <w:t>厂内绿化面积为</w:t>
            </w:r>
            <w:r>
              <w:rPr>
                <w:rFonts w:hint="default" w:ascii="Times New Roman" w:hAnsi="Times New Roman" w:cs="Times New Roman"/>
                <w:sz w:val="24"/>
                <w:lang w:val="en-US" w:eastAsia="zh-CN"/>
              </w:rPr>
              <w:t>2700</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sz w:val="24"/>
              </w:rPr>
              <w:t>，</w:t>
            </w:r>
            <w:r>
              <w:rPr>
                <w:rFonts w:hint="default" w:ascii="Times New Roman" w:hAnsi="Times New Roman" w:cs="Times New Roman"/>
                <w:bCs/>
                <w:sz w:val="24"/>
              </w:rPr>
              <w:t>绿化用水按0.28m</w:t>
            </w:r>
            <w:r>
              <w:rPr>
                <w:rFonts w:hint="default" w:ascii="Times New Roman" w:hAnsi="Times New Roman" w:cs="Times New Roman"/>
                <w:bCs/>
                <w:sz w:val="24"/>
                <w:vertAlign w:val="superscript"/>
              </w:rPr>
              <w:t>3</w:t>
            </w:r>
            <w:r>
              <w:rPr>
                <w:rFonts w:hint="default" w:ascii="Times New Roman" w:hAnsi="Times New Roman" w:cs="Times New Roman"/>
                <w:bCs/>
                <w:sz w:val="24"/>
              </w:rPr>
              <w:t>/m</w:t>
            </w:r>
            <w:r>
              <w:rPr>
                <w:rFonts w:hint="default" w:ascii="Times New Roman" w:hAnsi="Times New Roman" w:cs="Times New Roman"/>
                <w:bCs/>
                <w:sz w:val="24"/>
                <w:vertAlign w:val="superscript"/>
              </w:rPr>
              <w:t>2</w:t>
            </w:r>
            <w:r>
              <w:rPr>
                <w:rFonts w:hint="default" w:ascii="Times New Roman" w:hAnsi="Times New Roman" w:cs="Times New Roman"/>
                <w:bCs/>
                <w:sz w:val="24"/>
              </w:rPr>
              <w:t>·a计，则绿化用水量约为</w:t>
            </w:r>
            <w:r>
              <w:rPr>
                <w:rFonts w:hint="default" w:ascii="Times New Roman" w:hAnsi="Times New Roman" w:cs="Times New Roman"/>
                <w:bCs/>
                <w:sz w:val="24"/>
                <w:lang w:val="en-US" w:eastAsia="zh-CN"/>
              </w:rPr>
              <w:t>3.5</w:t>
            </w:r>
            <w:r>
              <w:rPr>
                <w:rFonts w:hint="default" w:ascii="Times New Roman" w:hAnsi="Times New Roman" w:cs="Times New Roman"/>
                <w:bCs/>
                <w:sz w:val="24"/>
              </w:rPr>
              <w:t>m</w:t>
            </w:r>
            <w:r>
              <w:rPr>
                <w:rFonts w:hint="default" w:ascii="Times New Roman" w:hAnsi="Times New Roman" w:cs="Times New Roman"/>
                <w:bCs/>
                <w:sz w:val="24"/>
                <w:vertAlign w:val="superscript"/>
              </w:rPr>
              <w:t>3</w:t>
            </w:r>
            <w:r>
              <w:rPr>
                <w:rFonts w:hint="default" w:ascii="Times New Roman" w:hAnsi="Times New Roman" w:cs="Times New Roman"/>
                <w:bCs/>
                <w:sz w:val="24"/>
              </w:rPr>
              <w:t>/d。</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4</w:t>
            </w:r>
            <w:r>
              <w:rPr>
                <w:rFonts w:hint="default" w:ascii="Times New Roman" w:hAnsi="Times New Roman" w:cs="Times New Roman"/>
                <w:b/>
                <w:bCs/>
                <w:sz w:val="24"/>
              </w:rPr>
              <w:t>）排水</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sz w:val="24"/>
              </w:rPr>
            </w:pPr>
            <w:r>
              <w:rPr>
                <w:rFonts w:hint="default" w:ascii="Times New Roman" w:hAnsi="Times New Roman" w:cs="Times New Roman"/>
                <w:bCs/>
                <w:sz w:val="24"/>
              </w:rPr>
              <w:t>生活污水产生量按照生活用水80%考虑，生活污水产生量为</w:t>
            </w:r>
            <w:r>
              <w:rPr>
                <w:rFonts w:hint="default" w:ascii="Times New Roman" w:hAnsi="Times New Roman" w:cs="Times New Roman"/>
                <w:bCs/>
                <w:sz w:val="24"/>
                <w:lang w:val="en-US" w:eastAsia="zh-CN"/>
              </w:rPr>
              <w:t>0.67</w:t>
            </w:r>
            <w:r>
              <w:rPr>
                <w:rFonts w:hint="eastAsia" w:ascii="Times New Roman" w:hAnsi="Times New Roman" w:cs="Times New Roman"/>
                <w:bCs/>
                <w:sz w:val="24"/>
                <w:lang w:val="en-US" w:eastAsia="zh-CN"/>
              </w:rPr>
              <w:t>2</w:t>
            </w:r>
            <w:r>
              <w:rPr>
                <w:rFonts w:hint="default" w:ascii="Times New Roman" w:hAnsi="Times New Roman" w:cs="Times New Roman"/>
                <w:bCs/>
                <w:sz w:val="24"/>
              </w:rPr>
              <w:t>m</w:t>
            </w:r>
            <w:r>
              <w:rPr>
                <w:rFonts w:hint="default" w:ascii="Times New Roman" w:hAnsi="Times New Roman" w:cs="Times New Roman"/>
                <w:bCs/>
                <w:sz w:val="24"/>
                <w:vertAlign w:val="superscript"/>
              </w:rPr>
              <w:t>3</w:t>
            </w:r>
            <w:r>
              <w:rPr>
                <w:rFonts w:hint="default" w:ascii="Times New Roman" w:hAnsi="Times New Roman" w:cs="Times New Roman"/>
                <w:bCs/>
                <w:sz w:val="24"/>
              </w:rPr>
              <w:t>/d，生活污水经化粪池处理后，排入粗格栅进入污水处理系统不外排。</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sz w:val="24"/>
                <w:lang w:eastAsia="zh-CN"/>
              </w:rPr>
            </w:pPr>
            <w:r>
              <w:rPr>
                <w:rFonts w:hint="default" w:ascii="Times New Roman" w:hAnsi="Times New Roman" w:cs="Times New Roman"/>
                <w:bCs/>
                <w:sz w:val="24"/>
              </w:rPr>
              <w:t>污水厂运行过程中用水量见</w:t>
            </w:r>
            <w:r>
              <w:rPr>
                <w:rFonts w:hint="eastAsia" w:ascii="Times New Roman" w:hAnsi="Times New Roman" w:cs="Times New Roman"/>
                <w:bCs/>
                <w:sz w:val="24"/>
                <w:lang w:val="en-US" w:eastAsia="zh-CN"/>
              </w:rPr>
              <w:t>下</w:t>
            </w:r>
            <w:r>
              <w:rPr>
                <w:rFonts w:hint="default" w:ascii="Times New Roman" w:hAnsi="Times New Roman" w:cs="Times New Roman"/>
                <w:bCs/>
                <w:sz w:val="24"/>
              </w:rPr>
              <w:t>表</w:t>
            </w:r>
            <w:r>
              <w:rPr>
                <w:rFonts w:hint="eastAsia" w:ascii="Times New Roman" w:hAnsi="Times New Roman" w:cs="Times New Roman"/>
                <w:bCs/>
                <w:sz w:val="24"/>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表2-17  污水厂运营时全厂用排水量一览表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997"/>
              <w:gridCol w:w="1021"/>
              <w:gridCol w:w="1695"/>
              <w:gridCol w:w="1464"/>
              <w:gridCol w:w="1621"/>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序号</w:t>
                  </w:r>
                </w:p>
              </w:tc>
              <w:tc>
                <w:tcPr>
                  <w:tcW w:w="565"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用水项目</w:t>
                  </w:r>
                </w:p>
              </w:tc>
              <w:tc>
                <w:tcPr>
                  <w:tcW w:w="579"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人数/用量</w:t>
                  </w:r>
                </w:p>
              </w:tc>
              <w:tc>
                <w:tcPr>
                  <w:tcW w:w="958"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标准</w:t>
                  </w:r>
                </w:p>
              </w:tc>
              <w:tc>
                <w:tcPr>
                  <w:tcW w:w="830"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用水量</w:t>
                  </w:r>
                </w:p>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（m</w:t>
                  </w:r>
                  <w:r>
                    <w:rPr>
                      <w:rFonts w:hint="default" w:ascii="Times New Roman" w:hAnsi="Times New Roman" w:cs="Times New Roman"/>
                      <w:bCs/>
                      <w:kern w:val="0"/>
                      <w:sz w:val="21"/>
                      <w:szCs w:val="21"/>
                      <w:vertAlign w:val="superscript"/>
                    </w:rPr>
                    <w:t>3</w:t>
                  </w:r>
                  <w:r>
                    <w:rPr>
                      <w:rFonts w:hint="default" w:ascii="Times New Roman" w:hAnsi="Times New Roman" w:cs="Times New Roman"/>
                      <w:bCs/>
                      <w:kern w:val="0"/>
                      <w:sz w:val="21"/>
                      <w:szCs w:val="21"/>
                    </w:rPr>
                    <w:t>/d）</w:t>
                  </w:r>
                </w:p>
              </w:tc>
              <w:tc>
                <w:tcPr>
                  <w:tcW w:w="919"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排水量（m</w:t>
                  </w:r>
                  <w:r>
                    <w:rPr>
                      <w:rFonts w:hint="default" w:ascii="Times New Roman" w:hAnsi="Times New Roman" w:cs="Times New Roman"/>
                      <w:bCs/>
                      <w:kern w:val="0"/>
                      <w:sz w:val="21"/>
                      <w:szCs w:val="21"/>
                      <w:vertAlign w:val="superscript"/>
                    </w:rPr>
                    <w:t>3</w:t>
                  </w:r>
                  <w:r>
                    <w:rPr>
                      <w:rFonts w:hint="default" w:ascii="Times New Roman" w:hAnsi="Times New Roman" w:cs="Times New Roman"/>
                      <w:bCs/>
                      <w:kern w:val="0"/>
                      <w:sz w:val="21"/>
                      <w:szCs w:val="21"/>
                    </w:rPr>
                    <w:t>/d）</w:t>
                  </w:r>
                </w:p>
              </w:tc>
              <w:tc>
                <w:tcPr>
                  <w:tcW w:w="853"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一</w:t>
                  </w:r>
                </w:p>
              </w:tc>
              <w:tc>
                <w:tcPr>
                  <w:tcW w:w="4708" w:type="pct"/>
                  <w:gridSpan w:val="6"/>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1.1</w:t>
                  </w:r>
                </w:p>
              </w:tc>
              <w:tc>
                <w:tcPr>
                  <w:tcW w:w="565"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职工生活用水</w:t>
                  </w:r>
                </w:p>
              </w:tc>
              <w:tc>
                <w:tcPr>
                  <w:tcW w:w="579"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eastAsia" w:ascii="Times New Roman" w:hAnsi="Times New Roman" w:cs="Times New Roman"/>
                      <w:bCs/>
                      <w:kern w:val="0"/>
                      <w:sz w:val="21"/>
                      <w:szCs w:val="21"/>
                      <w:lang w:val="en-US" w:eastAsia="zh-CN"/>
                    </w:rPr>
                    <w:t>12</w:t>
                  </w:r>
                  <w:r>
                    <w:rPr>
                      <w:rFonts w:hint="default" w:ascii="Times New Roman" w:hAnsi="Times New Roman" w:cs="Times New Roman"/>
                      <w:bCs/>
                      <w:kern w:val="0"/>
                      <w:sz w:val="21"/>
                      <w:szCs w:val="21"/>
                    </w:rPr>
                    <w:t>人</w:t>
                  </w:r>
                </w:p>
              </w:tc>
              <w:tc>
                <w:tcPr>
                  <w:tcW w:w="958"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eastAsia" w:ascii="Times New Roman" w:hAnsi="Times New Roman" w:cs="Times New Roman"/>
                      <w:bCs/>
                      <w:kern w:val="0"/>
                      <w:sz w:val="21"/>
                      <w:szCs w:val="21"/>
                      <w:lang w:val="en-US" w:eastAsia="zh-CN"/>
                    </w:rPr>
                    <w:t>7</w:t>
                  </w:r>
                  <w:r>
                    <w:rPr>
                      <w:rFonts w:hint="default" w:ascii="Times New Roman" w:hAnsi="Times New Roman" w:cs="Times New Roman"/>
                      <w:bCs/>
                      <w:kern w:val="0"/>
                      <w:sz w:val="21"/>
                      <w:szCs w:val="21"/>
                    </w:rPr>
                    <w:t>0L/人·天</w:t>
                  </w:r>
                </w:p>
              </w:tc>
              <w:tc>
                <w:tcPr>
                  <w:tcW w:w="830" w:type="pct"/>
                  <w:noWrap w:val="0"/>
                  <w:vAlign w:val="center"/>
                </w:tcPr>
                <w:p>
                  <w:pPr>
                    <w:widowControl/>
                    <w:snapToGrid w:val="0"/>
                    <w:ind w:left="-105" w:leftChars="-50" w:right="-105" w:rightChars="-50"/>
                    <w:jc w:val="center"/>
                    <w:rPr>
                      <w:rFonts w:hint="default" w:ascii="Times New Roman" w:hAnsi="Times New Roman" w:eastAsia="宋体" w:cs="Times New Roman"/>
                      <w:bCs/>
                      <w:kern w:val="0"/>
                      <w:sz w:val="21"/>
                      <w:szCs w:val="21"/>
                      <w:lang w:val="en-US" w:eastAsia="zh-CN"/>
                    </w:rPr>
                  </w:pPr>
                  <w:r>
                    <w:rPr>
                      <w:rFonts w:hint="eastAsia" w:ascii="Times New Roman" w:hAnsi="Times New Roman" w:cs="Times New Roman"/>
                      <w:bCs/>
                      <w:kern w:val="0"/>
                      <w:sz w:val="21"/>
                      <w:szCs w:val="21"/>
                      <w:lang w:val="en-US" w:eastAsia="zh-CN"/>
                    </w:rPr>
                    <w:t>0.84</w:t>
                  </w:r>
                </w:p>
              </w:tc>
              <w:tc>
                <w:tcPr>
                  <w:tcW w:w="919" w:type="pct"/>
                  <w:noWrap w:val="0"/>
                  <w:vAlign w:val="center"/>
                </w:tcPr>
                <w:p>
                  <w:pPr>
                    <w:widowControl/>
                    <w:snapToGrid w:val="0"/>
                    <w:ind w:left="-105" w:leftChars="-50" w:right="-105" w:rightChars="-50"/>
                    <w:jc w:val="center"/>
                    <w:rPr>
                      <w:rFonts w:hint="default" w:ascii="Times New Roman" w:hAnsi="Times New Roman" w:eastAsia="宋体" w:cs="Times New Roman"/>
                      <w:b/>
                      <w:bCs/>
                      <w:kern w:val="0"/>
                      <w:sz w:val="21"/>
                      <w:szCs w:val="21"/>
                      <w:lang w:val="en-US" w:eastAsia="zh-CN"/>
                    </w:rPr>
                  </w:pPr>
                  <w:r>
                    <w:rPr>
                      <w:rFonts w:hint="eastAsia" w:ascii="Times New Roman" w:hAnsi="Times New Roman" w:cs="Times New Roman"/>
                      <w:b w:val="0"/>
                      <w:bCs w:val="0"/>
                      <w:kern w:val="0"/>
                      <w:sz w:val="21"/>
                      <w:szCs w:val="21"/>
                      <w:lang w:val="en-US" w:eastAsia="zh-CN"/>
                    </w:rPr>
                    <w:t>0.672</w:t>
                  </w:r>
                </w:p>
              </w:tc>
              <w:tc>
                <w:tcPr>
                  <w:tcW w:w="853"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二</w:t>
                  </w:r>
                </w:p>
              </w:tc>
              <w:tc>
                <w:tcPr>
                  <w:tcW w:w="4708" w:type="pct"/>
                  <w:gridSpan w:val="6"/>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2.1</w:t>
                  </w:r>
                </w:p>
              </w:tc>
              <w:tc>
                <w:tcPr>
                  <w:tcW w:w="565"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eastAsia" w:ascii="Times New Roman" w:hAnsi="Times New Roman" w:cs="Times New Roman"/>
                      <w:bCs/>
                      <w:kern w:val="0"/>
                      <w:sz w:val="21"/>
                      <w:szCs w:val="21"/>
                      <w:lang w:val="en-US" w:eastAsia="zh-CN"/>
                    </w:rPr>
                    <w:t>乙酸</w:t>
                  </w:r>
                  <w:r>
                    <w:rPr>
                      <w:rFonts w:hint="default" w:ascii="Times New Roman" w:hAnsi="Times New Roman" w:cs="Times New Roman"/>
                      <w:bCs/>
                      <w:kern w:val="0"/>
                      <w:sz w:val="21"/>
                      <w:szCs w:val="21"/>
                    </w:rPr>
                    <w:t>钠</w:t>
                  </w:r>
                </w:p>
              </w:tc>
              <w:tc>
                <w:tcPr>
                  <w:tcW w:w="579"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0.</w:t>
                  </w:r>
                  <w:r>
                    <w:rPr>
                      <w:rFonts w:hint="eastAsia" w:ascii="Times New Roman" w:hAnsi="Times New Roman" w:cs="Times New Roman"/>
                      <w:bCs/>
                      <w:kern w:val="0"/>
                      <w:sz w:val="21"/>
                      <w:szCs w:val="21"/>
                      <w:lang w:val="en-US" w:eastAsia="zh-CN"/>
                    </w:rPr>
                    <w:t>31</w:t>
                  </w:r>
                  <w:r>
                    <w:rPr>
                      <w:rFonts w:hint="default" w:ascii="Times New Roman" w:hAnsi="Times New Roman" w:cs="Times New Roman"/>
                      <w:bCs/>
                      <w:kern w:val="0"/>
                      <w:sz w:val="21"/>
                      <w:szCs w:val="21"/>
                    </w:rPr>
                    <w:t>t/d</w:t>
                  </w:r>
                </w:p>
              </w:tc>
              <w:tc>
                <w:tcPr>
                  <w:tcW w:w="958"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质量浓度30%</w:t>
                  </w:r>
                </w:p>
              </w:tc>
              <w:tc>
                <w:tcPr>
                  <w:tcW w:w="830" w:type="pct"/>
                  <w:noWrap w:val="0"/>
                  <w:vAlign w:val="center"/>
                </w:tcPr>
                <w:p>
                  <w:pPr>
                    <w:widowControl/>
                    <w:snapToGrid w:val="0"/>
                    <w:ind w:left="-105" w:leftChars="-50" w:right="-105" w:rightChars="-50"/>
                    <w:jc w:val="center"/>
                    <w:rPr>
                      <w:rFonts w:hint="default" w:ascii="Times New Roman" w:hAnsi="Times New Roman" w:eastAsia="宋体" w:cs="Times New Roman"/>
                      <w:b/>
                      <w:bCs/>
                      <w:kern w:val="0"/>
                      <w:sz w:val="21"/>
                      <w:szCs w:val="21"/>
                      <w:lang w:val="en-US" w:eastAsia="zh-CN"/>
                    </w:rPr>
                  </w:pPr>
                  <w:r>
                    <w:rPr>
                      <w:rFonts w:hint="eastAsia" w:ascii="Times New Roman" w:hAnsi="Times New Roman" w:cs="Times New Roman"/>
                      <w:bCs/>
                      <w:kern w:val="0"/>
                      <w:sz w:val="21"/>
                      <w:szCs w:val="21"/>
                      <w:lang w:val="en-US" w:eastAsia="zh-CN"/>
                    </w:rPr>
                    <w:t>0.71</w:t>
                  </w:r>
                </w:p>
              </w:tc>
              <w:tc>
                <w:tcPr>
                  <w:tcW w:w="919"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0</w:t>
                  </w:r>
                </w:p>
              </w:tc>
              <w:tc>
                <w:tcPr>
                  <w:tcW w:w="853"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2.2</w:t>
                  </w:r>
                </w:p>
              </w:tc>
              <w:tc>
                <w:tcPr>
                  <w:tcW w:w="565"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除磷剂</w:t>
                  </w:r>
                </w:p>
              </w:tc>
              <w:tc>
                <w:tcPr>
                  <w:tcW w:w="579"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0.</w:t>
                  </w:r>
                  <w:r>
                    <w:rPr>
                      <w:rFonts w:hint="eastAsia" w:ascii="Times New Roman" w:hAnsi="Times New Roman" w:cs="Times New Roman"/>
                      <w:bCs/>
                      <w:kern w:val="0"/>
                      <w:sz w:val="21"/>
                      <w:szCs w:val="21"/>
                      <w:lang w:val="en-US" w:eastAsia="zh-CN"/>
                    </w:rPr>
                    <w:t>1</w:t>
                  </w:r>
                  <w:r>
                    <w:rPr>
                      <w:rFonts w:hint="default" w:ascii="Times New Roman" w:hAnsi="Times New Roman" w:cs="Times New Roman"/>
                      <w:bCs/>
                      <w:kern w:val="0"/>
                      <w:sz w:val="21"/>
                      <w:szCs w:val="21"/>
                    </w:rPr>
                    <w:t>t/d</w:t>
                  </w:r>
                </w:p>
              </w:tc>
              <w:tc>
                <w:tcPr>
                  <w:tcW w:w="958"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质量浓度20%</w:t>
                  </w:r>
                </w:p>
              </w:tc>
              <w:tc>
                <w:tcPr>
                  <w:tcW w:w="830" w:type="pct"/>
                  <w:noWrap w:val="0"/>
                  <w:vAlign w:val="center"/>
                </w:tcPr>
                <w:p>
                  <w:pPr>
                    <w:widowControl/>
                    <w:snapToGrid w:val="0"/>
                    <w:ind w:left="-105" w:leftChars="-50" w:right="-105" w:rightChars="-50"/>
                    <w:jc w:val="center"/>
                    <w:rPr>
                      <w:rFonts w:hint="default" w:ascii="Times New Roman" w:hAnsi="Times New Roman" w:eastAsia="宋体" w:cs="Times New Roman"/>
                      <w:b/>
                      <w:bCs/>
                      <w:kern w:val="0"/>
                      <w:sz w:val="21"/>
                      <w:szCs w:val="21"/>
                      <w:lang w:val="en-US" w:eastAsia="zh-CN"/>
                    </w:rPr>
                  </w:pPr>
                  <w:r>
                    <w:rPr>
                      <w:rFonts w:hint="eastAsia" w:ascii="Times New Roman" w:hAnsi="Times New Roman" w:cs="Times New Roman"/>
                      <w:bCs/>
                      <w:kern w:val="0"/>
                      <w:sz w:val="21"/>
                      <w:szCs w:val="21"/>
                      <w:lang w:val="en-US" w:eastAsia="zh-CN"/>
                    </w:rPr>
                    <w:t>0.4</w:t>
                  </w:r>
                </w:p>
              </w:tc>
              <w:tc>
                <w:tcPr>
                  <w:tcW w:w="919"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0</w:t>
                  </w:r>
                </w:p>
              </w:tc>
              <w:tc>
                <w:tcPr>
                  <w:tcW w:w="853"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2.3</w:t>
                  </w:r>
                </w:p>
              </w:tc>
              <w:tc>
                <w:tcPr>
                  <w:tcW w:w="565" w:type="pct"/>
                  <w:noWrap w:val="0"/>
                  <w:vAlign w:val="center"/>
                </w:tcPr>
                <w:p>
                  <w:pPr>
                    <w:widowControl/>
                    <w:snapToGrid w:val="0"/>
                    <w:ind w:left="-105" w:leftChars="-50" w:right="-105" w:rightChars="-50"/>
                    <w:jc w:val="center"/>
                    <w:rPr>
                      <w:rFonts w:hint="default" w:ascii="Times New Roman" w:hAnsi="Times New Roman" w:eastAsia="宋体" w:cs="Times New Roman"/>
                      <w:b/>
                      <w:bCs/>
                      <w:kern w:val="0"/>
                      <w:sz w:val="21"/>
                      <w:szCs w:val="21"/>
                      <w:lang w:val="en-US" w:eastAsia="zh-CN"/>
                    </w:rPr>
                  </w:pPr>
                  <w:r>
                    <w:rPr>
                      <w:rFonts w:hint="eastAsia" w:ascii="Times New Roman" w:hAnsi="Times New Roman" w:cs="Times New Roman"/>
                      <w:bCs/>
                      <w:kern w:val="0"/>
                      <w:sz w:val="21"/>
                      <w:szCs w:val="21"/>
                      <w:lang w:val="en-US" w:eastAsia="zh-CN"/>
                    </w:rPr>
                    <w:t>PAM</w:t>
                  </w:r>
                  <w:r>
                    <w:rPr>
                      <w:rFonts w:hint="eastAsia" w:cs="Times New Roman"/>
                      <w:bCs/>
                      <w:kern w:val="0"/>
                      <w:sz w:val="21"/>
                      <w:szCs w:val="21"/>
                      <w:lang w:val="en-US" w:eastAsia="zh-CN"/>
                    </w:rPr>
                    <w:t>/PAC</w:t>
                  </w:r>
                </w:p>
              </w:tc>
              <w:tc>
                <w:tcPr>
                  <w:tcW w:w="579"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0.0</w:t>
                  </w:r>
                  <w:r>
                    <w:rPr>
                      <w:rFonts w:hint="eastAsia" w:ascii="Times New Roman" w:hAnsi="Times New Roman" w:cs="Times New Roman"/>
                      <w:bCs/>
                      <w:kern w:val="0"/>
                      <w:sz w:val="21"/>
                      <w:szCs w:val="21"/>
                      <w:lang w:val="en-US" w:eastAsia="zh-CN"/>
                    </w:rPr>
                    <w:t>03</w:t>
                  </w:r>
                  <w:r>
                    <w:rPr>
                      <w:rFonts w:hint="default" w:ascii="Times New Roman" w:hAnsi="Times New Roman" w:cs="Times New Roman"/>
                      <w:bCs/>
                      <w:kern w:val="0"/>
                      <w:sz w:val="21"/>
                      <w:szCs w:val="21"/>
                    </w:rPr>
                    <w:t>t/d</w:t>
                  </w:r>
                </w:p>
              </w:tc>
              <w:tc>
                <w:tcPr>
                  <w:tcW w:w="958"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质量浓度5‰</w:t>
                  </w:r>
                </w:p>
              </w:tc>
              <w:tc>
                <w:tcPr>
                  <w:tcW w:w="830" w:type="pct"/>
                  <w:noWrap w:val="0"/>
                  <w:vAlign w:val="center"/>
                </w:tcPr>
                <w:p>
                  <w:pPr>
                    <w:widowControl/>
                    <w:snapToGrid w:val="0"/>
                    <w:ind w:left="-105" w:leftChars="-50" w:right="-105" w:rightChars="-50"/>
                    <w:jc w:val="center"/>
                    <w:rPr>
                      <w:rFonts w:hint="default" w:ascii="Times New Roman" w:hAnsi="Times New Roman" w:eastAsia="宋体" w:cs="Times New Roman"/>
                      <w:b/>
                      <w:bCs/>
                      <w:kern w:val="0"/>
                      <w:sz w:val="21"/>
                      <w:szCs w:val="21"/>
                      <w:lang w:val="en-US" w:eastAsia="zh-CN"/>
                    </w:rPr>
                  </w:pPr>
                  <w:r>
                    <w:rPr>
                      <w:rFonts w:hint="eastAsia" w:ascii="Times New Roman" w:hAnsi="Times New Roman" w:cs="Times New Roman"/>
                      <w:bCs/>
                      <w:kern w:val="0"/>
                      <w:sz w:val="21"/>
                      <w:szCs w:val="21"/>
                      <w:lang w:val="en-US" w:eastAsia="zh-CN"/>
                    </w:rPr>
                    <w:t>0.597</w:t>
                  </w:r>
                </w:p>
              </w:tc>
              <w:tc>
                <w:tcPr>
                  <w:tcW w:w="919"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0</w:t>
                  </w:r>
                </w:p>
              </w:tc>
              <w:tc>
                <w:tcPr>
                  <w:tcW w:w="853"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6" w:type="pct"/>
                  <w:gridSpan w:val="4"/>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小计</w:t>
                  </w:r>
                </w:p>
              </w:tc>
              <w:tc>
                <w:tcPr>
                  <w:tcW w:w="830" w:type="pct"/>
                  <w:noWrap w:val="0"/>
                  <w:vAlign w:val="center"/>
                </w:tcPr>
                <w:p>
                  <w:pPr>
                    <w:widowControl/>
                    <w:snapToGrid w:val="0"/>
                    <w:ind w:left="-105" w:leftChars="-50" w:right="-105" w:rightChars="-50"/>
                    <w:jc w:val="center"/>
                    <w:rPr>
                      <w:rFonts w:hint="default" w:ascii="Times New Roman" w:hAnsi="Times New Roman" w:eastAsia="宋体" w:cs="Times New Roman"/>
                      <w:bCs/>
                      <w:kern w:val="0"/>
                      <w:sz w:val="21"/>
                      <w:szCs w:val="21"/>
                      <w:lang w:val="en-US" w:eastAsia="zh-CN"/>
                    </w:rPr>
                  </w:pPr>
                  <w:r>
                    <w:rPr>
                      <w:rFonts w:hint="eastAsia" w:ascii="Times New Roman" w:hAnsi="Times New Roman" w:cs="Times New Roman"/>
                      <w:bCs/>
                      <w:kern w:val="0"/>
                      <w:sz w:val="21"/>
                      <w:szCs w:val="21"/>
                      <w:lang w:val="en-US" w:eastAsia="zh-CN"/>
                    </w:rPr>
                    <w:t>2.547</w:t>
                  </w:r>
                </w:p>
              </w:tc>
              <w:tc>
                <w:tcPr>
                  <w:tcW w:w="919" w:type="pct"/>
                  <w:noWrap w:val="0"/>
                  <w:vAlign w:val="center"/>
                </w:tcPr>
                <w:p>
                  <w:pPr>
                    <w:widowControl/>
                    <w:snapToGrid w:val="0"/>
                    <w:ind w:left="-105" w:leftChars="-50" w:right="-105" w:rightChars="-50"/>
                    <w:jc w:val="center"/>
                    <w:rPr>
                      <w:rFonts w:hint="default" w:ascii="Times New Roman" w:hAnsi="Times New Roman" w:eastAsia="宋体" w:cs="Times New Roman"/>
                      <w:bCs/>
                      <w:kern w:val="0"/>
                      <w:sz w:val="21"/>
                      <w:szCs w:val="21"/>
                      <w:lang w:val="en-US" w:eastAsia="zh-CN"/>
                    </w:rPr>
                  </w:pPr>
                  <w:r>
                    <w:rPr>
                      <w:rFonts w:hint="eastAsia" w:ascii="Times New Roman" w:hAnsi="Times New Roman" w:cs="Times New Roman"/>
                      <w:bCs/>
                      <w:kern w:val="0"/>
                      <w:sz w:val="21"/>
                      <w:szCs w:val="21"/>
                      <w:lang w:val="en-US" w:eastAsia="zh-CN"/>
                    </w:rPr>
                    <w:t>0.672</w:t>
                  </w:r>
                </w:p>
              </w:tc>
              <w:tc>
                <w:tcPr>
                  <w:tcW w:w="853"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三</w:t>
                  </w:r>
                </w:p>
              </w:tc>
              <w:tc>
                <w:tcPr>
                  <w:tcW w:w="565"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绿化用水</w:t>
                  </w:r>
                </w:p>
              </w:tc>
              <w:tc>
                <w:tcPr>
                  <w:tcW w:w="579"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eastAsia" w:ascii="Times New Roman" w:hAnsi="Times New Roman" w:cs="Times New Roman"/>
                      <w:bCs/>
                      <w:kern w:val="0"/>
                      <w:sz w:val="21"/>
                      <w:szCs w:val="21"/>
                      <w:lang w:val="en-US" w:eastAsia="zh-CN"/>
                    </w:rPr>
                    <w:t>2700</w:t>
                  </w:r>
                  <w:r>
                    <w:rPr>
                      <w:rFonts w:hint="default" w:ascii="Times New Roman" w:hAnsi="Times New Roman" w:cs="Times New Roman"/>
                      <w:bCs/>
                      <w:kern w:val="0"/>
                      <w:sz w:val="21"/>
                      <w:szCs w:val="21"/>
                    </w:rPr>
                    <w:t>m</w:t>
                  </w:r>
                  <w:r>
                    <w:rPr>
                      <w:rFonts w:hint="default" w:ascii="Times New Roman" w:hAnsi="Times New Roman" w:cs="Times New Roman"/>
                      <w:bCs/>
                      <w:kern w:val="0"/>
                      <w:sz w:val="21"/>
                      <w:szCs w:val="21"/>
                      <w:vertAlign w:val="superscript"/>
                    </w:rPr>
                    <w:t>2</w:t>
                  </w:r>
                </w:p>
              </w:tc>
              <w:tc>
                <w:tcPr>
                  <w:tcW w:w="958"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0.28m</w:t>
                  </w:r>
                  <w:r>
                    <w:rPr>
                      <w:rFonts w:hint="default" w:ascii="Times New Roman" w:hAnsi="Times New Roman" w:cs="Times New Roman"/>
                      <w:bCs/>
                      <w:kern w:val="0"/>
                      <w:sz w:val="21"/>
                      <w:szCs w:val="21"/>
                      <w:vertAlign w:val="superscript"/>
                    </w:rPr>
                    <w:t>3</w:t>
                  </w:r>
                  <w:r>
                    <w:rPr>
                      <w:rFonts w:hint="default" w:ascii="Times New Roman" w:hAnsi="Times New Roman" w:cs="Times New Roman"/>
                      <w:bCs/>
                      <w:kern w:val="0"/>
                      <w:sz w:val="21"/>
                      <w:szCs w:val="21"/>
                    </w:rPr>
                    <w:t>/m</w:t>
                  </w:r>
                  <w:r>
                    <w:rPr>
                      <w:rFonts w:hint="default" w:ascii="Times New Roman" w:hAnsi="Times New Roman" w:cs="Times New Roman"/>
                      <w:bCs/>
                      <w:kern w:val="0"/>
                      <w:sz w:val="21"/>
                      <w:szCs w:val="21"/>
                      <w:vertAlign w:val="superscript"/>
                    </w:rPr>
                    <w:t>2</w:t>
                  </w:r>
                  <w:r>
                    <w:rPr>
                      <w:rFonts w:hint="default" w:ascii="Times New Roman" w:hAnsi="Times New Roman" w:cs="Times New Roman"/>
                      <w:bCs/>
                      <w:kern w:val="0"/>
                      <w:sz w:val="21"/>
                      <w:szCs w:val="21"/>
                    </w:rPr>
                    <w:t xml:space="preserve">·a </w:t>
                  </w:r>
                </w:p>
              </w:tc>
              <w:tc>
                <w:tcPr>
                  <w:tcW w:w="830" w:type="pct"/>
                  <w:noWrap w:val="0"/>
                  <w:vAlign w:val="center"/>
                </w:tcPr>
                <w:p>
                  <w:pPr>
                    <w:widowControl/>
                    <w:snapToGrid w:val="0"/>
                    <w:ind w:left="-105" w:leftChars="-50" w:right="-105" w:rightChars="-50"/>
                    <w:jc w:val="center"/>
                    <w:rPr>
                      <w:rFonts w:hint="default" w:ascii="Times New Roman" w:hAnsi="Times New Roman" w:eastAsia="宋体" w:cs="Times New Roman"/>
                      <w:bCs/>
                      <w:kern w:val="0"/>
                      <w:sz w:val="21"/>
                      <w:szCs w:val="21"/>
                      <w:lang w:val="en-US" w:eastAsia="zh-CN"/>
                    </w:rPr>
                  </w:pPr>
                  <w:r>
                    <w:rPr>
                      <w:rFonts w:hint="eastAsia" w:ascii="Times New Roman" w:hAnsi="Times New Roman" w:cs="Times New Roman"/>
                      <w:bCs/>
                      <w:kern w:val="0"/>
                      <w:sz w:val="21"/>
                      <w:szCs w:val="21"/>
                      <w:lang w:val="en-US" w:eastAsia="zh-CN"/>
                    </w:rPr>
                    <w:t>3.5</w:t>
                  </w:r>
                </w:p>
              </w:tc>
              <w:tc>
                <w:tcPr>
                  <w:tcW w:w="919"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0</w:t>
                  </w:r>
                </w:p>
              </w:tc>
              <w:tc>
                <w:tcPr>
                  <w:tcW w:w="853" w:type="pct"/>
                  <w:vMerge w:val="restar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污水厂尾水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四</w:t>
                  </w:r>
                </w:p>
              </w:tc>
              <w:tc>
                <w:tcPr>
                  <w:tcW w:w="565"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路面洒水</w:t>
                  </w:r>
                </w:p>
              </w:tc>
              <w:tc>
                <w:tcPr>
                  <w:tcW w:w="579"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eastAsia" w:ascii="Times New Roman" w:hAnsi="Times New Roman" w:cs="Times New Roman"/>
                      <w:bCs/>
                      <w:kern w:val="0"/>
                      <w:sz w:val="21"/>
                      <w:szCs w:val="21"/>
                      <w:lang w:val="en-US" w:eastAsia="zh-CN"/>
                    </w:rPr>
                    <w:t>2000</w:t>
                  </w:r>
                  <w:r>
                    <w:rPr>
                      <w:rFonts w:hint="default" w:ascii="Times New Roman" w:hAnsi="Times New Roman" w:cs="Times New Roman"/>
                      <w:bCs/>
                      <w:kern w:val="0"/>
                      <w:sz w:val="21"/>
                      <w:szCs w:val="21"/>
                    </w:rPr>
                    <w:t>m</w:t>
                  </w:r>
                  <w:r>
                    <w:rPr>
                      <w:rFonts w:hint="default" w:ascii="Times New Roman" w:hAnsi="Times New Roman" w:cs="Times New Roman"/>
                      <w:bCs/>
                      <w:kern w:val="0"/>
                      <w:sz w:val="21"/>
                      <w:szCs w:val="21"/>
                      <w:vertAlign w:val="superscript"/>
                    </w:rPr>
                    <w:t>2</w:t>
                  </w:r>
                </w:p>
              </w:tc>
              <w:tc>
                <w:tcPr>
                  <w:tcW w:w="958" w:type="pct"/>
                  <w:noWrap w:val="0"/>
                  <w:vAlign w:val="center"/>
                </w:tcPr>
                <w:p>
                  <w:pPr>
                    <w:widowControl/>
                    <w:snapToGrid w:val="0"/>
                    <w:ind w:left="-105" w:leftChars="-50" w:right="-105" w:rightChars="-50"/>
                    <w:jc w:val="center"/>
                    <w:rPr>
                      <w:rFonts w:hint="default" w:ascii="Times New Roman" w:hAnsi="Times New Roman" w:cs="Times New Roman"/>
                      <w:b/>
                      <w:bCs/>
                      <w:kern w:val="0"/>
                      <w:sz w:val="21"/>
                      <w:szCs w:val="21"/>
                    </w:rPr>
                  </w:pPr>
                  <w:r>
                    <w:rPr>
                      <w:rFonts w:hint="default" w:ascii="Times New Roman" w:hAnsi="Times New Roman" w:cs="Times New Roman"/>
                      <w:bCs/>
                      <w:kern w:val="0"/>
                      <w:sz w:val="21"/>
                      <w:szCs w:val="21"/>
                    </w:rPr>
                    <w:t>1.5L/m</w:t>
                  </w:r>
                  <w:r>
                    <w:rPr>
                      <w:rFonts w:hint="default" w:ascii="Times New Roman" w:hAnsi="Times New Roman" w:cs="Times New Roman"/>
                      <w:bCs/>
                      <w:kern w:val="0"/>
                      <w:sz w:val="21"/>
                      <w:szCs w:val="21"/>
                      <w:vertAlign w:val="superscript"/>
                    </w:rPr>
                    <w:t>2</w:t>
                  </w:r>
                  <w:r>
                    <w:rPr>
                      <w:rFonts w:hint="default" w:ascii="Times New Roman" w:hAnsi="Times New Roman" w:cs="Times New Roman"/>
                      <w:bCs/>
                      <w:kern w:val="0"/>
                      <w:sz w:val="21"/>
                      <w:szCs w:val="21"/>
                    </w:rPr>
                    <w:t>·d</w:t>
                  </w:r>
                </w:p>
              </w:tc>
              <w:tc>
                <w:tcPr>
                  <w:tcW w:w="830" w:type="pct"/>
                  <w:noWrap w:val="0"/>
                  <w:vAlign w:val="center"/>
                </w:tcPr>
                <w:p>
                  <w:pPr>
                    <w:widowControl/>
                    <w:snapToGrid w:val="0"/>
                    <w:ind w:left="-105" w:leftChars="-50" w:right="-105" w:rightChars="-50"/>
                    <w:jc w:val="center"/>
                    <w:rPr>
                      <w:rFonts w:hint="eastAsia" w:ascii="Times New Roman" w:hAnsi="Times New Roman" w:eastAsia="宋体" w:cs="Times New Roman"/>
                      <w:bCs/>
                      <w:kern w:val="0"/>
                      <w:sz w:val="21"/>
                      <w:szCs w:val="21"/>
                      <w:lang w:eastAsia="zh-CN"/>
                    </w:rPr>
                  </w:pPr>
                  <w:r>
                    <w:rPr>
                      <w:rFonts w:hint="eastAsia" w:ascii="Times New Roman" w:hAnsi="Times New Roman" w:cs="Times New Roman"/>
                      <w:bCs/>
                      <w:kern w:val="0"/>
                      <w:sz w:val="21"/>
                      <w:szCs w:val="21"/>
                      <w:lang w:val="en-US" w:eastAsia="zh-CN"/>
                    </w:rPr>
                    <w:t>3</w:t>
                  </w:r>
                </w:p>
              </w:tc>
              <w:tc>
                <w:tcPr>
                  <w:tcW w:w="919"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0</w:t>
                  </w:r>
                </w:p>
              </w:tc>
              <w:tc>
                <w:tcPr>
                  <w:tcW w:w="853" w:type="pct"/>
                  <w:vMerge w:val="continue"/>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6" w:type="pct"/>
                  <w:gridSpan w:val="4"/>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eastAsia" w:ascii="Times New Roman" w:hAnsi="Times New Roman" w:cs="Times New Roman"/>
                      <w:bCs/>
                      <w:kern w:val="0"/>
                      <w:sz w:val="21"/>
                      <w:szCs w:val="21"/>
                      <w:lang w:val="en-US" w:eastAsia="zh-CN"/>
                    </w:rPr>
                    <w:t>小</w:t>
                  </w:r>
                  <w:r>
                    <w:rPr>
                      <w:rFonts w:hint="default" w:ascii="Times New Roman" w:hAnsi="Times New Roman" w:cs="Times New Roman"/>
                      <w:bCs/>
                      <w:kern w:val="0"/>
                      <w:sz w:val="21"/>
                      <w:szCs w:val="21"/>
                    </w:rPr>
                    <w:t>计</w:t>
                  </w:r>
                </w:p>
              </w:tc>
              <w:tc>
                <w:tcPr>
                  <w:tcW w:w="830" w:type="pct"/>
                  <w:noWrap w:val="0"/>
                  <w:vAlign w:val="center"/>
                </w:tcPr>
                <w:p>
                  <w:pPr>
                    <w:widowControl/>
                    <w:snapToGrid w:val="0"/>
                    <w:ind w:left="-105" w:leftChars="-50" w:right="-105" w:rightChars="-50"/>
                    <w:jc w:val="center"/>
                    <w:rPr>
                      <w:rFonts w:hint="default" w:ascii="Times New Roman" w:hAnsi="Times New Roman" w:eastAsia="宋体" w:cs="Times New Roman"/>
                      <w:bCs/>
                      <w:kern w:val="0"/>
                      <w:sz w:val="21"/>
                      <w:szCs w:val="21"/>
                      <w:lang w:val="en-US" w:eastAsia="zh-CN"/>
                    </w:rPr>
                  </w:pPr>
                  <w:r>
                    <w:rPr>
                      <w:rFonts w:hint="eastAsia" w:ascii="Times New Roman" w:hAnsi="Times New Roman" w:cs="Times New Roman"/>
                      <w:bCs/>
                      <w:kern w:val="0"/>
                      <w:sz w:val="21"/>
                      <w:szCs w:val="21"/>
                      <w:lang w:val="en-US" w:eastAsia="zh-CN"/>
                    </w:rPr>
                    <w:t>6.5</w:t>
                  </w:r>
                </w:p>
              </w:tc>
              <w:tc>
                <w:tcPr>
                  <w:tcW w:w="919" w:type="pct"/>
                  <w:noWrap w:val="0"/>
                  <w:vAlign w:val="center"/>
                </w:tcPr>
                <w:p>
                  <w:pPr>
                    <w:widowControl/>
                    <w:snapToGrid w:val="0"/>
                    <w:ind w:left="-105" w:leftChars="-50" w:right="-105" w:rightChars="-50"/>
                    <w:jc w:val="center"/>
                    <w:rPr>
                      <w:rFonts w:hint="eastAsia" w:ascii="Times New Roman" w:hAnsi="Times New Roman" w:eastAsia="宋体" w:cs="Times New Roman"/>
                      <w:bCs/>
                      <w:kern w:val="0"/>
                      <w:sz w:val="21"/>
                      <w:szCs w:val="21"/>
                      <w:lang w:val="en-US" w:eastAsia="zh-CN"/>
                    </w:rPr>
                  </w:pPr>
                  <w:r>
                    <w:rPr>
                      <w:rFonts w:hint="eastAsia" w:ascii="Times New Roman" w:hAnsi="Times New Roman" w:cs="Times New Roman"/>
                      <w:bCs/>
                      <w:kern w:val="0"/>
                      <w:sz w:val="21"/>
                      <w:szCs w:val="21"/>
                      <w:lang w:val="en-US" w:eastAsia="zh-CN"/>
                    </w:rPr>
                    <w:t>0</w:t>
                  </w:r>
                </w:p>
              </w:tc>
              <w:tc>
                <w:tcPr>
                  <w:tcW w:w="853" w:type="pct"/>
                  <w:noWrap w:val="0"/>
                  <w:vAlign w:val="center"/>
                </w:tcPr>
                <w:p>
                  <w:pPr>
                    <w:widowControl/>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污水厂尾水</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由上表可知，本项目日最大新鲜水用水量为2.547m</w:t>
            </w:r>
            <w:r>
              <w:rPr>
                <w:rFonts w:hint="eastAsia" w:ascii="Times New Roman" w:hAnsi="Times New Roman" w:cs="Times New Roman"/>
                <w:bCs/>
                <w:sz w:val="24"/>
                <w:vertAlign w:val="superscript"/>
                <w:lang w:val="en-US" w:eastAsia="zh-CN"/>
              </w:rPr>
              <w:t>3</w:t>
            </w:r>
            <w:r>
              <w:rPr>
                <w:rFonts w:hint="eastAsia" w:ascii="Times New Roman" w:hAnsi="Times New Roman" w:cs="Times New Roman"/>
                <w:bCs/>
                <w:sz w:val="24"/>
                <w:lang w:val="en-US" w:eastAsia="zh-CN"/>
              </w:rPr>
              <w:t>/d，日最大中水用水量为6.5m</w:t>
            </w:r>
            <w:r>
              <w:rPr>
                <w:rFonts w:hint="eastAsia" w:ascii="Times New Roman" w:hAnsi="Times New Roman" w:cs="Times New Roman"/>
                <w:bCs/>
                <w:sz w:val="24"/>
                <w:vertAlign w:val="superscript"/>
                <w:lang w:val="en-US" w:eastAsia="zh-CN"/>
              </w:rPr>
              <w:t>3</w:t>
            </w:r>
            <w:r>
              <w:rPr>
                <w:rFonts w:hint="eastAsia" w:ascii="Times New Roman" w:hAnsi="Times New Roman" w:cs="Times New Roman"/>
                <w:bCs/>
                <w:sz w:val="24"/>
                <w:lang w:val="en-US" w:eastAsia="zh-CN"/>
              </w:rPr>
              <w:t>/d；本项目排水主要为生活污水，生活污水经化粪池处理后，排入粗格栅进入污水处理系统不外排。</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Cs/>
                <w:sz w:val="24"/>
                <w:lang w:val="en-US" w:eastAsia="zh-CN"/>
              </w:rPr>
            </w:pPr>
            <w:r>
              <w:rPr>
                <w:rFonts w:hint="eastAsia" w:cs="Times New Roman"/>
                <w:bCs/>
                <w:sz w:val="24"/>
                <w:lang w:val="en-US" w:eastAsia="zh-CN"/>
              </w:rPr>
              <w:t>项目运营期用排水情况见下图。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sz w:val="24"/>
              </w:rPr>
            </w:pPr>
            <w:r>
              <w:rPr>
                <w:rFonts w:hint="default" w:ascii="Times New Roman" w:hAnsi="Times New Roman" w:cs="Times New Roman"/>
                <w:bCs/>
                <w:sz w:val="24"/>
              </w:rPr>
              <w:object>
                <v:shape id="_x0000_i1025" o:spt="75" type="#_x0000_t75" style="height:267pt;width:417.7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Cs/>
                <w:sz w:val="24"/>
                <w:lang w:val="en-US" w:eastAsia="zh-CN"/>
              </w:rPr>
            </w:pPr>
            <w:r>
              <w:rPr>
                <w:rFonts w:hint="eastAsia" w:ascii="黑体" w:hAnsi="黑体" w:eastAsia="黑体" w:cs="黑体"/>
                <w:bCs/>
                <w:sz w:val="24"/>
                <w:lang w:val="en-US" w:eastAsia="zh-CN"/>
              </w:rPr>
              <w:t>图2-1  运营期全厂水平衡图 m</w:t>
            </w:r>
            <w:r>
              <w:rPr>
                <w:rFonts w:hint="eastAsia" w:ascii="黑体" w:hAnsi="黑体" w:eastAsia="黑体" w:cs="黑体"/>
                <w:bCs/>
                <w:sz w:val="24"/>
                <w:vertAlign w:val="superscript"/>
                <w:lang w:val="en-US" w:eastAsia="zh-CN"/>
              </w:rPr>
              <w:t>3</w:t>
            </w:r>
            <w:r>
              <w:rPr>
                <w:rFonts w:hint="eastAsia" w:ascii="黑体" w:hAnsi="黑体" w:eastAsia="黑体" w:cs="黑体"/>
                <w:bCs/>
                <w:sz w:val="24"/>
                <w:lang w:val="en-US" w:eastAsia="zh-CN"/>
              </w:rPr>
              <w:t>/d</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lang w:val="en-US" w:eastAsia="zh-CN"/>
              </w:rPr>
            </w:pPr>
            <w:r>
              <w:rPr>
                <w:rFonts w:hint="eastAsia"/>
                <w:color w:val="auto"/>
                <w:sz w:val="24"/>
                <w:lang w:val="en-US" w:eastAsia="zh-CN"/>
              </w:rPr>
              <w:t>污水资源化分析：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r>
              <w:rPr>
                <w:rFonts w:hint="eastAsia"/>
                <w:color w:val="auto"/>
                <w:sz w:val="24"/>
                <w:lang w:val="en-US" w:eastAsia="zh-CN"/>
              </w:rPr>
              <w:t>污水处理站出水可根据需要采用不同途径应用于不同的行业，如用作市政用水、工业用水、农业灌溉用水等，此举将极大地缓解当地供水压力，节约宝贵的水资源。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lang w:val="en-US" w:eastAsia="zh-CN"/>
              </w:rPr>
            </w:pPr>
            <w:r>
              <w:rPr>
                <w:rFonts w:hint="eastAsia"/>
                <w:color w:val="auto"/>
                <w:sz w:val="24"/>
                <w:lang w:val="en-US" w:eastAsia="zh-CN"/>
              </w:rPr>
              <w:t>①市政用水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r>
              <w:rPr>
                <w:rFonts w:hint="eastAsia"/>
                <w:color w:val="auto"/>
                <w:sz w:val="24"/>
                <w:lang w:val="en-US" w:eastAsia="zh-CN"/>
              </w:rPr>
              <w:t>水循环利用一方面可极大地缓解农村用水供需矛盾，另一方面可改善农村水污染的现状，防止农村水环境不断恶化，使“废水”复活，重新成为可利用资源。处理达标后的再生水可作为市政用水，进行合理多级的循环利用，如景观绿化、道路、消防、冲厕等。此举措将达到区域内水环境平衡，促进建安镇可持续发展，构筑资源节约型城市。</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lang w:val="en-US" w:eastAsia="zh-CN"/>
              </w:rPr>
            </w:pPr>
            <w:r>
              <w:rPr>
                <w:rFonts w:hint="eastAsia"/>
                <w:color w:val="auto"/>
                <w:sz w:val="24"/>
                <w:lang w:val="en-US" w:eastAsia="zh-CN"/>
              </w:rPr>
              <w:t>②农田灌溉</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r>
              <w:rPr>
                <w:rFonts w:hint="eastAsia"/>
                <w:color w:val="auto"/>
                <w:sz w:val="24"/>
                <w:lang w:val="en-US" w:eastAsia="zh-CN"/>
              </w:rPr>
              <w:t>鼓励优先选择氮磷资源化与尾水利用技术、手段或途径，一般村庄周边分布有广阔的农田和绿化景观，可将生活污水用于农业灌溉，一方面可以解决或缓解农村地区水资源不足的问题，建安镇农作物以小麦、玉米、谷子为主，《山西省用水定额（农业用水定额）》（DB 14/T1049.1-2015）中规定小麦、玉米、谷子等用水定额平均90m</w:t>
            </w:r>
            <w:r>
              <w:rPr>
                <w:rFonts w:hint="eastAsia"/>
                <w:color w:val="auto"/>
                <w:sz w:val="24"/>
                <w:vertAlign w:val="superscript"/>
                <w:lang w:val="en-US" w:eastAsia="zh-CN"/>
              </w:rPr>
              <w:t>3</w:t>
            </w:r>
            <w:r>
              <w:rPr>
                <w:rFonts w:hint="eastAsia"/>
                <w:color w:val="auto"/>
                <w:sz w:val="24"/>
                <w:lang w:val="en-US" w:eastAsia="zh-CN"/>
              </w:rPr>
              <w:t>/亩，而村庄旱地基本是靠天吃饭，缺水导致产量受干旱影响较大，产量的减少直接关乎农民收入；另一方面生活污水中N、P营养元素浓度高，直接排入水体将污染水环境，而N、P 是作物不可缺少的营养元素，通过生活污水的农田回用不仅能够减少污水对水环境污染负荷，而且能够有效减少化肥的投入，对于面源污染的防控和农业的可持续发展有重要意义，同时又可减少污水处理过程中因N、P 去除而产生的投资和设备运行费用。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r>
              <w:rPr>
                <w:rFonts w:hint="eastAsia"/>
                <w:color w:val="auto"/>
                <w:sz w:val="24"/>
                <w:lang w:val="en-US" w:eastAsia="zh-CN"/>
              </w:rPr>
              <w:t>本项目污水处理厂处理的再生水完全满足《农田灌溉水质标准（GB5084-2005）》旱作灌溉要求和《城市污水再生利用城市杂用水水质（GB/T18920-2002）》城市绿化水质要求。设计出水暂时储存于清水池内，作为农田灌溉，浇洒道路、微型水景观、市政绿化等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lang w:val="en-US" w:eastAsia="zh-CN"/>
              </w:rPr>
            </w:pPr>
            <w:r>
              <w:rPr>
                <w:rFonts w:hint="eastAsia"/>
                <w:color w:val="auto"/>
                <w:sz w:val="24"/>
                <w:lang w:val="en-US" w:eastAsia="zh-CN"/>
              </w:rPr>
              <w:t>目前尚未有明确市政用水、农田灌溉用水方案；仅提出其可能性，外排滹沱河水量依然按2000m</w:t>
            </w:r>
            <w:r>
              <w:rPr>
                <w:rFonts w:hint="eastAsia"/>
                <w:color w:val="auto"/>
                <w:sz w:val="24"/>
                <w:vertAlign w:val="superscript"/>
                <w:lang w:val="en-US" w:eastAsia="zh-CN"/>
              </w:rPr>
              <w:t>3</w:t>
            </w:r>
            <w:r>
              <w:rPr>
                <w:rFonts w:hint="eastAsia"/>
                <w:color w:val="auto"/>
                <w:sz w:val="24"/>
                <w:lang w:val="en-US" w:eastAsia="zh-CN"/>
              </w:rPr>
              <w:t>/d考虑。</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default" w:eastAsia="宋体"/>
                <w:color w:val="auto"/>
                <w:sz w:val="24"/>
                <w:lang w:val="en-US" w:eastAsia="zh-CN"/>
              </w:rPr>
            </w:pP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eastAsiaTheme="majorEastAsia"/>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ascii="宋体" w:hAnsi="宋体" w:cs="宋体"/>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225" w:type="pct"/>
            <w:vAlign w:val="center"/>
          </w:tcPr>
          <w:p>
            <w:pPr>
              <w:pStyle w:val="23"/>
              <w:adjustRightInd w:val="0"/>
              <w:snapToGrid w:val="0"/>
              <w:spacing w:before="0" w:beforeAutospacing="0" w:after="0" w:afterAutospacing="0"/>
              <w:jc w:val="center"/>
              <w:rPr>
                <w:color w:val="auto"/>
                <w:sz w:val="21"/>
                <w:szCs w:val="21"/>
              </w:rPr>
            </w:pPr>
            <w:r>
              <w:rPr>
                <w:rFonts w:hint="eastAsia"/>
                <w:color w:val="auto"/>
                <w:sz w:val="21"/>
                <w:szCs w:val="21"/>
              </w:rPr>
              <w:t>工艺流程和产排污环节</w:t>
            </w:r>
          </w:p>
        </w:tc>
        <w:tc>
          <w:tcPr>
            <w:tcW w:w="4774" w:type="pct"/>
          </w:tcPr>
          <w:p>
            <w:pPr>
              <w:adjustRightInd w:val="0"/>
              <w:snapToGrid w:val="0"/>
              <w:spacing w:line="480" w:lineRule="exact"/>
              <w:ind w:firstLine="482" w:firstLineChars="200"/>
              <w:rPr>
                <w:b/>
                <w:color w:val="auto"/>
                <w:sz w:val="24"/>
              </w:rPr>
            </w:pPr>
            <w:r>
              <w:rPr>
                <w:rFonts w:hint="eastAsia"/>
                <w:b/>
                <w:color w:val="auto"/>
                <w:sz w:val="24"/>
              </w:rPr>
              <w:t>1、施工期工艺流程简述</w:t>
            </w:r>
          </w:p>
          <w:p>
            <w:pPr>
              <w:adjustRightInd w:val="0"/>
              <w:snapToGrid w:val="0"/>
              <w:spacing w:line="480" w:lineRule="exact"/>
              <w:ind w:firstLine="482" w:firstLineChars="200"/>
              <w:rPr>
                <w:b/>
                <w:color w:val="auto"/>
                <w:sz w:val="24"/>
              </w:rPr>
            </w:pPr>
            <w:r>
              <w:rPr>
                <w:rFonts w:hint="eastAsia"/>
                <w:b/>
                <w:color w:val="auto"/>
                <w:sz w:val="24"/>
              </w:rPr>
              <w:t>（1）施工期工艺流程</w:t>
            </w:r>
          </w:p>
          <w:p>
            <w:pPr>
              <w:adjustRightInd w:val="0"/>
              <w:snapToGrid w:val="0"/>
              <w:spacing w:line="480" w:lineRule="exact"/>
              <w:ind w:firstLine="480" w:firstLineChars="200"/>
              <w:rPr>
                <w:bCs/>
                <w:color w:val="auto"/>
                <w:sz w:val="24"/>
              </w:rPr>
            </w:pPr>
            <w:r>
              <w:rPr>
                <w:rFonts w:hint="eastAsia"/>
                <w:bCs/>
                <w:color w:val="auto"/>
                <w:sz w:val="24"/>
              </w:rPr>
              <w:t>本项目为新建项目，项目建筑主要为框架结构，施工期分以下几步进行：场地平整，基础工程，主体工程（建筑及配套设施建设工程），设备安装工程（室内外装修及设备安置）。施工期工艺流程及各阶段产污环节见下图。</w:t>
            </w:r>
          </w:p>
          <w:p>
            <w:pPr>
              <w:adjustRightInd w:val="0"/>
              <w:snapToGrid w:val="0"/>
              <w:jc w:val="center"/>
              <w:rPr>
                <w:bCs/>
                <w:color w:val="auto"/>
                <w:sz w:val="24"/>
              </w:rPr>
            </w:pPr>
            <w:r>
              <w:rPr>
                <w:rFonts w:hint="eastAsia"/>
                <w:color w:val="auto"/>
              </w:rPr>
              <w:drawing>
                <wp:inline distT="0" distB="0" distL="0" distR="0">
                  <wp:extent cx="4933950" cy="113347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33950" cy="1133475"/>
                          </a:xfrm>
                          <a:prstGeom prst="rect">
                            <a:avLst/>
                          </a:prstGeom>
                          <a:noFill/>
                          <a:ln>
                            <a:noFill/>
                          </a:ln>
                        </pic:spPr>
                      </pic:pic>
                    </a:graphicData>
                  </a:graphic>
                </wp:inline>
              </w:drawing>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图2-</w:t>
            </w:r>
            <w:r>
              <w:rPr>
                <w:rFonts w:hint="eastAsia" w:ascii="黑体" w:hAnsi="黑体" w:eastAsia="黑体"/>
                <w:bCs/>
                <w:color w:val="auto"/>
                <w:sz w:val="24"/>
                <w:lang w:val="en-US" w:eastAsia="zh-CN"/>
              </w:rPr>
              <w:t>2</w:t>
            </w:r>
            <w:r>
              <w:rPr>
                <w:rFonts w:hint="eastAsia" w:ascii="黑体" w:hAnsi="黑体" w:eastAsia="黑体"/>
                <w:bCs/>
                <w:color w:val="auto"/>
                <w:sz w:val="24"/>
              </w:rPr>
              <w:t xml:space="preserve">  施工期工艺流程及产排污环节示意图</w:t>
            </w:r>
          </w:p>
          <w:p>
            <w:pPr>
              <w:adjustRightInd w:val="0"/>
              <w:snapToGrid w:val="0"/>
              <w:spacing w:line="480" w:lineRule="exact"/>
              <w:ind w:firstLine="482" w:firstLineChars="200"/>
              <w:rPr>
                <w:bCs/>
                <w:color w:val="auto"/>
                <w:sz w:val="24"/>
              </w:rPr>
            </w:pPr>
            <w:r>
              <w:rPr>
                <w:rFonts w:hint="eastAsia"/>
                <w:b/>
                <w:color w:val="auto"/>
                <w:sz w:val="24"/>
              </w:rPr>
              <w:t>（2）</w:t>
            </w:r>
            <w:r>
              <w:rPr>
                <w:rFonts w:hint="eastAsia"/>
                <w:b/>
                <w:bCs/>
                <w:color w:val="auto"/>
                <w:sz w:val="24"/>
              </w:rPr>
              <w:t>施工期主要污染工序</w:t>
            </w:r>
          </w:p>
          <w:p>
            <w:pPr>
              <w:adjustRightInd w:val="0"/>
              <w:snapToGrid w:val="0"/>
              <w:spacing w:line="480" w:lineRule="exact"/>
              <w:ind w:firstLine="480" w:firstLineChars="200"/>
              <w:rPr>
                <w:bCs/>
                <w:color w:val="auto"/>
                <w:sz w:val="24"/>
              </w:rPr>
            </w:pPr>
            <w:r>
              <w:rPr>
                <w:rFonts w:hint="eastAsia"/>
                <w:bCs/>
                <w:color w:val="auto"/>
                <w:sz w:val="24"/>
              </w:rPr>
              <w:t>①大气污染物：车辆运输时产生的扬尘，排放的主要污染物为TSP；各类燃油动力机械在设备运输等施工作业时，会排出各类燃油废气，排放的主要污染物为CO、NO</w:t>
            </w:r>
            <w:r>
              <w:rPr>
                <w:rFonts w:hint="eastAsia"/>
                <w:bCs/>
                <w:color w:val="auto"/>
                <w:sz w:val="24"/>
                <w:vertAlign w:val="subscript"/>
              </w:rPr>
              <w:t>x</w:t>
            </w:r>
            <w:r>
              <w:rPr>
                <w:rFonts w:hint="eastAsia"/>
                <w:bCs/>
                <w:color w:val="auto"/>
                <w:sz w:val="24"/>
              </w:rPr>
              <w:t>、SO</w:t>
            </w:r>
            <w:r>
              <w:rPr>
                <w:rFonts w:hint="eastAsia"/>
                <w:bCs/>
                <w:color w:val="auto"/>
                <w:sz w:val="24"/>
                <w:vertAlign w:val="subscript"/>
              </w:rPr>
              <w:t>2</w:t>
            </w:r>
            <w:r>
              <w:rPr>
                <w:rFonts w:hint="eastAsia"/>
                <w:bCs/>
                <w:color w:val="auto"/>
                <w:sz w:val="24"/>
              </w:rPr>
              <w:t>、烟尘。</w:t>
            </w:r>
          </w:p>
          <w:p>
            <w:pPr>
              <w:adjustRightInd w:val="0"/>
              <w:snapToGrid w:val="0"/>
              <w:spacing w:line="480" w:lineRule="exact"/>
              <w:ind w:firstLine="480" w:firstLineChars="200"/>
              <w:rPr>
                <w:bCs/>
                <w:color w:val="auto"/>
                <w:sz w:val="24"/>
              </w:rPr>
            </w:pPr>
            <w:r>
              <w:rPr>
                <w:rFonts w:hint="eastAsia"/>
                <w:bCs/>
                <w:color w:val="auto"/>
                <w:sz w:val="24"/>
              </w:rPr>
              <w:t>②水污染物：施工人员产生的生活污水，主要污染物为BOD</w:t>
            </w:r>
            <w:r>
              <w:rPr>
                <w:rFonts w:hint="eastAsia"/>
                <w:bCs/>
                <w:color w:val="auto"/>
                <w:sz w:val="24"/>
                <w:vertAlign w:val="subscript"/>
              </w:rPr>
              <w:t>5</w:t>
            </w:r>
            <w:r>
              <w:rPr>
                <w:rFonts w:hint="eastAsia"/>
                <w:bCs/>
                <w:color w:val="auto"/>
                <w:sz w:val="24"/>
              </w:rPr>
              <w:t>、COD、SS。</w:t>
            </w:r>
          </w:p>
          <w:p>
            <w:pPr>
              <w:adjustRightInd w:val="0"/>
              <w:snapToGrid w:val="0"/>
              <w:spacing w:line="480" w:lineRule="exact"/>
              <w:ind w:firstLine="480" w:firstLineChars="200"/>
              <w:rPr>
                <w:bCs/>
                <w:color w:val="auto"/>
                <w:sz w:val="24"/>
              </w:rPr>
            </w:pPr>
            <w:r>
              <w:rPr>
                <w:rFonts w:hint="eastAsia"/>
                <w:bCs/>
                <w:color w:val="auto"/>
                <w:sz w:val="24"/>
              </w:rPr>
              <w:t>③固体废物：施工期产生的施工垃圾，主要为废弃包装物；施工人员的生活垃圾。</w:t>
            </w:r>
          </w:p>
          <w:p>
            <w:pPr>
              <w:adjustRightInd w:val="0"/>
              <w:snapToGrid w:val="0"/>
              <w:spacing w:line="480" w:lineRule="exact"/>
              <w:ind w:firstLine="480" w:firstLineChars="200"/>
              <w:rPr>
                <w:bCs/>
                <w:color w:val="auto"/>
                <w:sz w:val="24"/>
              </w:rPr>
            </w:pPr>
            <w:r>
              <w:rPr>
                <w:rFonts w:hint="eastAsia"/>
                <w:bCs/>
                <w:color w:val="auto"/>
                <w:sz w:val="24"/>
              </w:rPr>
              <w:t>④噪声：运输车辆等施工机械作业时产生的噪声；施工机械产生的噪声值为65-100dB（A）。</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color w:val="auto"/>
                <w:sz w:val="24"/>
              </w:rPr>
            </w:pPr>
            <w:r>
              <w:rPr>
                <w:rFonts w:hint="eastAsia"/>
                <w:b/>
                <w:color w:val="auto"/>
                <w:sz w:val="24"/>
                <w:lang w:val="en-US" w:eastAsia="zh-CN"/>
              </w:rPr>
              <w:t>2</w:t>
            </w:r>
            <w:r>
              <w:rPr>
                <w:rFonts w:hint="eastAsia"/>
                <w:b/>
                <w:color w:val="auto"/>
                <w:sz w:val="24"/>
              </w:rPr>
              <w:t>、</w:t>
            </w:r>
            <w:r>
              <w:rPr>
                <w:rFonts w:hint="eastAsia"/>
                <w:b/>
                <w:color w:val="auto"/>
                <w:sz w:val="24"/>
                <w:lang w:val="en-US" w:eastAsia="zh-CN"/>
              </w:rPr>
              <w:t>运营期</w:t>
            </w:r>
            <w:r>
              <w:rPr>
                <w:rFonts w:hint="eastAsia"/>
                <w:b/>
                <w:color w:val="auto"/>
                <w:sz w:val="24"/>
              </w:rPr>
              <w:t>工艺流程简述</w:t>
            </w:r>
          </w:p>
          <w:p>
            <w:pPr>
              <w:adjustRightInd w:val="0"/>
              <w:snapToGrid w:val="0"/>
              <w:spacing w:line="480" w:lineRule="exact"/>
              <w:ind w:firstLine="482" w:firstLineChars="200"/>
              <w:rPr>
                <w:rFonts w:hint="eastAsia" w:ascii="宋体" w:hAnsi="宋体" w:eastAsia="宋体" w:cs="宋体"/>
                <w:b/>
                <w:bCs/>
                <w:color w:val="auto"/>
                <w:sz w:val="24"/>
                <w:lang w:eastAsia="zh-CN"/>
              </w:rPr>
            </w:pPr>
            <w:r>
              <w:rPr>
                <w:rFonts w:hint="eastAsia" w:ascii="宋体" w:hAnsi="宋体" w:cs="宋体"/>
                <w:b/>
                <w:bCs/>
                <w:color w:val="auto"/>
                <w:sz w:val="24"/>
                <w:lang w:eastAsia="zh-CN"/>
              </w:rPr>
              <w:t>（</w:t>
            </w:r>
            <w:r>
              <w:rPr>
                <w:rFonts w:hint="eastAsia" w:ascii="宋体" w:hAnsi="宋体" w:cs="宋体"/>
                <w:b/>
                <w:bCs/>
                <w:color w:val="auto"/>
                <w:sz w:val="24"/>
                <w:lang w:val="en-US" w:eastAsia="zh-CN"/>
              </w:rPr>
              <w:t>1</w:t>
            </w:r>
            <w:r>
              <w:rPr>
                <w:rFonts w:hint="eastAsia" w:ascii="宋体" w:hAnsi="宋体" w:cs="宋体"/>
                <w:b/>
                <w:bCs/>
                <w:color w:val="auto"/>
                <w:sz w:val="24"/>
                <w:lang w:eastAsia="zh-CN"/>
              </w:rPr>
              <w:t>）工艺方案选择原则</w:t>
            </w:r>
          </w:p>
          <w:p>
            <w:pPr>
              <w:adjustRightInd w:val="0"/>
              <w:snapToGrid w:val="0"/>
              <w:spacing w:line="480" w:lineRule="exact"/>
              <w:ind w:firstLine="480" w:firstLineChars="200"/>
              <w:rPr>
                <w:rFonts w:hint="eastAsia" w:ascii="宋体" w:hAnsi="宋体" w:cs="宋体"/>
                <w:color w:val="auto"/>
                <w:sz w:val="24"/>
              </w:rPr>
            </w:pPr>
            <w:r>
              <w:rPr>
                <w:rFonts w:hint="eastAsia" w:ascii="宋体" w:hAnsi="宋体" w:cs="宋体"/>
                <w:color w:val="auto"/>
                <w:sz w:val="24"/>
              </w:rPr>
              <w:t>污水处理厂工艺的选择，应以进水水质特点、出水水质要求为前提、根据处理规模、处理水出路、污泥处置方式等，并结合当地具体条件和特点，因地制宜，综合考虑。处理工艺的优化选择，对污水处理厂的建设、确保污水处理厂的处理效果和降低运行费用起着至关重要的作用。污水处理工艺选择应遵循以下原则：</w:t>
            </w:r>
          </w:p>
          <w:p>
            <w:pPr>
              <w:adjustRightInd w:val="0"/>
              <w:snapToGrid w:val="0"/>
              <w:spacing w:line="48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①对目标污染物有较高的处理效率，满足出水执行标准；</w:t>
            </w:r>
          </w:p>
          <w:p>
            <w:pPr>
              <w:adjustRightInd w:val="0"/>
              <w:snapToGrid w:val="0"/>
              <w:spacing w:line="48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②功能强大，出水水质好，具有同步脱氮除磷功能；</w:t>
            </w:r>
          </w:p>
          <w:p>
            <w:pPr>
              <w:adjustRightInd w:val="0"/>
              <w:snapToGrid w:val="0"/>
              <w:spacing w:line="48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③处理工艺运行管理方便，运转灵活，可根据不同的进水水质调整运行方式和参数；</w:t>
            </w:r>
          </w:p>
          <w:p>
            <w:pPr>
              <w:adjustRightInd w:val="0"/>
              <w:snapToGrid w:val="0"/>
              <w:spacing w:line="48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④采用的工艺流程成熟可行且处理效果稳定，具有足够的运行管理经验以资借鉴；</w:t>
            </w:r>
          </w:p>
          <w:p>
            <w:pPr>
              <w:adjustRightInd w:val="0"/>
              <w:snapToGrid w:val="0"/>
              <w:spacing w:line="48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⑤节省能耗及用地，运行费用低，基础建设投资省；</w:t>
            </w:r>
          </w:p>
          <w:p>
            <w:pPr>
              <w:adjustRightInd w:val="0"/>
              <w:snapToGrid w:val="0"/>
              <w:spacing w:line="48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⑥在保证合理且经济的前提下，采用先进的工艺、设备、材料和适宜的自动化程度，提高管理水平最大限度地发挥处理装置和构筑物的处理能力；</w:t>
            </w:r>
          </w:p>
          <w:p>
            <w:pPr>
              <w:adjustRightInd w:val="0"/>
              <w:snapToGrid w:val="0"/>
              <w:spacing w:line="48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⑦处理工艺选择要因地制宜，结合当地自然条件、土地条件、经济条件等综合因素，选择适合当地条件的处理工艺。</w:t>
            </w:r>
          </w:p>
          <w:p>
            <w:pPr>
              <w:adjustRightInd w:val="0"/>
              <w:snapToGrid w:val="0"/>
              <w:spacing w:line="480" w:lineRule="exact"/>
              <w:ind w:firstLine="482" w:firstLineChars="200"/>
              <w:rPr>
                <w:rFonts w:hint="default" w:ascii="宋体" w:hAnsi="宋体" w:eastAsia="宋体" w:cs="宋体"/>
                <w:b/>
                <w:bCs/>
                <w:color w:val="auto"/>
                <w:sz w:val="24"/>
                <w:lang w:val="en-US" w:eastAsia="zh-CN"/>
              </w:rPr>
            </w:pPr>
            <w:r>
              <w:rPr>
                <w:rFonts w:hint="eastAsia" w:ascii="宋体" w:hAnsi="宋体" w:cs="宋体"/>
                <w:b/>
                <w:bCs/>
                <w:color w:val="auto"/>
                <w:sz w:val="24"/>
                <w:lang w:eastAsia="zh-CN"/>
              </w:rPr>
              <w:t>（</w:t>
            </w:r>
            <w:r>
              <w:rPr>
                <w:rFonts w:hint="eastAsia" w:ascii="宋体" w:hAnsi="宋体" w:cs="宋体"/>
                <w:b/>
                <w:bCs/>
                <w:color w:val="auto"/>
                <w:sz w:val="24"/>
                <w:lang w:val="en-US" w:eastAsia="zh-CN"/>
              </w:rPr>
              <w:t>2</w:t>
            </w:r>
            <w:r>
              <w:rPr>
                <w:rFonts w:hint="eastAsia" w:ascii="宋体" w:hAnsi="宋体" w:cs="宋体"/>
                <w:b/>
                <w:bCs/>
                <w:color w:val="auto"/>
                <w:sz w:val="24"/>
                <w:lang w:eastAsia="zh-CN"/>
              </w:rPr>
              <w:t>）</w:t>
            </w:r>
            <w:r>
              <w:rPr>
                <w:rFonts w:hint="eastAsia" w:ascii="宋体" w:hAnsi="宋体" w:cs="宋体"/>
                <w:b/>
                <w:bCs/>
                <w:color w:val="auto"/>
                <w:sz w:val="24"/>
                <w:lang w:val="en-US" w:eastAsia="zh-CN"/>
              </w:rPr>
              <w:t>污水处理工艺比选</w:t>
            </w:r>
          </w:p>
          <w:p>
            <w:pPr>
              <w:adjustRightInd w:val="0"/>
              <w:snapToGrid w:val="0"/>
              <w:spacing w:line="480" w:lineRule="exact"/>
              <w:ind w:firstLine="480" w:firstLineChars="200"/>
              <w:rPr>
                <w:rFonts w:hint="eastAsia" w:ascii="宋体" w:hAnsi="宋体" w:cs="宋体"/>
                <w:color w:val="auto"/>
                <w:sz w:val="24"/>
              </w:rPr>
            </w:pPr>
            <w:r>
              <w:rPr>
                <w:rFonts w:hint="eastAsia" w:ascii="宋体" w:hAnsi="宋体" w:cs="宋体"/>
                <w:color w:val="auto"/>
                <w:sz w:val="24"/>
              </w:rPr>
              <w:t>本项目处理污水均为农村生活污水，由于农村内没有完善的雨水收集管网，部分雨水容易进入生活污水管网内，在雨天造成污水厂水量波动大、水质不稳定。因此，本污水处理工艺应在考虑具有脱氮除磷功能的前提下，应结合农村污水的特点，选择能较好适应农村污水水质、水量的变化，具有较强抵抗冲击负荷能力的处理工艺。</w:t>
            </w:r>
          </w:p>
          <w:p>
            <w:pPr>
              <w:adjustRightInd w:val="0"/>
              <w:snapToGrid w:val="0"/>
              <w:spacing w:line="480" w:lineRule="exact"/>
              <w:ind w:firstLine="480" w:firstLineChars="200"/>
              <w:rPr>
                <w:rFonts w:hint="eastAsia" w:ascii="宋体" w:hAnsi="宋体" w:cs="宋体"/>
                <w:color w:val="auto"/>
                <w:sz w:val="24"/>
              </w:rPr>
            </w:pPr>
            <w:r>
              <w:rPr>
                <w:rFonts w:hint="eastAsia" w:ascii="宋体" w:hAnsi="宋体" w:cs="宋体"/>
                <w:color w:val="auto"/>
                <w:sz w:val="24"/>
              </w:rPr>
              <w:t>基于本项目各村庄设计处理规模和出水水质标准来综合确定项目污水处理工艺。污水处理工艺总体可以分为一级处理工艺、二级处理工艺和深度处理工艺。</w:t>
            </w:r>
          </w:p>
          <w:p>
            <w:pPr>
              <w:adjustRightInd w:val="0"/>
              <w:snapToGrid w:val="0"/>
              <w:spacing w:line="480" w:lineRule="exact"/>
              <w:ind w:firstLine="482" w:firstLineChars="200"/>
              <w:rPr>
                <w:rFonts w:hint="default" w:ascii="宋体" w:hAnsi="宋体" w:eastAsia="宋体" w:cs="宋体"/>
                <w:b/>
                <w:bCs/>
                <w:sz w:val="24"/>
                <w:lang w:val="en-US" w:eastAsia="zh-CN"/>
              </w:rPr>
            </w:pPr>
            <w:r>
              <w:rPr>
                <w:rFonts w:hint="eastAsia" w:ascii="宋体" w:hAnsi="宋体" w:cs="宋体"/>
                <w:b/>
                <w:bCs/>
                <w:sz w:val="24"/>
                <w:lang w:val="en-US" w:eastAsia="zh-CN"/>
              </w:rPr>
              <w:t>1）一级处理方案</w:t>
            </w:r>
          </w:p>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一级处理目的是去除水中较大的漂浮物、砂砾及其他无机物，以避免损害后续机械设备，确保二级处理安全稳定运行。有条件的污水处理站还建设有调节池对水量和水质进行调节。一级处理设施主要包括人工格栅、提升井、沉砂池。</w:t>
            </w:r>
          </w:p>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目前常用的沉砂池有平流沉砂池、曝气沉砂池、旋流沉砂池。</w:t>
            </w:r>
          </w:p>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平流式沉砂池采用分散性颗粒的沉淀理论设计，只有当污水在沉砂池中的运行时间等于或大于设计的砂粒沉降时间，才能够实现砂粒的截留。</w:t>
            </w:r>
          </w:p>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旋流沉砂池有占地省、除砂效率高、操作环境好、设备运行可靠等特点，适应流量变化能力强。</w:t>
            </w:r>
          </w:p>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曝气沉砂池是在池的一侧通入空气，使污水沿池旋转前进，从而产生与主流垂直的横向恒速环流。曝气沉砂池的优点是通过调节曝气量，可以控制污水的旋流速度，使除砂效率较稳定，受流量变化的影响较小，同时，还对污水起预曝气作用。</w:t>
            </w:r>
          </w:p>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综上，确定本工程沉砂系统采用旋流沉砂池。</w:t>
            </w:r>
          </w:p>
          <w:p>
            <w:pPr>
              <w:adjustRightInd w:val="0"/>
              <w:snapToGrid w:val="0"/>
              <w:spacing w:line="480" w:lineRule="exact"/>
              <w:ind w:firstLine="482" w:firstLineChars="200"/>
              <w:rPr>
                <w:rFonts w:hint="default" w:ascii="Times New Roman" w:hAnsi="Times New Roman" w:eastAsia="宋体" w:cs="Times New Roman"/>
                <w:b/>
                <w:bCs/>
                <w:sz w:val="24"/>
                <w:lang w:val="en-US" w:eastAsia="zh-CN"/>
              </w:rPr>
            </w:pPr>
            <w:r>
              <w:rPr>
                <w:rFonts w:hint="default" w:ascii="Times New Roman" w:hAnsi="Times New Roman" w:cs="Times New Roman"/>
                <w:b/>
                <w:bCs/>
                <w:sz w:val="24"/>
                <w:lang w:val="en-US" w:eastAsia="zh-CN"/>
              </w:rPr>
              <w:t>2）二级处理方案</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二级处理工艺的选择直接关系到污水处理厂的出水水质、工程投资大小、运行成本高低以及运行管理是否简单等。因而选择技术成熟、可靠、运行成本低、管理操作简便的二级处理工艺是污水处理工程的关键。根据前续工艺选择的原则及本项目进水水质以及出水要求，所选用的污水处理工艺必须具有脱氮除磷的功能，目前国内外适用于城镇污水处理的方法很多，主要是以活性污泥为代表的SBR、A</w:t>
            </w:r>
            <w:r>
              <w:rPr>
                <w:rFonts w:hint="default" w:ascii="Times New Roman" w:hAnsi="Times New Roman" w:cs="Times New Roman"/>
                <w:sz w:val="24"/>
                <w:vertAlign w:val="superscript"/>
              </w:rPr>
              <w:t>2</w:t>
            </w:r>
            <w:r>
              <w:rPr>
                <w:rFonts w:hint="default" w:ascii="Times New Roman" w:hAnsi="Times New Roman" w:cs="Times New Roman"/>
                <w:sz w:val="24"/>
              </w:rPr>
              <w:t>/O、A/O等工艺。</w:t>
            </w:r>
          </w:p>
          <w:p>
            <w:pPr>
              <w:adjustRightInd w:val="0"/>
              <w:snapToGrid w:val="0"/>
              <w:spacing w:line="480" w:lineRule="exact"/>
              <w:ind w:firstLine="482" w:firstLineChars="200"/>
              <w:rPr>
                <w:rFonts w:hint="default" w:ascii="Times New Roman" w:hAnsi="Times New Roman" w:eastAsia="宋体" w:cs="Times New Roman"/>
                <w:b/>
                <w:bCs/>
                <w:sz w:val="24"/>
                <w:lang w:val="en-US" w:eastAsia="zh-CN"/>
              </w:rPr>
            </w:pPr>
            <w:r>
              <w:rPr>
                <w:rFonts w:hint="default" w:ascii="Times New Roman" w:hAnsi="Times New Roman" w:cs="Times New Roman"/>
                <w:b/>
                <w:bCs/>
                <w:sz w:val="24"/>
                <w:lang w:val="en-US" w:eastAsia="zh-CN"/>
              </w:rPr>
              <w:t>①SBR工艺</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SBR是序批式活性污泥法的简称，是一种按间歇曝气方式来运行的活性污泥污水处理技术。它的主要特征是在运行上的有序和间歇操作，SBR技术的核心是SBR 反应池，该池集均化、初沉、生物降解、二沉等功能于一池，无污泥回流系统。尤其适用于间歇排放和流量变化较大的场合。</w:t>
            </w:r>
          </w:p>
          <w:p>
            <w:pPr>
              <w:adjustRightInd w:val="0"/>
              <w:snapToGrid w:val="0"/>
              <w:spacing w:line="480" w:lineRule="exact"/>
              <w:ind w:firstLine="482" w:firstLineChars="200"/>
              <w:rPr>
                <w:rFonts w:hint="eastAsia" w:ascii="宋体" w:hAnsi="宋体" w:eastAsia="宋体" w:cs="宋体"/>
                <w:b/>
                <w:bCs/>
                <w:sz w:val="24"/>
                <w:lang w:val="en-US" w:eastAsia="zh-CN"/>
              </w:rPr>
            </w:pPr>
            <w:r>
              <w:rPr>
                <w:rFonts w:hint="eastAsia" w:ascii="宋体" w:hAnsi="宋体" w:cs="宋体"/>
                <w:b/>
                <w:bCs/>
                <w:sz w:val="24"/>
                <w:lang w:val="en-US" w:eastAsia="zh-CN"/>
              </w:rPr>
              <w:t>②</w:t>
            </w:r>
            <w:r>
              <w:rPr>
                <w:rFonts w:hint="default" w:ascii="Times New Roman" w:hAnsi="Times New Roman" w:cs="Times New Roman"/>
                <w:b/>
                <w:bCs/>
                <w:sz w:val="24"/>
              </w:rPr>
              <w:t>A</w:t>
            </w:r>
            <w:r>
              <w:rPr>
                <w:rFonts w:hint="default" w:ascii="Times New Roman" w:hAnsi="Times New Roman" w:cs="Times New Roman"/>
                <w:b/>
                <w:bCs/>
                <w:sz w:val="24"/>
                <w:vertAlign w:val="superscript"/>
              </w:rPr>
              <w:t>2</w:t>
            </w:r>
            <w:r>
              <w:rPr>
                <w:rFonts w:hint="default" w:ascii="Times New Roman" w:hAnsi="Times New Roman" w:cs="Times New Roman"/>
                <w:b/>
                <w:bCs/>
                <w:sz w:val="24"/>
              </w:rPr>
              <w:t>/O</w:t>
            </w:r>
            <w:r>
              <w:rPr>
                <w:rFonts w:hint="eastAsia" w:cs="Times New Roman"/>
                <w:b/>
                <w:bCs/>
                <w:sz w:val="24"/>
                <w:lang w:val="en-US" w:eastAsia="zh-CN"/>
              </w:rPr>
              <w:t>工艺</w:t>
            </w:r>
          </w:p>
          <w:p>
            <w:pPr>
              <w:adjustRightInd w:val="0"/>
              <w:snapToGrid w:val="0"/>
              <w:spacing w:line="480" w:lineRule="exact"/>
              <w:ind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A</w:t>
            </w:r>
            <w:r>
              <w:rPr>
                <w:rFonts w:hint="default" w:ascii="Times New Roman" w:hAnsi="Times New Roman" w:cs="Times New Roman"/>
                <w:sz w:val="24"/>
                <w:vertAlign w:val="superscript"/>
              </w:rPr>
              <w:t>2</w:t>
            </w:r>
            <w:r>
              <w:rPr>
                <w:rFonts w:hint="default" w:ascii="Times New Roman" w:hAnsi="Times New Roman" w:cs="Times New Roman"/>
                <w:sz w:val="24"/>
              </w:rPr>
              <w:t>/O生物除磷脱氮工艺是厌氧-缺氧-好氧生物除磷脱氮工艺的简称</w:t>
            </w:r>
            <w:r>
              <w:rPr>
                <w:rFonts w:hint="default" w:ascii="Times New Roman" w:hAnsi="Times New Roman" w:cs="Times New Roman"/>
                <w:sz w:val="24"/>
                <w:lang w:eastAsia="zh-CN"/>
              </w:rPr>
              <w:t>，该工艺具有同步除磷脱氮的功能。在首段厌氧池（DO≤0.2mg/L）主要进行磷的释放，使污水中磷的浓度升高，溶解性的有机物被细胞吸收导致水中的BOD</w:t>
            </w:r>
            <w:r>
              <w:rPr>
                <w:rFonts w:hint="default" w:ascii="Times New Roman" w:hAnsi="Times New Roman" w:cs="Times New Roman"/>
                <w:sz w:val="24"/>
                <w:vertAlign w:val="subscript"/>
                <w:lang w:eastAsia="zh-CN"/>
              </w:rPr>
              <w:t>5</w:t>
            </w:r>
            <w:r>
              <w:rPr>
                <w:rFonts w:hint="default" w:ascii="Times New Roman" w:hAnsi="Times New Roman" w:cs="Times New Roman"/>
                <w:sz w:val="24"/>
                <w:lang w:eastAsia="zh-CN"/>
              </w:rPr>
              <w:t>和NH</w:t>
            </w:r>
            <w:r>
              <w:rPr>
                <w:rFonts w:hint="default" w:ascii="Times New Roman" w:hAnsi="Times New Roman" w:cs="Times New Roman"/>
                <w:sz w:val="24"/>
                <w:vertAlign w:val="subscript"/>
                <w:lang w:eastAsia="zh-CN"/>
              </w:rPr>
              <w:t>3</w:t>
            </w:r>
            <w:r>
              <w:rPr>
                <w:rFonts w:hint="default" w:ascii="Times New Roman" w:hAnsi="Times New Roman" w:cs="Times New Roman"/>
                <w:sz w:val="24"/>
                <w:lang w:eastAsia="zh-CN"/>
              </w:rPr>
              <w:t>-N浓度降低。缺氧段（DO≤0.5mg/L）通过反消化脱氮。在缺氧池中，反硝化细菌利用污水中的有机物作碳源，将回流混合液中带入的大量NO</w:t>
            </w:r>
            <w:r>
              <w:rPr>
                <w:rFonts w:hint="default" w:ascii="Times New Roman" w:hAnsi="Times New Roman" w:cs="Times New Roman"/>
                <w:sz w:val="24"/>
                <w:vertAlign w:val="subscript"/>
                <w:lang w:eastAsia="zh-CN"/>
              </w:rPr>
              <w:t>3</w:t>
            </w:r>
            <w:r>
              <w:rPr>
                <w:rFonts w:hint="default" w:ascii="Times New Roman" w:hAnsi="Times New Roman" w:cs="Times New Roman"/>
                <w:sz w:val="24"/>
                <w:lang w:eastAsia="zh-CN"/>
              </w:rPr>
              <w:t>-N还原为N</w:t>
            </w:r>
            <w:r>
              <w:rPr>
                <w:rFonts w:hint="default" w:ascii="Times New Roman" w:hAnsi="Times New Roman" w:cs="Times New Roman"/>
                <w:sz w:val="24"/>
                <w:vertAlign w:val="subscript"/>
                <w:lang w:eastAsia="zh-CN"/>
              </w:rPr>
              <w:t>2</w:t>
            </w:r>
            <w:r>
              <w:rPr>
                <w:rFonts w:hint="default" w:ascii="Times New Roman" w:hAnsi="Times New Roman" w:cs="Times New Roman"/>
                <w:sz w:val="24"/>
                <w:lang w:eastAsia="zh-CN"/>
              </w:rPr>
              <w:t>释放，同时BOD</w:t>
            </w:r>
            <w:r>
              <w:rPr>
                <w:rFonts w:hint="default" w:ascii="Times New Roman" w:hAnsi="Times New Roman" w:cs="Times New Roman"/>
                <w:sz w:val="24"/>
                <w:vertAlign w:val="subscript"/>
                <w:lang w:eastAsia="zh-CN"/>
              </w:rPr>
              <w:t>5</w:t>
            </w:r>
            <w:r>
              <w:rPr>
                <w:rFonts w:hint="default" w:ascii="Times New Roman" w:hAnsi="Times New Roman" w:cs="Times New Roman"/>
                <w:sz w:val="24"/>
                <w:lang w:eastAsia="zh-CN"/>
              </w:rPr>
              <w:t>下降，NO</w:t>
            </w:r>
            <w:r>
              <w:rPr>
                <w:rFonts w:hint="default" w:ascii="Times New Roman" w:hAnsi="Times New Roman" w:cs="Times New Roman"/>
                <w:sz w:val="24"/>
                <w:vertAlign w:val="subscript"/>
                <w:lang w:eastAsia="zh-CN"/>
              </w:rPr>
              <w:t>3</w:t>
            </w:r>
            <w:r>
              <w:rPr>
                <w:rFonts w:hint="default" w:ascii="Times New Roman" w:hAnsi="Times New Roman" w:cs="Times New Roman"/>
                <w:sz w:val="24"/>
                <w:lang w:eastAsia="zh-CN"/>
              </w:rPr>
              <w:t>-N浓度大幅度下降，而磷的变化很小。在好氧池中（DO=2mg/L）进行有机物降解和氨氮的硝化，使NH</w:t>
            </w:r>
            <w:r>
              <w:rPr>
                <w:rFonts w:hint="default" w:ascii="Times New Roman" w:hAnsi="Times New Roman" w:cs="Times New Roman"/>
                <w:sz w:val="24"/>
                <w:vertAlign w:val="subscript"/>
                <w:lang w:eastAsia="zh-CN"/>
              </w:rPr>
              <w:t>3</w:t>
            </w:r>
            <w:r>
              <w:rPr>
                <w:rFonts w:hint="default" w:ascii="Times New Roman" w:hAnsi="Times New Roman" w:cs="Times New Roman"/>
                <w:sz w:val="24"/>
                <w:lang w:eastAsia="zh-CN"/>
              </w:rPr>
              <w:t>-N浓度显著下降，伴随硝化过程中NO</w:t>
            </w:r>
            <w:r>
              <w:rPr>
                <w:rFonts w:hint="default" w:ascii="Times New Roman" w:hAnsi="Times New Roman" w:cs="Times New Roman"/>
                <w:sz w:val="24"/>
                <w:vertAlign w:val="subscript"/>
                <w:lang w:eastAsia="zh-CN"/>
              </w:rPr>
              <w:t>3</w:t>
            </w:r>
            <w:r>
              <w:rPr>
                <w:rFonts w:hint="default" w:ascii="Times New Roman" w:hAnsi="Times New Roman" w:cs="Times New Roman"/>
                <w:sz w:val="24"/>
                <w:lang w:eastAsia="zh-CN"/>
              </w:rPr>
              <w:t>-N浓度的增加；随着聚磷菌的过量摄取，磷也以较快的速率下降。</w:t>
            </w:r>
          </w:p>
          <w:p>
            <w:pPr>
              <w:adjustRightInd w:val="0"/>
              <w:snapToGrid w:val="0"/>
              <w:spacing w:line="48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该工艺</w:t>
            </w:r>
            <w:r>
              <w:rPr>
                <w:rFonts w:hint="default" w:ascii="Times New Roman" w:hAnsi="Times New Roman" w:cs="Times New Roman"/>
                <w:sz w:val="24"/>
                <w:lang w:val="en-US" w:eastAsia="zh-CN"/>
              </w:rPr>
              <w:t>优点为：</w:t>
            </w:r>
            <w:r>
              <w:rPr>
                <w:rFonts w:hint="default" w:ascii="Times New Roman" w:hAnsi="Times New Roman" w:cs="Times New Roman"/>
                <w:sz w:val="24"/>
              </w:rPr>
              <w:t>流程简单，工艺成熟，可确保水质稳定达标；对水质、水量、温度适应能力较强，有较强的抗冲击能力；厌氧、缺氧、好氧三种不同的环境条件和不同种类微生物菌群的有机配合，具有降解有机物、协同脱氮除磷的功能；厌氧段、缺氧段和好氧段可共用一个池子，降低总水力停留时间，从而减少土建费用和占地面积；在厌氧-缺氧-好氧交替运行条件下，丝状菌不会大量繁殖，SVI值一般小于100，不会发生污泥膨胀，污泥沉降性好。</w:t>
            </w:r>
            <w:r>
              <w:rPr>
                <w:rFonts w:hint="eastAsia" w:ascii="Times New Roman" w:hAnsi="Times New Roman" w:cs="Times New Roman"/>
                <w:sz w:val="24"/>
                <w:lang w:val="en-US" w:eastAsia="zh-CN"/>
              </w:rPr>
              <w:t>缺点为：运行费用高，需配备具有专业技术人员管理；脱氮效果受到混合液回流限制，除磷效果则受到回流液中夹带的DO和硝酸态氧的影响，因而脱氮、除磷效果可能不高，且该工艺在除磷、脱氮方面不能同时取得较好的效果。</w:t>
            </w:r>
          </w:p>
          <w:p>
            <w:pPr>
              <w:adjustRightInd w:val="0"/>
              <w:snapToGrid w:val="0"/>
              <w:spacing w:line="480" w:lineRule="exact"/>
              <w:ind w:firstLine="482" w:firstLineChars="200"/>
              <w:rPr>
                <w:rFonts w:hint="eastAsia" w:ascii="宋体" w:hAnsi="宋体" w:eastAsia="宋体" w:cs="宋体"/>
                <w:b/>
                <w:bCs/>
                <w:sz w:val="24"/>
                <w:lang w:val="en-US" w:eastAsia="zh-CN"/>
              </w:rPr>
            </w:pPr>
            <w:r>
              <w:rPr>
                <w:rFonts w:hint="eastAsia" w:ascii="宋体" w:hAnsi="宋体" w:cs="宋体"/>
                <w:b/>
                <w:bCs/>
                <w:sz w:val="24"/>
                <w:lang w:val="en-US" w:eastAsia="zh-CN"/>
              </w:rPr>
              <w:t>③</w:t>
            </w:r>
            <w:r>
              <w:rPr>
                <w:rFonts w:hint="default" w:ascii="Times New Roman" w:hAnsi="Times New Roman" w:cs="Times New Roman"/>
                <w:b/>
                <w:bCs/>
                <w:sz w:val="24"/>
              </w:rPr>
              <w:t>A/O</w:t>
            </w:r>
            <w:r>
              <w:rPr>
                <w:rFonts w:hint="eastAsia" w:cs="Times New Roman"/>
                <w:b/>
                <w:bCs/>
                <w:sz w:val="24"/>
                <w:lang w:val="en-US" w:eastAsia="zh-CN"/>
              </w:rPr>
              <w:t>工艺</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A/O工艺将前段缺氧段和后段好氧段串联在一起，A段DO不大于0.2mg/L，O段DO=2~4mg/L。在缺氧段异养菌将污水中的淀粉、纤维、碳水化合物等悬浮污染物和可溶性有机物水解为有机酸，使大分子有机物分解为小分子有机物，不溶性的有机物转化成可溶性有机物，当这些经缺氧水解的产物进入好氧池进行好氧处理时，可提高污水的可生化性及氧的效率；在缺氧段，异养菌将蛋白质、脂肪等污染物进行氨化（有机链上的N或氨基酸中的氨基）游离出氨（NH</w:t>
            </w:r>
            <w:r>
              <w:rPr>
                <w:rFonts w:hint="default" w:ascii="Times New Roman" w:hAnsi="Times New Roman" w:cs="Times New Roman"/>
                <w:sz w:val="24"/>
                <w:vertAlign w:val="subscript"/>
              </w:rPr>
              <w:t>3</w:t>
            </w:r>
            <w:r>
              <w:rPr>
                <w:rFonts w:hint="default" w:ascii="Times New Roman" w:hAnsi="Times New Roman" w:cs="Times New Roman"/>
                <w:sz w:val="24"/>
              </w:rPr>
              <w:t>、NH</w:t>
            </w:r>
            <w:r>
              <w:rPr>
                <w:rFonts w:hint="default" w:ascii="Times New Roman" w:hAnsi="Times New Roman" w:cs="Times New Roman"/>
                <w:sz w:val="24"/>
                <w:vertAlign w:val="subscript"/>
              </w:rPr>
              <w:t>4</w:t>
            </w:r>
            <w:r>
              <w:rPr>
                <w:rFonts w:hint="default" w:ascii="Times New Roman" w:hAnsi="Times New Roman" w:cs="Times New Roman"/>
                <w:sz w:val="24"/>
                <w:vertAlign w:val="superscript"/>
              </w:rPr>
              <w:t>+</w:t>
            </w:r>
            <w:r>
              <w:rPr>
                <w:rFonts w:hint="default" w:ascii="Times New Roman" w:hAnsi="Times New Roman" w:cs="Times New Roman"/>
                <w:sz w:val="24"/>
              </w:rPr>
              <w:t>），在充足供氧条件下，自养菌的硝化作用将NH</w:t>
            </w:r>
            <w:r>
              <w:rPr>
                <w:rFonts w:hint="default" w:ascii="Times New Roman" w:hAnsi="Times New Roman" w:cs="Times New Roman"/>
                <w:sz w:val="24"/>
                <w:vertAlign w:val="subscript"/>
              </w:rPr>
              <w:t>3</w:t>
            </w:r>
            <w:r>
              <w:rPr>
                <w:rFonts w:hint="default" w:ascii="Times New Roman" w:hAnsi="Times New Roman" w:cs="Times New Roman"/>
                <w:sz w:val="24"/>
              </w:rPr>
              <w:t>-N（NH</w:t>
            </w:r>
            <w:r>
              <w:rPr>
                <w:rFonts w:hint="default" w:ascii="Times New Roman" w:hAnsi="Times New Roman" w:cs="Times New Roman"/>
                <w:sz w:val="24"/>
                <w:vertAlign w:val="subscript"/>
              </w:rPr>
              <w:t>4</w:t>
            </w:r>
            <w:r>
              <w:rPr>
                <w:rFonts w:hint="default" w:ascii="Times New Roman" w:hAnsi="Times New Roman" w:cs="Times New Roman"/>
                <w:sz w:val="24"/>
                <w:vertAlign w:val="superscript"/>
              </w:rPr>
              <w:t>+</w:t>
            </w:r>
            <w:r>
              <w:rPr>
                <w:rFonts w:hint="default" w:ascii="Times New Roman" w:hAnsi="Times New Roman" w:cs="Times New Roman"/>
                <w:sz w:val="24"/>
              </w:rPr>
              <w:t>）氧化为NO</w:t>
            </w:r>
            <w:r>
              <w:rPr>
                <w:rFonts w:hint="default" w:ascii="Times New Roman" w:hAnsi="Times New Roman" w:cs="Times New Roman"/>
                <w:sz w:val="24"/>
                <w:vertAlign w:val="subscript"/>
              </w:rPr>
              <w:t>3</w:t>
            </w:r>
            <w:r>
              <w:rPr>
                <w:rFonts w:hint="default" w:ascii="Times New Roman" w:hAnsi="Times New Roman" w:cs="Times New Roman"/>
                <w:sz w:val="24"/>
                <w:vertAlign w:val="superscript"/>
              </w:rPr>
              <w:t>-</w:t>
            </w:r>
            <w:r>
              <w:rPr>
                <w:rFonts w:hint="default" w:ascii="Times New Roman" w:hAnsi="Times New Roman" w:cs="Times New Roman"/>
                <w:sz w:val="24"/>
              </w:rPr>
              <w:t>，通过回流控制返回至A池，在缺氧条件下，异氧菌的反硝化作用将NO</w:t>
            </w:r>
            <w:r>
              <w:rPr>
                <w:rFonts w:hint="default" w:ascii="Times New Roman" w:hAnsi="Times New Roman" w:cs="Times New Roman"/>
                <w:sz w:val="24"/>
                <w:vertAlign w:val="subscript"/>
              </w:rPr>
              <w:t>3</w:t>
            </w:r>
            <w:r>
              <w:rPr>
                <w:rFonts w:hint="default" w:ascii="Times New Roman" w:hAnsi="Times New Roman" w:cs="Times New Roman"/>
                <w:sz w:val="24"/>
                <w:vertAlign w:val="superscript"/>
              </w:rPr>
              <w:t>-</w:t>
            </w:r>
            <w:r>
              <w:rPr>
                <w:rFonts w:hint="default" w:ascii="Times New Roman" w:hAnsi="Times New Roman" w:cs="Times New Roman"/>
                <w:sz w:val="24"/>
              </w:rPr>
              <w:t>还原为分子态氮（N</w:t>
            </w:r>
            <w:r>
              <w:rPr>
                <w:rFonts w:hint="default" w:ascii="Times New Roman" w:hAnsi="Times New Roman" w:cs="Times New Roman"/>
                <w:sz w:val="24"/>
                <w:vertAlign w:val="subscript"/>
              </w:rPr>
              <w:t>2</w:t>
            </w:r>
            <w:r>
              <w:rPr>
                <w:rFonts w:hint="default" w:ascii="Times New Roman" w:hAnsi="Times New Roman" w:cs="Times New Roman"/>
                <w:sz w:val="24"/>
              </w:rPr>
              <w:t>）完成C、N、O 在生态中的循环，实现污水无害化处理。</w:t>
            </w:r>
          </w:p>
          <w:p>
            <w:pPr>
              <w:adjustRightInd w:val="0"/>
              <w:snapToGrid w:val="0"/>
              <w:spacing w:line="480" w:lineRule="exact"/>
              <w:ind w:firstLine="480" w:firstLineChars="200"/>
              <w:rPr>
                <w:rFonts w:hint="default" w:ascii="Times New Roman" w:hAnsi="Times New Roman" w:cs="Times New Roman"/>
                <w:sz w:val="24"/>
                <w:lang w:val="en-US"/>
              </w:rPr>
            </w:pPr>
            <w:r>
              <w:rPr>
                <w:rFonts w:hint="default" w:ascii="Times New Roman" w:hAnsi="Times New Roman" w:cs="Times New Roman"/>
                <w:sz w:val="24"/>
              </w:rPr>
              <w:t>该工艺</w:t>
            </w:r>
            <w:r>
              <w:rPr>
                <w:rFonts w:hint="default" w:ascii="Times New Roman" w:hAnsi="Times New Roman" w:cs="Times New Roman"/>
                <w:sz w:val="24"/>
                <w:lang w:val="en-US" w:eastAsia="zh-CN"/>
              </w:rPr>
              <w:t>优点为：该工艺对废水中的有机物，氨氮等均有较高的去除效率。当总停留时间大于54h，经生物脱氮后的出水再经过混凝沉淀，可将COD值降至100mg/L以下，其他指标也达到排放标准，总氮去除率在70%以上。流程简单，投资省，操作费用低。该工艺是以废水中的有机物作为反硝化的碳源，故不需要再另加甲醇等昂贵的碳源。尤其在蒸氨塔设置有脱固定氨的装置后，提高碳氮比，在反硝化过程中产生的碱度相应地降低了硝化过程需要的碱耗。</w:t>
            </w:r>
            <w:r>
              <w:rPr>
                <w:rFonts w:hint="eastAsia" w:cs="Times New Roman"/>
                <w:sz w:val="24"/>
                <w:lang w:val="en-US" w:eastAsia="zh-CN"/>
              </w:rPr>
              <w:t>缺点为：特定污染物难降解。由于工艺没有独立的污泥回流系统，从而不能培养出具有独特功能的污泥，难降解物质的降解率较低；脱氮率低于90%。若要提高脱氮效率，必须加大内循环比，因而加大了运行费用。另外，内循环液来自曝气池，含有一定的DO，使A段难以保持理想的缺氧状态，影响反硝化效果，脱氮率很难达到90%。</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综上，A</w:t>
            </w:r>
            <w:r>
              <w:rPr>
                <w:rFonts w:hint="default" w:ascii="Times New Roman" w:hAnsi="Times New Roman" w:cs="Times New Roman"/>
                <w:sz w:val="24"/>
                <w:vertAlign w:val="superscript"/>
              </w:rPr>
              <w:t>2</w:t>
            </w:r>
            <w:r>
              <w:rPr>
                <w:rFonts w:hint="default" w:ascii="Times New Roman" w:hAnsi="Times New Roman" w:cs="Times New Roman"/>
                <w:sz w:val="24"/>
              </w:rPr>
              <w:t>/O工艺水力停留时间较短，占地面积小，兼顾脱氮和除磷，且出水效果稳定，运行费用较低。但A</w:t>
            </w:r>
            <w:r>
              <w:rPr>
                <w:rFonts w:hint="default" w:ascii="Times New Roman" w:hAnsi="Times New Roman" w:cs="Times New Roman"/>
                <w:sz w:val="24"/>
                <w:vertAlign w:val="superscript"/>
              </w:rPr>
              <w:t>2</w:t>
            </w:r>
            <w:r>
              <w:rPr>
                <w:rFonts w:hint="default" w:ascii="Times New Roman" w:hAnsi="Times New Roman" w:cs="Times New Roman"/>
                <w:sz w:val="24"/>
              </w:rPr>
              <w:t>/O工艺也存在反硝化菌与聚磷菌之间存在碳源的竞争的问题，很难同时取得好的脱氮除磷效果，且污泥中的硝酸盐氮，亚硝酸盐氮在二沉池中发生反硝化产生的氮气附着在污泥的表面而使其污泥的沉降性能较差，出水SS升高。五段AO工艺作为A</w:t>
            </w:r>
            <w:r>
              <w:rPr>
                <w:rFonts w:hint="default" w:ascii="Times New Roman" w:hAnsi="Times New Roman" w:cs="Times New Roman"/>
                <w:sz w:val="24"/>
                <w:vertAlign w:val="superscript"/>
              </w:rPr>
              <w:t>2</w:t>
            </w:r>
            <w:r>
              <w:rPr>
                <w:rFonts w:hint="default" w:ascii="Times New Roman" w:hAnsi="Times New Roman" w:cs="Times New Roman"/>
                <w:sz w:val="24"/>
              </w:rPr>
              <w:t>/O的改良工艺，在A</w:t>
            </w:r>
            <w:r>
              <w:rPr>
                <w:rFonts w:hint="default" w:ascii="Times New Roman" w:hAnsi="Times New Roman" w:cs="Times New Roman"/>
                <w:sz w:val="24"/>
                <w:vertAlign w:val="superscript"/>
              </w:rPr>
              <w:t>2</w:t>
            </w:r>
            <w:r>
              <w:rPr>
                <w:rFonts w:hint="default" w:ascii="Times New Roman" w:hAnsi="Times New Roman" w:cs="Times New Roman"/>
                <w:sz w:val="24"/>
              </w:rPr>
              <w:t>/O脱氮工艺的基础上又增设缺氧段Ⅱ和好氧段Ⅱ，缺氧段Ⅱ能对从好氧段Ⅰ流入的混合液中的NO</w:t>
            </w:r>
            <w:r>
              <w:rPr>
                <w:rFonts w:hint="default" w:ascii="Times New Roman" w:hAnsi="Times New Roman" w:cs="Times New Roman"/>
                <w:sz w:val="24"/>
                <w:vertAlign w:val="subscript"/>
              </w:rPr>
              <w:t>3</w:t>
            </w:r>
            <w:r>
              <w:rPr>
                <w:rFonts w:hint="default" w:ascii="Times New Roman" w:hAnsi="Times New Roman" w:cs="Times New Roman"/>
                <w:sz w:val="24"/>
              </w:rPr>
              <w:t>-N在反硝化菌作用下进行反硝化脱氮，使该工艺的脱氮率高达90%~95%，而好氧段Ⅱ能提高出流混合液中的DO浓度，防止在沉淀池内因缺氧产生反硝化，干扰污泥的沉降，从而改善沉淀池中污泥的沉降性能为保证出水效果，确保出水水质稳定达标。</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综上，本工程生化处理阶段拟选择改良A</w:t>
            </w:r>
            <w:r>
              <w:rPr>
                <w:rFonts w:hint="default" w:ascii="Times New Roman" w:hAnsi="Times New Roman" w:cs="Times New Roman"/>
                <w:sz w:val="24"/>
                <w:vertAlign w:val="superscript"/>
              </w:rPr>
              <w:t>2</w:t>
            </w:r>
            <w:r>
              <w:rPr>
                <w:rFonts w:hint="default" w:ascii="Times New Roman" w:hAnsi="Times New Roman" w:cs="Times New Roman"/>
                <w:sz w:val="24"/>
              </w:rPr>
              <w:t>/O工艺即A</w:t>
            </w:r>
            <w:r>
              <w:rPr>
                <w:rFonts w:hint="default" w:ascii="Times New Roman" w:hAnsi="Times New Roman" w:cs="Times New Roman"/>
                <w:sz w:val="24"/>
                <w:vertAlign w:val="superscript"/>
              </w:rPr>
              <w:t>2</w:t>
            </w:r>
            <w:r>
              <w:rPr>
                <w:rFonts w:hint="default" w:ascii="Times New Roman" w:hAnsi="Times New Roman" w:cs="Times New Roman"/>
                <w:sz w:val="24"/>
              </w:rPr>
              <w:t>/O+A/O工艺作为二级污水处理方案。</w:t>
            </w:r>
          </w:p>
          <w:p>
            <w:pPr>
              <w:adjustRightInd w:val="0"/>
              <w:snapToGrid w:val="0"/>
              <w:spacing w:line="480" w:lineRule="exact"/>
              <w:ind w:firstLine="482" w:firstLineChars="200"/>
              <w:rPr>
                <w:rFonts w:hint="default" w:ascii="Times New Roman" w:hAnsi="Times New Roman" w:eastAsia="宋体" w:cs="Times New Roman"/>
                <w:b/>
                <w:bCs/>
                <w:sz w:val="24"/>
                <w:lang w:val="en-US" w:eastAsia="zh-CN"/>
              </w:rPr>
            </w:pPr>
            <w:r>
              <w:rPr>
                <w:rFonts w:hint="eastAsia" w:cs="Times New Roman"/>
                <w:b/>
                <w:bCs/>
                <w:sz w:val="24"/>
                <w:lang w:val="en-US" w:eastAsia="zh-CN"/>
              </w:rPr>
              <w:t>3</w:t>
            </w:r>
            <w:r>
              <w:rPr>
                <w:rFonts w:hint="default" w:ascii="Times New Roman" w:hAnsi="Times New Roman" w:cs="Times New Roman"/>
                <w:b/>
                <w:bCs/>
                <w:sz w:val="24"/>
                <w:lang w:val="en-US" w:eastAsia="zh-CN"/>
              </w:rPr>
              <w:t>）</w:t>
            </w:r>
            <w:r>
              <w:rPr>
                <w:rFonts w:hint="eastAsia" w:cs="Times New Roman"/>
                <w:b/>
                <w:bCs/>
                <w:sz w:val="24"/>
                <w:lang w:val="en-US" w:eastAsia="zh-CN"/>
              </w:rPr>
              <w:t>深度</w:t>
            </w:r>
            <w:r>
              <w:rPr>
                <w:rFonts w:hint="default" w:ascii="Times New Roman" w:hAnsi="Times New Roman" w:cs="Times New Roman"/>
                <w:b/>
                <w:bCs/>
                <w:sz w:val="24"/>
                <w:lang w:val="en-US" w:eastAsia="zh-CN"/>
              </w:rPr>
              <w:t>处理方案</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深度处理的目的是去除处理水中残存的悬浮物；脱色脱臭，使水进一步得到澄清；进一步降低BOD</w:t>
            </w:r>
            <w:r>
              <w:rPr>
                <w:rFonts w:hint="default" w:ascii="Times New Roman" w:hAnsi="Times New Roman" w:cs="Times New Roman"/>
                <w:sz w:val="24"/>
                <w:vertAlign w:val="subscript"/>
              </w:rPr>
              <w:t>5</w:t>
            </w:r>
            <w:r>
              <w:rPr>
                <w:rFonts w:hint="default" w:ascii="Times New Roman" w:hAnsi="Times New Roman" w:cs="Times New Roman"/>
                <w:sz w:val="24"/>
              </w:rPr>
              <w:t>、COD</w:t>
            </w:r>
            <w:r>
              <w:rPr>
                <w:rFonts w:hint="default" w:ascii="Times New Roman" w:hAnsi="Times New Roman" w:cs="Times New Roman"/>
                <w:sz w:val="24"/>
                <w:vertAlign w:val="subscript"/>
              </w:rPr>
              <w:t>Cr</w:t>
            </w:r>
            <w:r>
              <w:rPr>
                <w:rFonts w:hint="default" w:ascii="Times New Roman" w:hAnsi="Times New Roman" w:cs="Times New Roman"/>
                <w:sz w:val="24"/>
              </w:rPr>
              <w:t>、TOC等指标，使水进一步稳定；脱氮、脱磷，消除能够导致水体富营养化的因素；消毒杀菌，去除水中的有毒、有害物质。</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目前用于深度处理的工艺方法较多，主要分为两大类型：一类是物理与化学处理工艺；另一类是生物与物理化学的处理工艺。其中主要包括混凝-沉淀（澄清）过滤法、直接过滤法、微絮凝过滤法、活性炭吸附法、超滤膜法、微滤膜法、纳滤膜法、半透膜法、接触氧化法、生物快滤池法、流动床生物氧化硝化法等。对于水质要求更高的回用水用户，也可在深度处理中增加氨吹脱、离子交换、折点加氯、反渗透、臭氧氧化等单元技术中的一种或几种组合。考虑到实际应用中处理目的和要求的不同，也可采用以上工艺组合。</w:t>
            </w:r>
          </w:p>
          <w:p>
            <w:pPr>
              <w:adjustRightInd w:val="0"/>
              <w:snapToGrid w:val="0"/>
              <w:spacing w:line="480" w:lineRule="exact"/>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本次对混凝沉淀、MBR生物膜法进行必选。</w:t>
            </w:r>
          </w:p>
          <w:p>
            <w:pPr>
              <w:adjustRightInd w:val="0"/>
              <w:snapToGrid w:val="0"/>
              <w:spacing w:line="48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表2-18  两种深度处理工艺对比</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3832"/>
              <w:gridCol w:w="3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方案</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1</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工艺</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eastAsia="宋体" w:cs="Times New Roman"/>
                      <w:sz w:val="23"/>
                      <w:szCs w:val="24"/>
                    </w:rPr>
                    <w:t>预处理</w:t>
                  </w:r>
                  <w:r>
                    <w:rPr>
                      <w:rFonts w:hint="default" w:ascii="Times New Roman" w:hAnsi="Times New Roman" w:eastAsia="TimesNewRomanPSMT" w:cs="Times New Roman"/>
                      <w:sz w:val="23"/>
                      <w:szCs w:val="24"/>
                    </w:rPr>
                    <w:t>+A</w:t>
                  </w:r>
                  <w:r>
                    <w:rPr>
                      <w:rFonts w:hint="default" w:ascii="Times New Roman" w:hAnsi="Times New Roman" w:eastAsia="宋体" w:cs="Times New Roman"/>
                      <w:sz w:val="23"/>
                      <w:szCs w:val="24"/>
                      <w:vertAlign w:val="superscript"/>
                      <w:lang w:val="en-US" w:eastAsia="zh-CN"/>
                    </w:rPr>
                    <w:t>2</w:t>
                  </w:r>
                  <w:r>
                    <w:rPr>
                      <w:rFonts w:hint="default" w:ascii="Times New Roman" w:hAnsi="Times New Roman" w:eastAsia="TimesNewRomanPSMT" w:cs="Times New Roman"/>
                      <w:sz w:val="23"/>
                      <w:szCs w:val="24"/>
                    </w:rPr>
                    <w:t>/O+</w:t>
                  </w:r>
                  <w:r>
                    <w:rPr>
                      <w:rFonts w:hint="default" w:ascii="Times New Roman" w:hAnsi="Times New Roman" w:eastAsia="宋体" w:cs="Times New Roman"/>
                      <w:sz w:val="23"/>
                      <w:szCs w:val="24"/>
                    </w:rPr>
                    <w:t>混凝沉淀过</w:t>
                  </w:r>
                  <w:r>
                    <w:rPr>
                      <w:rFonts w:hint="default" w:ascii="Times New Roman" w:hAnsi="Times New Roman" w:eastAsia="宋体" w:cs="Times New Roman"/>
                      <w:sz w:val="23"/>
                      <w:szCs w:val="24"/>
                      <w:lang w:val="en-US" w:eastAsia="zh-CN"/>
                    </w:rPr>
                    <w:t>滤</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eastAsia="宋体" w:cs="Times New Roman"/>
                      <w:sz w:val="23"/>
                      <w:szCs w:val="24"/>
                    </w:rPr>
                    <w:t>预处理</w:t>
                  </w:r>
                  <w:r>
                    <w:rPr>
                      <w:rFonts w:hint="default" w:ascii="Times New Roman" w:hAnsi="Times New Roman" w:eastAsia="TimesNewRomanPSMT" w:cs="Times New Roman"/>
                      <w:sz w:val="23"/>
                      <w:szCs w:val="24"/>
                    </w:rPr>
                    <w:t>+A</w:t>
                  </w:r>
                  <w:r>
                    <w:rPr>
                      <w:rFonts w:hint="default" w:ascii="Times New Roman" w:hAnsi="Times New Roman" w:eastAsia="宋体" w:cs="Times New Roman"/>
                      <w:sz w:val="23"/>
                      <w:szCs w:val="24"/>
                      <w:vertAlign w:val="superscript"/>
                      <w:lang w:val="en-US" w:eastAsia="zh-CN"/>
                    </w:rPr>
                    <w:t>2</w:t>
                  </w:r>
                  <w:r>
                    <w:rPr>
                      <w:rFonts w:hint="default" w:ascii="Times New Roman" w:hAnsi="Times New Roman" w:eastAsia="TimesNewRomanPSMT" w:cs="Times New Roman"/>
                      <w:sz w:val="23"/>
                      <w:szCs w:val="24"/>
                    </w:rPr>
                    <w:t>/O+</w:t>
                  </w:r>
                  <w:r>
                    <w:rPr>
                      <w:rFonts w:hint="eastAsia" w:eastAsia="宋体" w:cs="Times New Roman"/>
                      <w:sz w:val="23"/>
                      <w:szCs w:val="24"/>
                      <w:lang w:val="en-US" w:eastAsia="zh-CN"/>
                    </w:rPr>
                    <w:t>MBR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处理效果</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出水COD、NH</w:t>
                  </w:r>
                  <w:r>
                    <w:rPr>
                      <w:rFonts w:hint="default" w:ascii="Times New Roman" w:hAnsi="Times New Roman" w:cs="Times New Roman"/>
                      <w:sz w:val="21"/>
                      <w:szCs w:val="18"/>
                      <w:vertAlign w:val="subscript"/>
                    </w:rPr>
                    <w:t>3</w:t>
                  </w:r>
                  <w:r>
                    <w:rPr>
                      <w:rFonts w:hint="default" w:ascii="Times New Roman" w:hAnsi="Times New Roman" w:cs="Times New Roman"/>
                      <w:sz w:val="21"/>
                      <w:szCs w:val="18"/>
                      <w:vertAlign w:val="baseline"/>
                    </w:rPr>
                    <w:t>-N、TP可达到《地表水环境质量标准》（GB3838-2002）Ⅴ类标准限值要求，其余可达到《城镇污水处理厂污染物排放标准》（GB18918-2002）中的一级A标准</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出水COD、NH</w:t>
                  </w:r>
                  <w:r>
                    <w:rPr>
                      <w:rFonts w:hint="default" w:ascii="Times New Roman" w:hAnsi="Times New Roman" w:cs="Times New Roman"/>
                      <w:sz w:val="21"/>
                      <w:szCs w:val="18"/>
                      <w:vertAlign w:val="subscript"/>
                    </w:rPr>
                    <w:t>3</w:t>
                  </w:r>
                  <w:r>
                    <w:rPr>
                      <w:rFonts w:hint="default" w:ascii="Times New Roman" w:hAnsi="Times New Roman" w:cs="Times New Roman"/>
                      <w:sz w:val="21"/>
                      <w:szCs w:val="18"/>
                      <w:vertAlign w:val="baseline"/>
                    </w:rPr>
                    <w:t>-N、TP可达到《地表水环境质量标准》（GB3838-2002）Ⅴ类标准限值要求，其余可达到《城镇污水处理厂污染物排放标准》（GB18918-2002）中的一级A标准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主要优点</w:t>
                  </w:r>
                </w:p>
              </w:tc>
              <w:tc>
                <w:tcPr>
                  <w:tcW w:w="2171" w:type="pct"/>
                  <w:vAlign w:val="center"/>
                </w:tcPr>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1</w:t>
                  </w:r>
                  <w:r>
                    <w:rPr>
                      <w:rFonts w:hint="eastAsia" w:ascii="宋体" w:hAnsi="宋体" w:eastAsia="宋体"/>
                      <w:sz w:val="23"/>
                      <w:szCs w:val="24"/>
                    </w:rPr>
                    <w:t>、容积负荷高；</w:t>
                  </w:r>
                </w:p>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2</w:t>
                  </w:r>
                  <w:r>
                    <w:rPr>
                      <w:rFonts w:hint="eastAsia" w:ascii="宋体" w:hAnsi="宋体" w:eastAsia="宋体"/>
                      <w:sz w:val="23"/>
                      <w:szCs w:val="24"/>
                    </w:rPr>
                    <w:t>、生物系统抗冲击负荷能力强；</w:t>
                  </w:r>
                </w:p>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3</w:t>
                  </w:r>
                  <w:r>
                    <w:rPr>
                      <w:rFonts w:hint="eastAsia" w:ascii="宋体" w:hAnsi="宋体" w:eastAsia="宋体"/>
                      <w:sz w:val="23"/>
                      <w:szCs w:val="24"/>
                    </w:rPr>
                    <w:t>、解决传统</w:t>
                  </w:r>
                  <w:r>
                    <w:rPr>
                      <w:rFonts w:hint="eastAsia" w:ascii="TimesNewRomanPSMT" w:hAnsi="TimesNewRomanPSMT" w:eastAsia="TimesNewRomanPSMT"/>
                      <w:sz w:val="23"/>
                      <w:szCs w:val="24"/>
                    </w:rPr>
                    <w:t>A</w:t>
                  </w:r>
                  <w:r>
                    <w:rPr>
                      <w:rFonts w:hint="eastAsia" w:ascii="TimesNewRomanPSMT" w:hAnsi="TimesNewRomanPSMT" w:eastAsia="宋体"/>
                      <w:sz w:val="23"/>
                      <w:szCs w:val="24"/>
                      <w:vertAlign w:val="superscript"/>
                      <w:lang w:val="en-US" w:eastAsia="zh-CN"/>
                    </w:rPr>
                    <w:t>2</w:t>
                  </w:r>
                  <w:r>
                    <w:rPr>
                      <w:rFonts w:hint="eastAsia" w:ascii="TimesNewRomanPSMT" w:hAnsi="TimesNewRomanPSMT" w:eastAsia="TimesNewRomanPSMT"/>
                      <w:sz w:val="23"/>
                      <w:szCs w:val="24"/>
                    </w:rPr>
                    <w:t>/O</w:t>
                  </w:r>
                  <w:r>
                    <w:rPr>
                      <w:rFonts w:hint="eastAsia" w:ascii="宋体" w:hAnsi="宋体" w:eastAsia="宋体"/>
                      <w:sz w:val="23"/>
                      <w:szCs w:val="24"/>
                    </w:rPr>
                    <w:t>泥龄矛盾问题，可同步强化脱氮除磷效果；</w:t>
                  </w:r>
                </w:p>
                <w:p>
                  <w:pPr>
                    <w:spacing w:beforeLines="0" w:afterLines="0"/>
                    <w:jc w:val="left"/>
                    <w:rPr>
                      <w:rFonts w:hint="default" w:ascii="Times New Roman" w:hAnsi="Times New Roman" w:cs="Times New Roman"/>
                      <w:sz w:val="21"/>
                      <w:szCs w:val="18"/>
                      <w:vertAlign w:val="baseline"/>
                    </w:rPr>
                  </w:pPr>
                  <w:r>
                    <w:rPr>
                      <w:rFonts w:hint="eastAsia" w:ascii="TimesNewRomanPSMT" w:hAnsi="TimesNewRomanPSMT" w:eastAsia="TimesNewRomanPSMT"/>
                      <w:sz w:val="23"/>
                      <w:szCs w:val="24"/>
                    </w:rPr>
                    <w:t>4</w:t>
                  </w:r>
                  <w:r>
                    <w:rPr>
                      <w:rFonts w:hint="eastAsia" w:ascii="宋体" w:hAnsi="宋体" w:eastAsia="宋体"/>
                      <w:sz w:val="23"/>
                      <w:szCs w:val="24"/>
                    </w:rPr>
                    <w:t>、混凝、沉淀、过滤工艺运行稳定、可靠，操作简单。</w:t>
                  </w:r>
                </w:p>
              </w:tc>
              <w:tc>
                <w:tcPr>
                  <w:tcW w:w="2171" w:type="pct"/>
                  <w:vAlign w:val="center"/>
                </w:tcPr>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1</w:t>
                  </w:r>
                  <w:r>
                    <w:rPr>
                      <w:rFonts w:hint="eastAsia" w:ascii="宋体" w:hAnsi="宋体" w:eastAsia="宋体"/>
                      <w:sz w:val="23"/>
                      <w:szCs w:val="24"/>
                    </w:rPr>
                    <w:t>、容积负荷高；</w:t>
                  </w:r>
                </w:p>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2</w:t>
                  </w:r>
                  <w:r>
                    <w:rPr>
                      <w:rFonts w:hint="eastAsia" w:ascii="宋体" w:hAnsi="宋体" w:eastAsia="宋体"/>
                      <w:sz w:val="23"/>
                      <w:szCs w:val="24"/>
                    </w:rPr>
                    <w:t>、工艺流程短，运行控制灵活稳定，自动化程度高，管理简单；</w:t>
                  </w:r>
                </w:p>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3</w:t>
                  </w:r>
                  <w:r>
                    <w:rPr>
                      <w:rFonts w:hint="eastAsia" w:ascii="宋体" w:hAnsi="宋体" w:eastAsia="宋体"/>
                      <w:sz w:val="23"/>
                      <w:szCs w:val="24"/>
                    </w:rPr>
                    <w:t>、污泥龄长，污泥排放少；</w:t>
                  </w:r>
                </w:p>
                <w:p>
                  <w:pPr>
                    <w:spacing w:beforeLines="0" w:afterLines="0"/>
                    <w:jc w:val="left"/>
                    <w:rPr>
                      <w:rFonts w:hint="default" w:ascii="Times New Roman" w:hAnsi="Times New Roman" w:cs="Times New Roman"/>
                      <w:sz w:val="21"/>
                      <w:szCs w:val="18"/>
                      <w:vertAlign w:val="baseline"/>
                    </w:rPr>
                  </w:pPr>
                  <w:r>
                    <w:rPr>
                      <w:rFonts w:hint="eastAsia" w:ascii="TimesNewRomanPSMT" w:hAnsi="TimesNewRomanPSMT" w:eastAsia="TimesNewRomanPSMT"/>
                      <w:sz w:val="23"/>
                      <w:szCs w:val="24"/>
                    </w:rPr>
                    <w:t>4</w:t>
                  </w:r>
                  <w:r>
                    <w:rPr>
                      <w:rFonts w:hint="eastAsia" w:ascii="宋体" w:hAnsi="宋体" w:eastAsia="宋体"/>
                      <w:sz w:val="23"/>
                      <w:szCs w:val="24"/>
                    </w:rPr>
                    <w:t>、膜具有高效分离作用，不需要增加二沉池及深度处理阶段。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主要缺点</w:t>
                  </w:r>
                </w:p>
              </w:tc>
              <w:tc>
                <w:tcPr>
                  <w:tcW w:w="2171" w:type="pct"/>
                  <w:vAlign w:val="center"/>
                </w:tcPr>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1</w:t>
                  </w:r>
                  <w:r>
                    <w:rPr>
                      <w:rFonts w:hint="eastAsia" w:ascii="宋体" w:hAnsi="宋体" w:eastAsia="宋体"/>
                      <w:sz w:val="23"/>
                      <w:szCs w:val="24"/>
                    </w:rPr>
                    <w:t>、生化段污泥出水含水率高；</w:t>
                  </w:r>
                </w:p>
                <w:p>
                  <w:pPr>
                    <w:spacing w:beforeLines="0" w:afterLines="0"/>
                    <w:jc w:val="left"/>
                    <w:rPr>
                      <w:rFonts w:hint="default" w:ascii="Times New Roman" w:hAnsi="Times New Roman" w:cs="Times New Roman"/>
                      <w:sz w:val="21"/>
                      <w:szCs w:val="18"/>
                      <w:vertAlign w:val="baseline"/>
                    </w:rPr>
                  </w:pPr>
                  <w:r>
                    <w:rPr>
                      <w:rFonts w:hint="eastAsia" w:ascii="TimesNewRomanPSMT" w:hAnsi="TimesNewRomanPSMT" w:eastAsia="TimesNewRomanPSMT"/>
                      <w:sz w:val="23"/>
                      <w:szCs w:val="24"/>
                    </w:rPr>
                    <w:t>2</w:t>
                  </w:r>
                  <w:r>
                    <w:rPr>
                      <w:rFonts w:hint="eastAsia" w:ascii="宋体" w:hAnsi="宋体" w:eastAsia="宋体"/>
                      <w:sz w:val="23"/>
                      <w:szCs w:val="24"/>
                    </w:rPr>
                    <w:t>、深度处理采用化学方式，需要投加药剂。</w:t>
                  </w:r>
                </w:p>
              </w:tc>
              <w:tc>
                <w:tcPr>
                  <w:tcW w:w="2171" w:type="pct"/>
                  <w:vAlign w:val="center"/>
                </w:tcPr>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1</w:t>
                  </w:r>
                  <w:r>
                    <w:rPr>
                      <w:rFonts w:hint="eastAsia" w:ascii="宋体" w:hAnsi="宋体" w:eastAsia="宋体"/>
                      <w:sz w:val="23"/>
                      <w:szCs w:val="24"/>
                    </w:rPr>
                    <w:t>、膜造价高且冬天膜通量降低，无法保障处理水量。</w:t>
                  </w:r>
                </w:p>
                <w:p>
                  <w:pPr>
                    <w:spacing w:beforeLines="0" w:afterLines="0"/>
                    <w:jc w:val="left"/>
                    <w:rPr>
                      <w:rFonts w:hint="eastAsia" w:ascii="宋体" w:hAnsi="宋体" w:eastAsia="宋体"/>
                      <w:sz w:val="23"/>
                      <w:szCs w:val="24"/>
                    </w:rPr>
                  </w:pPr>
                  <w:r>
                    <w:rPr>
                      <w:rFonts w:hint="eastAsia" w:ascii="TimesNewRomanPSMT" w:hAnsi="TimesNewRomanPSMT" w:eastAsia="TimesNewRomanPSMT"/>
                      <w:sz w:val="23"/>
                      <w:szCs w:val="24"/>
                    </w:rPr>
                    <w:t>2</w:t>
                  </w:r>
                  <w:r>
                    <w:rPr>
                      <w:rFonts w:hint="eastAsia" w:ascii="宋体" w:hAnsi="宋体" w:eastAsia="宋体"/>
                      <w:sz w:val="23"/>
                      <w:szCs w:val="24"/>
                    </w:rPr>
                    <w:t>、膜污染容易出现，且运行能耗高。</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sz w:val="21"/>
                      <w:szCs w:val="18"/>
                      <w:vertAlign w:val="baseline"/>
                    </w:rPr>
                  </w:pPr>
                  <w:r>
                    <w:rPr>
                      <w:rFonts w:hint="eastAsia" w:ascii="TimesNewRomanPSMT" w:hAnsi="TimesNewRomanPSMT" w:eastAsia="TimesNewRomanPSMT"/>
                      <w:sz w:val="23"/>
                      <w:szCs w:val="24"/>
                    </w:rPr>
                    <w:t>3</w:t>
                  </w:r>
                  <w:r>
                    <w:rPr>
                      <w:rFonts w:hint="eastAsia" w:ascii="宋体" w:hAnsi="宋体" w:eastAsia="宋体"/>
                      <w:sz w:val="23"/>
                      <w:szCs w:val="24"/>
                    </w:rPr>
                    <w:t>、膜更换成本较高。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占地面积</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较大</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吨水建设成本</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一般</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运行成本</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一般</w:t>
                  </w:r>
                </w:p>
              </w:tc>
              <w:tc>
                <w:tcPr>
                  <w:tcW w:w="21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18"/>
                      <w:vertAlign w:val="baseline"/>
                      <w:lang w:val="en-US" w:eastAsia="zh-CN"/>
                    </w:rPr>
                  </w:pPr>
                  <w:r>
                    <w:rPr>
                      <w:rFonts w:hint="eastAsia" w:cs="Times New Roman"/>
                      <w:sz w:val="21"/>
                      <w:szCs w:val="18"/>
                      <w:vertAlign w:val="baseline"/>
                      <w:lang w:val="en-US" w:eastAsia="zh-CN"/>
                    </w:rPr>
                    <w:t>较大</w:t>
                  </w:r>
                </w:p>
              </w:tc>
            </w:tr>
          </w:tbl>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本工程深度水处理以进一步降低水中悬浮物和磷为目的，设计采用混凝沉淀过滤工艺，工艺原理为：向经二级处理后的尾水中投加混凝剂和助凝剂，以破坏水中胶体颗粒的稳定状态，在一定水力条件下，通过胶体间以及和其他微粒间的相互碰撞和聚集，从而形成易于从水中分离的絮状物质。在滤池中流经多孔介质或滤网作进一步的固液分离。根据以上分析，本工程确定混凝沉淀采用机械絮凝+斜管沉淀工艺。具有处理效率高、适应性强、抗冲击负荷强、处理效果稳定等优点。</w:t>
            </w:r>
          </w:p>
          <w:p>
            <w:pPr>
              <w:adjustRightInd w:val="0"/>
              <w:snapToGrid w:val="0"/>
              <w:spacing w:line="480" w:lineRule="exact"/>
              <w:ind w:firstLine="482" w:firstLineChars="200"/>
              <w:rPr>
                <w:rFonts w:hint="default" w:ascii="Times New Roman" w:hAnsi="Times New Roman" w:eastAsia="宋体" w:cs="Times New Roman"/>
                <w:b/>
                <w:bCs/>
                <w:sz w:val="24"/>
                <w:lang w:val="en-US" w:eastAsia="zh-CN"/>
              </w:rPr>
            </w:pPr>
            <w:r>
              <w:rPr>
                <w:rFonts w:hint="eastAsia" w:cs="Times New Roman"/>
                <w:b/>
                <w:bCs/>
                <w:sz w:val="24"/>
                <w:lang w:val="en-US" w:eastAsia="zh-CN"/>
              </w:rPr>
              <w:t>4</w:t>
            </w:r>
            <w:r>
              <w:rPr>
                <w:rFonts w:hint="default" w:ascii="Times New Roman" w:hAnsi="Times New Roman" w:cs="Times New Roman"/>
                <w:b/>
                <w:bCs/>
                <w:sz w:val="24"/>
                <w:lang w:val="en-US" w:eastAsia="zh-CN"/>
              </w:rPr>
              <w:t>）</w:t>
            </w:r>
            <w:r>
              <w:rPr>
                <w:rFonts w:hint="eastAsia" w:cs="Times New Roman"/>
                <w:b/>
                <w:bCs/>
                <w:sz w:val="24"/>
                <w:lang w:val="en-US" w:eastAsia="zh-CN"/>
              </w:rPr>
              <w:t>污水消毒工艺选择</w:t>
            </w:r>
          </w:p>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污水经生物二级处理后，水质已经得到改善，但处理水中仍含有大量的致病细菌和寄生虫卵。消毒是指通过消毒剂或其他消毒手段，杀灭水中致病微生物的处理过程。目前国内外常用的消毒方法有次氯酸钠消毒、二氧化氯消毒、紫外线消毒等。</w:t>
            </w:r>
          </w:p>
          <w:p>
            <w:pPr>
              <w:adjustRightInd w:val="0"/>
              <w:snapToGrid w:val="0"/>
              <w:spacing w:line="480" w:lineRule="exact"/>
              <w:jc w:val="center"/>
              <w:rPr>
                <w:rFonts w:hint="default" w:ascii="黑体" w:hAnsi="黑体" w:eastAsia="黑体" w:cs="黑体"/>
                <w:sz w:val="24"/>
                <w:lang w:val="en-US" w:eastAsia="zh-CN"/>
              </w:rPr>
            </w:pPr>
            <w:r>
              <w:rPr>
                <w:rFonts w:hint="eastAsia" w:ascii="黑体" w:hAnsi="黑体" w:eastAsia="黑体" w:cs="黑体"/>
                <w:sz w:val="24"/>
                <w:lang w:val="en-US" w:eastAsia="zh-CN"/>
              </w:rPr>
              <w:t>表2-19  几种常用的消毒方法的比较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8"/>
              <w:gridCol w:w="1467"/>
              <w:gridCol w:w="1468"/>
              <w:gridCol w:w="1468"/>
              <w:gridCol w:w="1468"/>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项目</w:t>
                  </w:r>
                </w:p>
              </w:tc>
              <w:tc>
                <w:tcPr>
                  <w:tcW w:w="14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液氯</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臭氧</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二氧化氯</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次氯酸钠</w:t>
                  </w:r>
                </w:p>
              </w:tc>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紫外线照射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使用剂量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（mg/L）</w:t>
                  </w:r>
                </w:p>
              </w:tc>
              <w:tc>
                <w:tcPr>
                  <w:tcW w:w="14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10.0</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10.0</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2~5</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10</w:t>
                  </w:r>
                </w:p>
              </w:tc>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20mJ/cm2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接触时间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（min）</w:t>
                  </w:r>
                </w:p>
              </w:tc>
              <w:tc>
                <w:tcPr>
                  <w:tcW w:w="14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10~30</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5~10</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10~20</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10~30</w:t>
                  </w:r>
                </w:p>
              </w:tc>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对细菌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对病毒</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对芽孢</w:t>
                  </w:r>
                </w:p>
              </w:tc>
              <w:tc>
                <w:tcPr>
                  <w:tcW w:w="14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部分有效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无效</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lang w:val="en-US" w:eastAsia="zh-CN"/>
                    </w:rPr>
                    <w:t>有效</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部分有效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lang w:val="en-US" w:eastAsia="zh-CN"/>
                    </w:rPr>
                    <w:t>无效</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部分有效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lang w:val="en-US" w:eastAsia="zh-CN"/>
                    </w:rPr>
                    <w:t>无效</w:t>
                  </w:r>
                </w:p>
              </w:tc>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部分有效</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lang w:val="en-US" w:eastAsia="zh-CN"/>
                    </w:rPr>
                    <w:t>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优点</w:t>
                  </w:r>
                </w:p>
              </w:tc>
              <w:tc>
                <w:tcPr>
                  <w:tcW w:w="14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便宜、成熟、有后续消毒</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作用</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除色，臭味效果好，现场发生溶解氧增加，无毒</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杀菌效果好，无气味，有定型产品</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无毒，运行管理无危险</w:t>
                  </w:r>
                </w:p>
              </w:tc>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简便快速、无副产物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缺点</w:t>
                  </w:r>
                </w:p>
              </w:tc>
              <w:tc>
                <w:tcPr>
                  <w:tcW w:w="14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对某些病毒、芽孢无效，残毒，产生臭味</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比氯贵、无后续作用</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维修管理要求较高，部分原料具有易爆性</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采用成品投加较其他费用高</w:t>
                  </w:r>
                </w:p>
              </w:tc>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无持续作用，能耗大，对浊度要求高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用途</w:t>
                  </w:r>
                </w:p>
              </w:tc>
              <w:tc>
                <w:tcPr>
                  <w:tcW w:w="14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常用方法</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18"/>
                      <w:vertAlign w:val="baseline"/>
                      <w:lang w:val="en-US" w:eastAsia="zh-CN"/>
                    </w:rPr>
                  </w:pPr>
                  <w:r>
                    <w:rPr>
                      <w:rFonts w:hint="default" w:ascii="Times New Roman" w:hAnsi="Times New Roman" w:cs="Times New Roman"/>
                      <w:sz w:val="21"/>
                      <w:szCs w:val="18"/>
                      <w:vertAlign w:val="baseline"/>
                      <w:lang w:val="en-US" w:eastAsia="zh-CN"/>
                    </w:rPr>
                    <w:t>应用日益广泛，与氯结合生产高质量水</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中水及小水量工程</w:t>
                  </w:r>
                </w:p>
              </w:tc>
              <w:tc>
                <w:tcPr>
                  <w:tcW w:w="14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中水及小水量工程</w:t>
                  </w:r>
                </w:p>
              </w:tc>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18"/>
                      <w:vertAlign w:val="baseline"/>
                    </w:rPr>
                  </w:pPr>
                  <w:r>
                    <w:rPr>
                      <w:rFonts w:hint="default" w:ascii="Times New Roman" w:hAnsi="Times New Roman" w:cs="Times New Roman"/>
                      <w:sz w:val="21"/>
                      <w:szCs w:val="18"/>
                      <w:vertAlign w:val="baseline"/>
                    </w:rPr>
                    <w:t>低色度水、环境敏感地区应用较多</w:t>
                  </w:r>
                </w:p>
              </w:tc>
            </w:tr>
          </w:tbl>
          <w:p>
            <w:pPr>
              <w:adjustRightInd w:val="0"/>
              <w:snapToGrid w:val="0"/>
              <w:spacing w:line="480" w:lineRule="exact"/>
              <w:ind w:firstLine="480" w:firstLineChars="200"/>
              <w:rPr>
                <w:rFonts w:hint="eastAsia" w:ascii="宋体" w:hAnsi="宋体" w:cs="宋体"/>
                <w:sz w:val="24"/>
              </w:rPr>
            </w:pPr>
            <w:r>
              <w:rPr>
                <w:rFonts w:hint="eastAsia" w:ascii="宋体" w:hAnsi="宋体" w:cs="宋体"/>
                <w:sz w:val="24"/>
              </w:rPr>
              <w:t>根据以上方案比较，从运行管理、处理效率及占地等方面考虑，本次工程中推荐采用次氯酸钠消毒工艺作为消毒措施。污水经深度处理后进入消毒池，向消毒池内投加次氯酸钠药剂，污水与药剂混合后经过一定接触时间完成消毒过程。</w:t>
            </w:r>
          </w:p>
          <w:p>
            <w:pPr>
              <w:adjustRightInd w:val="0"/>
              <w:snapToGrid w:val="0"/>
              <w:spacing w:line="480" w:lineRule="exact"/>
              <w:ind w:firstLine="482" w:firstLineChars="200"/>
              <w:rPr>
                <w:rFonts w:hint="default" w:ascii="Times New Roman" w:hAnsi="Times New Roman" w:eastAsia="宋体" w:cs="Times New Roman"/>
                <w:b/>
                <w:bCs/>
                <w:sz w:val="24"/>
                <w:lang w:val="en-US" w:eastAsia="zh-CN"/>
              </w:rPr>
            </w:pPr>
            <w:r>
              <w:rPr>
                <w:rFonts w:hint="eastAsia" w:cs="Times New Roman"/>
                <w:b/>
                <w:bCs/>
                <w:sz w:val="24"/>
                <w:lang w:val="en-US" w:eastAsia="zh-CN"/>
              </w:rPr>
              <w:t>4</w:t>
            </w:r>
            <w:r>
              <w:rPr>
                <w:rFonts w:hint="default" w:ascii="Times New Roman" w:hAnsi="Times New Roman" w:cs="Times New Roman"/>
                <w:b/>
                <w:bCs/>
                <w:sz w:val="24"/>
                <w:lang w:val="en-US" w:eastAsia="zh-CN"/>
              </w:rPr>
              <w:t>）污水管管材类型</w:t>
            </w:r>
            <w:r>
              <w:rPr>
                <w:rFonts w:hint="eastAsia" w:cs="Times New Roman"/>
                <w:b/>
                <w:bCs/>
                <w:sz w:val="24"/>
                <w:lang w:val="en-US" w:eastAsia="zh-CN"/>
              </w:rPr>
              <w:t>选择</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市政排水管网较一般排水管网来说管径相对较大，目前常用的排水管材有钢筋混凝土管、玻璃钢夹砂管、HDPE 双壁波纹管、玻璃钢管、双壁波纹管以及PPR模压管、UPVC排水管等多种类型，各种管材均有优缺点，合理的选择管材，对于降低排水系统的造价影响很大，一般应考虑技术、经济和市场供应等因素。</w:t>
            </w:r>
          </w:p>
          <w:p>
            <w:pPr>
              <w:adjustRightInd w:val="0"/>
              <w:snapToGrid w:val="0"/>
              <w:spacing w:line="480" w:lineRule="exact"/>
              <w:ind w:firstLine="482" w:firstLineChars="200"/>
              <w:rPr>
                <w:rFonts w:hint="eastAsia" w:ascii="宋体" w:hAnsi="宋体" w:eastAsia="宋体" w:cs="宋体"/>
                <w:b/>
                <w:bCs/>
                <w:sz w:val="24"/>
                <w:lang w:val="en-US" w:eastAsia="zh-CN"/>
              </w:rPr>
            </w:pPr>
            <w:r>
              <w:rPr>
                <w:rFonts w:hint="eastAsia" w:ascii="宋体" w:hAnsi="宋体" w:cs="宋体"/>
                <w:b/>
                <w:bCs/>
                <w:sz w:val="24"/>
                <w:lang w:val="en-US" w:eastAsia="zh-CN"/>
              </w:rPr>
              <w:t>①钢筋混凝土管</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钢筋混凝土管制作方便、工艺成熟且造价低廉，在排水管道中应用广泛，但抗渗性能差、管节短、接口多、重量大、搬运不便等。钢筋混凝土管口径一般在300mm 以上，长度在1~3m。其接口形式有承插式、企口式和平口式。企口式钢筋混凝土排水管是经悬辊工艺生产制造成型，并采用“q”型或“楔”型橡胶密封圈密封的柔性接口管材，具有管壁厚，混凝土强度高，抗压荷载大等优点，应用于市政重力流排水工程是比较经济合适的。</w:t>
            </w:r>
          </w:p>
          <w:p>
            <w:pPr>
              <w:adjustRightInd w:val="0"/>
              <w:snapToGrid w:val="0"/>
              <w:spacing w:line="480" w:lineRule="exact"/>
              <w:ind w:firstLine="482" w:firstLineChars="200"/>
              <w:rPr>
                <w:rFonts w:hint="default" w:ascii="宋体" w:hAnsi="宋体" w:eastAsia="宋体" w:cs="宋体"/>
                <w:b/>
                <w:bCs/>
                <w:sz w:val="24"/>
                <w:lang w:val="en-US" w:eastAsia="zh-CN"/>
              </w:rPr>
            </w:pPr>
            <w:r>
              <w:rPr>
                <w:rFonts w:hint="eastAsia" w:ascii="宋体" w:hAnsi="宋体" w:cs="宋体"/>
                <w:b/>
                <w:bCs/>
                <w:sz w:val="24"/>
                <w:lang w:val="en-US" w:eastAsia="zh-CN"/>
              </w:rPr>
              <w:t>②玻璃钢夹砂管</w:t>
            </w:r>
          </w:p>
          <w:p>
            <w:pPr>
              <w:adjustRightInd w:val="0"/>
              <w:snapToGrid w:val="0"/>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玻璃钢夹砂管是以树脂为基体材料，玻璃纤维及其制品为增强材料，石英砂为填充材料而制成的新型复合材料。它以其优异的耐腐蚀性能、水力性特点、轻质高强、输送流量大、安装方便、工期短和综合投资低等优点，成为化工行业及排水工程的最佳选择。玻璃钢夹砂管重量轻、管节长、运输安装方便、内阻小、耐腐蚀性强、抗渗好，使用寿命可达50年以上，但价格略高。随着加工成本的不断降低，国内外已广泛使用，是一种很有发展前途的管材。</w:t>
            </w:r>
          </w:p>
          <w:p>
            <w:pPr>
              <w:adjustRightInd w:val="0"/>
              <w:snapToGrid w:val="0"/>
              <w:spacing w:line="480" w:lineRule="exact"/>
              <w:ind w:firstLine="482" w:firstLineChars="200"/>
              <w:rPr>
                <w:rFonts w:hint="default" w:ascii="宋体" w:hAnsi="宋体" w:cs="宋体"/>
                <w:b/>
                <w:bCs/>
                <w:sz w:val="24"/>
                <w:lang w:val="en-US" w:eastAsia="zh-CN"/>
              </w:rPr>
            </w:pPr>
            <w:r>
              <w:rPr>
                <w:rFonts w:hint="eastAsia" w:ascii="宋体" w:hAnsi="宋体" w:cs="宋体"/>
                <w:b/>
                <w:bCs/>
                <w:sz w:val="24"/>
                <w:lang w:val="en-US" w:eastAsia="zh-CN"/>
              </w:rPr>
              <w:t>③钢带增强聚乙烯（PE）螺旋波纹管</w:t>
            </w:r>
          </w:p>
          <w:p>
            <w:pPr>
              <w:adjustRightInd w:val="0"/>
              <w:snapToGrid w:val="0"/>
              <w:spacing w:line="480" w:lineRule="exact"/>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排水用钢带增强聚乙烯（PE）螺旋波纹管材是以聚乙烯树脂为主要原料，是国内新近开发出的一种新型结构壁管，它不仅具有一般波纹管的有点，而且具有金属管的高强度，因此应用范围更为广</w:t>
            </w:r>
          </w:p>
          <w:p>
            <w:pPr>
              <w:adjustRightInd w:val="0"/>
              <w:snapToGrid w:val="0"/>
              <w:spacing w:line="480" w:lineRule="exact"/>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泛。加入适量助剂，经挤出成型，适用于建筑物室外排水和市政排污用的新型管材。具有重量轻、排水阻力小、抗压强度高、耐腐蚀、柔韧性好、施工方便、对管道基础要求低等优点，是取代铸铁管和水泥砼管的理想材料。寿命一般可达50年以上，目前国内外已经广泛应用。</w:t>
            </w:r>
          </w:p>
          <w:p>
            <w:pPr>
              <w:adjustRightInd w:val="0"/>
              <w:snapToGrid w:val="0"/>
              <w:spacing w:line="480" w:lineRule="exact"/>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④HDPE双壁波纹管</w:t>
            </w:r>
          </w:p>
          <w:p>
            <w:pPr>
              <w:adjustRightInd w:val="0"/>
              <w:snapToGrid w:val="0"/>
              <w:spacing w:line="48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双壁波纹管材是以高密度聚乙烯为原料的一种新型轻质管材，具有结构独特，抗外压强度高，耐冲击，连接便利，可靠性高，不易泄漏，重量轻，施工快捷等特点。埋地使用寿命达五十年以上。</w:t>
            </w:r>
          </w:p>
          <w:p>
            <w:pPr>
              <w:adjustRightInd w:val="0"/>
              <w:snapToGrid w:val="0"/>
              <w:spacing w:line="48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聚乙烯属于碳氢聚合物，分子无极性，耐酸碱腐蚀。原料为绿色环保材料，无毒，不腐蚀，不结垢，可回收再利用。适用温度范围宽，综合工程造价与混凝土基本相当，运营成本低。土质良好的情况下无须基础。其优异的管壁结构设计，与其他结构的管材相比，成本大大降低。并且由于连接方便、可靠，在国内外得到广泛应用。</w:t>
            </w:r>
          </w:p>
          <w:p>
            <w:pPr>
              <w:adjustRightInd w:val="0"/>
              <w:snapToGrid w:val="0"/>
              <w:spacing w:line="480" w:lineRule="exact"/>
              <w:ind w:firstLine="482" w:firstLineChars="200"/>
              <w:rPr>
                <w:rFonts w:hint="default" w:ascii="宋体" w:hAnsi="宋体" w:eastAsia="宋体" w:cs="宋体"/>
                <w:b/>
                <w:bCs/>
                <w:color w:val="auto"/>
                <w:sz w:val="24"/>
                <w:lang w:val="en-US" w:eastAsia="zh-CN"/>
              </w:rPr>
            </w:pPr>
            <w:r>
              <w:rPr>
                <w:rFonts w:hint="eastAsia" w:ascii="宋体" w:hAnsi="宋体" w:cs="宋体"/>
                <w:b/>
                <w:bCs/>
                <w:color w:val="auto"/>
                <w:sz w:val="24"/>
                <w:lang w:eastAsia="zh-CN"/>
              </w:rPr>
              <w:t>（</w:t>
            </w:r>
            <w:r>
              <w:rPr>
                <w:rFonts w:hint="eastAsia" w:ascii="宋体" w:hAnsi="宋体" w:cs="宋体"/>
                <w:b/>
                <w:bCs/>
                <w:color w:val="auto"/>
                <w:sz w:val="24"/>
                <w:lang w:val="en-US" w:eastAsia="zh-CN"/>
              </w:rPr>
              <w:t>3</w:t>
            </w:r>
            <w:r>
              <w:rPr>
                <w:rFonts w:hint="eastAsia" w:ascii="宋体" w:hAnsi="宋体" w:cs="宋体"/>
                <w:b/>
                <w:bCs/>
                <w:color w:val="auto"/>
                <w:sz w:val="24"/>
                <w:lang w:eastAsia="zh-CN"/>
              </w:rPr>
              <w:t>）</w:t>
            </w:r>
            <w:r>
              <w:rPr>
                <w:rFonts w:hint="eastAsia" w:ascii="宋体" w:hAnsi="宋体" w:cs="宋体"/>
                <w:b/>
                <w:bCs/>
                <w:color w:val="auto"/>
                <w:sz w:val="24"/>
                <w:lang w:val="en-US" w:eastAsia="zh-CN"/>
              </w:rPr>
              <w:t>污水处理工艺流程</w:t>
            </w:r>
          </w:p>
          <w:p>
            <w:pPr>
              <w:adjustRightInd w:val="0"/>
              <w:snapToGrid w:val="0"/>
              <w:spacing w:line="480" w:lineRule="exact"/>
              <w:ind w:firstLine="480" w:firstLineChars="200"/>
              <w:rPr>
                <w:bCs/>
                <w:color w:val="auto"/>
                <w:sz w:val="24"/>
              </w:rPr>
            </w:pPr>
            <w:r>
              <w:rPr>
                <w:rFonts w:hint="eastAsia" w:ascii="宋体" w:hAnsi="宋体" w:cs="宋体"/>
                <w:sz w:val="24"/>
                <w:lang w:val="en-US" w:eastAsia="zh-CN"/>
              </w:rPr>
              <w:t>经过</w:t>
            </w:r>
            <w:r>
              <w:rPr>
                <w:rFonts w:hint="eastAsia" w:ascii="宋体" w:hAnsi="宋体" w:cs="宋体"/>
                <w:sz w:val="24"/>
              </w:rPr>
              <w:t>比选，</w:t>
            </w:r>
            <w:r>
              <w:rPr>
                <w:rFonts w:hint="eastAsia"/>
                <w:bCs/>
                <w:color w:val="auto"/>
                <w:sz w:val="24"/>
                <w:lang w:val="en-US" w:eastAsia="zh-CN"/>
              </w:rPr>
              <w:t>本工程污水处理工艺方案为：预处理</w:t>
            </w:r>
            <w:r>
              <w:rPr>
                <w:rFonts w:hint="default"/>
                <w:bCs/>
                <w:color w:val="auto"/>
                <w:sz w:val="24"/>
                <w:lang w:val="en-US" w:eastAsia="zh-CN"/>
              </w:rPr>
              <w:t>+</w:t>
            </w:r>
            <w:r>
              <w:rPr>
                <w:rFonts w:hint="eastAsia"/>
                <w:bCs/>
                <w:color w:val="auto"/>
                <w:sz w:val="24"/>
                <w:lang w:val="en-US" w:eastAsia="zh-CN"/>
              </w:rPr>
              <w:t>初沉池</w:t>
            </w:r>
            <w:r>
              <w:rPr>
                <w:rFonts w:hint="default"/>
                <w:bCs/>
                <w:color w:val="auto"/>
                <w:sz w:val="24"/>
                <w:lang w:val="en-US" w:eastAsia="zh-CN"/>
              </w:rPr>
              <w:t>+</w:t>
            </w:r>
            <w:r>
              <w:rPr>
                <w:rFonts w:hint="eastAsia"/>
                <w:bCs/>
                <w:color w:val="auto"/>
                <w:sz w:val="24"/>
                <w:lang w:val="en-US" w:eastAsia="zh-CN"/>
              </w:rPr>
              <w:t>五段</w:t>
            </w:r>
            <w:r>
              <w:rPr>
                <w:rFonts w:hint="default"/>
                <w:bCs/>
                <w:color w:val="auto"/>
                <w:sz w:val="24"/>
                <w:lang w:val="en-US" w:eastAsia="zh-CN"/>
              </w:rPr>
              <w:t>A/O+</w:t>
            </w:r>
            <w:r>
              <w:rPr>
                <w:rFonts w:hint="eastAsia"/>
                <w:bCs/>
                <w:color w:val="auto"/>
                <w:sz w:val="24"/>
                <w:lang w:val="en-US" w:eastAsia="zh-CN"/>
              </w:rPr>
              <w:t>机械絮凝</w:t>
            </w:r>
            <w:r>
              <w:rPr>
                <w:rFonts w:hint="default"/>
                <w:bCs/>
                <w:color w:val="auto"/>
                <w:sz w:val="24"/>
                <w:lang w:val="en-US" w:eastAsia="zh-CN"/>
              </w:rPr>
              <w:t>+</w:t>
            </w:r>
            <w:r>
              <w:rPr>
                <w:rFonts w:hint="eastAsia"/>
                <w:bCs/>
                <w:color w:val="auto"/>
                <w:sz w:val="24"/>
                <w:lang w:val="en-US" w:eastAsia="zh-CN"/>
              </w:rPr>
              <w:t>斜管沉淀池</w:t>
            </w:r>
            <w:r>
              <w:rPr>
                <w:rFonts w:hint="default"/>
                <w:bCs/>
                <w:color w:val="auto"/>
                <w:sz w:val="24"/>
                <w:lang w:val="en-US" w:eastAsia="zh-CN"/>
              </w:rPr>
              <w:t>+V</w:t>
            </w:r>
            <w:r>
              <w:rPr>
                <w:rFonts w:hint="eastAsia"/>
                <w:bCs/>
                <w:color w:val="auto"/>
                <w:sz w:val="24"/>
                <w:lang w:val="en-US" w:eastAsia="zh-CN"/>
              </w:rPr>
              <w:t>型滤池</w:t>
            </w:r>
            <w:r>
              <w:rPr>
                <w:rFonts w:hint="default"/>
                <w:bCs/>
                <w:color w:val="auto"/>
                <w:sz w:val="24"/>
                <w:lang w:val="en-US" w:eastAsia="zh-CN"/>
              </w:rPr>
              <w:t>+</w:t>
            </w:r>
            <w:r>
              <w:rPr>
                <w:rFonts w:hint="eastAsia"/>
                <w:bCs/>
                <w:color w:val="auto"/>
                <w:sz w:val="24"/>
                <w:lang w:val="en-US" w:eastAsia="zh-CN"/>
              </w:rPr>
              <w:t>消毒。污泥处理方案：预处理</w:t>
            </w:r>
            <w:r>
              <w:rPr>
                <w:rFonts w:hint="default"/>
                <w:bCs/>
                <w:color w:val="auto"/>
                <w:sz w:val="24"/>
                <w:lang w:val="en-US" w:eastAsia="zh-CN"/>
              </w:rPr>
              <w:t>+</w:t>
            </w:r>
            <w:r>
              <w:rPr>
                <w:rFonts w:hint="eastAsia"/>
                <w:bCs/>
                <w:color w:val="auto"/>
                <w:sz w:val="24"/>
                <w:lang w:val="en-US" w:eastAsia="zh-CN"/>
              </w:rPr>
              <w:t>高压板框压滤机，污泥含水率降至</w:t>
            </w:r>
            <w:r>
              <w:rPr>
                <w:rFonts w:hint="default"/>
                <w:bCs/>
                <w:color w:val="auto"/>
                <w:sz w:val="24"/>
                <w:lang w:val="en-US" w:eastAsia="zh-CN"/>
              </w:rPr>
              <w:t>60%</w:t>
            </w:r>
            <w:r>
              <w:rPr>
                <w:rFonts w:hint="eastAsia"/>
                <w:bCs/>
                <w:color w:val="auto"/>
                <w:sz w:val="24"/>
                <w:lang w:val="en-US" w:eastAsia="zh-CN"/>
              </w:rPr>
              <w:t>后，运至五台县垃圾填埋场。</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1）一级处理设施</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一级处理设施包含进水井、粗格栅、提升泵/调节池、细格栅、旋流沉砂池、初沉池。</w:t>
            </w:r>
          </w:p>
          <w:p>
            <w:pPr>
              <w:adjustRightInd w:val="0"/>
              <w:snapToGrid w:val="0"/>
              <w:spacing w:line="480" w:lineRule="exact"/>
              <w:ind w:firstLine="480" w:firstLineChars="200"/>
              <w:rPr>
                <w:rFonts w:hint="default"/>
                <w:bCs/>
                <w:color w:val="auto"/>
                <w:sz w:val="24"/>
                <w:vertAlign w:val="baseline"/>
                <w:lang w:val="en-US" w:eastAsia="zh-CN"/>
              </w:rPr>
            </w:pPr>
            <w:r>
              <w:rPr>
                <w:rFonts w:hint="eastAsia"/>
                <w:bCs/>
                <w:color w:val="auto"/>
                <w:sz w:val="24"/>
                <w:lang w:val="en-US" w:eastAsia="zh-CN"/>
              </w:rPr>
              <w:t>设计水量2000m</w:t>
            </w:r>
            <w:r>
              <w:rPr>
                <w:rFonts w:hint="eastAsia"/>
                <w:bCs/>
                <w:color w:val="auto"/>
                <w:sz w:val="24"/>
                <w:vertAlign w:val="superscript"/>
                <w:lang w:val="en-US" w:eastAsia="zh-CN"/>
              </w:rPr>
              <w:t>3</w:t>
            </w:r>
            <w:r>
              <w:rPr>
                <w:rFonts w:hint="eastAsia"/>
                <w:bCs/>
                <w:color w:val="auto"/>
                <w:sz w:val="24"/>
                <w:vertAlign w:val="baseline"/>
                <w:lang w:val="en-US" w:eastAsia="zh-CN"/>
              </w:rPr>
              <w:t>/d；设计流量Q</w:t>
            </w:r>
            <w:r>
              <w:rPr>
                <w:rFonts w:hint="eastAsia"/>
                <w:bCs/>
                <w:color w:val="auto"/>
                <w:sz w:val="24"/>
                <w:vertAlign w:val="subscript"/>
                <w:lang w:val="en-US" w:eastAsia="zh-CN"/>
              </w:rPr>
              <w:t>max</w:t>
            </w:r>
            <w:r>
              <w:rPr>
                <w:rFonts w:hint="eastAsia"/>
                <w:bCs/>
                <w:color w:val="auto"/>
                <w:sz w:val="24"/>
                <w:vertAlign w:val="baseline"/>
                <w:lang w:val="en-US" w:eastAsia="zh-CN"/>
              </w:rPr>
              <w:t>=192m</w:t>
            </w:r>
            <w:r>
              <w:rPr>
                <w:rFonts w:hint="eastAsia"/>
                <w:bCs/>
                <w:color w:val="auto"/>
                <w:sz w:val="24"/>
                <w:vertAlign w:val="superscript"/>
                <w:lang w:val="en-US" w:eastAsia="zh-CN"/>
              </w:rPr>
              <w:t>3</w:t>
            </w:r>
            <w:r>
              <w:rPr>
                <w:rFonts w:hint="eastAsia"/>
                <w:bCs/>
                <w:color w:val="auto"/>
                <w:sz w:val="24"/>
                <w:vertAlign w:val="baseline"/>
                <w:lang w:val="en-US" w:eastAsia="zh-CN"/>
              </w:rPr>
              <w:t>/h。</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①粗格栅进水泵房</w:t>
            </w:r>
          </w:p>
          <w:p>
            <w:pPr>
              <w:adjustRightInd w:val="0"/>
              <w:snapToGrid w:val="0"/>
              <w:spacing w:line="480" w:lineRule="exact"/>
              <w:ind w:firstLine="480" w:firstLineChars="200"/>
              <w:rPr>
                <w:bCs/>
                <w:color w:val="auto"/>
                <w:sz w:val="24"/>
              </w:rPr>
            </w:pPr>
            <w:r>
              <w:rPr>
                <w:rFonts w:hint="eastAsia"/>
                <w:bCs/>
                <w:color w:val="auto"/>
                <w:sz w:val="24"/>
                <w:lang w:val="en-US" w:eastAsia="zh-CN"/>
              </w:rPr>
              <w:t>本次设计将进水井、粗格栅间与提升泵房合建。</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厂外排水管网污水总干管最终接入污水厂进水井内，厂区内部产生的污水最终也接入进水井中。</w:t>
            </w:r>
          </w:p>
          <w:p>
            <w:pPr>
              <w:adjustRightInd w:val="0"/>
              <w:snapToGrid w:val="0"/>
              <w:spacing w:line="480" w:lineRule="exact"/>
              <w:ind w:firstLine="480" w:firstLineChars="200"/>
              <w:rPr>
                <w:bCs/>
                <w:color w:val="auto"/>
                <w:sz w:val="24"/>
              </w:rPr>
            </w:pPr>
            <w:r>
              <w:rPr>
                <w:rFonts w:hint="eastAsia"/>
                <w:bCs/>
                <w:color w:val="auto"/>
                <w:sz w:val="24"/>
                <w:lang w:val="en-US" w:eastAsia="zh-CN"/>
              </w:rPr>
              <w:t>粗格栅设在整个处理系统的最前端，主要拦截污水中的纤维、木材、塑料制品和纸张等大小不同的杂物，以保护污水提升泵不受损害。格栅渠分为</w:t>
            </w:r>
            <w:r>
              <w:rPr>
                <w:rFonts w:hint="default"/>
                <w:bCs/>
                <w:color w:val="auto"/>
                <w:sz w:val="24"/>
                <w:lang w:val="en-US" w:eastAsia="zh-CN"/>
              </w:rPr>
              <w:t>2</w:t>
            </w:r>
            <w:r>
              <w:rPr>
                <w:rFonts w:hint="eastAsia"/>
                <w:bCs/>
                <w:color w:val="auto"/>
                <w:sz w:val="24"/>
                <w:lang w:val="en-US" w:eastAsia="zh-CN"/>
              </w:rPr>
              <w:t>格，每格选用</w:t>
            </w:r>
            <w:r>
              <w:rPr>
                <w:rFonts w:hint="default"/>
                <w:bCs/>
                <w:color w:val="auto"/>
                <w:sz w:val="24"/>
                <w:lang w:val="en-US" w:eastAsia="zh-CN"/>
              </w:rPr>
              <w:t>1</w:t>
            </w:r>
            <w:r>
              <w:rPr>
                <w:rFonts w:hint="eastAsia"/>
                <w:bCs/>
                <w:color w:val="auto"/>
                <w:sz w:val="24"/>
                <w:lang w:val="en-US" w:eastAsia="zh-CN"/>
              </w:rPr>
              <w:t xml:space="preserve">台机械格栅除污机，格栅根据格栅前水位高低控制运行或强制运行，自动耙渣，截留下的栅渣采用栅渣小车定期外运。 </w:t>
            </w:r>
          </w:p>
          <w:p>
            <w:pPr>
              <w:adjustRightInd w:val="0"/>
              <w:snapToGrid w:val="0"/>
              <w:spacing w:line="480" w:lineRule="exact"/>
              <w:ind w:firstLine="480" w:firstLineChars="200"/>
              <w:rPr>
                <w:bCs/>
                <w:color w:val="auto"/>
                <w:sz w:val="24"/>
              </w:rPr>
            </w:pPr>
            <w:r>
              <w:rPr>
                <w:rFonts w:hint="eastAsia"/>
                <w:bCs/>
                <w:color w:val="auto"/>
                <w:sz w:val="24"/>
                <w:lang w:val="en-US" w:eastAsia="zh-CN"/>
              </w:rPr>
              <w:t>污水经过粗格栅间后，进入污水提升泵池，提升污水满足后续处理构筑物的高程要求。提升泵池停留时间</w:t>
            </w:r>
            <w:r>
              <w:rPr>
                <w:rFonts w:hint="default"/>
                <w:bCs/>
                <w:color w:val="auto"/>
                <w:sz w:val="24"/>
                <w:lang w:val="en-US" w:eastAsia="zh-CN"/>
              </w:rPr>
              <w:t>8h</w:t>
            </w:r>
            <w:r>
              <w:rPr>
                <w:rFonts w:hint="eastAsia"/>
                <w:bCs/>
                <w:color w:val="auto"/>
                <w:sz w:val="24"/>
                <w:lang w:val="en-US" w:eastAsia="zh-CN"/>
              </w:rPr>
              <w:t>，可兼做调节池。为预防和减轻粗格栅间臭气的不良影响，设粗格栅间。</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设计参数：</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表2-20  粗格栅、提升泵池设计参数一览表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9"/>
              <w:gridCol w:w="4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设计流量</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max</w:t>
                  </w:r>
                  <w:r>
                    <w:rPr>
                      <w:rFonts w:hint="eastAsia"/>
                      <w:bCs/>
                      <w:color w:val="auto"/>
                      <w:sz w:val="21"/>
                      <w:szCs w:val="18"/>
                      <w:vertAlign w:val="baseline"/>
                      <w:lang w:val="en-US" w:eastAsia="zh-CN"/>
                    </w:rPr>
                    <w:t>=192m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粗格栅渠道数量</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单台格栅设计流量</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单max</w:t>
                  </w:r>
                  <w:r>
                    <w:rPr>
                      <w:rFonts w:hint="eastAsia"/>
                      <w:bCs/>
                      <w:color w:val="auto"/>
                      <w:sz w:val="21"/>
                      <w:szCs w:val="18"/>
                      <w:vertAlign w:val="baseline"/>
                      <w:lang w:val="en-US" w:eastAsia="zh-CN"/>
                    </w:rPr>
                    <w:t>=96m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过栅流速</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V=0.6m/s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格栅槽渠道净宽</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B=800mm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栅条间隙</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e=20mm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栅前水深</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h=0.2m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安装角度</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最大过栅水头损失</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h=0.1m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提升泵池总容积</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480m</w:t>
                  </w:r>
                  <w:r>
                    <w:rPr>
                      <w:rFonts w:hint="eastAsia"/>
                      <w:bCs/>
                      <w:color w:val="auto"/>
                      <w:sz w:val="21"/>
                      <w:szCs w:val="18"/>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提升泵池有效容积</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432m</w:t>
                  </w:r>
                  <w:r>
                    <w:rPr>
                      <w:rFonts w:hint="eastAsia"/>
                      <w:bCs/>
                      <w:color w:val="auto"/>
                      <w:sz w:val="21"/>
                      <w:szCs w:val="18"/>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提升泵池有效水深</w:t>
                  </w:r>
                </w:p>
              </w:tc>
              <w:tc>
                <w:tcPr>
                  <w:tcW w:w="44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4.6m</w:t>
                  </w:r>
                </w:p>
              </w:tc>
            </w:tr>
          </w:tbl>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主要构筑物：</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结构类型：水池钢筋混凝土结构；车间钢结构；</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进水井1座，尺寸：L×B×H=2.0×2.0×3.0m；</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粗格栅渠2条，尺寸：L×B×H=6.7×0.8×3.0m；</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提升泵/调节池：内壁尺寸：15.5×9.0×7.5m；</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粗格栅间1座，尺寸：L×B×H=5.1×5×6m；</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②细格栅及旋流沉砂池</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污水经过提升泵提升至细格栅，细格栅用于进一步去除较小的漂浮物及杂物，保证后续工艺正常运行。细格栅设两格，格栅选用两台，并联运行。栅渣由运渣车运出，格栅前后设插板闸门，方便检修。根据运行要求控制启闭。</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在细格栅及旋流沉砂间内安装沉砂池配套的气提风机、砂水分离器等设备。</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污水经过细格栅进入旋流沉砂池。去除相对密度</w:t>
            </w:r>
            <w:r>
              <w:rPr>
                <w:rFonts w:hint="default"/>
                <w:bCs/>
                <w:color w:val="auto"/>
                <w:sz w:val="24"/>
                <w:lang w:val="en-US" w:eastAsia="zh-CN"/>
              </w:rPr>
              <w:t>2.65</w:t>
            </w:r>
            <w:r>
              <w:rPr>
                <w:rFonts w:hint="eastAsia"/>
                <w:bCs/>
                <w:color w:val="auto"/>
                <w:sz w:val="24"/>
                <w:lang w:val="en-US" w:eastAsia="zh-CN"/>
              </w:rPr>
              <w:t>、粒径</w:t>
            </w:r>
            <w:r>
              <w:rPr>
                <w:rFonts w:hint="default"/>
                <w:bCs/>
                <w:color w:val="auto"/>
                <w:sz w:val="24"/>
                <w:lang w:val="en-US" w:eastAsia="zh-CN"/>
              </w:rPr>
              <w:t>0.2mm</w:t>
            </w:r>
            <w:r>
              <w:rPr>
                <w:rFonts w:hint="eastAsia"/>
                <w:bCs/>
                <w:color w:val="auto"/>
                <w:sz w:val="24"/>
                <w:lang w:val="en-US" w:eastAsia="zh-CN"/>
              </w:rPr>
              <w:t>以上的砂粒等杂质，避免后续处理构筑物和机械设备的磨损。旋流沉砂池排出的砂水混合物进入砂水分离器进行砂水分离后定期进行外运。砂砾等无机颗粒物通过吸砂泵提升至排砂槽及管道进入砂水分离器，砂水分离器安装于旋流沉砂间内。五台县冬季气温较低，为保证后续生物池池内温度，对池体采取保温措施。</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设计参数：</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表2-21  细格栅设计参数一览表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max</w:t>
                  </w:r>
                  <w:r>
                    <w:rPr>
                      <w:rFonts w:hint="eastAsia"/>
                      <w:bCs/>
                      <w:color w:val="auto"/>
                      <w:sz w:val="21"/>
                      <w:szCs w:val="18"/>
                      <w:vertAlign w:val="baseline"/>
                      <w:lang w:val="en-US" w:eastAsia="zh-CN"/>
                    </w:rPr>
                    <w:t>=192m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细格栅渠道数量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单台格栅设计流量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单max</w:t>
                  </w:r>
                  <w:r>
                    <w:rPr>
                      <w:rFonts w:hint="eastAsia"/>
                      <w:bCs/>
                      <w:color w:val="auto"/>
                      <w:sz w:val="21"/>
                      <w:szCs w:val="18"/>
                      <w:vertAlign w:val="baseline"/>
                      <w:lang w:val="en-US" w:eastAsia="zh-CN"/>
                    </w:rPr>
                    <w:t>=96m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格栅槽渠道净宽</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B=800mm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栅条间隙</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e=2mm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栅前水深</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h=0.3m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最大过栅水头损失</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h=0.15m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过栅流速</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V=0.6m/s</w:t>
                  </w:r>
                </w:p>
              </w:tc>
            </w:tr>
          </w:tbl>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表2-22  曝气沉砂池设计参数一览表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max</w:t>
                  </w:r>
                  <w:r>
                    <w:rPr>
                      <w:rFonts w:hint="eastAsia"/>
                      <w:bCs/>
                      <w:color w:val="auto"/>
                      <w:sz w:val="21"/>
                      <w:szCs w:val="18"/>
                      <w:vertAlign w:val="baseline"/>
                      <w:lang w:val="en-US" w:eastAsia="zh-CN"/>
                    </w:rPr>
                    <w:t>=192m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数量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单组设计流量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单max</w:t>
                  </w:r>
                  <w:r>
                    <w:rPr>
                      <w:rFonts w:hint="eastAsia"/>
                      <w:bCs/>
                      <w:color w:val="auto"/>
                      <w:sz w:val="21"/>
                      <w:szCs w:val="18"/>
                      <w:vertAlign w:val="baseline"/>
                      <w:lang w:val="en-US" w:eastAsia="zh-CN"/>
                    </w:rPr>
                    <w:t>=96m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直径</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Φ=1.83m</w:t>
                  </w:r>
                </w:p>
              </w:tc>
            </w:tr>
          </w:tbl>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主要构筑物：</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结构类型：水池钢筋混凝土结构；车间钢结构；</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细格栅槽2条，L×B×H=8.4×0.8×7.8m；</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细格栅间1座，L×B×H=8.4×7.8×7.8m；</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旋流沉砂池2座，钢制防腐设备，φ=1.83m；</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沉砂池基础2座，基础钢筋混凝土结构，φ=1.83m；</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③初沉池</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bCs/>
                <w:color w:val="auto"/>
                <w:sz w:val="24"/>
                <w:lang w:val="en-US" w:eastAsia="zh-CN"/>
              </w:rPr>
            </w:pPr>
            <w:r>
              <w:rPr>
                <w:rFonts w:hint="eastAsia"/>
                <w:bCs/>
                <w:color w:val="auto"/>
                <w:sz w:val="24"/>
                <w:lang w:val="en-US" w:eastAsia="zh-CN"/>
              </w:rPr>
              <w:t>由于建安镇各村没有完善雨水管网系统，雨水污水没有完全分开，所以建设初沉池。本次设计厂区新建平流式初沉池1座，分2组。与生化池合建。</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设计参数：</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表2-23  初沉池设计参数一览表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初沉池</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辅流式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初沉池设计流量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max</w:t>
                  </w:r>
                  <w:r>
                    <w:rPr>
                      <w:rFonts w:hint="eastAsia"/>
                      <w:bCs/>
                      <w:color w:val="auto"/>
                      <w:sz w:val="21"/>
                      <w:szCs w:val="18"/>
                      <w:vertAlign w:val="baseline"/>
                      <w:lang w:val="en-US" w:eastAsia="zh-CN"/>
                    </w:rPr>
                    <w:t>=192m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数量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1座，分2组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单组设计尺寸</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16×4×3m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最大时表面负荷</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1.5m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/m</w:t>
                  </w:r>
                  <w:r>
                    <w:rPr>
                      <w:rFonts w:hint="eastAsia"/>
                      <w:bCs/>
                      <w:color w:val="auto"/>
                      <w:sz w:val="21"/>
                      <w:szCs w:val="18"/>
                      <w:vertAlign w:val="superscript"/>
                      <w:lang w:val="en-US" w:eastAsia="zh-CN"/>
                    </w:rPr>
                    <w:t>2</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有效水深</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水力停留时间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1.67h</w:t>
                  </w:r>
                </w:p>
              </w:tc>
            </w:tr>
          </w:tbl>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主要构筑物：</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初沉池：1座，分2组；钢筋混凝土结构。</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2）二级处理设施</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二级处理设施包含五段A/O生化池、二沉池、组合水池。</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①五段A/O生化池</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本次设计厂区新建一座五段A/O生化池，单座设计规模2000m</w:t>
            </w:r>
            <w:r>
              <w:rPr>
                <w:rFonts w:hint="eastAsia"/>
                <w:bCs/>
                <w:color w:val="auto"/>
                <w:sz w:val="24"/>
                <w:vertAlign w:val="superscript"/>
                <w:lang w:val="en-US" w:eastAsia="zh-CN"/>
              </w:rPr>
              <w:t>3</w:t>
            </w:r>
            <w:r>
              <w:rPr>
                <w:rFonts w:hint="eastAsia"/>
                <w:bCs/>
                <w:color w:val="auto"/>
                <w:sz w:val="24"/>
                <w:lang w:val="en-US" w:eastAsia="zh-CN"/>
              </w:rPr>
              <w:t>/d。分两组运行，单组处理规模1000m</w:t>
            </w:r>
            <w:r>
              <w:rPr>
                <w:rFonts w:hint="eastAsia"/>
                <w:bCs/>
                <w:color w:val="auto"/>
                <w:sz w:val="24"/>
                <w:vertAlign w:val="superscript"/>
                <w:lang w:val="en-US" w:eastAsia="zh-CN"/>
              </w:rPr>
              <w:t>3</w:t>
            </w:r>
            <w:r>
              <w:rPr>
                <w:rFonts w:hint="eastAsia"/>
                <w:bCs/>
                <w:color w:val="auto"/>
                <w:sz w:val="24"/>
                <w:lang w:val="en-US" w:eastAsia="zh-CN"/>
              </w:rPr>
              <w:t>/d。</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五段A/O生化池包含厌氧池、I段缺氧池、I段好氧池、II段缺氧池、II段好氧池。五台县冬季气温较低，为保证生物池池内微生物冬季正常繁殖，对池体采取保温加盖措施。</w:t>
            </w:r>
            <w:r>
              <w:rPr>
                <w:rFonts w:hint="default" w:eastAsia="宋体"/>
                <w:bCs/>
                <w:color w:val="auto"/>
                <w:sz w:val="24"/>
                <w:lang w:val="en-US" w:eastAsia="zh-CN"/>
              </w:rPr>
              <w:t>五段A</w:t>
            </w:r>
            <w:r>
              <w:rPr>
                <w:rFonts w:hint="eastAsia"/>
                <w:bCs/>
                <w:color w:val="auto"/>
                <w:sz w:val="24"/>
                <w:lang w:val="en-US" w:eastAsia="zh-CN"/>
              </w:rPr>
              <w:t>/</w:t>
            </w:r>
            <w:r>
              <w:rPr>
                <w:rFonts w:hint="default" w:eastAsia="宋体"/>
                <w:bCs/>
                <w:color w:val="auto"/>
                <w:sz w:val="24"/>
                <w:lang w:val="en-US" w:eastAsia="zh-CN"/>
              </w:rPr>
              <w:t>O工艺作为A</w:t>
            </w:r>
            <w:r>
              <w:rPr>
                <w:rFonts w:hint="default" w:eastAsia="宋体"/>
                <w:bCs/>
                <w:color w:val="auto"/>
                <w:sz w:val="24"/>
                <w:vertAlign w:val="superscript"/>
                <w:lang w:val="en-US" w:eastAsia="zh-CN"/>
              </w:rPr>
              <w:t>2</w:t>
            </w:r>
            <w:r>
              <w:rPr>
                <w:rFonts w:hint="default" w:eastAsia="宋体"/>
                <w:bCs/>
                <w:color w:val="auto"/>
                <w:sz w:val="24"/>
                <w:lang w:val="en-US" w:eastAsia="zh-CN"/>
              </w:rPr>
              <w:t>/O的改良工艺，在A</w:t>
            </w:r>
            <w:r>
              <w:rPr>
                <w:rFonts w:hint="default" w:eastAsia="宋体"/>
                <w:bCs/>
                <w:color w:val="auto"/>
                <w:sz w:val="24"/>
                <w:vertAlign w:val="superscript"/>
                <w:lang w:val="en-US" w:eastAsia="zh-CN"/>
              </w:rPr>
              <w:t>2</w:t>
            </w:r>
            <w:r>
              <w:rPr>
                <w:rFonts w:hint="default" w:eastAsia="宋体"/>
                <w:bCs/>
                <w:color w:val="auto"/>
                <w:sz w:val="24"/>
                <w:lang w:val="en-US" w:eastAsia="zh-CN"/>
              </w:rPr>
              <w:t>/O脱氮工艺的基础上又增设缺氧段Ⅱ和好氧段Ⅱ，缺氧段Ⅱ能对从好氧段Ⅰ流入的混合液中的 NO</w:t>
            </w:r>
            <w:r>
              <w:rPr>
                <w:rFonts w:hint="default" w:eastAsia="宋体"/>
                <w:bCs/>
                <w:color w:val="auto"/>
                <w:sz w:val="24"/>
                <w:vertAlign w:val="subscript"/>
                <w:lang w:val="en-US" w:eastAsia="zh-CN"/>
              </w:rPr>
              <w:t>3</w:t>
            </w:r>
            <w:r>
              <w:rPr>
                <w:rFonts w:hint="default" w:eastAsia="宋体"/>
                <w:bCs/>
                <w:color w:val="auto"/>
                <w:sz w:val="24"/>
                <w:lang w:val="en-US" w:eastAsia="zh-CN"/>
              </w:rPr>
              <w:t>-N 在反硝化菌作用下进行反硝化脱氮，使该工艺的脱氮率高达90%~95%，而好氧段Ⅱ能提高出流混合液中的 DO浓度，防止在沉淀池内因缺氧产生反硝化，干扰污泥的沉降，从而改善沉淀池中污泥的沉降性能为保证出水效果，确保出水水质稳定达标</w:t>
            </w:r>
            <w:r>
              <w:rPr>
                <w:rFonts w:hint="eastAsia"/>
                <w:bCs/>
                <w:color w:val="auto"/>
                <w:sz w:val="24"/>
                <w:lang w:val="en-US" w:eastAsia="zh-CN"/>
              </w:rPr>
              <w:t>。</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根据本项目进水水质特点，为满足C/N≥4 需投加乙酸钠，乙酸钠的BOD</w:t>
            </w:r>
            <w:r>
              <w:rPr>
                <w:rFonts w:hint="eastAsia"/>
                <w:bCs/>
                <w:color w:val="auto"/>
                <w:sz w:val="24"/>
                <w:vertAlign w:val="subscript"/>
                <w:lang w:val="en-US" w:eastAsia="zh-CN"/>
              </w:rPr>
              <w:t>5</w:t>
            </w:r>
            <w:r>
              <w:rPr>
                <w:rFonts w:hint="eastAsia"/>
                <w:bCs/>
                <w:color w:val="auto"/>
                <w:sz w:val="24"/>
                <w:lang w:val="en-US" w:eastAsia="zh-CN"/>
              </w:rPr>
              <w:t>当量为0.78（mgBOD/mg乙酸钠），通过计算乙酸钠投加量为44mg/L，日投加乙酸钠量88kg/d。投加点在缺氧池前端。</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设计参数：</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表2-24  五段A/O生化池设计参数一览表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max</w:t>
                  </w:r>
                  <w:r>
                    <w:rPr>
                      <w:rFonts w:hint="eastAsia"/>
                      <w:bCs/>
                      <w:color w:val="auto"/>
                      <w:sz w:val="21"/>
                      <w:szCs w:val="18"/>
                      <w:vertAlign w:val="baseline"/>
                      <w:lang w:val="en-US" w:eastAsia="zh-CN"/>
                    </w:rPr>
                    <w:t>=83.3m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数量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1座，分2组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设计尺寸</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19.1×24.6×6.0m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设计水温</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T=20℃时脱氮速率</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0.045kgNO</w:t>
                  </w:r>
                  <w:r>
                    <w:rPr>
                      <w:rFonts w:hint="eastAsia"/>
                      <w:bCs/>
                      <w:color w:val="auto"/>
                      <w:sz w:val="21"/>
                      <w:szCs w:val="18"/>
                      <w:vertAlign w:val="subscript"/>
                      <w:lang w:val="en-US" w:eastAsia="zh-CN"/>
                    </w:rPr>
                    <w:t>3</w:t>
                  </w:r>
                  <w:r>
                    <w:rPr>
                      <w:rFonts w:hint="eastAsia"/>
                      <w:bCs/>
                      <w:color w:val="auto"/>
                      <w:sz w:val="21"/>
                      <w:szCs w:val="18"/>
                      <w:vertAlign w:val="baseline"/>
                      <w:lang w:val="en-US" w:eastAsia="zh-CN"/>
                    </w:rPr>
                    <w:t>-N/(kgMLSS·d)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T=10℃时脱氮速率</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0.021kgNO</w:t>
                  </w:r>
                  <w:r>
                    <w:rPr>
                      <w:rFonts w:hint="eastAsia"/>
                      <w:bCs/>
                      <w:color w:val="auto"/>
                      <w:sz w:val="21"/>
                      <w:szCs w:val="18"/>
                      <w:vertAlign w:val="subscript"/>
                      <w:lang w:val="en-US" w:eastAsia="zh-CN"/>
                    </w:rPr>
                    <w:t>3</w:t>
                  </w:r>
                  <w:r>
                    <w:rPr>
                      <w:rFonts w:hint="eastAsia"/>
                      <w:bCs/>
                      <w:color w:val="auto"/>
                      <w:sz w:val="21"/>
                      <w:szCs w:val="18"/>
                      <w:vertAlign w:val="baseline"/>
                      <w:lang w:val="en-US" w:eastAsia="zh-CN"/>
                    </w:rPr>
                    <w:t>-N/(kgMLSS·d)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污泥总产率系数</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0.6kgMLSS/kgBOD</w:t>
                  </w:r>
                  <w:r>
                    <w:rPr>
                      <w:rFonts w:hint="eastAsia"/>
                      <w:bCs/>
                      <w:color w:val="auto"/>
                      <w:sz w:val="21"/>
                      <w:szCs w:val="18"/>
                      <w:vertAlign w:val="sub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总停留时间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23.8h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厌氧池停留时间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default"/>
                      <w:bCs/>
                      <w:color w:val="auto"/>
                      <w:sz w:val="21"/>
                      <w:szCs w:val="18"/>
                      <w:vertAlign w:val="baseline"/>
                      <w:lang w:val="en-US" w:eastAsia="zh-CN"/>
                    </w:rPr>
                    <w:t>I段缺氧池</w:t>
                  </w:r>
                  <w:r>
                    <w:rPr>
                      <w:rFonts w:hint="eastAsia"/>
                      <w:bCs/>
                      <w:color w:val="auto"/>
                      <w:sz w:val="21"/>
                      <w:szCs w:val="18"/>
                      <w:vertAlign w:val="baseline"/>
                      <w:lang w:val="en-US" w:eastAsia="zh-CN"/>
                    </w:rPr>
                    <w:t>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7.0h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default"/>
                      <w:bCs/>
                      <w:color w:val="auto"/>
                      <w:sz w:val="21"/>
                      <w:szCs w:val="18"/>
                      <w:vertAlign w:val="baseline"/>
                      <w:lang w:val="en-US" w:eastAsia="zh-CN"/>
                    </w:rPr>
                    <w:t>I段</w:t>
                  </w:r>
                  <w:r>
                    <w:rPr>
                      <w:rFonts w:hint="eastAsia"/>
                      <w:bCs/>
                      <w:color w:val="auto"/>
                      <w:sz w:val="21"/>
                      <w:szCs w:val="18"/>
                      <w:vertAlign w:val="baseline"/>
                      <w:lang w:val="en-US" w:eastAsia="zh-CN"/>
                    </w:rPr>
                    <w:t>好</w:t>
                  </w:r>
                  <w:r>
                    <w:rPr>
                      <w:rFonts w:hint="default"/>
                      <w:bCs/>
                      <w:color w:val="auto"/>
                      <w:sz w:val="21"/>
                      <w:szCs w:val="18"/>
                      <w:vertAlign w:val="baseline"/>
                      <w:lang w:val="en-US" w:eastAsia="zh-CN"/>
                    </w:rPr>
                    <w:t>氧池</w:t>
                  </w:r>
                  <w:r>
                    <w:rPr>
                      <w:rFonts w:hint="eastAsia"/>
                      <w:bCs/>
                      <w:color w:val="auto"/>
                      <w:sz w:val="21"/>
                      <w:szCs w:val="18"/>
                      <w:vertAlign w:val="baseline"/>
                      <w:lang w:val="en-US" w:eastAsia="zh-CN"/>
                    </w:rPr>
                    <w:t>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10.6h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18"/>
                      <w:vertAlign w:val="baseline"/>
                      <w:lang w:val="en-US" w:eastAsia="zh-CN" w:bidi="ar-SA"/>
                    </w:rPr>
                  </w:pPr>
                  <w:r>
                    <w:rPr>
                      <w:rFonts w:hint="default"/>
                      <w:bCs/>
                      <w:color w:val="auto"/>
                      <w:sz w:val="21"/>
                      <w:szCs w:val="18"/>
                      <w:vertAlign w:val="baseline"/>
                      <w:lang w:val="en-US" w:eastAsia="zh-CN"/>
                    </w:rPr>
                    <w:t>II段缺氧池</w:t>
                  </w:r>
                  <w:r>
                    <w:rPr>
                      <w:rFonts w:hint="eastAsia"/>
                      <w:bCs/>
                      <w:color w:val="auto"/>
                      <w:sz w:val="21"/>
                      <w:szCs w:val="18"/>
                      <w:vertAlign w:val="baseline"/>
                      <w:lang w:val="en-US" w:eastAsia="zh-CN"/>
                    </w:rPr>
                    <w:t>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2.9h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18"/>
                      <w:vertAlign w:val="baseline"/>
                      <w:lang w:val="en-US" w:eastAsia="zh-CN" w:bidi="ar-SA"/>
                    </w:rPr>
                  </w:pPr>
                  <w:r>
                    <w:rPr>
                      <w:rFonts w:hint="default"/>
                      <w:bCs/>
                      <w:color w:val="auto"/>
                      <w:sz w:val="21"/>
                      <w:szCs w:val="18"/>
                      <w:vertAlign w:val="baseline"/>
                      <w:lang w:val="en-US" w:eastAsia="zh-CN"/>
                    </w:rPr>
                    <w:t>II段</w:t>
                  </w:r>
                  <w:r>
                    <w:rPr>
                      <w:rFonts w:hint="eastAsia"/>
                      <w:bCs/>
                      <w:color w:val="auto"/>
                      <w:sz w:val="21"/>
                      <w:szCs w:val="18"/>
                      <w:vertAlign w:val="baseline"/>
                      <w:lang w:val="en-US" w:eastAsia="zh-CN"/>
                    </w:rPr>
                    <w:t>好</w:t>
                  </w:r>
                  <w:r>
                    <w:rPr>
                      <w:rFonts w:hint="default"/>
                      <w:bCs/>
                      <w:color w:val="auto"/>
                      <w:sz w:val="21"/>
                      <w:szCs w:val="18"/>
                      <w:vertAlign w:val="baseline"/>
                      <w:lang w:val="en-US" w:eastAsia="zh-CN"/>
                    </w:rPr>
                    <w:t>氧池</w:t>
                  </w:r>
                  <w:r>
                    <w:rPr>
                      <w:rFonts w:hint="eastAsia"/>
                      <w:bCs/>
                      <w:color w:val="auto"/>
                      <w:sz w:val="21"/>
                      <w:szCs w:val="18"/>
                      <w:vertAlign w:val="baseline"/>
                      <w:lang w:val="en-US" w:eastAsia="zh-CN"/>
                    </w:rPr>
                    <w:t>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设计总污泥龄</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16.7d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混合液悬浮固体浓度（MLSS）</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3.5g/L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BOD</w:t>
                  </w:r>
                  <w:r>
                    <w:rPr>
                      <w:rFonts w:hint="eastAsia"/>
                      <w:bCs/>
                      <w:color w:val="auto"/>
                      <w:sz w:val="21"/>
                      <w:szCs w:val="18"/>
                      <w:vertAlign w:val="subscript"/>
                      <w:lang w:val="en-US" w:eastAsia="zh-CN"/>
                    </w:rPr>
                    <w:t>5</w:t>
                  </w:r>
                  <w:r>
                    <w:rPr>
                      <w:rFonts w:hint="eastAsia"/>
                      <w:bCs/>
                      <w:color w:val="auto"/>
                      <w:sz w:val="21"/>
                      <w:szCs w:val="18"/>
                      <w:vertAlign w:val="baseline"/>
                      <w:lang w:val="en-US" w:eastAsia="zh-CN"/>
                    </w:rPr>
                    <w:t>污泥负荷</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0.11kgBOD/kgMLSS·d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最大污泥回流比</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混合液回流比</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绝干污泥总量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约0.42t/d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湿污泥量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superscript"/>
                      <w:lang w:val="en-US" w:eastAsia="zh-CN"/>
                    </w:rPr>
                  </w:pPr>
                  <w:r>
                    <w:rPr>
                      <w:rFonts w:hint="eastAsia"/>
                      <w:bCs/>
                      <w:color w:val="auto"/>
                      <w:sz w:val="21"/>
                      <w:szCs w:val="18"/>
                      <w:vertAlign w:val="baseline"/>
                      <w:lang w:val="en-US" w:eastAsia="zh-CN"/>
                    </w:rPr>
                    <w:t>约52m3/d（含水率99.2%）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标准状态需氧量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18.1kgO</w:t>
                  </w:r>
                  <w:r>
                    <w:rPr>
                      <w:rFonts w:hint="eastAsia"/>
                      <w:bCs/>
                      <w:color w:val="auto"/>
                      <w:sz w:val="21"/>
                      <w:szCs w:val="18"/>
                      <w:vertAlign w:val="subscript"/>
                      <w:lang w:val="en-US" w:eastAsia="zh-CN"/>
                    </w:rPr>
                    <w:t>2</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供气量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12m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/min</w:t>
                  </w:r>
                </w:p>
              </w:tc>
            </w:tr>
          </w:tbl>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主要构筑物：</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单组内壁尺寸：</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配水区：1.7×2.4×6.0（深）m</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厌氧池：7×2.4×6.0（深）m</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Ⅰ段缺氧池：9×6.5×6.0（深）m</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Ⅰ段好氧池：分2 格，单格尺寸9×4.7×6.0（深）m</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Ⅱ段缺氧池：6×4.0×6.0（深）m</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Ⅱ段好氧池：2.7×4.0×6.0（深）m</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②二沉池</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本次设计厂区新建两座二沉池，单座设计规模1000m</w:t>
            </w:r>
            <w:r>
              <w:rPr>
                <w:rFonts w:hint="eastAsia"/>
                <w:bCs/>
                <w:color w:val="auto"/>
                <w:sz w:val="24"/>
                <w:vertAlign w:val="superscript"/>
                <w:lang w:val="en-US" w:eastAsia="zh-CN"/>
              </w:rPr>
              <w:t>3</w:t>
            </w:r>
            <w:r>
              <w:rPr>
                <w:rFonts w:hint="eastAsia"/>
                <w:bCs/>
                <w:color w:val="auto"/>
                <w:sz w:val="24"/>
                <w:lang w:val="en-US" w:eastAsia="zh-CN"/>
              </w:rPr>
              <w:t>/d。本次设计二沉池采用辐流式。</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设计参数：</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表2-25  二沉池设计参数一览表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二沉池</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中心进水周边出水辅流式沉淀池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max</w:t>
                  </w:r>
                  <w:r>
                    <w:rPr>
                      <w:rFonts w:hint="eastAsia"/>
                      <w:bCs/>
                      <w:color w:val="auto"/>
                      <w:sz w:val="21"/>
                      <w:szCs w:val="18"/>
                      <w:vertAlign w:val="baseline"/>
                      <w:lang w:val="en-US" w:eastAsia="zh-CN"/>
                    </w:rPr>
                    <w:t>=125m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数量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单座设计尺寸</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直径13m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设计表面负荷</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0.5m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/m</w:t>
                  </w:r>
                  <w:r>
                    <w:rPr>
                      <w:rFonts w:hint="eastAsia"/>
                      <w:bCs/>
                      <w:color w:val="auto"/>
                      <w:sz w:val="21"/>
                      <w:szCs w:val="18"/>
                      <w:vertAlign w:val="superscript"/>
                      <w:lang w:val="en-US" w:eastAsia="zh-CN"/>
                    </w:rPr>
                    <w:t>2</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水力停留时间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18"/>
                      <w:vertAlign w:val="baseline"/>
                      <w:lang w:val="en-US" w:eastAsia="zh-CN"/>
                    </w:rPr>
                  </w:pPr>
                  <w:r>
                    <w:rPr>
                      <w:rFonts w:hint="eastAsia"/>
                      <w:bCs/>
                      <w:color w:val="auto"/>
                      <w:sz w:val="21"/>
                      <w:szCs w:val="18"/>
                      <w:vertAlign w:val="baseline"/>
                      <w:lang w:val="en-US" w:eastAsia="zh-CN"/>
                    </w:rPr>
                    <w:t>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有效水深</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超高</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0.5m</w:t>
                  </w:r>
                </w:p>
              </w:tc>
            </w:tr>
          </w:tbl>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主要构筑物：</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二沉池：2座。单组内壁尺寸：直径D=13m。池总高H=3.0m。</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③组合水池</w:t>
            </w:r>
          </w:p>
          <w:p>
            <w:pPr>
              <w:numPr>
                <w:ilvl w:val="0"/>
                <w:numId w:val="0"/>
              </w:numPr>
              <w:adjustRightInd w:val="0"/>
              <w:snapToGrid w:val="0"/>
              <w:spacing w:line="480" w:lineRule="exact"/>
              <w:ind w:firstLine="480" w:firstLineChars="200"/>
              <w:rPr>
                <w:rFonts w:hint="default" w:eastAsia="宋体"/>
                <w:bCs/>
                <w:color w:val="auto"/>
                <w:sz w:val="24"/>
                <w:lang w:val="en-US" w:eastAsia="zh-CN"/>
              </w:rPr>
            </w:pPr>
            <w:r>
              <w:rPr>
                <w:rFonts w:hint="default" w:eastAsia="宋体"/>
                <w:bCs/>
                <w:color w:val="auto"/>
                <w:sz w:val="24"/>
                <w:lang w:val="en-US" w:eastAsia="zh-CN"/>
              </w:rPr>
              <w:t>组合水池包括中间水池、消毒池、回用水池。组合水池上设水泵房及出水监测间。水泵房设厂区回用水泵、消防水泵等配套设施；出水监测间放置污水厂出水在线监测设备。</w:t>
            </w:r>
          </w:p>
          <w:p>
            <w:pPr>
              <w:numPr>
                <w:ilvl w:val="0"/>
                <w:numId w:val="0"/>
              </w:numPr>
              <w:adjustRightInd w:val="0"/>
              <w:snapToGrid w:val="0"/>
              <w:spacing w:line="480" w:lineRule="exact"/>
              <w:ind w:firstLine="480" w:firstLineChars="200"/>
              <w:rPr>
                <w:rFonts w:hint="default" w:eastAsia="宋体"/>
                <w:bCs/>
                <w:color w:val="auto"/>
                <w:sz w:val="24"/>
                <w:lang w:val="en-US" w:eastAsia="zh-CN"/>
              </w:rPr>
            </w:pPr>
            <w:r>
              <w:rPr>
                <w:rFonts w:hint="eastAsia"/>
                <w:bCs/>
                <w:color w:val="auto"/>
                <w:sz w:val="24"/>
                <w:lang w:val="en-US" w:eastAsia="zh-CN"/>
              </w:rPr>
              <w:t>主要构筑物：</w:t>
            </w:r>
          </w:p>
          <w:p>
            <w:pPr>
              <w:numPr>
                <w:ilvl w:val="0"/>
                <w:numId w:val="0"/>
              </w:numPr>
              <w:adjustRightInd w:val="0"/>
              <w:snapToGrid w:val="0"/>
              <w:spacing w:line="480" w:lineRule="exact"/>
              <w:ind w:firstLine="480" w:firstLineChars="200"/>
              <w:rPr>
                <w:rFonts w:hint="eastAsia" w:eastAsia="宋体"/>
                <w:bCs/>
                <w:color w:val="auto"/>
                <w:sz w:val="24"/>
                <w:lang w:val="en-US" w:eastAsia="zh-CN"/>
              </w:rPr>
            </w:pPr>
            <w:r>
              <w:rPr>
                <w:rFonts w:hint="eastAsia" w:eastAsia="宋体"/>
                <w:bCs/>
                <w:color w:val="auto"/>
                <w:sz w:val="24"/>
                <w:lang w:val="en-US" w:eastAsia="zh-CN"/>
              </w:rPr>
              <w:t>中间水池：1座，内壁尺寸2.5×4.2×5.6m（h）</w:t>
            </w:r>
            <w:r>
              <w:rPr>
                <w:rFonts w:hint="eastAsia"/>
                <w:bCs/>
                <w:color w:val="auto"/>
                <w:sz w:val="24"/>
                <w:lang w:val="en-US" w:eastAsia="zh-CN"/>
              </w:rPr>
              <w:t>，</w:t>
            </w:r>
            <w:r>
              <w:rPr>
                <w:rFonts w:hint="eastAsia" w:eastAsia="宋体"/>
                <w:bCs/>
                <w:color w:val="auto"/>
                <w:sz w:val="24"/>
                <w:lang w:val="en-US" w:eastAsia="zh-CN"/>
              </w:rPr>
              <w:t>钢筋混凝土结构</w:t>
            </w:r>
            <w:r>
              <w:rPr>
                <w:rFonts w:hint="eastAsia"/>
                <w:bCs/>
                <w:color w:val="auto"/>
                <w:sz w:val="24"/>
                <w:lang w:val="en-US" w:eastAsia="zh-CN"/>
              </w:rPr>
              <w:t>，</w:t>
            </w:r>
            <w:r>
              <w:rPr>
                <w:rFonts w:hint="eastAsia" w:eastAsia="宋体"/>
                <w:bCs/>
                <w:color w:val="auto"/>
                <w:sz w:val="24"/>
                <w:lang w:val="en-US" w:eastAsia="zh-CN"/>
              </w:rPr>
              <w:t>有效水深5.0m。</w:t>
            </w:r>
          </w:p>
          <w:p>
            <w:pPr>
              <w:numPr>
                <w:ilvl w:val="0"/>
                <w:numId w:val="0"/>
              </w:numPr>
              <w:adjustRightInd w:val="0"/>
              <w:snapToGrid w:val="0"/>
              <w:spacing w:line="480" w:lineRule="exact"/>
              <w:ind w:firstLine="480" w:firstLineChars="200"/>
              <w:rPr>
                <w:rFonts w:hint="eastAsia" w:eastAsia="宋体"/>
                <w:bCs/>
                <w:color w:val="auto"/>
                <w:sz w:val="24"/>
                <w:lang w:val="en-US" w:eastAsia="zh-CN"/>
              </w:rPr>
            </w:pPr>
            <w:r>
              <w:rPr>
                <w:rFonts w:hint="eastAsia" w:eastAsia="宋体"/>
                <w:bCs/>
                <w:color w:val="auto"/>
                <w:sz w:val="24"/>
                <w:lang w:val="en-US" w:eastAsia="zh-CN"/>
              </w:rPr>
              <w:t>消毒池：1座，内壁尺寸：4.2×5.0×5.6m，钢筋混凝土结构</w:t>
            </w:r>
            <w:r>
              <w:rPr>
                <w:rFonts w:hint="eastAsia"/>
                <w:bCs/>
                <w:color w:val="auto"/>
                <w:sz w:val="24"/>
                <w:lang w:val="en-US" w:eastAsia="zh-CN"/>
              </w:rPr>
              <w:t>。</w:t>
            </w:r>
          </w:p>
          <w:p>
            <w:pPr>
              <w:numPr>
                <w:ilvl w:val="0"/>
                <w:numId w:val="0"/>
              </w:numPr>
              <w:adjustRightInd w:val="0"/>
              <w:snapToGrid w:val="0"/>
              <w:spacing w:line="480" w:lineRule="exact"/>
              <w:ind w:firstLine="480" w:firstLineChars="200"/>
              <w:rPr>
                <w:rFonts w:hint="eastAsia" w:eastAsia="宋体"/>
                <w:bCs/>
                <w:color w:val="auto"/>
                <w:sz w:val="24"/>
                <w:lang w:val="en-US" w:eastAsia="zh-CN"/>
              </w:rPr>
            </w:pPr>
            <w:r>
              <w:rPr>
                <w:rFonts w:hint="eastAsia" w:eastAsia="宋体"/>
                <w:bCs/>
                <w:color w:val="auto"/>
                <w:sz w:val="24"/>
                <w:lang w:val="en-US" w:eastAsia="zh-CN"/>
              </w:rPr>
              <w:t>回用水池：1 座，内壁尺寸：7.5×4.0×5.6m，钢筋混凝土结构</w:t>
            </w:r>
            <w:r>
              <w:rPr>
                <w:rFonts w:hint="eastAsia"/>
                <w:bCs/>
                <w:color w:val="auto"/>
                <w:sz w:val="24"/>
                <w:lang w:val="en-US" w:eastAsia="zh-CN"/>
              </w:rPr>
              <w:t>。</w:t>
            </w:r>
          </w:p>
          <w:p>
            <w:pPr>
              <w:numPr>
                <w:ilvl w:val="0"/>
                <w:numId w:val="0"/>
              </w:numPr>
              <w:adjustRightInd w:val="0"/>
              <w:snapToGrid w:val="0"/>
              <w:spacing w:line="480" w:lineRule="exact"/>
              <w:ind w:firstLine="480" w:firstLineChars="200"/>
              <w:rPr>
                <w:rFonts w:hint="eastAsia" w:eastAsia="宋体"/>
                <w:bCs/>
                <w:color w:val="auto"/>
                <w:sz w:val="24"/>
                <w:lang w:val="en-US" w:eastAsia="zh-CN"/>
              </w:rPr>
            </w:pPr>
            <w:r>
              <w:rPr>
                <w:rFonts w:hint="eastAsia" w:eastAsia="宋体"/>
                <w:bCs/>
                <w:color w:val="auto"/>
                <w:sz w:val="24"/>
                <w:lang w:val="en-US" w:eastAsia="zh-CN"/>
              </w:rPr>
              <w:t>水泵房及出水监测间：1 座，L×B×H=7.5×5. 1×3.6m，砖混结构</w:t>
            </w:r>
            <w:r>
              <w:rPr>
                <w:rFonts w:hint="eastAsia"/>
                <w:bCs/>
                <w:color w:val="auto"/>
                <w:sz w:val="24"/>
                <w:lang w:val="en-US" w:eastAsia="zh-CN"/>
              </w:rPr>
              <w:t>。</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3）深度处理设施</w:t>
            </w:r>
          </w:p>
          <w:p>
            <w:pPr>
              <w:numPr>
                <w:ilvl w:val="0"/>
                <w:numId w:val="0"/>
              </w:numPr>
              <w:adjustRightInd w:val="0"/>
              <w:snapToGrid w:val="0"/>
              <w:spacing w:line="480" w:lineRule="exact"/>
              <w:ind w:firstLine="480" w:firstLineChars="200"/>
              <w:rPr>
                <w:rFonts w:hint="eastAsia" w:eastAsia="宋体"/>
                <w:bCs/>
                <w:color w:val="auto"/>
                <w:sz w:val="24"/>
                <w:lang w:val="en-US" w:eastAsia="zh-CN"/>
              </w:rPr>
            </w:pPr>
            <w:r>
              <w:rPr>
                <w:rFonts w:hint="eastAsia" w:eastAsia="宋体"/>
                <w:bCs/>
                <w:color w:val="auto"/>
                <w:sz w:val="24"/>
                <w:lang w:val="en-US" w:eastAsia="zh-CN"/>
              </w:rPr>
              <w:t>深度处理系统设计建设规模2000m</w:t>
            </w:r>
            <w:r>
              <w:rPr>
                <w:rFonts w:hint="eastAsia" w:eastAsia="宋体"/>
                <w:bCs/>
                <w:color w:val="auto"/>
                <w:sz w:val="24"/>
                <w:vertAlign w:val="superscript"/>
                <w:lang w:val="en-US" w:eastAsia="zh-CN"/>
              </w:rPr>
              <w:t>3</w:t>
            </w:r>
            <w:r>
              <w:rPr>
                <w:rFonts w:hint="eastAsia" w:eastAsia="宋体"/>
                <w:bCs/>
                <w:color w:val="auto"/>
                <w:sz w:val="24"/>
                <w:lang w:val="en-US" w:eastAsia="zh-CN"/>
              </w:rPr>
              <w:t>/d，深度处理系统位于深度处理车间内，深度处理车间尺寸：32.4m×17.7m，高度8.0m，车间内放置絮凝沉淀池、V型滤池、配套加药设备、储药间、风机房、配电室。</w:t>
            </w:r>
          </w:p>
          <w:p>
            <w:pPr>
              <w:numPr>
                <w:ilvl w:val="0"/>
                <w:numId w:val="0"/>
              </w:numPr>
              <w:adjustRightInd w:val="0"/>
              <w:snapToGrid w:val="0"/>
              <w:spacing w:line="480" w:lineRule="exact"/>
              <w:ind w:firstLine="480" w:firstLineChars="200"/>
              <w:rPr>
                <w:rFonts w:hint="eastAsia" w:eastAsia="宋体"/>
                <w:bCs/>
                <w:color w:val="auto"/>
                <w:sz w:val="24"/>
                <w:lang w:val="en-US" w:eastAsia="zh-CN"/>
              </w:rPr>
            </w:pPr>
            <w:r>
              <w:rPr>
                <w:rFonts w:hint="eastAsia" w:eastAsia="宋体"/>
                <w:bCs/>
                <w:color w:val="auto"/>
                <w:sz w:val="24"/>
                <w:lang w:val="en-US" w:eastAsia="zh-CN"/>
              </w:rPr>
              <w:t>本工程深度水处理以进一步降低水中悬浮物和磷为目的，设计采用混凝沉淀过滤工艺，工艺原理为：向经二级处理后的尾水中投加混凝剂和助凝剂，以破坏水中胶体颗粒的稳定状态，在一定水力条件下，通过胶体间以及和其他微粒间的相互碰撞和聚集，从而形成易于从水中分离的絮状物质。在滤池中流经多孔介质或滤网作进一步的固液分离。</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①絮凝沉淀池</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中间水池出水输送至絮凝沉淀池进行下一步处理。絮凝沉淀池采用上升流的沉淀池设计形式，它将混凝、絮凝、沉淀和污泥浓缩功能集合于一体。</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设计参数：</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表2-26  絮凝沉淀池设计参数一览表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构筑物数量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1座2组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max</w:t>
                  </w:r>
                  <w:r>
                    <w:rPr>
                      <w:rFonts w:hint="eastAsia"/>
                      <w:bCs/>
                      <w:color w:val="auto"/>
                      <w:sz w:val="21"/>
                      <w:szCs w:val="18"/>
                      <w:vertAlign w:val="baseline"/>
                      <w:lang w:val="en-US" w:eastAsia="zh-CN"/>
                    </w:rPr>
                    <w:t>=125m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混合区停留时间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2.2min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絮凝区停留时间</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沉淀区表面负荷</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2.1m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/m</w:t>
                  </w:r>
                  <w:r>
                    <w:rPr>
                      <w:rFonts w:hint="eastAsia"/>
                      <w:bCs/>
                      <w:color w:val="auto"/>
                      <w:sz w:val="21"/>
                      <w:szCs w:val="18"/>
                      <w:vertAlign w:val="superscript"/>
                      <w:lang w:val="en-US" w:eastAsia="zh-CN"/>
                    </w:rPr>
                    <w:t>2</w:t>
                  </w:r>
                  <w:r>
                    <w:rPr>
                      <w:rFonts w:hint="eastAsia"/>
                      <w:bCs/>
                      <w:color w:val="auto"/>
                      <w:sz w:val="21"/>
                      <w:szCs w:val="18"/>
                      <w:vertAlign w:val="baseline"/>
                      <w:lang w:val="en-US" w:eastAsia="zh-CN"/>
                    </w:rPr>
                    <w:t>·h</w:t>
                  </w:r>
                </w:p>
              </w:tc>
            </w:tr>
          </w:tbl>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主要构筑物：</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絮凝沉淀池，1座，2组。</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单组尺寸：混凝区1.5×1.5×1.65m，絮凝区1.8×1.8×3.2m，配水区：1.0×5.9×5.0m，沉淀区5.0×5.9×5.0m。</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②V型滤池</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污水经絮凝沉淀池后，进入滤池，滤池采用石英砂滤料，在滤池运行过程中存在以下过程：截留、吸附和脱附。</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滤池在工艺设计上分为配水系统、过滤系统、气水反冲洗系统三部分。滤池主体结构包括池体、池内分区隔板、梁柱、V 型槽、进水槽、出水槽。侧边滤池与相邻的一座滤池为对称设计，配水槽断面呈V形。有效过滤面积为15.12m</w:t>
            </w:r>
            <w:r>
              <w:rPr>
                <w:rFonts w:hint="eastAsia"/>
                <w:bCs/>
                <w:color w:val="auto"/>
                <w:sz w:val="24"/>
                <w:vertAlign w:val="superscript"/>
                <w:lang w:val="en-US" w:eastAsia="zh-CN"/>
              </w:rPr>
              <w:t>2</w:t>
            </w:r>
            <w:r>
              <w:rPr>
                <w:rFonts w:hint="eastAsia"/>
                <w:bCs/>
                <w:color w:val="auto"/>
                <w:sz w:val="24"/>
                <w:lang w:val="en-US" w:eastAsia="zh-CN"/>
              </w:rPr>
              <w:t>。每座滤池。又通过隔板分为两部分。一部分为承装滤料的滤池过滤主体；另一部分为气水分配渠和排污槽，其中排污槽位于气水分配渠上方。</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设计参数：</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表2-27  V型滤池设计参数一览表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设计流量</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Q</w:t>
                  </w:r>
                  <w:r>
                    <w:rPr>
                      <w:rFonts w:hint="eastAsia"/>
                      <w:bCs/>
                      <w:color w:val="auto"/>
                      <w:sz w:val="21"/>
                      <w:szCs w:val="18"/>
                      <w:vertAlign w:val="subscript"/>
                      <w:lang w:val="en-US" w:eastAsia="zh-CN"/>
                    </w:rPr>
                    <w:t>max</w:t>
                  </w:r>
                  <w:r>
                    <w:rPr>
                      <w:rFonts w:hint="eastAsia"/>
                      <w:bCs/>
                      <w:color w:val="auto"/>
                      <w:sz w:val="21"/>
                      <w:szCs w:val="18"/>
                      <w:vertAlign w:val="baseline"/>
                      <w:lang w:val="en-US" w:eastAsia="zh-CN"/>
                    </w:rPr>
                    <w:t>=125m</w:t>
                  </w:r>
                  <w:r>
                    <w:rPr>
                      <w:rFonts w:hint="eastAsia"/>
                      <w:bCs/>
                      <w:color w:val="auto"/>
                      <w:sz w:val="21"/>
                      <w:szCs w:val="18"/>
                      <w:vertAlign w:val="superscript"/>
                      <w:lang w:val="en-US" w:eastAsia="zh-CN"/>
                    </w:rPr>
                    <w:t>3</w:t>
                  </w:r>
                  <w:r>
                    <w:rPr>
                      <w:rFonts w:hint="eastAsia"/>
                      <w:bCs/>
                      <w:color w:val="auto"/>
                      <w:sz w:val="21"/>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设计滤速</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4.1m/h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强制滤速</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8.2m/h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水反冲强度</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5.1L/m</w:t>
                  </w:r>
                  <w:r>
                    <w:rPr>
                      <w:rFonts w:hint="eastAsia"/>
                      <w:bCs/>
                      <w:color w:val="auto"/>
                      <w:sz w:val="21"/>
                      <w:szCs w:val="18"/>
                      <w:vertAlign w:val="superscript"/>
                      <w:lang w:val="en-US" w:eastAsia="zh-CN"/>
                    </w:rPr>
                    <w:t>2</w:t>
                  </w:r>
                  <w:r>
                    <w:rPr>
                      <w:rFonts w:hint="eastAsia"/>
                      <w:bCs/>
                      <w:color w:val="auto"/>
                      <w:sz w:val="21"/>
                      <w:szCs w:val="18"/>
                      <w:vertAlign w:val="baseli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气反冲强度</w:t>
                  </w:r>
                </w:p>
              </w:tc>
              <w:tc>
                <w:tcPr>
                  <w:tcW w:w="4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21"/>
                      <w:szCs w:val="18"/>
                      <w:vertAlign w:val="baseline"/>
                      <w:lang w:val="en-US" w:eastAsia="zh-CN"/>
                    </w:rPr>
                  </w:pPr>
                  <w:r>
                    <w:rPr>
                      <w:rFonts w:hint="eastAsia"/>
                      <w:bCs/>
                      <w:color w:val="auto"/>
                      <w:sz w:val="21"/>
                      <w:szCs w:val="18"/>
                      <w:vertAlign w:val="baseline"/>
                      <w:lang w:val="en-US" w:eastAsia="zh-CN"/>
                    </w:rPr>
                    <w:t>16L/m</w:t>
                  </w:r>
                  <w:r>
                    <w:rPr>
                      <w:rFonts w:hint="eastAsia"/>
                      <w:bCs/>
                      <w:color w:val="auto"/>
                      <w:sz w:val="21"/>
                      <w:szCs w:val="18"/>
                      <w:vertAlign w:val="superscript"/>
                      <w:lang w:val="en-US" w:eastAsia="zh-CN"/>
                    </w:rPr>
                    <w:t>2</w:t>
                  </w:r>
                  <w:r>
                    <w:rPr>
                      <w:rFonts w:hint="eastAsia"/>
                      <w:bCs/>
                      <w:color w:val="auto"/>
                      <w:sz w:val="21"/>
                      <w:szCs w:val="18"/>
                      <w:vertAlign w:val="baseline"/>
                      <w:lang w:val="en-US" w:eastAsia="zh-CN"/>
                    </w:rPr>
                    <w:t>·s</w:t>
                  </w:r>
                </w:p>
              </w:tc>
            </w:tr>
          </w:tbl>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③加药设备</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加药设备包括PAC加药装置、PAM加药装置、碳源加药装置、次氯酸钠加药装置。</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④巴氏计量槽</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选用标准的巴歇尔量水槽，水位可测范围0.05~0.75m，流量可测范围为3~250L/s，与超声波明渠流量计配合使用，可以满足本项目计量要求。除成品标准巴氏流量槽外、其余明渠外露部分均要求采用瓷砖贴面。出水排入厂区北侧的滹沱河。</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⑤鼓风机房及配电室</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配电间与风机房合建，鼓风机房内设2 座鼓风机机位，用于生化池曝气，1用1备。鼓风机房内设电动葫芦1台。变配电室内设厂区高低压配电设备。</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4）污泥处理设施</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为便于污泥的最终处置，湿污泥需进行脱水处理，以达到污泥减量化的目的。本次设计设置污泥脱水机房1 座，用于污泥脱水。污泥脱水间采用砖混结构，包括脱水机间、加药间、配电间，配套建设一座污泥平衡池。生化段总绝干污泥约0.42t/d，含水率99.2%，湿泥量为52m</w:t>
            </w:r>
            <w:r>
              <w:rPr>
                <w:rFonts w:hint="eastAsia"/>
                <w:bCs/>
                <w:color w:val="auto"/>
                <w:sz w:val="24"/>
                <w:vertAlign w:val="superscript"/>
                <w:lang w:val="en-US" w:eastAsia="zh-CN"/>
              </w:rPr>
              <w:t>3</w:t>
            </w:r>
            <w:r>
              <w:rPr>
                <w:rFonts w:hint="eastAsia"/>
                <w:bCs/>
                <w:color w:val="auto"/>
                <w:sz w:val="24"/>
                <w:lang w:val="en-US" w:eastAsia="zh-CN"/>
              </w:rPr>
              <w:t>/d ，深度处理污泥量为5m</w:t>
            </w:r>
            <w:r>
              <w:rPr>
                <w:rFonts w:hint="eastAsia"/>
                <w:bCs/>
                <w:color w:val="auto"/>
                <w:sz w:val="24"/>
                <w:vertAlign w:val="superscript"/>
                <w:lang w:val="en-US" w:eastAsia="zh-CN"/>
              </w:rPr>
              <w:t>3</w:t>
            </w:r>
            <w:r>
              <w:rPr>
                <w:rFonts w:hint="eastAsia"/>
                <w:bCs/>
                <w:color w:val="auto"/>
                <w:sz w:val="24"/>
                <w:lang w:val="en-US" w:eastAsia="zh-CN"/>
              </w:rPr>
              <w:t>/d，采用高压板框压滤机脱水，脱水后含水率不大于60%。污泥脱水后运至五台县垃圾填埋场，运距约25km。污泥脱水系统采用2台过滤面积60m</w:t>
            </w:r>
            <w:r>
              <w:rPr>
                <w:rFonts w:hint="eastAsia"/>
                <w:bCs/>
                <w:color w:val="auto"/>
                <w:sz w:val="24"/>
                <w:vertAlign w:val="superscript"/>
                <w:lang w:val="en-US" w:eastAsia="zh-CN"/>
              </w:rPr>
              <w:t>2</w:t>
            </w:r>
            <w:r>
              <w:rPr>
                <w:rFonts w:hint="eastAsia"/>
                <w:bCs/>
                <w:color w:val="auto"/>
                <w:sz w:val="24"/>
                <w:lang w:val="en-US" w:eastAsia="zh-CN"/>
              </w:rPr>
              <w:t>板框压滤机。设备按每日工作8h计。</w:t>
            </w:r>
          </w:p>
          <w:p>
            <w:pPr>
              <w:adjustRightInd w:val="0"/>
              <w:snapToGrid w:val="0"/>
              <w:spacing w:line="480" w:lineRule="exact"/>
              <w:ind w:firstLine="480" w:firstLineChars="200"/>
              <w:rPr>
                <w:rFonts w:hint="eastAsia" w:ascii="宋体" w:hAnsi="宋体" w:cs="宋体"/>
                <w:sz w:val="24"/>
                <w:lang w:eastAsia="zh-CN"/>
              </w:rPr>
            </w:pPr>
            <w:r>
              <w:rPr>
                <w:rFonts w:hint="eastAsia" w:ascii="宋体" w:hAnsi="宋体" w:cs="宋体"/>
                <w:sz w:val="24"/>
              </w:rPr>
              <w:t>生产工艺流程及产污环节见</w:t>
            </w:r>
            <w:r>
              <w:rPr>
                <w:rFonts w:hint="eastAsia" w:ascii="宋体" w:hAnsi="宋体" w:cs="宋体"/>
                <w:sz w:val="24"/>
                <w:lang w:val="en-US" w:eastAsia="zh-CN"/>
              </w:rPr>
              <w:t>下</w:t>
            </w:r>
            <w:r>
              <w:rPr>
                <w:rFonts w:hint="eastAsia" w:ascii="宋体" w:hAnsi="宋体" w:cs="宋体"/>
                <w:sz w:val="24"/>
              </w:rPr>
              <w:t>图</w:t>
            </w:r>
            <w:r>
              <w:rPr>
                <w:rFonts w:hint="eastAsia" w:ascii="宋体" w:hAnsi="宋体" w:cs="宋体"/>
                <w:sz w:val="24"/>
                <w:lang w:eastAsia="zh-CN"/>
              </w:rPr>
              <w:t>。</w:t>
            </w: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adjustRightInd w:val="0"/>
              <w:snapToGrid w:val="0"/>
              <w:spacing w:line="480" w:lineRule="exact"/>
              <w:ind w:firstLine="480" w:firstLineChars="200"/>
              <w:rPr>
                <w:rFonts w:hint="eastAsia" w:ascii="宋体" w:hAnsi="宋体" w:cs="宋体"/>
                <w:sz w:val="24"/>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color w:val="auto"/>
                <w:sz w:val="24"/>
              </w:rPr>
            </w:pPr>
            <w:r>
              <w:rPr>
                <w:rFonts w:hint="eastAsia"/>
                <w:b/>
                <w:color w:val="auto"/>
                <w:sz w:val="24"/>
              </w:rPr>
              <w:object>
                <v:shape id="_x0000_i1026" o:spt="75" type="#_x0000_t75" style="height:509.8pt;width:441.6pt;" o:ole="t" filled="f" o:preferrelative="t" stroked="f" coordsize="21600,21600">
                  <v:path/>
                  <v:fill on="f" focussize="0,0"/>
                  <v:stroke on="f"/>
                  <v:imagedata r:id="rId15" o:title=""/>
                  <o:lock v:ext="edit" aspectratio="f"/>
                  <w10:wrap type="none"/>
                  <w10:anchorlock/>
                </v:shape>
                <o:OLEObject Type="Embed" ProgID="Visio.Drawing.15" ShapeID="_x0000_i1026" DrawAspect="Content" ObjectID="_1468075726" r:id="rId1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黑体" w:hAnsi="黑体" w:eastAsia="黑体" w:cs="黑体"/>
                <w:b w:val="0"/>
                <w:bCs w:val="0"/>
                <w:color w:val="auto"/>
                <w:sz w:val="24"/>
                <w:szCs w:val="21"/>
                <w:lang w:val="en-US" w:eastAsia="zh-CN"/>
              </w:rPr>
            </w:pPr>
            <w:r>
              <w:rPr>
                <w:rFonts w:hint="eastAsia" w:ascii="黑体" w:hAnsi="黑体" w:eastAsia="黑体" w:cs="黑体"/>
                <w:b w:val="0"/>
                <w:bCs w:val="0"/>
                <w:color w:val="auto"/>
                <w:sz w:val="24"/>
                <w:szCs w:val="21"/>
                <w:lang w:val="en-US" w:eastAsia="zh-CN"/>
              </w:rPr>
              <w:t>图2-1  生产工艺流程及产污环节图</w:t>
            </w:r>
          </w:p>
          <w:p>
            <w:pPr>
              <w:adjustRightInd w:val="0"/>
              <w:snapToGrid w:val="0"/>
              <w:spacing w:line="480" w:lineRule="exact"/>
              <w:ind w:firstLine="482" w:firstLineChars="200"/>
              <w:rPr>
                <w:bCs/>
                <w:color w:val="auto"/>
                <w:sz w:val="24"/>
              </w:rPr>
            </w:pPr>
            <w:r>
              <w:rPr>
                <w:rFonts w:hint="eastAsia"/>
                <w:b/>
                <w:color w:val="auto"/>
                <w:sz w:val="24"/>
              </w:rPr>
              <w:t>（2）运营期工艺流程产排污环节</w:t>
            </w:r>
          </w:p>
          <w:p>
            <w:pPr>
              <w:adjustRightInd w:val="0"/>
              <w:snapToGrid w:val="0"/>
              <w:spacing w:line="480" w:lineRule="exact"/>
              <w:ind w:firstLine="482" w:firstLineChars="200"/>
              <w:rPr>
                <w:b/>
                <w:bCs/>
                <w:color w:val="auto"/>
                <w:sz w:val="24"/>
              </w:rPr>
            </w:pPr>
            <w:r>
              <w:rPr>
                <w:rFonts w:hint="eastAsia"/>
                <w:b/>
                <w:bCs/>
                <w:color w:val="auto"/>
                <w:sz w:val="24"/>
              </w:rPr>
              <w:t>废气：</w:t>
            </w:r>
          </w:p>
          <w:p>
            <w:pPr>
              <w:adjustRightInd w:val="0"/>
              <w:snapToGrid w:val="0"/>
              <w:spacing w:line="480" w:lineRule="exact"/>
              <w:ind w:firstLine="482" w:firstLineChars="200"/>
              <w:rPr>
                <w:bCs/>
                <w:color w:val="auto"/>
                <w:sz w:val="24"/>
              </w:rPr>
            </w:pPr>
            <w:r>
              <w:rPr>
                <w:rFonts w:hint="eastAsia"/>
                <w:b/>
                <w:bCs/>
                <w:color w:val="auto"/>
                <w:sz w:val="24"/>
              </w:rPr>
              <w:t>G</w:t>
            </w:r>
            <w:r>
              <w:rPr>
                <w:rFonts w:hint="eastAsia"/>
                <w:b/>
                <w:bCs/>
                <w:color w:val="auto"/>
                <w:sz w:val="24"/>
                <w:vertAlign w:val="subscript"/>
              </w:rPr>
              <w:t>1</w:t>
            </w:r>
            <w:r>
              <w:rPr>
                <w:rFonts w:hint="eastAsia"/>
                <w:b/>
                <w:bCs/>
                <w:color w:val="auto"/>
                <w:sz w:val="24"/>
              </w:rPr>
              <w:t>：</w:t>
            </w:r>
            <w:r>
              <w:rPr>
                <w:rFonts w:hint="eastAsia"/>
                <w:color w:val="auto"/>
                <w:sz w:val="24"/>
              </w:rPr>
              <w:t>粗格栅提升泵房、细格栅间旋流沉砂池、初沉池、生化池、二沉池、污泥脱水机房</w:t>
            </w:r>
            <w:r>
              <w:rPr>
                <w:rFonts w:hint="eastAsia"/>
                <w:color w:val="auto"/>
                <w:sz w:val="24"/>
                <w:lang w:val="en-US" w:eastAsia="zh-CN"/>
              </w:rPr>
              <w:t>产生的恶臭气体，主要污染物为氨、硫化氢、臭气浓度</w:t>
            </w:r>
            <w:r>
              <w:rPr>
                <w:rFonts w:hint="eastAsia"/>
                <w:bCs/>
                <w:color w:val="auto"/>
                <w:sz w:val="24"/>
              </w:rPr>
              <w:t>；</w:t>
            </w:r>
          </w:p>
          <w:p>
            <w:pPr>
              <w:adjustRightInd w:val="0"/>
              <w:snapToGrid w:val="0"/>
              <w:spacing w:line="480" w:lineRule="exact"/>
              <w:ind w:firstLine="482" w:firstLineChars="200"/>
              <w:rPr>
                <w:b/>
                <w:color w:val="auto"/>
                <w:sz w:val="24"/>
              </w:rPr>
            </w:pPr>
            <w:r>
              <w:rPr>
                <w:rFonts w:hint="eastAsia"/>
                <w:b/>
                <w:color w:val="auto"/>
                <w:sz w:val="24"/>
              </w:rPr>
              <w:t>废水</w:t>
            </w:r>
          </w:p>
          <w:p>
            <w:pPr>
              <w:pStyle w:val="73"/>
              <w:spacing w:before="0" w:after="0"/>
              <w:ind w:firstLine="482"/>
              <w:rPr>
                <w:rFonts w:ascii="Times New Roman" w:hAnsi="Times New Roman" w:eastAsia="宋体" w:cs="Times New Roman"/>
                <w:bCs/>
                <w:color w:val="auto"/>
              </w:rPr>
            </w:pPr>
            <w:r>
              <w:rPr>
                <w:rFonts w:hint="eastAsia" w:ascii="Times New Roman" w:hAnsi="Times New Roman" w:eastAsia="宋体" w:cs="Times New Roman"/>
                <w:b/>
                <w:color w:val="auto"/>
              </w:rPr>
              <w:t>W</w:t>
            </w:r>
            <w:r>
              <w:rPr>
                <w:rFonts w:hint="eastAsia" w:ascii="Times New Roman" w:hAnsi="Times New Roman" w:eastAsia="宋体" w:cs="Times New Roman"/>
                <w:b/>
                <w:color w:val="auto"/>
                <w:vertAlign w:val="subscript"/>
                <w:lang w:val="en-US" w:eastAsia="zh-CN"/>
              </w:rPr>
              <w:t>1</w:t>
            </w:r>
            <w:r>
              <w:rPr>
                <w:rFonts w:hint="eastAsia" w:ascii="Times New Roman" w:hAnsi="Times New Roman" w:eastAsia="宋体" w:cs="Times New Roman"/>
                <w:b/>
                <w:color w:val="auto"/>
              </w:rPr>
              <w:t>：</w:t>
            </w:r>
            <w:r>
              <w:rPr>
                <w:rFonts w:hint="eastAsia" w:ascii="Times New Roman" w:hAnsi="Times New Roman" w:eastAsia="宋体" w:cs="Times New Roman"/>
                <w:b w:val="0"/>
                <w:bCs/>
                <w:color w:val="auto"/>
              </w:rPr>
              <w:t>污泥脱水间产生的滤液</w:t>
            </w:r>
            <w:r>
              <w:rPr>
                <w:rFonts w:hint="eastAsia" w:ascii="Times New Roman" w:hAnsi="Times New Roman" w:eastAsia="宋体" w:cs="Times New Roman"/>
                <w:bCs/>
                <w:color w:val="auto"/>
              </w:rPr>
              <w:t>，主要污染物为</w:t>
            </w:r>
            <w:r>
              <w:rPr>
                <w:rFonts w:hint="eastAsia" w:ascii="Times New Roman" w:hAnsi="Times New Roman" w:eastAsia="宋体" w:cs="Times New Roman"/>
                <w:color w:val="auto"/>
                <w:spacing w:val="4"/>
              </w:rPr>
              <w:t>COD</w:t>
            </w:r>
            <w:r>
              <w:rPr>
                <w:rFonts w:hint="eastAsia" w:ascii="Times New Roman" w:hAnsi="Times New Roman" w:eastAsia="宋体" w:cs="Times New Roman"/>
                <w:color w:val="auto"/>
                <w:spacing w:val="4"/>
                <w:vertAlign w:val="subscript"/>
              </w:rPr>
              <w:t>Cr</w:t>
            </w:r>
            <w:r>
              <w:rPr>
                <w:rFonts w:hint="eastAsia" w:ascii="Times New Roman" w:hAnsi="Times New Roman" w:eastAsia="宋体" w:cs="Times New Roman"/>
                <w:color w:val="auto"/>
                <w:spacing w:val="4"/>
              </w:rPr>
              <w:t>、BOD</w:t>
            </w:r>
            <w:r>
              <w:rPr>
                <w:rFonts w:hint="eastAsia" w:ascii="Times New Roman" w:hAnsi="Times New Roman" w:eastAsia="宋体" w:cs="Times New Roman"/>
                <w:color w:val="auto"/>
                <w:spacing w:val="4"/>
                <w:vertAlign w:val="subscript"/>
              </w:rPr>
              <w:t>5</w:t>
            </w:r>
            <w:r>
              <w:rPr>
                <w:rFonts w:hint="eastAsia" w:ascii="Times New Roman" w:hAnsi="Times New Roman" w:eastAsia="宋体" w:cs="Times New Roman"/>
                <w:color w:val="auto"/>
                <w:spacing w:val="4"/>
              </w:rPr>
              <w:t>、SS、氨氮等</w:t>
            </w:r>
            <w:r>
              <w:rPr>
                <w:rFonts w:hint="eastAsia" w:ascii="Times New Roman" w:hAnsi="Times New Roman" w:eastAsia="宋体" w:cs="Times New Roman"/>
                <w:bCs/>
                <w:color w:val="auto"/>
              </w:rPr>
              <w:t>；</w:t>
            </w:r>
          </w:p>
          <w:p>
            <w:pPr>
              <w:pStyle w:val="73"/>
              <w:spacing w:before="0" w:after="0"/>
              <w:ind w:firstLine="482"/>
              <w:rPr>
                <w:rFonts w:ascii="Times New Roman" w:hAnsi="Times New Roman" w:eastAsia="宋体" w:cs="Times New Roman"/>
                <w:bCs/>
                <w:color w:val="auto"/>
              </w:rPr>
            </w:pPr>
            <w:r>
              <w:rPr>
                <w:rFonts w:hint="eastAsia" w:ascii="Times New Roman" w:hAnsi="Times New Roman" w:eastAsia="宋体" w:cs="Times New Roman"/>
                <w:b/>
                <w:color w:val="auto"/>
              </w:rPr>
              <w:t>W</w:t>
            </w:r>
            <w:r>
              <w:rPr>
                <w:rFonts w:hint="eastAsia" w:ascii="Times New Roman" w:hAnsi="Times New Roman" w:eastAsia="宋体" w:cs="Times New Roman"/>
                <w:b/>
                <w:color w:val="auto"/>
                <w:vertAlign w:val="subscript"/>
                <w:lang w:val="en-US" w:eastAsia="zh-CN"/>
              </w:rPr>
              <w:t>2</w:t>
            </w:r>
            <w:r>
              <w:rPr>
                <w:rFonts w:hint="eastAsia" w:ascii="Times New Roman" w:hAnsi="Times New Roman" w:eastAsia="宋体" w:cs="Times New Roman"/>
                <w:b/>
                <w:color w:val="auto"/>
              </w:rPr>
              <w:t>：</w:t>
            </w:r>
            <w:r>
              <w:rPr>
                <w:rFonts w:hint="eastAsia" w:ascii="Times New Roman" w:hAnsi="Times New Roman" w:eastAsia="宋体" w:cs="Times New Roman"/>
                <w:b w:val="0"/>
                <w:bCs/>
                <w:color w:val="auto"/>
              </w:rPr>
              <w:t>污水处理系统产生的尾水，</w:t>
            </w:r>
            <w:r>
              <w:rPr>
                <w:rFonts w:hint="eastAsia" w:ascii="Times New Roman" w:hAnsi="Times New Roman" w:eastAsia="宋体" w:cs="Times New Roman"/>
                <w:bCs/>
                <w:color w:val="auto"/>
              </w:rPr>
              <w:t>主要污染物为</w:t>
            </w:r>
            <w:r>
              <w:rPr>
                <w:rFonts w:hint="eastAsia" w:ascii="Times New Roman" w:hAnsi="Times New Roman" w:eastAsia="宋体" w:cs="Times New Roman"/>
                <w:color w:val="auto"/>
                <w:spacing w:val="4"/>
              </w:rPr>
              <w:t>COD</w:t>
            </w:r>
            <w:r>
              <w:rPr>
                <w:rFonts w:hint="eastAsia" w:ascii="Times New Roman" w:hAnsi="Times New Roman" w:eastAsia="宋体" w:cs="Times New Roman"/>
                <w:color w:val="auto"/>
                <w:spacing w:val="4"/>
                <w:vertAlign w:val="subscript"/>
              </w:rPr>
              <w:t>Cr</w:t>
            </w:r>
            <w:r>
              <w:rPr>
                <w:rFonts w:hint="eastAsia" w:ascii="Times New Roman" w:hAnsi="Times New Roman" w:eastAsia="宋体" w:cs="Times New Roman"/>
                <w:color w:val="auto"/>
                <w:spacing w:val="4"/>
              </w:rPr>
              <w:t>、BOD</w:t>
            </w:r>
            <w:r>
              <w:rPr>
                <w:rFonts w:hint="eastAsia" w:ascii="Times New Roman" w:hAnsi="Times New Roman" w:eastAsia="宋体" w:cs="Times New Roman"/>
                <w:color w:val="auto"/>
                <w:spacing w:val="4"/>
                <w:vertAlign w:val="subscript"/>
              </w:rPr>
              <w:t>5</w:t>
            </w:r>
            <w:r>
              <w:rPr>
                <w:rFonts w:hint="eastAsia" w:ascii="Times New Roman" w:hAnsi="Times New Roman" w:eastAsia="宋体" w:cs="Times New Roman"/>
                <w:color w:val="auto"/>
                <w:spacing w:val="4"/>
              </w:rPr>
              <w:t>、SS、氨氮等</w:t>
            </w:r>
            <w:r>
              <w:rPr>
                <w:rFonts w:hint="eastAsia" w:ascii="Times New Roman" w:hAnsi="Times New Roman" w:eastAsia="宋体" w:cs="Times New Roman"/>
                <w:bCs/>
                <w:color w:val="auto"/>
              </w:rPr>
              <w:t>；</w:t>
            </w:r>
          </w:p>
          <w:p>
            <w:pPr>
              <w:pStyle w:val="73"/>
              <w:spacing w:before="0" w:after="0"/>
              <w:ind w:firstLine="482"/>
              <w:rPr>
                <w:rFonts w:ascii="Times New Roman" w:hAnsi="Times New Roman" w:eastAsia="宋体" w:cs="Times New Roman"/>
                <w:bCs/>
                <w:color w:val="auto"/>
              </w:rPr>
            </w:pPr>
            <w:r>
              <w:rPr>
                <w:rFonts w:hint="eastAsia" w:ascii="Times New Roman" w:hAnsi="Times New Roman" w:eastAsia="宋体" w:cs="Times New Roman"/>
                <w:b/>
                <w:color w:val="auto"/>
              </w:rPr>
              <w:t>W</w:t>
            </w:r>
            <w:r>
              <w:rPr>
                <w:rFonts w:hint="eastAsia" w:ascii="Times New Roman" w:hAnsi="Times New Roman" w:eastAsia="宋体" w:cs="Times New Roman"/>
                <w:b/>
                <w:color w:val="auto"/>
                <w:vertAlign w:val="subscript"/>
                <w:lang w:val="en-US" w:eastAsia="zh-CN"/>
              </w:rPr>
              <w:t>3</w:t>
            </w:r>
            <w:r>
              <w:rPr>
                <w:rFonts w:hint="eastAsia" w:ascii="Times New Roman" w:hAnsi="Times New Roman" w:eastAsia="宋体" w:cs="Times New Roman"/>
                <w:b/>
                <w:color w:val="auto"/>
              </w:rPr>
              <w:t>：</w:t>
            </w:r>
            <w:r>
              <w:rPr>
                <w:rFonts w:hint="eastAsia" w:ascii="Times New Roman" w:hAnsi="Times New Roman" w:eastAsia="宋体" w:cs="Times New Roman"/>
                <w:color w:val="auto"/>
                <w:spacing w:val="4"/>
              </w:rPr>
              <w:t>生活污水，</w:t>
            </w:r>
            <w:r>
              <w:rPr>
                <w:rFonts w:hint="eastAsia" w:ascii="Times New Roman" w:hAnsi="Times New Roman" w:eastAsia="宋体" w:cs="Times New Roman"/>
                <w:bCs/>
                <w:color w:val="auto"/>
              </w:rPr>
              <w:t>主要污染物为</w:t>
            </w:r>
            <w:r>
              <w:rPr>
                <w:rFonts w:hint="eastAsia" w:ascii="Times New Roman" w:hAnsi="Times New Roman" w:eastAsia="宋体" w:cs="Times New Roman"/>
                <w:color w:val="auto"/>
                <w:spacing w:val="4"/>
              </w:rPr>
              <w:t>COD</w:t>
            </w:r>
            <w:r>
              <w:rPr>
                <w:rFonts w:hint="eastAsia" w:ascii="Times New Roman" w:hAnsi="Times New Roman" w:eastAsia="宋体" w:cs="Times New Roman"/>
                <w:color w:val="auto"/>
                <w:spacing w:val="4"/>
                <w:vertAlign w:val="subscript"/>
              </w:rPr>
              <w:t>Cr</w:t>
            </w:r>
            <w:r>
              <w:rPr>
                <w:rFonts w:hint="eastAsia" w:ascii="Times New Roman" w:hAnsi="Times New Roman" w:eastAsia="宋体" w:cs="Times New Roman"/>
                <w:color w:val="auto"/>
                <w:spacing w:val="4"/>
              </w:rPr>
              <w:t>、BOD</w:t>
            </w:r>
            <w:r>
              <w:rPr>
                <w:rFonts w:hint="eastAsia" w:ascii="Times New Roman" w:hAnsi="Times New Roman" w:eastAsia="宋体" w:cs="Times New Roman"/>
                <w:color w:val="auto"/>
                <w:spacing w:val="4"/>
                <w:vertAlign w:val="subscript"/>
              </w:rPr>
              <w:t>5</w:t>
            </w:r>
            <w:r>
              <w:rPr>
                <w:rFonts w:hint="eastAsia" w:ascii="Times New Roman" w:hAnsi="Times New Roman" w:eastAsia="宋体" w:cs="Times New Roman"/>
                <w:color w:val="auto"/>
                <w:spacing w:val="4"/>
              </w:rPr>
              <w:t>、SS、氨氮等</w:t>
            </w:r>
            <w:r>
              <w:rPr>
                <w:rFonts w:hint="eastAsia" w:ascii="Times New Roman" w:hAnsi="Times New Roman" w:eastAsia="宋体" w:cs="Times New Roman"/>
                <w:bCs/>
                <w:color w:val="auto"/>
              </w:rPr>
              <w:t>；</w:t>
            </w:r>
          </w:p>
          <w:p>
            <w:pPr>
              <w:adjustRightInd w:val="0"/>
              <w:snapToGrid w:val="0"/>
              <w:spacing w:line="480" w:lineRule="exact"/>
              <w:ind w:firstLine="482" w:firstLineChars="200"/>
              <w:rPr>
                <w:b/>
                <w:color w:val="auto"/>
                <w:sz w:val="24"/>
              </w:rPr>
            </w:pPr>
            <w:r>
              <w:rPr>
                <w:rFonts w:hint="eastAsia"/>
                <w:b/>
                <w:color w:val="auto"/>
                <w:sz w:val="24"/>
              </w:rPr>
              <w:t>固废</w:t>
            </w:r>
          </w:p>
          <w:p>
            <w:pPr>
              <w:adjustRightInd w:val="0"/>
              <w:snapToGrid w:val="0"/>
              <w:spacing w:line="480" w:lineRule="exact"/>
              <w:ind w:firstLine="482" w:firstLineChars="200"/>
              <w:rPr>
                <w:rFonts w:hint="eastAsia"/>
                <w:b/>
                <w:bCs/>
                <w:color w:val="auto"/>
                <w:sz w:val="24"/>
              </w:rPr>
            </w:pPr>
            <w:r>
              <w:rPr>
                <w:rFonts w:hint="eastAsia"/>
                <w:b/>
                <w:bCs/>
                <w:color w:val="auto"/>
                <w:sz w:val="24"/>
              </w:rPr>
              <w:t>S</w:t>
            </w:r>
            <w:r>
              <w:rPr>
                <w:rFonts w:hint="eastAsia"/>
                <w:b/>
                <w:bCs/>
                <w:color w:val="auto"/>
                <w:sz w:val="24"/>
                <w:vertAlign w:val="subscript"/>
              </w:rPr>
              <w:t>1</w:t>
            </w:r>
            <w:r>
              <w:rPr>
                <w:rFonts w:hint="eastAsia"/>
                <w:b/>
                <w:bCs/>
                <w:color w:val="auto"/>
                <w:sz w:val="24"/>
              </w:rPr>
              <w:t>：</w:t>
            </w:r>
            <w:r>
              <w:rPr>
                <w:rFonts w:hint="eastAsia"/>
                <w:b w:val="0"/>
                <w:bCs w:val="0"/>
                <w:color w:val="auto"/>
                <w:sz w:val="24"/>
              </w:rPr>
              <w:t>粗格栅和细格栅产生的栅渣</w:t>
            </w:r>
            <w:r>
              <w:rPr>
                <w:rFonts w:hint="eastAsia"/>
                <w:b w:val="0"/>
                <w:bCs w:val="0"/>
                <w:color w:val="auto"/>
                <w:sz w:val="24"/>
                <w:szCs w:val="32"/>
                <w:lang w:val="en-US" w:eastAsia="zh-CN"/>
              </w:rPr>
              <w:t>；</w:t>
            </w:r>
          </w:p>
          <w:p>
            <w:pPr>
              <w:adjustRightInd w:val="0"/>
              <w:snapToGrid w:val="0"/>
              <w:spacing w:line="480" w:lineRule="exact"/>
              <w:ind w:firstLine="482" w:firstLineChars="200"/>
              <w:rPr>
                <w:bCs/>
                <w:color w:val="auto"/>
                <w:sz w:val="24"/>
              </w:rPr>
            </w:pPr>
            <w:r>
              <w:rPr>
                <w:rFonts w:hint="eastAsia"/>
                <w:b/>
                <w:bCs/>
                <w:color w:val="auto"/>
                <w:sz w:val="24"/>
              </w:rPr>
              <w:t>S</w:t>
            </w:r>
            <w:r>
              <w:rPr>
                <w:rFonts w:hint="eastAsia"/>
                <w:b/>
                <w:bCs/>
                <w:color w:val="auto"/>
                <w:sz w:val="24"/>
                <w:vertAlign w:val="subscript"/>
                <w:lang w:val="en-US" w:eastAsia="zh-CN"/>
              </w:rPr>
              <w:t>2</w:t>
            </w:r>
            <w:r>
              <w:rPr>
                <w:rFonts w:hint="eastAsia"/>
                <w:b/>
                <w:bCs/>
                <w:color w:val="auto"/>
                <w:sz w:val="24"/>
              </w:rPr>
              <w:t>：</w:t>
            </w:r>
            <w:r>
              <w:rPr>
                <w:rFonts w:hint="eastAsia"/>
                <w:b w:val="0"/>
                <w:bCs w:val="0"/>
                <w:color w:val="auto"/>
                <w:sz w:val="24"/>
                <w:lang w:val="en-US" w:eastAsia="zh-CN"/>
              </w:rPr>
              <w:t>旋流</w:t>
            </w:r>
            <w:r>
              <w:rPr>
                <w:rFonts w:hint="eastAsia"/>
                <w:b w:val="0"/>
                <w:bCs w:val="0"/>
                <w:color w:val="auto"/>
                <w:sz w:val="24"/>
              </w:rPr>
              <w:t>沉砂池产生的沉砂；</w:t>
            </w:r>
          </w:p>
          <w:p>
            <w:pPr>
              <w:adjustRightInd w:val="0"/>
              <w:snapToGrid w:val="0"/>
              <w:spacing w:line="480" w:lineRule="exact"/>
              <w:ind w:firstLine="482" w:firstLineChars="200"/>
              <w:rPr>
                <w:rFonts w:hint="eastAsia" w:eastAsia="宋体"/>
                <w:b w:val="0"/>
                <w:bCs w:val="0"/>
                <w:color w:val="auto"/>
                <w:sz w:val="24"/>
                <w:lang w:eastAsia="zh-CN"/>
              </w:rPr>
            </w:pPr>
            <w:r>
              <w:rPr>
                <w:rFonts w:hint="eastAsia"/>
                <w:b/>
                <w:bCs/>
                <w:color w:val="auto"/>
                <w:sz w:val="24"/>
              </w:rPr>
              <w:t>S</w:t>
            </w:r>
            <w:r>
              <w:rPr>
                <w:rFonts w:hint="eastAsia"/>
                <w:b/>
                <w:bCs/>
                <w:color w:val="auto"/>
                <w:sz w:val="24"/>
                <w:vertAlign w:val="subscript"/>
                <w:lang w:val="en-US" w:eastAsia="zh-CN"/>
              </w:rPr>
              <w:t>3</w:t>
            </w:r>
            <w:r>
              <w:rPr>
                <w:rFonts w:hint="eastAsia"/>
                <w:b/>
                <w:bCs/>
                <w:color w:val="auto"/>
                <w:sz w:val="24"/>
              </w:rPr>
              <w:t>：</w:t>
            </w:r>
            <w:r>
              <w:rPr>
                <w:rFonts w:hint="eastAsia"/>
                <w:b w:val="0"/>
                <w:bCs w:val="0"/>
                <w:color w:val="auto"/>
                <w:sz w:val="24"/>
              </w:rPr>
              <w:t>污泥浓缩脱水机产生的污泥</w:t>
            </w:r>
            <w:r>
              <w:rPr>
                <w:rFonts w:hint="eastAsia"/>
                <w:b w:val="0"/>
                <w:bCs w:val="0"/>
                <w:color w:val="auto"/>
                <w:sz w:val="24"/>
                <w:lang w:eastAsia="zh-CN"/>
              </w:rPr>
              <w:t>；</w:t>
            </w:r>
          </w:p>
          <w:p>
            <w:pPr>
              <w:pStyle w:val="73"/>
              <w:snapToGrid/>
              <w:spacing w:before="0" w:after="0"/>
              <w:ind w:firstLine="482"/>
              <w:rPr>
                <w:rFonts w:hint="eastAsia" w:ascii="Times New Roman" w:hAnsi="Times New Roman" w:eastAsia="宋体" w:cs="Times New Roman"/>
                <w:b/>
                <w:color w:val="auto"/>
              </w:rPr>
            </w:pPr>
            <w:r>
              <w:rPr>
                <w:rFonts w:hint="eastAsia" w:ascii="Times New Roman" w:hAnsi="Times New Roman" w:eastAsia="宋体" w:cs="Times New Roman"/>
                <w:b/>
                <w:color w:val="auto"/>
              </w:rPr>
              <w:t>S</w:t>
            </w:r>
            <w:r>
              <w:rPr>
                <w:rFonts w:hint="eastAsia" w:ascii="Times New Roman" w:hAnsi="Times New Roman" w:eastAsia="宋体" w:cs="Times New Roman"/>
                <w:b/>
                <w:color w:val="auto"/>
                <w:vertAlign w:val="subscript"/>
                <w:lang w:val="en-US" w:eastAsia="zh-CN"/>
              </w:rPr>
              <w:t>4</w:t>
            </w:r>
            <w:r>
              <w:rPr>
                <w:rFonts w:hint="eastAsia" w:ascii="Times New Roman" w:hAnsi="Times New Roman" w:eastAsia="宋体" w:cs="Times New Roman"/>
                <w:b/>
                <w:color w:val="auto"/>
              </w:rPr>
              <w:t>：</w:t>
            </w:r>
            <w:r>
              <w:rPr>
                <w:rFonts w:hint="eastAsia" w:ascii="Times New Roman" w:hAnsi="Times New Roman" w:eastAsia="宋体" w:cs="Times New Roman"/>
                <w:bCs/>
                <w:color w:val="auto"/>
              </w:rPr>
              <w:t>设备维修保养产生的废矿物油、废棉纱手套、废机油桶；</w:t>
            </w:r>
          </w:p>
          <w:p>
            <w:pPr>
              <w:pStyle w:val="73"/>
              <w:snapToGrid/>
              <w:spacing w:before="0" w:after="0"/>
              <w:ind w:firstLine="482"/>
              <w:rPr>
                <w:rFonts w:ascii="Times New Roman" w:hAnsi="Times New Roman" w:eastAsia="宋体" w:cs="Times New Roman"/>
                <w:bCs/>
                <w:color w:val="auto"/>
              </w:rPr>
            </w:pPr>
            <w:r>
              <w:rPr>
                <w:rFonts w:hint="eastAsia" w:ascii="Times New Roman" w:hAnsi="Times New Roman" w:eastAsia="宋体" w:cs="Times New Roman"/>
                <w:b/>
                <w:color w:val="auto"/>
              </w:rPr>
              <w:t>S</w:t>
            </w:r>
            <w:r>
              <w:rPr>
                <w:rFonts w:hint="eastAsia" w:ascii="Times New Roman" w:hAnsi="Times New Roman" w:eastAsia="宋体" w:cs="Times New Roman"/>
                <w:b/>
                <w:color w:val="auto"/>
                <w:vertAlign w:val="subscript"/>
                <w:lang w:val="en-US" w:eastAsia="zh-CN"/>
              </w:rPr>
              <w:t>5</w:t>
            </w:r>
            <w:r>
              <w:rPr>
                <w:rFonts w:hint="eastAsia" w:ascii="Times New Roman" w:hAnsi="Times New Roman" w:eastAsia="宋体" w:cs="Times New Roman"/>
                <w:b/>
                <w:color w:val="auto"/>
              </w:rPr>
              <w:t>：</w:t>
            </w:r>
            <w:r>
              <w:rPr>
                <w:rFonts w:hint="eastAsia" w:ascii="Times New Roman" w:hAnsi="Times New Roman" w:eastAsia="宋体" w:cs="Times New Roman"/>
                <w:bCs/>
                <w:color w:val="auto"/>
              </w:rPr>
              <w:t>员工生产生活中产生的生活垃圾；</w:t>
            </w:r>
          </w:p>
          <w:p>
            <w:pPr>
              <w:adjustRightInd w:val="0"/>
              <w:snapToGrid w:val="0"/>
              <w:spacing w:line="480" w:lineRule="exact"/>
              <w:ind w:firstLine="482" w:firstLineChars="200"/>
              <w:rPr>
                <w:b/>
                <w:color w:val="auto"/>
                <w:sz w:val="24"/>
              </w:rPr>
            </w:pPr>
            <w:r>
              <w:rPr>
                <w:rFonts w:hint="eastAsia"/>
                <w:b/>
                <w:color w:val="auto"/>
                <w:sz w:val="24"/>
              </w:rPr>
              <w:t>噪声</w:t>
            </w:r>
          </w:p>
          <w:p>
            <w:pPr>
              <w:adjustRightInd w:val="0"/>
              <w:snapToGrid w:val="0"/>
              <w:spacing w:line="480" w:lineRule="exact"/>
              <w:ind w:firstLine="480" w:firstLineChars="200"/>
              <w:rPr>
                <w:rFonts w:hint="eastAsia" w:ascii="宋体" w:hAnsi="宋体" w:eastAsia="宋体"/>
                <w:bCs/>
                <w:color w:val="auto"/>
                <w:lang w:val="en-US" w:eastAsia="zh-CN"/>
              </w:rPr>
            </w:pPr>
            <w:r>
              <w:rPr>
                <w:rFonts w:hint="eastAsia"/>
                <w:bCs/>
                <w:color w:val="auto"/>
                <w:sz w:val="24"/>
              </w:rPr>
              <w:t>本项目主要噪声源为</w:t>
            </w:r>
            <w:r>
              <w:rPr>
                <w:rFonts w:hint="eastAsia" w:ascii="宋体" w:hAnsi="宋体" w:cs="宋体"/>
                <w:sz w:val="24"/>
              </w:rPr>
              <w:t>各种泵类、风机、空压机等</w:t>
            </w:r>
            <w:r>
              <w:rPr>
                <w:rFonts w:hint="eastAsia" w:ascii="宋体" w:hAnsi="宋体" w:cs="宋体"/>
                <w:sz w:val="24"/>
                <w:lang w:val="en-US" w:eastAsia="zh-CN"/>
              </w:rPr>
              <w:t>设备</w:t>
            </w:r>
            <w:r>
              <w:rPr>
                <w:rFonts w:hint="eastAsia"/>
                <w:bCs/>
                <w:color w:val="auto"/>
                <w:sz w:val="24"/>
              </w:rPr>
              <w:t>噪声，这些噪声源强为70～</w:t>
            </w:r>
            <w:r>
              <w:rPr>
                <w:rFonts w:hint="eastAsia"/>
                <w:bCs/>
                <w:color w:val="auto"/>
                <w:sz w:val="24"/>
                <w:lang w:val="en-US" w:eastAsia="zh-CN"/>
              </w:rPr>
              <w:t>10</w:t>
            </w:r>
            <w:r>
              <w:rPr>
                <w:rFonts w:hint="eastAsia"/>
                <w:bCs/>
                <w:color w:val="auto"/>
                <w:sz w:val="24"/>
              </w:rPr>
              <w:t>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225" w:type="pct"/>
            <w:vAlign w:val="center"/>
          </w:tcPr>
          <w:p>
            <w:pPr>
              <w:pStyle w:val="23"/>
              <w:adjustRightInd w:val="0"/>
              <w:snapToGrid w:val="0"/>
              <w:spacing w:before="0" w:beforeAutospacing="0" w:after="0" w:afterAutospacing="0"/>
              <w:jc w:val="center"/>
              <w:rPr>
                <w:color w:val="auto"/>
                <w:sz w:val="21"/>
                <w:szCs w:val="21"/>
              </w:rPr>
            </w:pPr>
            <w:r>
              <w:rPr>
                <w:rFonts w:hint="eastAsia"/>
                <w:bCs/>
                <w:color w:val="auto"/>
                <w:kern w:val="2"/>
                <w:sz w:val="21"/>
                <w:szCs w:val="21"/>
              </w:rPr>
              <w:t>与项目有关的原有环境污染问题</w:t>
            </w:r>
          </w:p>
        </w:tc>
        <w:tc>
          <w:tcPr>
            <w:tcW w:w="4774" w:type="pct"/>
            <w:vAlign w:val="center"/>
          </w:tcPr>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（1）建安镇生活污水特征</w:t>
            </w:r>
          </w:p>
          <w:p>
            <w:pPr>
              <w:adjustRightInd w:val="0"/>
              <w:snapToGrid w:val="0"/>
              <w:spacing w:line="480" w:lineRule="exact"/>
              <w:ind w:firstLine="480" w:firstLineChars="200"/>
              <w:rPr>
                <w:rFonts w:hint="eastAsia"/>
                <w:b w:val="0"/>
                <w:bCs/>
                <w:color w:val="auto"/>
                <w:sz w:val="24"/>
                <w:lang w:val="en-US" w:eastAsia="zh-CN"/>
              </w:rPr>
            </w:pPr>
            <w:r>
              <w:rPr>
                <w:rFonts w:hint="eastAsia"/>
                <w:b w:val="0"/>
                <w:bCs/>
                <w:color w:val="auto"/>
                <w:sz w:val="24"/>
                <w:lang w:val="en-US" w:eastAsia="zh-CN"/>
              </w:rPr>
              <w:t>五台县地处山西省东北部，气候干燥。根据人均拥有水资源量，五台县属于水资源较为匮乏地区，冬季较长而寒冷，区内经济水平差异较大。乡镇生活污水的水量、水质、排水方式呈以下特征：</w:t>
            </w:r>
          </w:p>
          <w:p>
            <w:pPr>
              <w:adjustRightInd w:val="0"/>
              <w:snapToGrid w:val="0"/>
              <w:spacing w:line="480" w:lineRule="exact"/>
              <w:ind w:firstLine="480" w:firstLineChars="200"/>
              <w:rPr>
                <w:rFonts w:hint="default"/>
                <w:b w:val="0"/>
                <w:bCs/>
                <w:color w:val="auto"/>
                <w:sz w:val="24"/>
                <w:lang w:val="en-US" w:eastAsia="zh-CN"/>
              </w:rPr>
            </w:pPr>
            <w:r>
              <w:rPr>
                <w:rFonts w:hint="eastAsia"/>
                <w:b w:val="0"/>
                <w:bCs/>
                <w:color w:val="auto"/>
                <w:sz w:val="24"/>
                <w:lang w:val="en-US" w:eastAsia="zh-CN"/>
              </w:rPr>
              <w:t>①水量特点</w:t>
            </w:r>
          </w:p>
          <w:p>
            <w:pPr>
              <w:adjustRightInd w:val="0"/>
              <w:snapToGrid w:val="0"/>
              <w:spacing w:line="480" w:lineRule="exact"/>
              <w:ind w:firstLine="480" w:firstLineChars="200"/>
              <w:rPr>
                <w:rFonts w:hint="eastAsia" w:ascii="宋体" w:hAnsi="宋体"/>
                <w:b w:val="0"/>
                <w:bCs/>
                <w:sz w:val="24"/>
              </w:rPr>
            </w:pPr>
            <w:r>
              <w:rPr>
                <w:rFonts w:hint="eastAsia" w:ascii="宋体" w:hAnsi="宋体"/>
                <w:b w:val="0"/>
                <w:bCs/>
                <w:sz w:val="24"/>
                <w:lang w:val="en-US" w:eastAsia="zh-CN"/>
              </w:rPr>
              <w:t>建安镇居民用水类型以集中供水为主。由于经济等多方面原因，大部分居民仍然使用旱厕，缺少淋浴设施，用水较少。近年来，随着美丽乡村建设的推进，部分经济条件好的家庭，尤其是镇区公建开始普及使用冲水马桶、淋浴间等卫生设施，接近于城市的用水习惯。但整体来看，现状镇区居民生活用水量偏少，综合考虑五台县城镇化发展、经济条件、气候条件、供水条件及排水条件等因素，随着乡镇经济和生活水平的提高，其污水产生量有增大的趋势。</w:t>
            </w:r>
          </w:p>
          <w:p>
            <w:pPr>
              <w:adjustRightInd w:val="0"/>
              <w:snapToGrid w:val="0"/>
              <w:spacing w:line="480" w:lineRule="exact"/>
              <w:ind w:firstLine="480" w:firstLineChars="200"/>
              <w:rPr>
                <w:rFonts w:hint="default" w:ascii="宋体" w:hAnsi="宋体" w:eastAsia="宋体"/>
                <w:b w:val="0"/>
                <w:bCs/>
                <w:sz w:val="24"/>
                <w:lang w:val="en-US" w:eastAsia="zh-CN"/>
              </w:rPr>
            </w:pPr>
            <w:r>
              <w:rPr>
                <w:rFonts w:hint="eastAsia" w:ascii="宋体" w:hAnsi="宋体"/>
                <w:b w:val="0"/>
                <w:bCs/>
                <w:sz w:val="24"/>
                <w:lang w:val="en-US" w:eastAsia="zh-CN"/>
              </w:rPr>
              <w:t>②排水特点</w:t>
            </w:r>
          </w:p>
          <w:p>
            <w:pPr>
              <w:adjustRightInd w:val="0"/>
              <w:snapToGrid w:val="0"/>
              <w:spacing w:line="480" w:lineRule="exact"/>
              <w:ind w:firstLine="480" w:firstLineChars="200"/>
              <w:rPr>
                <w:rFonts w:hint="eastAsia" w:ascii="宋体" w:hAnsi="宋体"/>
                <w:bCs/>
                <w:sz w:val="24"/>
              </w:rPr>
            </w:pPr>
            <w:r>
              <w:rPr>
                <w:rFonts w:hint="eastAsia" w:ascii="宋体" w:hAnsi="宋体"/>
                <w:bCs/>
                <w:sz w:val="24"/>
                <w:lang w:val="en-US" w:eastAsia="zh-CN"/>
              </w:rPr>
              <w:t>建安镇生活污水排放显著特征是排放不均匀，季节差异性大，夏季排放量较冬季多，且昼夜排放量变化明显，上午、中午、下午各有一个高峰时段，夜间排放量小，甚至可能断流。</w:t>
            </w:r>
          </w:p>
          <w:p>
            <w:pPr>
              <w:adjustRightInd w:val="0"/>
              <w:snapToGrid w:val="0"/>
              <w:spacing w:line="480" w:lineRule="exact"/>
              <w:ind w:firstLine="480" w:firstLineChars="200"/>
              <w:rPr>
                <w:rFonts w:hint="eastAsia" w:ascii="宋体" w:hAnsi="宋体"/>
                <w:bCs/>
                <w:sz w:val="24"/>
              </w:rPr>
            </w:pPr>
            <w:r>
              <w:rPr>
                <w:rFonts w:hint="eastAsia" w:ascii="宋体" w:hAnsi="宋体"/>
                <w:bCs/>
                <w:sz w:val="24"/>
                <w:lang w:val="en-US" w:eastAsia="zh-CN"/>
              </w:rPr>
              <w:t>根据现场调查可知，建安镇仅有部分街道有排水渠道，但没有污水处理系统，生产、生活污水随意排放。仅有部分条件较好的村庄建有排水设施，主要采用水泥管、PVC管、暗渠、明渠等形式，且以主管网为主，支管网尚未健全。有排水系统或管道的地区，基本采用雨污合流排水，雨水和污水均排放。整体来看，五台县建安镇污水间歇排放特征明显、排水量少且分散、远离排污管网及大的河流水系。</w:t>
            </w:r>
          </w:p>
          <w:p>
            <w:pPr>
              <w:adjustRightInd w:val="0"/>
              <w:snapToGrid w:val="0"/>
              <w:spacing w:line="480" w:lineRule="exact"/>
              <w:ind w:firstLine="480" w:firstLineChars="200"/>
              <w:rPr>
                <w:rFonts w:hint="default" w:ascii="宋体" w:hAnsi="宋体" w:eastAsia="宋体"/>
                <w:bCs/>
                <w:sz w:val="24"/>
                <w:lang w:val="en-US" w:eastAsia="zh-CN"/>
              </w:rPr>
            </w:pPr>
            <w:r>
              <w:rPr>
                <w:rFonts w:hint="eastAsia" w:ascii="宋体" w:hAnsi="宋体"/>
                <w:bCs/>
                <w:sz w:val="24"/>
                <w:lang w:val="en-US" w:eastAsia="zh-CN"/>
              </w:rPr>
              <w:t>③水质特点</w:t>
            </w:r>
          </w:p>
          <w:p>
            <w:pPr>
              <w:adjustRightInd w:val="0"/>
              <w:snapToGrid w:val="0"/>
              <w:spacing w:line="480" w:lineRule="exact"/>
              <w:ind w:firstLine="480" w:firstLineChars="200"/>
              <w:rPr>
                <w:rFonts w:hint="default" w:ascii="Times New Roman" w:hAnsi="Times New Roman" w:cs="Times New Roman"/>
                <w:bCs/>
                <w:sz w:val="24"/>
              </w:rPr>
            </w:pPr>
            <w:r>
              <w:rPr>
                <w:rFonts w:hint="default" w:ascii="Times New Roman" w:hAnsi="Times New Roman" w:cs="Times New Roman"/>
                <w:bCs/>
                <w:sz w:val="24"/>
                <w:lang w:val="en-US" w:eastAsia="zh-CN"/>
              </w:rPr>
              <w:t>由于乡镇污水主要来源于厨房洗涤水、生活洗涤、淋浴排水、厕所冲洗水等，大部分乡镇污水的性质相差不大，一般COD</w:t>
            </w:r>
            <w:r>
              <w:rPr>
                <w:rFonts w:hint="default" w:ascii="Times New Roman" w:hAnsi="Times New Roman" w:cs="Times New Roman"/>
                <w:bCs/>
                <w:sz w:val="24"/>
                <w:vertAlign w:val="subscript"/>
                <w:lang w:val="en-US" w:eastAsia="zh-CN"/>
              </w:rPr>
              <w:t>Cr</w:t>
            </w:r>
            <w:r>
              <w:rPr>
                <w:rFonts w:hint="eastAsia" w:ascii="宋体" w:hAnsi="宋体" w:eastAsia="宋体" w:cs="宋体"/>
                <w:bCs/>
                <w:sz w:val="24"/>
                <w:lang w:val="en-US" w:eastAsia="zh-CN"/>
              </w:rPr>
              <w:t>≤</w:t>
            </w:r>
            <w:r>
              <w:rPr>
                <w:rFonts w:hint="default" w:ascii="Times New Roman" w:hAnsi="Times New Roman" w:cs="Times New Roman"/>
                <w:bCs/>
                <w:sz w:val="24"/>
                <w:lang w:val="en-US" w:eastAsia="zh-CN"/>
              </w:rPr>
              <w:t>500mg/L，NH</w:t>
            </w:r>
            <w:r>
              <w:rPr>
                <w:rFonts w:hint="default" w:ascii="Times New Roman" w:hAnsi="Times New Roman" w:cs="Times New Roman"/>
                <w:bCs/>
                <w:sz w:val="24"/>
                <w:vertAlign w:val="subscript"/>
                <w:lang w:val="en-US" w:eastAsia="zh-CN"/>
              </w:rPr>
              <w:t>3</w:t>
            </w:r>
            <w:r>
              <w:rPr>
                <w:rFonts w:hint="default" w:ascii="Times New Roman" w:hAnsi="Times New Roman" w:cs="Times New Roman"/>
                <w:bCs/>
                <w:sz w:val="24"/>
                <w:lang w:val="en-US" w:eastAsia="zh-CN"/>
              </w:rPr>
              <w:t>-N</w:t>
            </w:r>
            <w:r>
              <w:rPr>
                <w:rFonts w:hint="eastAsia" w:ascii="宋体" w:hAnsi="宋体" w:eastAsia="宋体" w:cs="宋体"/>
                <w:bCs/>
                <w:sz w:val="24"/>
                <w:lang w:val="en-US" w:eastAsia="zh-CN"/>
              </w:rPr>
              <w:t>≤</w:t>
            </w:r>
            <w:r>
              <w:rPr>
                <w:rFonts w:hint="default" w:ascii="Times New Roman" w:hAnsi="Times New Roman" w:cs="Times New Roman"/>
                <w:bCs/>
                <w:sz w:val="24"/>
                <w:lang w:val="en-US" w:eastAsia="zh-CN"/>
              </w:rPr>
              <w:t>50mg/L，TP</w:t>
            </w:r>
            <w:r>
              <w:rPr>
                <w:rFonts w:hint="eastAsia" w:ascii="宋体" w:hAnsi="宋体" w:eastAsia="宋体" w:cs="宋体"/>
                <w:bCs/>
                <w:sz w:val="24"/>
                <w:lang w:val="en-US" w:eastAsia="zh-CN"/>
              </w:rPr>
              <w:t>≤</w:t>
            </w:r>
            <w:r>
              <w:rPr>
                <w:rFonts w:hint="default" w:ascii="Times New Roman" w:hAnsi="Times New Roman" w:cs="Times New Roman"/>
                <w:bCs/>
                <w:sz w:val="24"/>
                <w:lang w:val="en-US" w:eastAsia="zh-CN"/>
              </w:rPr>
              <w:t>5.5mg/L，pH值6-8，基本上不含重金属或其他有毒有害物质，含一定量的氮和磷，水质波动不大，可生化性好。</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（2）建安镇生活污水治理现状</w:t>
            </w:r>
          </w:p>
          <w:p>
            <w:pPr>
              <w:adjustRightInd w:val="0"/>
              <w:snapToGrid w:val="0"/>
              <w:spacing w:line="480" w:lineRule="exact"/>
              <w:ind w:firstLine="480" w:firstLineChars="200"/>
              <w:rPr>
                <w:rFonts w:hint="default" w:ascii="Times New Roman" w:hAnsi="Times New Roman" w:cs="Times New Roman"/>
                <w:bCs/>
                <w:sz w:val="24"/>
                <w:lang w:val="en-US"/>
              </w:rPr>
            </w:pPr>
            <w:r>
              <w:rPr>
                <w:rFonts w:hint="default" w:ascii="Times New Roman" w:hAnsi="Times New Roman" w:cs="Times New Roman"/>
                <w:bCs/>
                <w:sz w:val="24"/>
                <w:lang w:val="en-US" w:eastAsia="zh-CN"/>
              </w:rPr>
              <w:t>建安镇现有16个行政村，本工程服务范围仅涉及其下辖7个村，分别为瑶池村、潭上村、西建安村、大建安村、东建安村、张家庄村、檀村。其中大建安村现有污水管400m，主要可收集管道沿路部分住户及四个住宅小区的生活污水，经连接排洪渠排入滹沱河；东建安村东西</w:t>
            </w:r>
            <w:r>
              <w:rPr>
                <w:rFonts w:hint="eastAsia" w:ascii="宋体" w:hAnsi="宋体"/>
                <w:bCs/>
                <w:sz w:val="24"/>
                <w:lang w:val="en-US" w:eastAsia="zh-CN"/>
              </w:rPr>
              <w:t>主街道，西侧牌楼到戏台院街道有污水管道，主要收集管道沿路住户污</w:t>
            </w:r>
            <w:r>
              <w:rPr>
                <w:rFonts w:hint="default" w:ascii="Times New Roman" w:hAnsi="Times New Roman" w:cs="Times New Roman"/>
                <w:bCs/>
                <w:sz w:val="24"/>
                <w:lang w:val="en-US" w:eastAsia="zh-CN"/>
              </w:rPr>
              <w:t>水，长度约为1700米；西建安村内未铺设污水管网，但有部分临近排洪渠的住户，就近排污入渠；张家庄村未铺设污水管网；檀村污水管网可收集部分住户污水，污水管网铺设长度约1600米；潭上村、瑶池村未铺设污水管道。建安镇周边环境敏感区为滹沱河，镇区污水处理达标后最终排入滹沱河</w:t>
            </w:r>
            <w:r>
              <w:rPr>
                <w:rFonts w:hint="eastAsia" w:ascii="Times New Roman" w:hAnsi="Times New Roman" w:cs="Times New Roman"/>
                <w:bCs/>
                <w:sz w:val="24"/>
                <w:lang w:val="en-US" w:eastAsia="zh-CN"/>
              </w:rPr>
              <w:t>。</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（3）存在的主要问题</w:t>
            </w:r>
          </w:p>
          <w:p>
            <w:pPr>
              <w:adjustRightInd w:val="0"/>
              <w:snapToGrid w:val="0"/>
              <w:spacing w:line="480" w:lineRule="exact"/>
              <w:ind w:firstLine="480" w:firstLineChars="200"/>
              <w:rPr>
                <w:rFonts w:hint="default" w:ascii="Times New Roman" w:hAnsi="Times New Roman" w:cs="Times New Roman"/>
                <w:bCs/>
                <w:sz w:val="24"/>
              </w:rPr>
            </w:pPr>
            <w:r>
              <w:rPr>
                <w:rFonts w:hint="default" w:ascii="Times New Roman" w:hAnsi="Times New Roman" w:cs="Times New Roman"/>
                <w:bCs/>
                <w:sz w:val="24"/>
                <w:lang w:val="en-US" w:eastAsia="zh-CN"/>
              </w:rPr>
              <w:t xml:space="preserve">经现状分析总结，建安镇生活污水收集和处理的问题具体总结如下： </w:t>
            </w:r>
          </w:p>
          <w:p>
            <w:pPr>
              <w:adjustRightInd w:val="0"/>
              <w:snapToGrid w:val="0"/>
              <w:spacing w:line="480" w:lineRule="exact"/>
              <w:ind w:firstLine="480" w:firstLineChars="200"/>
              <w:rPr>
                <w:rFonts w:hint="default" w:ascii="Times New Roman" w:hAnsi="Times New Roman" w:cs="Times New Roman"/>
                <w:bCs/>
                <w:sz w:val="24"/>
                <w:lang w:val="en-US" w:eastAsia="zh-CN"/>
              </w:rPr>
            </w:pPr>
            <w:r>
              <w:rPr>
                <w:rFonts w:hint="eastAsia" w:ascii="Times New Roman" w:hAnsi="Times New Roman" w:cs="Times New Roman"/>
                <w:bCs/>
                <w:sz w:val="24"/>
                <w:lang w:val="en-US" w:eastAsia="zh-CN"/>
              </w:rPr>
              <w:t>①</w:t>
            </w:r>
            <w:r>
              <w:rPr>
                <w:rFonts w:hint="default" w:ascii="Times New Roman" w:hAnsi="Times New Roman" w:cs="Times New Roman"/>
                <w:bCs/>
                <w:sz w:val="24"/>
                <w:lang w:val="en-US" w:eastAsia="zh-CN"/>
              </w:rPr>
              <w:t>污水产量增加，污水排放呈不连续状态，季节差异性大；</w:t>
            </w:r>
            <w:r>
              <w:rPr>
                <w:rFonts w:hint="eastAsia" w:ascii="Times New Roman" w:hAnsi="Times New Roman" w:cs="Times New Roman"/>
                <w:bCs/>
                <w:sz w:val="24"/>
                <w:lang w:val="en-US" w:eastAsia="zh-CN"/>
              </w:rPr>
              <w:t>②</w:t>
            </w:r>
            <w:r>
              <w:rPr>
                <w:rFonts w:hint="default" w:ascii="Times New Roman" w:hAnsi="Times New Roman" w:cs="Times New Roman"/>
                <w:bCs/>
                <w:sz w:val="24"/>
                <w:lang w:val="en-US" w:eastAsia="zh-CN"/>
              </w:rPr>
              <w:t>污水处理设施建设缺乏，排污管网分布较远；</w:t>
            </w:r>
            <w:r>
              <w:rPr>
                <w:rFonts w:hint="eastAsia" w:ascii="Times New Roman" w:hAnsi="Times New Roman" w:cs="Times New Roman"/>
                <w:bCs/>
                <w:sz w:val="24"/>
                <w:lang w:val="en-US" w:eastAsia="zh-CN"/>
              </w:rPr>
              <w:t>③</w:t>
            </w:r>
            <w:r>
              <w:rPr>
                <w:rFonts w:hint="default" w:ascii="Times New Roman" w:hAnsi="Times New Roman" w:cs="Times New Roman"/>
                <w:bCs/>
                <w:sz w:val="24"/>
                <w:lang w:val="en-US" w:eastAsia="zh-CN"/>
              </w:rPr>
              <w:t>污水处理运营管理机制不建全。</w:t>
            </w:r>
          </w:p>
          <w:p>
            <w:pPr>
              <w:adjustRightInd w:val="0"/>
              <w:snapToGrid w:val="0"/>
              <w:spacing w:line="480" w:lineRule="exact"/>
              <w:ind w:firstLine="480" w:firstLineChars="200"/>
              <w:rPr>
                <w:rFonts w:hint="default" w:ascii="Times New Roman" w:hAnsi="Times New Roman" w:cs="Times New Roman"/>
                <w:bCs/>
                <w:sz w:val="24"/>
                <w:lang w:val="en-US" w:eastAsia="zh-CN"/>
              </w:rPr>
            </w:pPr>
          </w:p>
          <w:p>
            <w:pPr>
              <w:adjustRightInd w:val="0"/>
              <w:snapToGrid w:val="0"/>
              <w:spacing w:line="480" w:lineRule="exact"/>
              <w:ind w:firstLine="480" w:firstLineChars="200"/>
              <w:rPr>
                <w:rFonts w:hint="default" w:ascii="Times New Roman" w:hAnsi="Times New Roman" w:cs="Times New Roman"/>
                <w:bCs/>
                <w:sz w:val="24"/>
                <w:lang w:val="en-US" w:eastAsia="zh-CN"/>
              </w:rPr>
            </w:pPr>
          </w:p>
          <w:p>
            <w:pPr>
              <w:adjustRightInd w:val="0"/>
              <w:snapToGrid w:val="0"/>
              <w:spacing w:line="480" w:lineRule="exact"/>
              <w:ind w:firstLine="420" w:firstLineChars="200"/>
              <w:rPr>
                <w:rFonts w:hint="eastAsia" w:ascii="宋体" w:hAnsi="宋体"/>
                <w:bCs/>
                <w:color w:val="auto"/>
                <w:lang w:val="en-US" w:eastAsia="zh-CN"/>
              </w:rPr>
            </w:pPr>
          </w:p>
          <w:p>
            <w:pPr>
              <w:adjustRightInd w:val="0"/>
              <w:snapToGrid w:val="0"/>
              <w:spacing w:line="480" w:lineRule="exact"/>
              <w:ind w:firstLine="420" w:firstLineChars="200"/>
              <w:rPr>
                <w:rFonts w:hint="default" w:ascii="宋体" w:hAnsi="宋体" w:eastAsia="宋体"/>
                <w:bCs/>
                <w:color w:val="auto"/>
                <w:lang w:val="en-US" w:eastAsia="zh-CN"/>
              </w:rPr>
            </w:pPr>
          </w:p>
        </w:tc>
      </w:tr>
    </w:tbl>
    <w:p>
      <w:pPr>
        <w:keepNext w:val="0"/>
        <w:keepLines w:val="0"/>
        <w:pageBreakBefore w:val="0"/>
        <w:widowControl w:val="0"/>
        <w:kinsoku/>
        <w:wordWrap/>
        <w:overflowPunct/>
        <w:topLinePunct w:val="0"/>
        <w:autoSpaceDE/>
        <w:autoSpaceDN/>
        <w:bidi w:val="0"/>
        <w:adjustRightInd/>
        <w:snapToGrid/>
        <w:spacing w:line="40" w:lineRule="exact"/>
        <w:textAlignment w:val="auto"/>
        <w:rPr>
          <w:color w:val="auto"/>
        </w:rPr>
      </w:pPr>
    </w:p>
    <w:p>
      <w:pPr>
        <w:keepNext w:val="0"/>
        <w:keepLines w:val="0"/>
        <w:pageBreakBefore w:val="0"/>
        <w:widowControl w:val="0"/>
        <w:kinsoku/>
        <w:wordWrap/>
        <w:overflowPunct/>
        <w:topLinePunct w:val="0"/>
        <w:autoSpaceDE/>
        <w:autoSpaceDN/>
        <w:bidi w:val="0"/>
        <w:adjustRightInd/>
        <w:snapToGrid/>
        <w:spacing w:line="40" w:lineRule="exact"/>
        <w:textAlignment w:val="auto"/>
        <w:rPr>
          <w:color w:val="auto"/>
        </w:rPr>
        <w:sectPr>
          <w:pgSz w:w="11906" w:h="16838"/>
          <w:pgMar w:top="1701" w:right="1531" w:bottom="1701" w:left="1531" w:header="1134" w:footer="992" w:gutter="0"/>
          <w:cols w:space="425" w:num="1"/>
          <w:docGrid w:type="lines" w:linePitch="312" w:charSpace="0"/>
        </w:sectPr>
      </w:pPr>
    </w:p>
    <w:p>
      <w:pPr>
        <w:pStyle w:val="23"/>
        <w:spacing w:before="0" w:beforeAutospacing="0" w:after="0" w:afterAutospacing="0"/>
        <w:jc w:val="center"/>
        <w:outlineLvl w:val="0"/>
        <w:rPr>
          <w:rFonts w:ascii="黑体" w:hAnsi="黑体" w:eastAsia="黑体"/>
          <w:color w:val="auto"/>
          <w:sz w:val="30"/>
          <w:szCs w:val="30"/>
        </w:rPr>
      </w:pPr>
      <w:bookmarkStart w:id="3" w:name="_Toc2310"/>
      <w:r>
        <w:rPr>
          <w:rFonts w:hint="eastAsia" w:ascii="黑体" w:hAnsi="黑体" w:eastAsia="黑体"/>
          <w:color w:val="auto"/>
          <w:sz w:val="30"/>
          <w:szCs w:val="30"/>
        </w:rPr>
        <w:t>三、</w:t>
      </w:r>
      <w:r>
        <w:rPr>
          <w:rFonts w:hint="eastAsia" w:ascii="黑体" w:hAnsi="黑体" w:eastAsia="黑体"/>
          <w:snapToGrid w:val="0"/>
          <w:color w:val="auto"/>
          <w:sz w:val="30"/>
          <w:szCs w:val="30"/>
        </w:rPr>
        <w:t>区域环境质量现状、环境保护目标及评价标准</w:t>
      </w:r>
      <w:bookmarkEnd w:id="3"/>
    </w:p>
    <w:tbl>
      <w:tblPr>
        <w:tblStyle w:val="27"/>
        <w:tblW w:w="91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87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0" w:hRule="atLeast"/>
          <w:jc w:val="center"/>
        </w:trPr>
        <w:tc>
          <w:tcPr>
            <w:tcW w:w="460" w:type="dxa"/>
            <w:vAlign w:val="center"/>
          </w:tcPr>
          <w:p>
            <w:pPr>
              <w:adjustRightInd w:val="0"/>
              <w:snapToGrid w:val="0"/>
              <w:jc w:val="center"/>
              <w:rPr>
                <w:rFonts w:ascii="宋体" w:hAnsi="宋体" w:cs="宋体"/>
                <w:color w:val="auto"/>
                <w:kern w:val="0"/>
              </w:rPr>
            </w:pPr>
            <w:r>
              <w:rPr>
                <w:rFonts w:hint="eastAsia" w:ascii="宋体" w:hAnsi="宋体" w:cs="宋体"/>
                <w:color w:val="auto"/>
                <w:kern w:val="0"/>
              </w:rPr>
              <w:t>区域</w:t>
            </w:r>
          </w:p>
          <w:p>
            <w:pPr>
              <w:adjustRightInd w:val="0"/>
              <w:snapToGrid w:val="0"/>
              <w:jc w:val="center"/>
              <w:rPr>
                <w:rFonts w:ascii="宋体" w:hAnsi="宋体" w:cs="宋体"/>
                <w:color w:val="auto"/>
                <w:kern w:val="0"/>
              </w:rPr>
            </w:pPr>
            <w:r>
              <w:rPr>
                <w:rFonts w:hint="eastAsia" w:ascii="宋体" w:hAnsi="宋体" w:cs="宋体"/>
                <w:color w:val="auto"/>
                <w:kern w:val="0"/>
              </w:rPr>
              <w:t>环境</w:t>
            </w:r>
          </w:p>
          <w:p>
            <w:pPr>
              <w:adjustRightInd w:val="0"/>
              <w:snapToGrid w:val="0"/>
              <w:jc w:val="center"/>
              <w:rPr>
                <w:rFonts w:ascii="宋体" w:hAnsi="宋体" w:cs="宋体"/>
                <w:color w:val="auto"/>
                <w:kern w:val="0"/>
              </w:rPr>
            </w:pPr>
            <w:r>
              <w:rPr>
                <w:rFonts w:hint="eastAsia" w:ascii="宋体" w:hAnsi="宋体" w:cs="宋体"/>
                <w:color w:val="auto"/>
                <w:kern w:val="0"/>
              </w:rPr>
              <w:t>质量</w:t>
            </w:r>
          </w:p>
          <w:p>
            <w:pPr>
              <w:adjustRightInd w:val="0"/>
              <w:snapToGrid w:val="0"/>
              <w:jc w:val="center"/>
              <w:rPr>
                <w:rFonts w:ascii="宋体" w:hAnsi="宋体" w:cs="宋体"/>
                <w:color w:val="auto"/>
                <w:kern w:val="0"/>
              </w:rPr>
            </w:pPr>
            <w:r>
              <w:rPr>
                <w:rFonts w:hint="eastAsia" w:ascii="宋体" w:hAnsi="宋体" w:cs="宋体"/>
                <w:color w:val="auto"/>
                <w:kern w:val="0"/>
              </w:rPr>
              <w:t>现状</w:t>
            </w:r>
          </w:p>
        </w:tc>
        <w:tc>
          <w:tcPr>
            <w:tcW w:w="8682" w:type="dxa"/>
            <w:vAlign w:val="center"/>
          </w:tcPr>
          <w:p>
            <w:pPr>
              <w:adjustRightInd w:val="0"/>
              <w:snapToGrid w:val="0"/>
              <w:spacing w:line="480" w:lineRule="exact"/>
              <w:ind w:firstLine="482" w:firstLineChars="200"/>
              <w:rPr>
                <w:b/>
                <w:bCs/>
                <w:color w:val="auto"/>
                <w:kern w:val="0"/>
                <w:sz w:val="24"/>
              </w:rPr>
            </w:pPr>
            <w:r>
              <w:rPr>
                <w:rFonts w:hint="eastAsia"/>
                <w:b/>
                <w:bCs/>
                <w:color w:val="auto"/>
                <w:kern w:val="0"/>
                <w:sz w:val="24"/>
              </w:rPr>
              <w:t>1、环境空气质量现状</w:t>
            </w:r>
          </w:p>
          <w:p>
            <w:pPr>
              <w:spacing w:line="480" w:lineRule="exact"/>
              <w:ind w:firstLine="482" w:firstLineChars="200"/>
              <w:rPr>
                <w:b/>
                <w:color w:val="auto"/>
                <w:sz w:val="24"/>
              </w:rPr>
            </w:pPr>
            <w:r>
              <w:rPr>
                <w:rFonts w:hint="eastAsia"/>
                <w:b/>
                <w:color w:val="auto"/>
                <w:sz w:val="24"/>
              </w:rPr>
              <w:t>（1）区域环境空气质量现状</w:t>
            </w:r>
          </w:p>
          <w:p>
            <w:pPr>
              <w:spacing w:line="480" w:lineRule="exact"/>
              <w:ind w:firstLine="480" w:firstLineChars="200"/>
              <w:rPr>
                <w:bCs/>
                <w:color w:val="auto"/>
                <w:sz w:val="24"/>
              </w:rPr>
            </w:pPr>
            <w:r>
              <w:rPr>
                <w:rFonts w:hint="eastAsia"/>
                <w:bCs/>
                <w:color w:val="auto"/>
                <w:sz w:val="24"/>
              </w:rPr>
              <w:t>本次评价收集到了忻州市五台县202</w:t>
            </w:r>
            <w:r>
              <w:rPr>
                <w:rFonts w:hint="eastAsia"/>
                <w:bCs/>
                <w:color w:val="auto"/>
                <w:sz w:val="24"/>
                <w:lang w:val="en-US" w:eastAsia="zh-CN"/>
              </w:rPr>
              <w:t>1</w:t>
            </w:r>
            <w:r>
              <w:rPr>
                <w:rFonts w:hint="eastAsia"/>
                <w:bCs/>
                <w:color w:val="auto"/>
                <w:sz w:val="24"/>
              </w:rPr>
              <w:t>年环境空气质量例行监测资料，具体年均浓度值见下表。</w:t>
            </w:r>
          </w:p>
          <w:p>
            <w:pPr>
              <w:spacing w:line="480" w:lineRule="exact"/>
              <w:jc w:val="center"/>
              <w:rPr>
                <w:rFonts w:ascii="黑体" w:hAnsi="黑体" w:eastAsia="黑体"/>
                <w:color w:val="auto"/>
                <w:sz w:val="24"/>
                <w:vertAlign w:val="superscript"/>
              </w:rPr>
            </w:pPr>
            <w:r>
              <w:rPr>
                <w:rFonts w:hint="eastAsia" w:ascii="黑体" w:hAnsi="黑体" w:eastAsia="黑体"/>
                <w:color w:val="auto"/>
                <w:sz w:val="24"/>
              </w:rPr>
              <w:t xml:space="preserve">表3-1  </w:t>
            </w:r>
            <w:r>
              <w:rPr>
                <w:rFonts w:hint="eastAsia" w:ascii="黑体" w:hAnsi="黑体" w:eastAsia="黑体"/>
                <w:color w:val="auto"/>
                <w:sz w:val="24"/>
                <w:lang w:val="en-US" w:eastAsia="zh-CN"/>
              </w:rPr>
              <w:t>五台县</w:t>
            </w:r>
            <w:r>
              <w:rPr>
                <w:rFonts w:hint="eastAsia" w:ascii="黑体" w:hAnsi="黑体" w:eastAsia="黑体"/>
                <w:color w:val="auto"/>
                <w:sz w:val="24"/>
              </w:rPr>
              <w:t>2021年环境空气质量例行监测评价表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956"/>
              <w:gridCol w:w="1969"/>
              <w:gridCol w:w="1414"/>
              <w:gridCol w:w="1414"/>
              <w:gridCol w:w="1032"/>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Align w:val="center"/>
                </w:tcPr>
                <w:p>
                  <w:pPr>
                    <w:jc w:val="center"/>
                    <w:rPr>
                      <w:color w:val="auto"/>
                    </w:rPr>
                  </w:pPr>
                  <w:r>
                    <w:rPr>
                      <w:rFonts w:hint="eastAsia"/>
                      <w:color w:val="auto"/>
                    </w:rPr>
                    <w:t>点位</w:t>
                  </w:r>
                </w:p>
              </w:tc>
              <w:tc>
                <w:tcPr>
                  <w:tcW w:w="563" w:type="pct"/>
                  <w:vAlign w:val="center"/>
                </w:tcPr>
                <w:p>
                  <w:pPr>
                    <w:jc w:val="center"/>
                    <w:rPr>
                      <w:color w:val="auto"/>
                    </w:rPr>
                  </w:pPr>
                  <w:r>
                    <w:rPr>
                      <w:rFonts w:hint="eastAsia"/>
                      <w:color w:val="auto"/>
                    </w:rPr>
                    <w:t>污染物</w:t>
                  </w:r>
                </w:p>
              </w:tc>
              <w:tc>
                <w:tcPr>
                  <w:tcW w:w="1160" w:type="pct"/>
                  <w:vAlign w:val="center"/>
                </w:tcPr>
                <w:p>
                  <w:pPr>
                    <w:jc w:val="center"/>
                    <w:rPr>
                      <w:color w:val="auto"/>
                    </w:rPr>
                  </w:pPr>
                  <w:r>
                    <w:rPr>
                      <w:rFonts w:hint="eastAsia"/>
                      <w:color w:val="auto"/>
                    </w:rPr>
                    <w:t>评价指标</w:t>
                  </w:r>
                </w:p>
              </w:tc>
              <w:tc>
                <w:tcPr>
                  <w:tcW w:w="833" w:type="pct"/>
                  <w:vAlign w:val="center"/>
                </w:tcPr>
                <w:p>
                  <w:pPr>
                    <w:jc w:val="center"/>
                    <w:rPr>
                      <w:color w:val="auto"/>
                    </w:rPr>
                  </w:pPr>
                  <w:r>
                    <w:rPr>
                      <w:rFonts w:hint="eastAsia"/>
                      <w:color w:val="auto"/>
                    </w:rPr>
                    <w:t>浓度</w:t>
                  </w:r>
                </w:p>
                <w:p>
                  <w:pPr>
                    <w:jc w:val="center"/>
                    <w:rPr>
                      <w:color w:val="auto"/>
                    </w:rPr>
                  </w:pPr>
                  <w:r>
                    <w:rPr>
                      <w:color w:val="auto"/>
                    </w:rPr>
                    <w:t>μ</w:t>
                  </w:r>
                  <w:r>
                    <w:rPr>
                      <w:rFonts w:hint="eastAsia"/>
                      <w:color w:val="auto"/>
                    </w:rPr>
                    <w:t>g/m</w:t>
                  </w:r>
                  <w:r>
                    <w:rPr>
                      <w:rFonts w:hint="eastAsia"/>
                      <w:color w:val="auto"/>
                      <w:vertAlign w:val="superscript"/>
                    </w:rPr>
                    <w:t>3</w:t>
                  </w:r>
                </w:p>
              </w:tc>
              <w:tc>
                <w:tcPr>
                  <w:tcW w:w="833" w:type="pct"/>
                  <w:vAlign w:val="center"/>
                </w:tcPr>
                <w:p>
                  <w:pPr>
                    <w:jc w:val="center"/>
                    <w:rPr>
                      <w:color w:val="auto"/>
                    </w:rPr>
                  </w:pPr>
                  <w:r>
                    <w:rPr>
                      <w:rFonts w:hint="eastAsia"/>
                      <w:color w:val="auto"/>
                    </w:rPr>
                    <w:t>标准值</w:t>
                  </w:r>
                </w:p>
                <w:p>
                  <w:pPr>
                    <w:jc w:val="center"/>
                    <w:rPr>
                      <w:color w:val="auto"/>
                    </w:rPr>
                  </w:pPr>
                  <w:r>
                    <w:rPr>
                      <w:color w:val="auto"/>
                    </w:rPr>
                    <w:t>μ</w:t>
                  </w:r>
                  <w:r>
                    <w:rPr>
                      <w:rFonts w:hint="eastAsia"/>
                      <w:color w:val="auto"/>
                    </w:rPr>
                    <w:t>g/m</w:t>
                  </w:r>
                  <w:r>
                    <w:rPr>
                      <w:rFonts w:hint="eastAsia"/>
                      <w:color w:val="auto"/>
                      <w:vertAlign w:val="superscript"/>
                    </w:rPr>
                    <w:t>3</w:t>
                  </w:r>
                </w:p>
              </w:tc>
              <w:tc>
                <w:tcPr>
                  <w:tcW w:w="608" w:type="pct"/>
                  <w:vAlign w:val="center"/>
                </w:tcPr>
                <w:p>
                  <w:pPr>
                    <w:jc w:val="center"/>
                    <w:rPr>
                      <w:color w:val="auto"/>
                    </w:rPr>
                  </w:pPr>
                  <w:r>
                    <w:rPr>
                      <w:rFonts w:hint="eastAsia"/>
                      <w:color w:val="auto"/>
                    </w:rPr>
                    <w:t>占标率</w:t>
                  </w:r>
                </w:p>
                <w:p>
                  <w:pPr>
                    <w:jc w:val="center"/>
                    <w:rPr>
                      <w:color w:val="auto"/>
                    </w:rPr>
                  </w:pPr>
                  <w:r>
                    <w:rPr>
                      <w:rFonts w:hint="eastAsia"/>
                      <w:color w:val="auto"/>
                    </w:rPr>
                    <w:t>%</w:t>
                  </w:r>
                </w:p>
              </w:tc>
              <w:tc>
                <w:tcPr>
                  <w:tcW w:w="615" w:type="pct"/>
                  <w:vAlign w:val="center"/>
                </w:tcPr>
                <w:p>
                  <w:pPr>
                    <w:jc w:val="center"/>
                    <w:rPr>
                      <w:rFonts w:hint="eastAsia"/>
                      <w:color w:val="auto"/>
                    </w:rPr>
                  </w:pPr>
                  <w:r>
                    <w:rPr>
                      <w:rFonts w:hint="eastAsia"/>
                      <w:color w:val="auto"/>
                    </w:rPr>
                    <w:t>达标</w:t>
                  </w:r>
                </w:p>
                <w:p>
                  <w:pPr>
                    <w:jc w:val="center"/>
                    <w:rPr>
                      <w:color w:val="auto"/>
                    </w:rPr>
                  </w:pPr>
                  <w:r>
                    <w:rPr>
                      <w:rFonts w:hint="eastAsia"/>
                      <w:color w:val="auto"/>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restart"/>
                  <w:vAlign w:val="center"/>
                </w:tcPr>
                <w:p>
                  <w:pPr>
                    <w:jc w:val="center"/>
                    <w:rPr>
                      <w:rFonts w:hint="default" w:eastAsia="宋体"/>
                      <w:color w:val="auto"/>
                      <w:lang w:val="en-US" w:eastAsia="zh-CN"/>
                    </w:rPr>
                  </w:pPr>
                  <w:r>
                    <w:rPr>
                      <w:rFonts w:hint="eastAsia"/>
                      <w:color w:val="auto"/>
                      <w:lang w:val="en-US" w:eastAsia="zh-CN"/>
                    </w:rPr>
                    <w:t>五台县</w:t>
                  </w:r>
                </w:p>
              </w:tc>
              <w:tc>
                <w:tcPr>
                  <w:tcW w:w="563" w:type="pct"/>
                  <w:vAlign w:val="center"/>
                </w:tcPr>
                <w:p>
                  <w:pPr>
                    <w:jc w:val="center"/>
                    <w:rPr>
                      <w:color w:val="auto"/>
                    </w:rPr>
                  </w:pPr>
                  <w:r>
                    <w:rPr>
                      <w:rFonts w:hint="eastAsia"/>
                      <w:color w:val="auto"/>
                    </w:rPr>
                    <w:t>SO</w:t>
                  </w:r>
                  <w:r>
                    <w:rPr>
                      <w:rFonts w:hint="eastAsia"/>
                      <w:color w:val="auto"/>
                      <w:vertAlign w:val="subscript"/>
                    </w:rPr>
                    <w:t>2</w:t>
                  </w:r>
                </w:p>
              </w:tc>
              <w:tc>
                <w:tcPr>
                  <w:tcW w:w="1160" w:type="pct"/>
                  <w:vAlign w:val="center"/>
                </w:tcPr>
                <w:p>
                  <w:pPr>
                    <w:jc w:val="center"/>
                    <w:rPr>
                      <w:color w:val="auto"/>
                    </w:rPr>
                  </w:pPr>
                  <w:r>
                    <w:rPr>
                      <w:rFonts w:hint="eastAsia"/>
                      <w:color w:val="auto"/>
                    </w:rPr>
                    <w:t>年平均浓度</w:t>
                  </w:r>
                </w:p>
              </w:tc>
              <w:tc>
                <w:tcPr>
                  <w:tcW w:w="833" w:type="pct"/>
                  <w:vAlign w:val="center"/>
                </w:tcPr>
                <w:p>
                  <w:pPr>
                    <w:jc w:val="center"/>
                    <w:rPr>
                      <w:rFonts w:hint="default" w:eastAsia="宋体"/>
                      <w:color w:val="auto"/>
                      <w:lang w:val="en-US" w:eastAsia="zh-CN"/>
                    </w:rPr>
                  </w:pPr>
                  <w:r>
                    <w:rPr>
                      <w:rFonts w:hint="eastAsia"/>
                      <w:color w:val="auto"/>
                      <w:lang w:val="en-US" w:eastAsia="zh-CN"/>
                    </w:rPr>
                    <w:t>14</w:t>
                  </w:r>
                </w:p>
              </w:tc>
              <w:tc>
                <w:tcPr>
                  <w:tcW w:w="833" w:type="pct"/>
                  <w:vAlign w:val="center"/>
                </w:tcPr>
                <w:p>
                  <w:pPr>
                    <w:jc w:val="center"/>
                    <w:rPr>
                      <w:color w:val="auto"/>
                    </w:rPr>
                  </w:pPr>
                  <w:r>
                    <w:rPr>
                      <w:rFonts w:hint="eastAsia"/>
                      <w:color w:val="auto"/>
                    </w:rPr>
                    <w:t>60</w:t>
                  </w:r>
                </w:p>
              </w:tc>
              <w:tc>
                <w:tcPr>
                  <w:tcW w:w="608" w:type="pct"/>
                  <w:vAlign w:val="center"/>
                </w:tcPr>
                <w:p>
                  <w:pPr>
                    <w:jc w:val="center"/>
                    <w:rPr>
                      <w:rFonts w:hint="default" w:eastAsia="宋体"/>
                      <w:color w:val="auto"/>
                      <w:lang w:val="en-US" w:eastAsia="zh-CN"/>
                    </w:rPr>
                  </w:pPr>
                  <w:r>
                    <w:rPr>
                      <w:rFonts w:hint="eastAsia"/>
                      <w:color w:val="auto"/>
                      <w:lang w:val="en-US" w:eastAsia="zh-CN"/>
                    </w:rPr>
                    <w:t>23.3</w:t>
                  </w:r>
                </w:p>
              </w:tc>
              <w:tc>
                <w:tcPr>
                  <w:tcW w:w="615" w:type="pct"/>
                  <w:vAlign w:val="center"/>
                </w:tcPr>
                <w:p>
                  <w:pPr>
                    <w:jc w:val="center"/>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NO</w:t>
                  </w:r>
                  <w:r>
                    <w:rPr>
                      <w:rFonts w:hint="eastAsia"/>
                      <w:color w:val="auto"/>
                      <w:vertAlign w:val="subscript"/>
                    </w:rPr>
                    <w:t>2</w:t>
                  </w:r>
                </w:p>
              </w:tc>
              <w:tc>
                <w:tcPr>
                  <w:tcW w:w="1160" w:type="pct"/>
                  <w:vAlign w:val="center"/>
                </w:tcPr>
                <w:p>
                  <w:pPr>
                    <w:autoSpaceDE w:val="0"/>
                    <w:autoSpaceDN w:val="0"/>
                    <w:jc w:val="center"/>
                    <w:rPr>
                      <w:color w:val="auto"/>
                    </w:rPr>
                  </w:pPr>
                  <w:r>
                    <w:rPr>
                      <w:rFonts w:hint="eastAsia"/>
                      <w:color w:val="auto"/>
                    </w:rPr>
                    <w:t>年平均浓度</w:t>
                  </w:r>
                </w:p>
              </w:tc>
              <w:tc>
                <w:tcPr>
                  <w:tcW w:w="833" w:type="pct"/>
                  <w:vAlign w:val="center"/>
                </w:tcPr>
                <w:p>
                  <w:pPr>
                    <w:jc w:val="center"/>
                    <w:rPr>
                      <w:rFonts w:hint="default" w:eastAsia="宋体"/>
                      <w:color w:val="auto"/>
                      <w:lang w:val="en-US" w:eastAsia="zh-CN"/>
                    </w:rPr>
                  </w:pPr>
                  <w:r>
                    <w:rPr>
                      <w:rFonts w:hint="eastAsia"/>
                      <w:color w:val="auto"/>
                      <w:lang w:val="en-US" w:eastAsia="zh-CN"/>
                    </w:rPr>
                    <w:t>18</w:t>
                  </w:r>
                </w:p>
              </w:tc>
              <w:tc>
                <w:tcPr>
                  <w:tcW w:w="833" w:type="pct"/>
                  <w:vAlign w:val="center"/>
                </w:tcPr>
                <w:p>
                  <w:pPr>
                    <w:jc w:val="center"/>
                    <w:rPr>
                      <w:color w:val="auto"/>
                    </w:rPr>
                  </w:pPr>
                  <w:r>
                    <w:rPr>
                      <w:rFonts w:hint="eastAsia"/>
                      <w:color w:val="auto"/>
                    </w:rPr>
                    <w:t>40</w:t>
                  </w:r>
                </w:p>
              </w:tc>
              <w:tc>
                <w:tcPr>
                  <w:tcW w:w="608" w:type="pct"/>
                  <w:vAlign w:val="center"/>
                </w:tcPr>
                <w:p>
                  <w:pPr>
                    <w:jc w:val="center"/>
                    <w:rPr>
                      <w:rFonts w:hint="default" w:eastAsia="宋体"/>
                      <w:color w:val="auto"/>
                      <w:lang w:val="en-US" w:eastAsia="zh-CN"/>
                    </w:rPr>
                  </w:pPr>
                  <w:r>
                    <w:rPr>
                      <w:rFonts w:hint="eastAsia"/>
                      <w:color w:val="auto"/>
                      <w:lang w:val="en-US" w:eastAsia="zh-CN"/>
                    </w:rPr>
                    <w:t>45.0</w:t>
                  </w:r>
                </w:p>
              </w:tc>
              <w:tc>
                <w:tcPr>
                  <w:tcW w:w="615" w:type="pct"/>
                  <w:vAlign w:val="center"/>
                </w:tcPr>
                <w:p>
                  <w:pPr>
                    <w:jc w:val="center"/>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PM</w:t>
                  </w:r>
                  <w:r>
                    <w:rPr>
                      <w:rFonts w:hint="eastAsia"/>
                      <w:color w:val="auto"/>
                      <w:vertAlign w:val="subscript"/>
                    </w:rPr>
                    <w:t>10</w:t>
                  </w:r>
                </w:p>
              </w:tc>
              <w:tc>
                <w:tcPr>
                  <w:tcW w:w="1160" w:type="pct"/>
                  <w:vAlign w:val="center"/>
                </w:tcPr>
                <w:p>
                  <w:pPr>
                    <w:jc w:val="center"/>
                    <w:rPr>
                      <w:color w:val="auto"/>
                    </w:rPr>
                  </w:pPr>
                  <w:r>
                    <w:rPr>
                      <w:rFonts w:hint="eastAsia"/>
                      <w:color w:val="auto"/>
                    </w:rPr>
                    <w:t>年平均浓度</w:t>
                  </w:r>
                </w:p>
              </w:tc>
              <w:tc>
                <w:tcPr>
                  <w:tcW w:w="833" w:type="pct"/>
                  <w:vAlign w:val="center"/>
                </w:tcPr>
                <w:p>
                  <w:pPr>
                    <w:jc w:val="center"/>
                    <w:rPr>
                      <w:rFonts w:hint="default" w:eastAsia="宋体"/>
                      <w:color w:val="auto"/>
                      <w:lang w:val="en-US" w:eastAsia="zh-CN"/>
                    </w:rPr>
                  </w:pPr>
                  <w:r>
                    <w:rPr>
                      <w:rFonts w:hint="eastAsia"/>
                      <w:color w:val="auto"/>
                      <w:lang w:val="en-US" w:eastAsia="zh-CN"/>
                    </w:rPr>
                    <w:t>60</w:t>
                  </w:r>
                </w:p>
              </w:tc>
              <w:tc>
                <w:tcPr>
                  <w:tcW w:w="833" w:type="pct"/>
                  <w:vAlign w:val="center"/>
                </w:tcPr>
                <w:p>
                  <w:pPr>
                    <w:jc w:val="center"/>
                    <w:rPr>
                      <w:color w:val="auto"/>
                    </w:rPr>
                  </w:pPr>
                  <w:r>
                    <w:rPr>
                      <w:rFonts w:hint="eastAsia"/>
                      <w:color w:val="auto"/>
                    </w:rPr>
                    <w:t>70</w:t>
                  </w:r>
                </w:p>
              </w:tc>
              <w:tc>
                <w:tcPr>
                  <w:tcW w:w="608" w:type="pct"/>
                  <w:vAlign w:val="center"/>
                </w:tcPr>
                <w:p>
                  <w:pPr>
                    <w:jc w:val="center"/>
                    <w:rPr>
                      <w:rFonts w:hint="default" w:eastAsia="宋体"/>
                      <w:color w:val="auto"/>
                      <w:lang w:val="en-US" w:eastAsia="zh-CN"/>
                    </w:rPr>
                  </w:pPr>
                  <w:r>
                    <w:rPr>
                      <w:rFonts w:hint="eastAsia"/>
                      <w:color w:val="auto"/>
                      <w:lang w:val="en-US" w:eastAsia="zh-CN"/>
                    </w:rPr>
                    <w:t>85.7</w:t>
                  </w:r>
                </w:p>
              </w:tc>
              <w:tc>
                <w:tcPr>
                  <w:tcW w:w="615" w:type="pct"/>
                  <w:vAlign w:val="center"/>
                </w:tcPr>
                <w:p>
                  <w:pPr>
                    <w:jc w:val="center"/>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PM</w:t>
                  </w:r>
                  <w:r>
                    <w:rPr>
                      <w:rFonts w:hint="eastAsia"/>
                      <w:color w:val="auto"/>
                      <w:vertAlign w:val="subscript"/>
                    </w:rPr>
                    <w:t>2.5</w:t>
                  </w:r>
                </w:p>
              </w:tc>
              <w:tc>
                <w:tcPr>
                  <w:tcW w:w="1160" w:type="pct"/>
                  <w:vAlign w:val="center"/>
                </w:tcPr>
                <w:p>
                  <w:pPr>
                    <w:jc w:val="center"/>
                    <w:rPr>
                      <w:color w:val="auto"/>
                    </w:rPr>
                  </w:pPr>
                  <w:r>
                    <w:rPr>
                      <w:rFonts w:hint="eastAsia"/>
                      <w:color w:val="auto"/>
                    </w:rPr>
                    <w:t>年平均浓度</w:t>
                  </w:r>
                </w:p>
              </w:tc>
              <w:tc>
                <w:tcPr>
                  <w:tcW w:w="833" w:type="pct"/>
                  <w:vAlign w:val="center"/>
                </w:tcPr>
                <w:p>
                  <w:pPr>
                    <w:jc w:val="center"/>
                    <w:rPr>
                      <w:rFonts w:hint="default" w:eastAsia="宋体"/>
                      <w:color w:val="auto"/>
                      <w:lang w:val="en-US" w:eastAsia="zh-CN"/>
                    </w:rPr>
                  </w:pPr>
                  <w:r>
                    <w:rPr>
                      <w:rFonts w:hint="eastAsia"/>
                      <w:color w:val="auto"/>
                      <w:lang w:val="en-US" w:eastAsia="zh-CN"/>
                    </w:rPr>
                    <w:t>31</w:t>
                  </w:r>
                </w:p>
              </w:tc>
              <w:tc>
                <w:tcPr>
                  <w:tcW w:w="833" w:type="pct"/>
                  <w:vAlign w:val="center"/>
                </w:tcPr>
                <w:p>
                  <w:pPr>
                    <w:jc w:val="center"/>
                    <w:rPr>
                      <w:color w:val="auto"/>
                    </w:rPr>
                  </w:pPr>
                  <w:r>
                    <w:rPr>
                      <w:rFonts w:hint="eastAsia"/>
                      <w:color w:val="auto"/>
                    </w:rPr>
                    <w:t>35</w:t>
                  </w:r>
                </w:p>
              </w:tc>
              <w:tc>
                <w:tcPr>
                  <w:tcW w:w="608" w:type="pct"/>
                  <w:vAlign w:val="center"/>
                </w:tcPr>
                <w:p>
                  <w:pPr>
                    <w:jc w:val="center"/>
                    <w:rPr>
                      <w:rFonts w:hint="default" w:eastAsia="宋体"/>
                      <w:color w:val="auto"/>
                      <w:lang w:val="en-US" w:eastAsia="zh-CN"/>
                    </w:rPr>
                  </w:pPr>
                  <w:r>
                    <w:rPr>
                      <w:rFonts w:hint="eastAsia"/>
                      <w:color w:val="auto"/>
                      <w:lang w:val="en-US" w:eastAsia="zh-CN"/>
                    </w:rPr>
                    <w:t>88.6</w:t>
                  </w:r>
                </w:p>
              </w:tc>
              <w:tc>
                <w:tcPr>
                  <w:tcW w:w="615" w:type="pct"/>
                  <w:vAlign w:val="center"/>
                </w:tcPr>
                <w:p>
                  <w:pPr>
                    <w:jc w:val="center"/>
                    <w:rPr>
                      <w:b/>
                      <w:bCs/>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CO</w:t>
                  </w:r>
                </w:p>
              </w:tc>
              <w:tc>
                <w:tcPr>
                  <w:tcW w:w="1160" w:type="pct"/>
                  <w:vAlign w:val="center"/>
                </w:tcPr>
                <w:p>
                  <w:pPr>
                    <w:jc w:val="center"/>
                    <w:rPr>
                      <w:color w:val="auto"/>
                    </w:rPr>
                  </w:pPr>
                  <w:r>
                    <w:rPr>
                      <w:rFonts w:hint="eastAsia"/>
                      <w:color w:val="auto"/>
                    </w:rPr>
                    <w:t>24</w:t>
                  </w:r>
                  <w:r>
                    <w:rPr>
                      <w:rFonts w:hint="eastAsia" w:hAnsi="宋体"/>
                      <w:color w:val="auto"/>
                    </w:rPr>
                    <w:t>小时平均第</w:t>
                  </w:r>
                  <w:r>
                    <w:rPr>
                      <w:rFonts w:hint="eastAsia"/>
                      <w:color w:val="auto"/>
                    </w:rPr>
                    <w:t>95</w:t>
                  </w:r>
                  <w:r>
                    <w:rPr>
                      <w:rFonts w:hint="eastAsia" w:hAnsi="宋体"/>
                      <w:color w:val="auto"/>
                    </w:rPr>
                    <w:t>百分位数</w:t>
                  </w:r>
                </w:p>
              </w:tc>
              <w:tc>
                <w:tcPr>
                  <w:tcW w:w="833" w:type="pct"/>
                  <w:vAlign w:val="center"/>
                </w:tcPr>
                <w:p>
                  <w:pPr>
                    <w:jc w:val="center"/>
                    <w:rPr>
                      <w:color w:val="auto"/>
                    </w:rPr>
                  </w:pPr>
                  <w:r>
                    <w:rPr>
                      <w:rFonts w:hint="eastAsia"/>
                      <w:color w:val="auto"/>
                      <w:lang w:val="en-US" w:eastAsia="zh-CN"/>
                    </w:rPr>
                    <w:t>1</w:t>
                  </w:r>
                  <w:r>
                    <w:rPr>
                      <w:rFonts w:hint="eastAsia"/>
                      <w:color w:val="auto"/>
                    </w:rPr>
                    <w:t xml:space="preserve"> mg/m</w:t>
                  </w:r>
                  <w:r>
                    <w:rPr>
                      <w:rFonts w:hint="eastAsia"/>
                      <w:color w:val="auto"/>
                      <w:vertAlign w:val="superscript"/>
                    </w:rPr>
                    <w:t>3</w:t>
                  </w:r>
                </w:p>
              </w:tc>
              <w:tc>
                <w:tcPr>
                  <w:tcW w:w="833" w:type="pct"/>
                  <w:vAlign w:val="center"/>
                </w:tcPr>
                <w:p>
                  <w:pPr>
                    <w:jc w:val="center"/>
                    <w:rPr>
                      <w:color w:val="auto"/>
                    </w:rPr>
                  </w:pPr>
                  <w:r>
                    <w:rPr>
                      <w:rFonts w:hint="eastAsia"/>
                      <w:color w:val="auto"/>
                    </w:rPr>
                    <w:t>4 mg/m</w:t>
                  </w:r>
                  <w:r>
                    <w:rPr>
                      <w:rFonts w:hint="eastAsia"/>
                      <w:color w:val="auto"/>
                      <w:vertAlign w:val="superscript"/>
                    </w:rPr>
                    <w:t>3</w:t>
                  </w:r>
                </w:p>
              </w:tc>
              <w:tc>
                <w:tcPr>
                  <w:tcW w:w="608" w:type="pct"/>
                  <w:vAlign w:val="center"/>
                </w:tcPr>
                <w:p>
                  <w:pPr>
                    <w:jc w:val="center"/>
                    <w:rPr>
                      <w:rFonts w:hint="default" w:eastAsia="宋体"/>
                      <w:color w:val="auto"/>
                      <w:lang w:val="en-US" w:eastAsia="zh-CN"/>
                    </w:rPr>
                  </w:pPr>
                  <w:r>
                    <w:rPr>
                      <w:rFonts w:hint="eastAsia"/>
                      <w:color w:val="auto"/>
                      <w:lang w:val="en-US" w:eastAsia="zh-CN"/>
                    </w:rPr>
                    <w:t>25.0</w:t>
                  </w:r>
                </w:p>
              </w:tc>
              <w:tc>
                <w:tcPr>
                  <w:tcW w:w="615" w:type="pct"/>
                  <w:vAlign w:val="center"/>
                </w:tcPr>
                <w:p>
                  <w:pPr>
                    <w:jc w:val="center"/>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jc w:val="center"/>
                    <w:rPr>
                      <w:color w:val="auto"/>
                    </w:rPr>
                  </w:pPr>
                </w:p>
              </w:tc>
              <w:tc>
                <w:tcPr>
                  <w:tcW w:w="563" w:type="pct"/>
                  <w:vAlign w:val="center"/>
                </w:tcPr>
                <w:p>
                  <w:pPr>
                    <w:jc w:val="center"/>
                    <w:rPr>
                      <w:color w:val="auto"/>
                    </w:rPr>
                  </w:pPr>
                  <w:r>
                    <w:rPr>
                      <w:rFonts w:hint="eastAsia"/>
                      <w:color w:val="auto"/>
                    </w:rPr>
                    <w:t>O</w:t>
                  </w:r>
                  <w:r>
                    <w:rPr>
                      <w:rFonts w:hint="eastAsia"/>
                      <w:color w:val="auto"/>
                      <w:vertAlign w:val="subscript"/>
                    </w:rPr>
                    <w:t>3</w:t>
                  </w:r>
                </w:p>
              </w:tc>
              <w:tc>
                <w:tcPr>
                  <w:tcW w:w="1160" w:type="pct"/>
                  <w:vAlign w:val="center"/>
                </w:tcPr>
                <w:p>
                  <w:pPr>
                    <w:jc w:val="center"/>
                    <w:rPr>
                      <w:color w:val="auto"/>
                    </w:rPr>
                  </w:pPr>
                  <w:r>
                    <w:rPr>
                      <w:rFonts w:hint="eastAsia" w:hAnsi="宋体"/>
                      <w:color w:val="auto"/>
                    </w:rPr>
                    <w:t>日最大</w:t>
                  </w:r>
                  <w:r>
                    <w:rPr>
                      <w:rFonts w:hint="eastAsia"/>
                      <w:color w:val="auto"/>
                    </w:rPr>
                    <w:t>8</w:t>
                  </w:r>
                  <w:r>
                    <w:rPr>
                      <w:rFonts w:hint="eastAsia" w:hAnsi="宋体"/>
                      <w:color w:val="auto"/>
                    </w:rPr>
                    <w:t>小时滑动平均值的第</w:t>
                  </w:r>
                  <w:r>
                    <w:rPr>
                      <w:rFonts w:hint="eastAsia"/>
                      <w:color w:val="auto"/>
                    </w:rPr>
                    <w:t>90</w:t>
                  </w:r>
                  <w:r>
                    <w:rPr>
                      <w:rFonts w:hint="eastAsia" w:hAnsi="宋体"/>
                      <w:color w:val="auto"/>
                    </w:rPr>
                    <w:t>百分位数</w:t>
                  </w:r>
                </w:p>
              </w:tc>
              <w:tc>
                <w:tcPr>
                  <w:tcW w:w="833" w:type="pct"/>
                  <w:vAlign w:val="center"/>
                </w:tcPr>
                <w:p>
                  <w:pPr>
                    <w:jc w:val="center"/>
                    <w:rPr>
                      <w:rFonts w:hint="default" w:eastAsia="宋体"/>
                      <w:color w:val="auto"/>
                      <w:lang w:val="en-US" w:eastAsia="zh-CN"/>
                    </w:rPr>
                  </w:pPr>
                  <w:r>
                    <w:rPr>
                      <w:rFonts w:hint="eastAsia"/>
                      <w:color w:val="auto"/>
                      <w:lang w:val="en-US" w:eastAsia="zh-CN"/>
                    </w:rPr>
                    <w:t>162</w:t>
                  </w:r>
                </w:p>
              </w:tc>
              <w:tc>
                <w:tcPr>
                  <w:tcW w:w="833" w:type="pct"/>
                  <w:vAlign w:val="center"/>
                </w:tcPr>
                <w:p>
                  <w:pPr>
                    <w:jc w:val="center"/>
                    <w:rPr>
                      <w:color w:val="auto"/>
                    </w:rPr>
                  </w:pPr>
                  <w:r>
                    <w:rPr>
                      <w:rFonts w:hint="eastAsia"/>
                      <w:color w:val="auto"/>
                    </w:rPr>
                    <w:t>160</w:t>
                  </w:r>
                </w:p>
              </w:tc>
              <w:tc>
                <w:tcPr>
                  <w:tcW w:w="608" w:type="pct"/>
                  <w:vAlign w:val="center"/>
                </w:tcPr>
                <w:p>
                  <w:pPr>
                    <w:jc w:val="center"/>
                    <w:rPr>
                      <w:rFonts w:hint="default" w:eastAsia="宋体"/>
                      <w:color w:val="auto"/>
                      <w:lang w:val="en-US" w:eastAsia="zh-CN"/>
                    </w:rPr>
                  </w:pPr>
                  <w:r>
                    <w:rPr>
                      <w:rFonts w:hint="eastAsia"/>
                      <w:color w:val="auto"/>
                      <w:lang w:val="en-US" w:eastAsia="zh-CN"/>
                    </w:rPr>
                    <w:t>101.2</w:t>
                  </w:r>
                </w:p>
              </w:tc>
              <w:tc>
                <w:tcPr>
                  <w:tcW w:w="615" w:type="pct"/>
                  <w:vAlign w:val="center"/>
                </w:tcPr>
                <w:p>
                  <w:pPr>
                    <w:jc w:val="center"/>
                    <w:rPr>
                      <w:b/>
                      <w:bCs/>
                      <w:color w:val="auto"/>
                    </w:rPr>
                  </w:pPr>
                  <w:r>
                    <w:rPr>
                      <w:rFonts w:hint="eastAsia"/>
                      <w:b/>
                      <w:bCs/>
                      <w:color w:val="auto"/>
                    </w:rPr>
                    <w:t>超标</w:t>
                  </w:r>
                </w:p>
              </w:tc>
            </w:tr>
          </w:tbl>
          <w:p>
            <w:pPr>
              <w:spacing w:line="480" w:lineRule="exact"/>
              <w:ind w:firstLine="480" w:firstLineChars="200"/>
              <w:rPr>
                <w:color w:val="auto"/>
                <w:sz w:val="24"/>
                <w:szCs w:val="24"/>
              </w:rPr>
            </w:pPr>
            <w:r>
              <w:rPr>
                <w:rFonts w:hint="eastAsia"/>
                <w:bCs/>
                <w:snapToGrid w:val="0"/>
                <w:color w:val="auto"/>
                <w:kern w:val="0"/>
                <w:sz w:val="24"/>
                <w:szCs w:val="24"/>
              </w:rPr>
              <w:t>根据例行监测数据统计结果，2021年</w:t>
            </w:r>
            <w:r>
              <w:rPr>
                <w:rFonts w:hint="eastAsia"/>
                <w:bCs/>
                <w:color w:val="auto"/>
                <w:sz w:val="24"/>
                <w:lang w:val="en-US" w:eastAsia="zh-CN"/>
              </w:rPr>
              <w:t>五台县</w:t>
            </w:r>
            <w:r>
              <w:rPr>
                <w:rFonts w:hint="eastAsia"/>
                <w:color w:val="auto"/>
                <w:sz w:val="24"/>
                <w:szCs w:val="24"/>
              </w:rPr>
              <w:t>SO</w:t>
            </w:r>
            <w:r>
              <w:rPr>
                <w:rFonts w:hint="eastAsia"/>
                <w:color w:val="auto"/>
                <w:sz w:val="24"/>
                <w:szCs w:val="24"/>
                <w:vertAlign w:val="subscript"/>
              </w:rPr>
              <w:t>2</w:t>
            </w:r>
            <w:r>
              <w:rPr>
                <w:rFonts w:hint="eastAsia"/>
                <w:color w:val="auto"/>
                <w:sz w:val="24"/>
                <w:szCs w:val="24"/>
              </w:rPr>
              <w:t>年均浓度占标率为</w:t>
            </w:r>
            <w:r>
              <w:rPr>
                <w:rFonts w:hint="eastAsia"/>
                <w:color w:val="auto"/>
                <w:sz w:val="24"/>
                <w:szCs w:val="24"/>
                <w:lang w:val="en-US" w:eastAsia="zh-CN"/>
              </w:rPr>
              <w:t>23.3</w:t>
            </w:r>
            <w:r>
              <w:rPr>
                <w:rFonts w:hint="eastAsia"/>
                <w:color w:val="auto"/>
                <w:sz w:val="24"/>
                <w:szCs w:val="24"/>
              </w:rPr>
              <w:t>%，NO</w:t>
            </w:r>
            <w:r>
              <w:rPr>
                <w:rFonts w:hint="eastAsia"/>
                <w:color w:val="auto"/>
                <w:sz w:val="24"/>
                <w:szCs w:val="24"/>
                <w:vertAlign w:val="subscript"/>
              </w:rPr>
              <w:t>2</w:t>
            </w:r>
            <w:r>
              <w:rPr>
                <w:rFonts w:hint="eastAsia"/>
                <w:color w:val="auto"/>
                <w:sz w:val="24"/>
                <w:szCs w:val="24"/>
              </w:rPr>
              <w:t>年均浓度占标率为</w:t>
            </w:r>
            <w:r>
              <w:rPr>
                <w:rFonts w:hint="eastAsia"/>
                <w:color w:val="auto"/>
                <w:sz w:val="24"/>
                <w:szCs w:val="24"/>
                <w:lang w:val="en-US" w:eastAsia="zh-CN"/>
              </w:rPr>
              <w:t>45.0</w:t>
            </w:r>
            <w:r>
              <w:rPr>
                <w:rFonts w:hint="eastAsia"/>
                <w:color w:val="auto"/>
                <w:sz w:val="24"/>
                <w:szCs w:val="24"/>
              </w:rPr>
              <w:t>%，PM</w:t>
            </w:r>
            <w:r>
              <w:rPr>
                <w:rFonts w:hint="eastAsia"/>
                <w:color w:val="auto"/>
                <w:sz w:val="24"/>
                <w:szCs w:val="24"/>
                <w:vertAlign w:val="subscript"/>
              </w:rPr>
              <w:t>10</w:t>
            </w:r>
            <w:r>
              <w:rPr>
                <w:rFonts w:hint="eastAsia"/>
                <w:color w:val="auto"/>
                <w:sz w:val="24"/>
                <w:szCs w:val="24"/>
              </w:rPr>
              <w:t>年均浓度占标率为</w:t>
            </w:r>
            <w:r>
              <w:rPr>
                <w:rFonts w:hint="eastAsia"/>
                <w:color w:val="auto"/>
                <w:sz w:val="24"/>
                <w:szCs w:val="24"/>
                <w:lang w:val="en-US" w:eastAsia="zh-CN"/>
              </w:rPr>
              <w:t>85.7</w:t>
            </w:r>
            <w:r>
              <w:rPr>
                <w:rFonts w:hint="eastAsia"/>
                <w:color w:val="auto"/>
                <w:sz w:val="24"/>
                <w:szCs w:val="24"/>
              </w:rPr>
              <w:t>%，PM</w:t>
            </w:r>
            <w:r>
              <w:rPr>
                <w:rFonts w:hint="eastAsia"/>
                <w:color w:val="auto"/>
                <w:sz w:val="24"/>
                <w:szCs w:val="24"/>
                <w:vertAlign w:val="subscript"/>
              </w:rPr>
              <w:t>2.5</w:t>
            </w:r>
            <w:r>
              <w:rPr>
                <w:rFonts w:hint="eastAsia"/>
                <w:color w:val="auto"/>
                <w:sz w:val="24"/>
                <w:szCs w:val="24"/>
              </w:rPr>
              <w:t>年均浓度占标率为</w:t>
            </w:r>
            <w:r>
              <w:rPr>
                <w:rFonts w:hint="eastAsia"/>
                <w:color w:val="auto"/>
                <w:sz w:val="24"/>
                <w:szCs w:val="24"/>
                <w:lang w:val="en-US" w:eastAsia="zh-CN"/>
              </w:rPr>
              <w:t>88.6</w:t>
            </w:r>
            <w:r>
              <w:rPr>
                <w:rFonts w:hint="eastAsia"/>
                <w:color w:val="auto"/>
                <w:sz w:val="24"/>
                <w:szCs w:val="24"/>
              </w:rPr>
              <w:t>%，CO的24小时平均第95百分位数占标率为</w:t>
            </w:r>
            <w:r>
              <w:rPr>
                <w:rFonts w:hint="eastAsia"/>
                <w:color w:val="auto"/>
                <w:sz w:val="24"/>
                <w:szCs w:val="24"/>
                <w:lang w:val="en-US" w:eastAsia="zh-CN"/>
              </w:rPr>
              <w:t>25.0</w:t>
            </w:r>
            <w:r>
              <w:rPr>
                <w:rFonts w:hint="eastAsia"/>
                <w:color w:val="auto"/>
                <w:sz w:val="24"/>
                <w:szCs w:val="24"/>
              </w:rPr>
              <w:t>%，O</w:t>
            </w:r>
            <w:r>
              <w:rPr>
                <w:rFonts w:hint="eastAsia"/>
                <w:color w:val="auto"/>
                <w:sz w:val="24"/>
                <w:szCs w:val="24"/>
                <w:vertAlign w:val="subscript"/>
              </w:rPr>
              <w:t>3</w:t>
            </w:r>
            <w:r>
              <w:rPr>
                <w:rFonts w:hint="eastAsia"/>
                <w:color w:val="auto"/>
                <w:sz w:val="24"/>
                <w:szCs w:val="24"/>
              </w:rPr>
              <w:t>的日最大8小时滑动平均值的第90百分位数浓度占标率为</w:t>
            </w:r>
            <w:r>
              <w:rPr>
                <w:rFonts w:hint="eastAsia"/>
                <w:color w:val="auto"/>
                <w:sz w:val="24"/>
                <w:szCs w:val="24"/>
                <w:lang w:val="en-US" w:eastAsia="zh-CN"/>
              </w:rPr>
              <w:t>101.2</w:t>
            </w:r>
            <w:r>
              <w:rPr>
                <w:rFonts w:hint="eastAsia"/>
                <w:color w:val="auto"/>
                <w:sz w:val="24"/>
                <w:szCs w:val="24"/>
              </w:rPr>
              <w:t>%，</w:t>
            </w:r>
            <w:bookmarkStart w:id="4" w:name="_Hlk5610171"/>
            <w:r>
              <w:rPr>
                <w:rFonts w:hint="eastAsia"/>
                <w:color w:val="auto"/>
                <w:sz w:val="24"/>
                <w:szCs w:val="24"/>
              </w:rPr>
              <w:t>六项基本污染物</w:t>
            </w:r>
            <w:r>
              <w:rPr>
                <w:rFonts w:hint="eastAsia"/>
                <w:bCs/>
                <w:snapToGrid w:val="0"/>
                <w:color w:val="auto"/>
                <w:kern w:val="0"/>
                <w:sz w:val="24"/>
                <w:szCs w:val="24"/>
              </w:rPr>
              <w:t>中O</w:t>
            </w:r>
            <w:r>
              <w:rPr>
                <w:rFonts w:hint="eastAsia"/>
                <w:bCs/>
                <w:snapToGrid w:val="0"/>
                <w:color w:val="auto"/>
                <w:kern w:val="0"/>
                <w:sz w:val="24"/>
                <w:szCs w:val="24"/>
                <w:vertAlign w:val="subscript"/>
              </w:rPr>
              <w:t>3</w:t>
            </w:r>
            <w:r>
              <w:rPr>
                <w:rFonts w:hint="eastAsia"/>
                <w:color w:val="auto"/>
                <w:sz w:val="24"/>
                <w:szCs w:val="24"/>
                <w:lang w:val="en-US" w:eastAsia="zh-CN"/>
              </w:rPr>
              <w:t>百分位数</w:t>
            </w:r>
            <w:r>
              <w:rPr>
                <w:rFonts w:hint="eastAsia"/>
                <w:color w:val="auto"/>
                <w:sz w:val="24"/>
                <w:szCs w:val="24"/>
              </w:rPr>
              <w:t>浓度</w:t>
            </w:r>
            <w:r>
              <w:rPr>
                <w:rFonts w:hint="eastAsia"/>
                <w:bCs/>
                <w:snapToGrid w:val="0"/>
                <w:color w:val="auto"/>
                <w:kern w:val="0"/>
                <w:sz w:val="24"/>
                <w:szCs w:val="24"/>
              </w:rPr>
              <w:t>超标</w:t>
            </w:r>
            <w:bookmarkEnd w:id="4"/>
            <w:r>
              <w:rPr>
                <w:rFonts w:hint="eastAsia"/>
                <w:bCs/>
                <w:snapToGrid w:val="0"/>
                <w:color w:val="auto"/>
                <w:kern w:val="0"/>
                <w:sz w:val="24"/>
                <w:szCs w:val="24"/>
              </w:rPr>
              <w:t>；</w:t>
            </w:r>
            <w:r>
              <w:rPr>
                <w:rFonts w:hint="eastAsia"/>
                <w:color w:val="auto"/>
                <w:sz w:val="24"/>
                <w:szCs w:val="24"/>
              </w:rPr>
              <w:t>因此，</w:t>
            </w:r>
            <w:r>
              <w:rPr>
                <w:rFonts w:hint="eastAsia"/>
                <w:bCs/>
                <w:color w:val="auto"/>
                <w:sz w:val="24"/>
                <w:szCs w:val="24"/>
                <w:lang w:val="en-US" w:eastAsia="zh-CN"/>
              </w:rPr>
              <w:t>五台县</w:t>
            </w:r>
            <w:r>
              <w:rPr>
                <w:rFonts w:hint="eastAsia"/>
                <w:color w:val="auto"/>
                <w:sz w:val="24"/>
                <w:szCs w:val="24"/>
              </w:rPr>
              <w:t>为不达标区。</w:t>
            </w:r>
          </w:p>
          <w:p>
            <w:pPr>
              <w:spacing w:line="480" w:lineRule="exact"/>
              <w:ind w:firstLine="482" w:firstLineChars="200"/>
              <w:rPr>
                <w:b/>
                <w:color w:val="auto"/>
                <w:sz w:val="24"/>
              </w:rPr>
            </w:pPr>
            <w:r>
              <w:rPr>
                <w:rFonts w:hint="eastAsia"/>
                <w:b/>
                <w:color w:val="auto"/>
                <w:sz w:val="24"/>
              </w:rPr>
              <w:t>（2）</w:t>
            </w:r>
            <w:r>
              <w:rPr>
                <w:rFonts w:hint="eastAsia"/>
                <w:b/>
                <w:bCs/>
                <w:color w:val="auto"/>
                <w:kern w:val="0"/>
                <w:sz w:val="24"/>
              </w:rPr>
              <w:t>区域污染物质量现状监测与评价</w:t>
            </w:r>
          </w:p>
          <w:p>
            <w:pPr>
              <w:spacing w:line="480" w:lineRule="exact"/>
              <w:ind w:firstLine="480" w:firstLineChars="200"/>
              <w:rPr>
                <w:color w:val="auto"/>
                <w:sz w:val="24"/>
              </w:rPr>
            </w:pPr>
            <w:r>
              <w:rPr>
                <w:rFonts w:hint="eastAsia"/>
                <w:bCs/>
                <w:color w:val="auto"/>
                <w:sz w:val="24"/>
              </w:rPr>
              <w:t>本次评价由建设单位委托山西</w:t>
            </w:r>
            <w:r>
              <w:rPr>
                <w:rFonts w:hint="eastAsia"/>
                <w:bCs/>
                <w:color w:val="auto"/>
                <w:sz w:val="24"/>
                <w:lang w:val="en-US" w:eastAsia="zh-CN"/>
              </w:rPr>
              <w:t>中安环境监测</w:t>
            </w:r>
            <w:r>
              <w:rPr>
                <w:rFonts w:hint="eastAsia"/>
                <w:bCs/>
                <w:color w:val="auto"/>
                <w:sz w:val="24"/>
              </w:rPr>
              <w:t>有限公司于2022年</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16</w:t>
            </w:r>
            <w:r>
              <w:rPr>
                <w:rFonts w:hint="eastAsia"/>
                <w:bCs/>
                <w:color w:val="auto"/>
                <w:sz w:val="24"/>
              </w:rPr>
              <w:t>日-</w:t>
            </w:r>
            <w:r>
              <w:rPr>
                <w:rFonts w:hint="eastAsia"/>
                <w:bCs/>
                <w:color w:val="auto"/>
                <w:sz w:val="24"/>
                <w:lang w:val="en-US" w:eastAsia="zh-CN"/>
              </w:rPr>
              <w:t>12月18</w:t>
            </w:r>
            <w:r>
              <w:rPr>
                <w:rFonts w:hint="eastAsia"/>
                <w:bCs/>
                <w:color w:val="auto"/>
                <w:sz w:val="24"/>
              </w:rPr>
              <w:t>日对拟建厂址主导风向下风向</w:t>
            </w:r>
            <w:r>
              <w:rPr>
                <w:rFonts w:hint="eastAsia"/>
                <w:bCs/>
                <w:color w:val="auto"/>
                <w:sz w:val="24"/>
                <w:lang w:val="en-US" w:eastAsia="zh-CN"/>
              </w:rPr>
              <w:t>保护目标</w:t>
            </w:r>
            <w:r>
              <w:rPr>
                <w:rFonts w:hint="eastAsia"/>
                <w:bCs/>
                <w:color w:val="auto"/>
                <w:sz w:val="24"/>
              </w:rPr>
              <w:t>进行了为期3天的环境空气污染物质量现状补充监测。</w:t>
            </w:r>
            <w:r>
              <w:rPr>
                <w:rFonts w:hint="eastAsia"/>
                <w:color w:val="auto"/>
                <w:sz w:val="24"/>
                <w:szCs w:val="20"/>
              </w:rPr>
              <w:t>监测点位、项目、频次、时间及要求见下表。监测布点图见图3-1。</w:t>
            </w:r>
          </w:p>
          <w:p>
            <w:pPr>
              <w:spacing w:line="480" w:lineRule="exact"/>
              <w:jc w:val="center"/>
              <w:rPr>
                <w:rFonts w:hint="eastAsia" w:ascii="黑体" w:hAnsi="黑体" w:eastAsia="黑体"/>
                <w:bCs/>
                <w:color w:val="auto"/>
                <w:sz w:val="24"/>
                <w:szCs w:val="32"/>
              </w:rPr>
            </w:pPr>
          </w:p>
          <w:p>
            <w:pPr>
              <w:spacing w:line="480" w:lineRule="exact"/>
              <w:jc w:val="center"/>
              <w:rPr>
                <w:rFonts w:hint="eastAsia" w:ascii="黑体" w:hAnsi="黑体" w:eastAsia="黑体"/>
                <w:bCs/>
                <w:color w:val="auto"/>
                <w:sz w:val="24"/>
                <w:szCs w:val="32"/>
              </w:rPr>
            </w:pPr>
          </w:p>
          <w:p>
            <w:pPr>
              <w:spacing w:line="480" w:lineRule="exact"/>
              <w:jc w:val="center"/>
              <w:rPr>
                <w:rFonts w:hint="eastAsia" w:ascii="黑体" w:hAnsi="黑体" w:eastAsia="黑体"/>
                <w:bCs/>
                <w:color w:val="auto"/>
                <w:sz w:val="24"/>
                <w:szCs w:val="32"/>
              </w:rPr>
            </w:pP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表3-2  区域大气污染物质量现状监测点位、项目、频次一览表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117"/>
              <w:gridCol w:w="1281"/>
              <w:gridCol w:w="1461"/>
              <w:gridCol w:w="1612"/>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Align w:val="center"/>
                </w:tcPr>
                <w:p>
                  <w:pPr>
                    <w:jc w:val="center"/>
                    <w:rPr>
                      <w:color w:val="auto"/>
                    </w:rPr>
                  </w:pPr>
                  <w:r>
                    <w:rPr>
                      <w:rFonts w:hint="eastAsia"/>
                      <w:color w:val="auto"/>
                    </w:rPr>
                    <w:t>监测</w:t>
                  </w:r>
                </w:p>
                <w:p>
                  <w:pPr>
                    <w:jc w:val="center"/>
                    <w:rPr>
                      <w:color w:val="auto"/>
                    </w:rPr>
                  </w:pPr>
                  <w:r>
                    <w:rPr>
                      <w:rFonts w:hint="eastAsia"/>
                      <w:color w:val="auto"/>
                    </w:rPr>
                    <w:t>类别</w:t>
                  </w:r>
                </w:p>
              </w:tc>
              <w:tc>
                <w:tcPr>
                  <w:tcW w:w="658" w:type="pct"/>
                  <w:vAlign w:val="center"/>
                </w:tcPr>
                <w:p>
                  <w:pPr>
                    <w:jc w:val="center"/>
                    <w:rPr>
                      <w:color w:val="auto"/>
                    </w:rPr>
                  </w:pPr>
                  <w:r>
                    <w:rPr>
                      <w:rFonts w:hint="eastAsia"/>
                      <w:color w:val="auto"/>
                    </w:rPr>
                    <w:t>点位</w:t>
                  </w:r>
                </w:p>
              </w:tc>
              <w:tc>
                <w:tcPr>
                  <w:tcW w:w="755" w:type="pct"/>
                  <w:vAlign w:val="center"/>
                </w:tcPr>
                <w:p>
                  <w:pPr>
                    <w:jc w:val="center"/>
                    <w:rPr>
                      <w:color w:val="auto"/>
                    </w:rPr>
                  </w:pPr>
                  <w:r>
                    <w:rPr>
                      <w:rFonts w:hint="eastAsia"/>
                      <w:color w:val="auto"/>
                    </w:rPr>
                    <w:t>方位</w:t>
                  </w:r>
                </w:p>
                <w:p>
                  <w:pPr>
                    <w:jc w:val="center"/>
                    <w:rPr>
                      <w:color w:val="auto"/>
                    </w:rPr>
                  </w:pPr>
                  <w:r>
                    <w:rPr>
                      <w:rFonts w:hint="eastAsia"/>
                      <w:color w:val="auto"/>
                    </w:rPr>
                    <w:t>距离</w:t>
                  </w:r>
                </w:p>
              </w:tc>
              <w:tc>
                <w:tcPr>
                  <w:tcW w:w="861" w:type="pct"/>
                  <w:vAlign w:val="center"/>
                </w:tcPr>
                <w:p>
                  <w:pPr>
                    <w:jc w:val="center"/>
                    <w:rPr>
                      <w:rFonts w:hint="eastAsia"/>
                      <w:color w:val="auto"/>
                    </w:rPr>
                  </w:pPr>
                  <w:r>
                    <w:rPr>
                      <w:rFonts w:hint="eastAsia"/>
                      <w:color w:val="auto"/>
                    </w:rPr>
                    <w:t>监测</w:t>
                  </w:r>
                </w:p>
                <w:p>
                  <w:pPr>
                    <w:jc w:val="center"/>
                    <w:rPr>
                      <w:color w:val="auto"/>
                    </w:rPr>
                  </w:pPr>
                  <w:r>
                    <w:rPr>
                      <w:rFonts w:hint="eastAsia"/>
                      <w:color w:val="auto"/>
                    </w:rPr>
                    <w:t>项目</w:t>
                  </w:r>
                </w:p>
              </w:tc>
              <w:tc>
                <w:tcPr>
                  <w:tcW w:w="950" w:type="pct"/>
                  <w:vAlign w:val="center"/>
                </w:tcPr>
                <w:p>
                  <w:pPr>
                    <w:jc w:val="center"/>
                    <w:rPr>
                      <w:color w:val="auto"/>
                    </w:rPr>
                  </w:pPr>
                  <w:r>
                    <w:rPr>
                      <w:rFonts w:hint="eastAsia"/>
                      <w:color w:val="auto"/>
                    </w:rPr>
                    <w:t>监测频次、时间</w:t>
                  </w:r>
                </w:p>
              </w:tc>
              <w:tc>
                <w:tcPr>
                  <w:tcW w:w="1061" w:type="pct"/>
                  <w:vAlign w:val="center"/>
                </w:tcPr>
                <w:p>
                  <w:pPr>
                    <w:jc w:val="center"/>
                    <w:rPr>
                      <w:color w:val="auto"/>
                    </w:rPr>
                  </w:pPr>
                  <w:r>
                    <w:rPr>
                      <w:rFonts w:hint="eastAsia"/>
                      <w:color w:val="auto"/>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Align w:val="center"/>
                </w:tcPr>
                <w:p>
                  <w:pPr>
                    <w:jc w:val="center"/>
                    <w:rPr>
                      <w:color w:val="auto"/>
                    </w:rPr>
                  </w:pPr>
                  <w:r>
                    <w:rPr>
                      <w:rFonts w:hint="eastAsia"/>
                      <w:color w:val="auto"/>
                    </w:rPr>
                    <w:t>区域大气污染物</w:t>
                  </w:r>
                </w:p>
              </w:tc>
              <w:tc>
                <w:tcPr>
                  <w:tcW w:w="658" w:type="pct"/>
                  <w:vAlign w:val="center"/>
                </w:tcPr>
                <w:p>
                  <w:pPr>
                    <w:jc w:val="center"/>
                    <w:rPr>
                      <w:rFonts w:hint="default"/>
                      <w:color w:val="auto"/>
                      <w:lang w:val="en-US"/>
                    </w:rPr>
                  </w:pPr>
                  <w:r>
                    <w:rPr>
                      <w:rFonts w:hint="eastAsia"/>
                      <w:color w:val="auto"/>
                      <w:lang w:val="en-US" w:eastAsia="zh-CN"/>
                    </w:rPr>
                    <w:t>张家庄村</w:t>
                  </w:r>
                </w:p>
              </w:tc>
              <w:tc>
                <w:tcPr>
                  <w:tcW w:w="755" w:type="pct"/>
                  <w:vAlign w:val="center"/>
                </w:tcPr>
                <w:p>
                  <w:pPr>
                    <w:jc w:val="center"/>
                    <w:rPr>
                      <w:color w:val="auto"/>
                    </w:rPr>
                  </w:pPr>
                  <w:r>
                    <w:rPr>
                      <w:rFonts w:hint="eastAsia"/>
                      <w:color w:val="auto"/>
                      <w:lang w:val="en-US" w:eastAsia="zh-CN"/>
                    </w:rPr>
                    <w:t>S/0.44k</w:t>
                  </w:r>
                  <w:r>
                    <w:rPr>
                      <w:rFonts w:hint="eastAsia"/>
                      <w:color w:val="auto"/>
                    </w:rPr>
                    <w:t>m</w:t>
                  </w:r>
                </w:p>
              </w:tc>
              <w:tc>
                <w:tcPr>
                  <w:tcW w:w="861" w:type="pct"/>
                  <w:vAlign w:val="center"/>
                </w:tcPr>
                <w:p>
                  <w:pPr>
                    <w:jc w:val="center"/>
                    <w:rPr>
                      <w:rFonts w:hint="default" w:eastAsia="宋体"/>
                      <w:color w:val="auto"/>
                      <w:lang w:val="en-US" w:eastAsia="zh-CN"/>
                    </w:rPr>
                  </w:pPr>
                  <w:r>
                    <w:rPr>
                      <w:rFonts w:hint="eastAsia"/>
                      <w:color w:val="auto"/>
                      <w:lang w:val="en-US" w:eastAsia="zh-CN"/>
                    </w:rPr>
                    <w:t>氨、硫化氢</w:t>
                  </w:r>
                </w:p>
              </w:tc>
              <w:tc>
                <w:tcPr>
                  <w:tcW w:w="950" w:type="pct"/>
                  <w:vAlign w:val="center"/>
                </w:tcPr>
                <w:p>
                  <w:pPr>
                    <w:jc w:val="center"/>
                    <w:rPr>
                      <w:color w:val="auto"/>
                    </w:rPr>
                  </w:pPr>
                  <w:r>
                    <w:rPr>
                      <w:rFonts w:hint="eastAsia"/>
                      <w:color w:val="auto"/>
                    </w:rPr>
                    <w:t>2022年</w:t>
                  </w:r>
                  <w:r>
                    <w:rPr>
                      <w:rFonts w:hint="eastAsia"/>
                      <w:color w:val="auto"/>
                      <w:lang w:val="en-US" w:eastAsia="zh-CN"/>
                    </w:rPr>
                    <w:t>12</w:t>
                  </w:r>
                  <w:r>
                    <w:rPr>
                      <w:rFonts w:hint="eastAsia"/>
                      <w:color w:val="auto"/>
                    </w:rPr>
                    <w:t>月</w:t>
                  </w:r>
                  <w:r>
                    <w:rPr>
                      <w:rFonts w:hint="eastAsia"/>
                      <w:color w:val="auto"/>
                      <w:lang w:val="en-US" w:eastAsia="zh-CN"/>
                    </w:rPr>
                    <w:t>16</w:t>
                  </w:r>
                  <w:r>
                    <w:rPr>
                      <w:rFonts w:hint="eastAsia"/>
                      <w:color w:val="auto"/>
                    </w:rPr>
                    <w:t>日至</w:t>
                  </w:r>
                  <w:r>
                    <w:rPr>
                      <w:rFonts w:hint="eastAsia"/>
                      <w:color w:val="auto"/>
                      <w:lang w:val="en-US" w:eastAsia="zh-CN"/>
                    </w:rPr>
                    <w:t>12月18</w:t>
                  </w:r>
                  <w:r>
                    <w:rPr>
                      <w:rFonts w:hint="eastAsia"/>
                      <w:color w:val="auto"/>
                    </w:rPr>
                    <w:t>日，连续3d</w:t>
                  </w:r>
                </w:p>
              </w:tc>
              <w:tc>
                <w:tcPr>
                  <w:tcW w:w="1061" w:type="pct"/>
                  <w:vAlign w:val="center"/>
                </w:tcPr>
                <w:p>
                  <w:pPr>
                    <w:jc w:val="center"/>
                    <w:rPr>
                      <w:color w:val="auto"/>
                    </w:rPr>
                  </w:pPr>
                  <w:r>
                    <w:rPr>
                      <w:rFonts w:hint="eastAsia"/>
                      <w:color w:val="auto"/>
                    </w:rPr>
                    <w:t>记录风向、风速、气温、气压等气象条件</w:t>
                  </w:r>
                </w:p>
              </w:tc>
            </w:tr>
          </w:tbl>
          <w:p>
            <w:pPr>
              <w:jc w:val="center"/>
              <w:rPr>
                <w:color w:val="auto"/>
                <w:sz w:val="24"/>
              </w:rPr>
            </w:pPr>
            <w:r>
              <w:drawing>
                <wp:inline distT="0" distB="0" distL="114300" distR="114300">
                  <wp:extent cx="5273040" cy="3297555"/>
                  <wp:effectExtent l="0" t="0" r="3810" b="1714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16"/>
                          <a:stretch>
                            <a:fillRect/>
                          </a:stretch>
                        </pic:blipFill>
                        <pic:spPr>
                          <a:xfrm>
                            <a:off x="0" y="0"/>
                            <a:ext cx="5273040" cy="3297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rPr>
            </w:pPr>
            <w:r>
              <w:rPr>
                <w:rFonts w:hint="eastAsia" w:ascii="黑体" w:hAnsi="黑体" w:eastAsia="黑体"/>
                <w:color w:val="auto"/>
                <w:kern w:val="0"/>
                <w:sz w:val="24"/>
              </w:rPr>
              <w:t>图3-1  区域大气污染物质量现状监测布点图</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表3-3  监测分析方法一览表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964"/>
              <w:gridCol w:w="2239"/>
              <w:gridCol w:w="2802"/>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pPr>
                    <w:jc w:val="center"/>
                    <w:rPr>
                      <w:color w:val="auto"/>
                    </w:rPr>
                  </w:pPr>
                  <w:r>
                    <w:rPr>
                      <w:rFonts w:hint="eastAsia"/>
                      <w:color w:val="auto"/>
                    </w:rPr>
                    <w:t>监测类别</w:t>
                  </w:r>
                </w:p>
              </w:tc>
              <w:tc>
                <w:tcPr>
                  <w:tcW w:w="568" w:type="pct"/>
                  <w:vAlign w:val="center"/>
                </w:tcPr>
                <w:p>
                  <w:pPr>
                    <w:jc w:val="center"/>
                    <w:rPr>
                      <w:color w:val="auto"/>
                    </w:rPr>
                  </w:pPr>
                  <w:r>
                    <w:rPr>
                      <w:rFonts w:hint="eastAsia"/>
                      <w:color w:val="auto"/>
                    </w:rPr>
                    <w:t>监测项目</w:t>
                  </w:r>
                </w:p>
              </w:tc>
              <w:tc>
                <w:tcPr>
                  <w:tcW w:w="1320" w:type="pct"/>
                  <w:vAlign w:val="center"/>
                </w:tcPr>
                <w:p>
                  <w:pPr>
                    <w:jc w:val="center"/>
                    <w:rPr>
                      <w:color w:val="auto"/>
                    </w:rPr>
                  </w:pPr>
                  <w:r>
                    <w:rPr>
                      <w:rFonts w:hint="eastAsia"/>
                      <w:color w:val="auto"/>
                    </w:rPr>
                    <w:t>分析方法</w:t>
                  </w:r>
                </w:p>
              </w:tc>
              <w:tc>
                <w:tcPr>
                  <w:tcW w:w="1652" w:type="pct"/>
                  <w:vAlign w:val="center"/>
                </w:tcPr>
                <w:p>
                  <w:pPr>
                    <w:jc w:val="center"/>
                    <w:rPr>
                      <w:color w:val="auto"/>
                    </w:rPr>
                  </w:pPr>
                  <w:r>
                    <w:rPr>
                      <w:rFonts w:hint="eastAsia"/>
                      <w:color w:val="auto"/>
                    </w:rPr>
                    <w:t>方法来源</w:t>
                  </w:r>
                </w:p>
              </w:tc>
              <w:tc>
                <w:tcPr>
                  <w:tcW w:w="778" w:type="pct"/>
                  <w:vAlign w:val="center"/>
                </w:tcPr>
                <w:p>
                  <w:pPr>
                    <w:jc w:val="center"/>
                    <w:rPr>
                      <w:color w:val="auto"/>
                    </w:rPr>
                  </w:pPr>
                  <w:r>
                    <w:rPr>
                      <w:rFonts w:hint="eastAsia"/>
                      <w:color w:val="auto"/>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81" w:type="pct"/>
                  <w:vMerge w:val="restart"/>
                  <w:vAlign w:val="center"/>
                </w:tcPr>
                <w:p>
                  <w:pPr>
                    <w:jc w:val="center"/>
                    <w:rPr>
                      <w:color w:val="auto"/>
                    </w:rPr>
                  </w:pPr>
                  <w:r>
                    <w:rPr>
                      <w:rFonts w:hint="eastAsia"/>
                      <w:color w:val="auto"/>
                    </w:rPr>
                    <w:t>环境空气</w:t>
                  </w:r>
                </w:p>
              </w:tc>
              <w:tc>
                <w:tcPr>
                  <w:tcW w:w="568" w:type="pct"/>
                  <w:vAlign w:val="center"/>
                </w:tcPr>
                <w:p>
                  <w:pPr>
                    <w:jc w:val="center"/>
                    <w:rPr>
                      <w:rFonts w:hint="eastAsia" w:eastAsia="宋体"/>
                      <w:color w:val="auto"/>
                      <w:lang w:eastAsia="zh-CN"/>
                    </w:rPr>
                  </w:pPr>
                  <w:r>
                    <w:rPr>
                      <w:rFonts w:hint="eastAsia"/>
                      <w:color w:val="auto"/>
                      <w:lang w:val="en-US" w:eastAsia="zh-CN"/>
                    </w:rPr>
                    <w:t>氨</w:t>
                  </w:r>
                </w:p>
              </w:tc>
              <w:tc>
                <w:tcPr>
                  <w:tcW w:w="1320" w:type="pct"/>
                  <w:vAlign w:val="center"/>
                </w:tcPr>
                <w:p>
                  <w:pPr>
                    <w:jc w:val="center"/>
                    <w:rPr>
                      <w:rFonts w:hint="default" w:eastAsia="宋体"/>
                      <w:color w:val="auto"/>
                      <w:lang w:val="en-US" w:eastAsia="zh-CN"/>
                    </w:rPr>
                  </w:pPr>
                  <w:r>
                    <w:rPr>
                      <w:rFonts w:hint="eastAsia"/>
                      <w:color w:val="auto"/>
                      <w:lang w:val="en-US" w:eastAsia="zh-CN"/>
                    </w:rPr>
                    <w:t>纳氏试剂分光光度法</w:t>
                  </w:r>
                </w:p>
              </w:tc>
              <w:tc>
                <w:tcPr>
                  <w:tcW w:w="1652" w:type="pct"/>
                  <w:vAlign w:val="center"/>
                </w:tcPr>
                <w:p>
                  <w:pPr>
                    <w:jc w:val="center"/>
                    <w:rPr>
                      <w:color w:val="auto"/>
                    </w:rPr>
                  </w:pPr>
                  <w:r>
                    <w:rPr>
                      <w:rFonts w:hint="eastAsia"/>
                      <w:color w:val="auto"/>
                      <w:lang w:val="en-US" w:eastAsia="zh-CN"/>
                    </w:rPr>
                    <w:t>HJ533-2009</w:t>
                  </w:r>
                </w:p>
              </w:tc>
              <w:tc>
                <w:tcPr>
                  <w:tcW w:w="778" w:type="pct"/>
                  <w:vAlign w:val="center"/>
                </w:tcPr>
                <w:p>
                  <w:pPr>
                    <w:jc w:val="center"/>
                    <w:rPr>
                      <w:color w:val="auto"/>
                      <w:vertAlign w:val="superscript"/>
                    </w:rPr>
                  </w:pPr>
                  <w:r>
                    <w:rPr>
                      <w:rFonts w:hint="eastAsia"/>
                      <w:color w:val="auto"/>
                    </w:rPr>
                    <w:t>0.01mg/m</w:t>
                  </w:r>
                  <w:r>
                    <w:rPr>
                      <w:rFonts w:hint="eastAsia"/>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Merge w:val="continue"/>
                  <w:vAlign w:val="center"/>
                </w:tcPr>
                <w:p>
                  <w:pPr>
                    <w:jc w:val="center"/>
                    <w:rPr>
                      <w:rFonts w:hint="eastAsia"/>
                      <w:color w:val="auto"/>
                    </w:rPr>
                  </w:pPr>
                </w:p>
              </w:tc>
              <w:tc>
                <w:tcPr>
                  <w:tcW w:w="568" w:type="pct"/>
                  <w:vAlign w:val="center"/>
                </w:tcPr>
                <w:p>
                  <w:pPr>
                    <w:jc w:val="center"/>
                    <w:rPr>
                      <w:rFonts w:hint="eastAsia" w:eastAsia="宋体"/>
                      <w:color w:val="auto"/>
                      <w:lang w:val="en-US" w:eastAsia="zh-CN"/>
                    </w:rPr>
                  </w:pPr>
                  <w:r>
                    <w:rPr>
                      <w:rFonts w:hint="eastAsia"/>
                      <w:color w:val="auto"/>
                      <w:lang w:val="en-US" w:eastAsia="zh-CN"/>
                    </w:rPr>
                    <w:t>硫化氢</w:t>
                  </w:r>
                </w:p>
              </w:tc>
              <w:tc>
                <w:tcPr>
                  <w:tcW w:w="1320" w:type="pct"/>
                  <w:vAlign w:val="center"/>
                </w:tcPr>
                <w:p>
                  <w:pPr>
                    <w:jc w:val="center"/>
                    <w:rPr>
                      <w:rFonts w:hint="default" w:eastAsia="宋体"/>
                      <w:color w:val="auto"/>
                      <w:lang w:val="en-US" w:eastAsia="zh-CN"/>
                    </w:rPr>
                  </w:pPr>
                  <w:r>
                    <w:rPr>
                      <w:rFonts w:hint="eastAsia"/>
                      <w:color w:val="auto"/>
                      <w:lang w:val="en-US" w:eastAsia="zh-CN"/>
                    </w:rPr>
                    <w:t>亚甲基蓝分光光度法</w:t>
                  </w:r>
                </w:p>
              </w:tc>
              <w:tc>
                <w:tcPr>
                  <w:tcW w:w="1652" w:type="pct"/>
                  <w:vAlign w:val="center"/>
                </w:tcPr>
                <w:p>
                  <w:pPr>
                    <w:jc w:val="center"/>
                    <w:rPr>
                      <w:rFonts w:hint="default" w:eastAsia="宋体"/>
                      <w:color w:val="auto"/>
                      <w:lang w:val="en-US" w:eastAsia="zh-CN"/>
                    </w:rPr>
                  </w:pPr>
                  <w:r>
                    <w:rPr>
                      <w:rFonts w:hint="eastAsia"/>
                      <w:color w:val="auto"/>
                      <w:lang w:eastAsia="zh-CN"/>
                    </w:rPr>
                    <w:t>《</w:t>
                  </w:r>
                  <w:r>
                    <w:rPr>
                      <w:rFonts w:hint="eastAsia"/>
                      <w:color w:val="auto"/>
                      <w:lang w:val="en-US" w:eastAsia="zh-CN"/>
                    </w:rPr>
                    <w:t>空气和废气监测分析方法</w:t>
                  </w:r>
                  <w:r>
                    <w:rPr>
                      <w:rFonts w:hint="eastAsia"/>
                      <w:color w:val="auto"/>
                      <w:lang w:eastAsia="zh-CN"/>
                    </w:rPr>
                    <w:t>》</w:t>
                  </w:r>
                  <w:r>
                    <w:rPr>
                      <w:rFonts w:hint="eastAsia"/>
                      <w:color w:val="auto"/>
                      <w:lang w:val="en-US" w:eastAsia="zh-CN"/>
                    </w:rPr>
                    <w:t>第四版增补版</w:t>
                  </w:r>
                </w:p>
              </w:tc>
              <w:tc>
                <w:tcPr>
                  <w:tcW w:w="778" w:type="pct"/>
                  <w:vAlign w:val="center"/>
                </w:tcPr>
                <w:p>
                  <w:pPr>
                    <w:jc w:val="center"/>
                    <w:rPr>
                      <w:rFonts w:hint="eastAsia"/>
                      <w:color w:val="auto"/>
                    </w:rPr>
                  </w:pPr>
                  <w:r>
                    <w:rPr>
                      <w:rFonts w:hint="eastAsia"/>
                      <w:color w:val="auto"/>
                    </w:rPr>
                    <w:t>0.0</w:t>
                  </w:r>
                  <w:r>
                    <w:rPr>
                      <w:rFonts w:hint="eastAsia"/>
                      <w:color w:val="auto"/>
                      <w:lang w:val="en-US" w:eastAsia="zh-CN"/>
                    </w:rPr>
                    <w:t>0</w:t>
                  </w:r>
                  <w:r>
                    <w:rPr>
                      <w:rFonts w:hint="eastAsia"/>
                      <w:color w:val="auto"/>
                    </w:rPr>
                    <w:t>1mg/m</w:t>
                  </w:r>
                  <w:r>
                    <w:rPr>
                      <w:rFonts w:hint="eastAsia"/>
                      <w:color w:val="auto"/>
                      <w:vertAlign w:val="superscript"/>
                    </w:rPr>
                    <w:t>3</w:t>
                  </w:r>
                </w:p>
              </w:tc>
            </w:tr>
          </w:tbl>
          <w:p>
            <w:pPr>
              <w:spacing w:line="480" w:lineRule="exact"/>
              <w:ind w:firstLine="480" w:firstLineChars="200"/>
              <w:rPr>
                <w:bCs/>
                <w:color w:val="auto"/>
                <w:sz w:val="24"/>
              </w:rPr>
            </w:pPr>
            <w:r>
              <w:rPr>
                <w:rFonts w:hint="eastAsia"/>
                <w:bCs/>
                <w:color w:val="auto"/>
                <w:sz w:val="24"/>
              </w:rPr>
              <w:t>区域大气污染物现状评价标准值见表3-4。</w:t>
            </w:r>
          </w:p>
          <w:p>
            <w:pPr>
              <w:pStyle w:val="10"/>
              <w:spacing w:line="480" w:lineRule="exact"/>
              <w:ind w:firstLine="0"/>
              <w:jc w:val="center"/>
              <w:rPr>
                <w:rFonts w:ascii="黑体" w:hAnsi="黑体" w:eastAsia="黑体"/>
                <w:color w:val="auto"/>
                <w:sz w:val="24"/>
                <w:szCs w:val="21"/>
              </w:rPr>
            </w:pPr>
            <w:r>
              <w:rPr>
                <w:rFonts w:hint="eastAsia" w:ascii="黑体" w:hAnsi="黑体" w:eastAsia="黑体"/>
                <w:color w:val="auto"/>
                <w:sz w:val="24"/>
                <w:szCs w:val="21"/>
              </w:rPr>
              <w:t>表3-4  环境空气质量标准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751"/>
              <w:gridCol w:w="1113"/>
              <w:gridCol w:w="1167"/>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Align w:val="center"/>
                </w:tcPr>
                <w:p>
                  <w:pPr>
                    <w:pStyle w:val="42"/>
                    <w:rPr>
                      <w:color w:val="auto"/>
                    </w:rPr>
                  </w:pPr>
                  <w:r>
                    <w:rPr>
                      <w:rFonts w:hint="eastAsia"/>
                      <w:color w:val="auto"/>
                    </w:rPr>
                    <w:t>污染物名称</w:t>
                  </w:r>
                </w:p>
              </w:tc>
              <w:tc>
                <w:tcPr>
                  <w:tcW w:w="1032" w:type="pct"/>
                  <w:vAlign w:val="center"/>
                </w:tcPr>
                <w:p>
                  <w:pPr>
                    <w:pStyle w:val="42"/>
                    <w:rPr>
                      <w:color w:val="auto"/>
                    </w:rPr>
                  </w:pPr>
                  <w:r>
                    <w:rPr>
                      <w:rFonts w:hint="eastAsia"/>
                      <w:color w:val="auto"/>
                    </w:rPr>
                    <w:t>取值时间</w:t>
                  </w:r>
                </w:p>
              </w:tc>
              <w:tc>
                <w:tcPr>
                  <w:tcW w:w="656" w:type="pct"/>
                  <w:vAlign w:val="center"/>
                </w:tcPr>
                <w:p>
                  <w:pPr>
                    <w:pStyle w:val="42"/>
                    <w:rPr>
                      <w:color w:val="auto"/>
                    </w:rPr>
                  </w:pPr>
                  <w:r>
                    <w:rPr>
                      <w:rFonts w:hint="eastAsia"/>
                      <w:color w:val="auto"/>
                    </w:rPr>
                    <w:t>浓度限值</w:t>
                  </w:r>
                </w:p>
              </w:tc>
              <w:tc>
                <w:tcPr>
                  <w:tcW w:w="688" w:type="pct"/>
                  <w:vAlign w:val="center"/>
                </w:tcPr>
                <w:p>
                  <w:pPr>
                    <w:pStyle w:val="42"/>
                    <w:rPr>
                      <w:color w:val="auto"/>
                    </w:rPr>
                  </w:pPr>
                  <w:r>
                    <w:rPr>
                      <w:rFonts w:hint="eastAsia"/>
                      <w:color w:val="auto"/>
                    </w:rPr>
                    <w:t>浓度单位</w:t>
                  </w:r>
                </w:p>
              </w:tc>
              <w:tc>
                <w:tcPr>
                  <w:tcW w:w="1763" w:type="pct"/>
                  <w:vAlign w:val="center"/>
                </w:tcPr>
                <w:p>
                  <w:pPr>
                    <w:pStyle w:val="42"/>
                    <w:rPr>
                      <w:color w:val="auto"/>
                    </w:rPr>
                  </w:pPr>
                  <w:r>
                    <w:rPr>
                      <w:rFonts w:hint="eastAsia"/>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Align w:val="center"/>
                </w:tcPr>
                <w:p>
                  <w:pPr>
                    <w:pStyle w:val="42"/>
                    <w:rPr>
                      <w:rFonts w:hint="eastAsia" w:eastAsia="宋体"/>
                      <w:color w:val="auto"/>
                      <w:lang w:eastAsia="zh-CN"/>
                    </w:rPr>
                  </w:pPr>
                  <w:r>
                    <w:rPr>
                      <w:rFonts w:hint="eastAsia"/>
                      <w:color w:val="auto"/>
                      <w:lang w:val="en-US" w:eastAsia="zh-CN"/>
                    </w:rPr>
                    <w:t>氨</w:t>
                  </w:r>
                </w:p>
              </w:tc>
              <w:tc>
                <w:tcPr>
                  <w:tcW w:w="1032" w:type="pct"/>
                  <w:vAlign w:val="center"/>
                </w:tcPr>
                <w:p>
                  <w:pPr>
                    <w:pStyle w:val="42"/>
                    <w:rPr>
                      <w:color w:val="auto"/>
                    </w:rPr>
                  </w:pPr>
                  <w:r>
                    <w:rPr>
                      <w:rFonts w:hint="eastAsia"/>
                      <w:color w:val="auto"/>
                      <w:lang w:val="en-US" w:eastAsia="zh-CN"/>
                    </w:rPr>
                    <w:t>1</w:t>
                  </w:r>
                  <w:r>
                    <w:rPr>
                      <w:rFonts w:hint="eastAsia"/>
                      <w:color w:val="auto"/>
                    </w:rPr>
                    <w:t>小时平均</w:t>
                  </w:r>
                </w:p>
              </w:tc>
              <w:tc>
                <w:tcPr>
                  <w:tcW w:w="656" w:type="pct"/>
                  <w:vAlign w:val="center"/>
                </w:tcPr>
                <w:p>
                  <w:pPr>
                    <w:pStyle w:val="42"/>
                    <w:rPr>
                      <w:color w:val="auto"/>
                    </w:rPr>
                  </w:pPr>
                  <w:r>
                    <w:rPr>
                      <w:rFonts w:hint="eastAsia"/>
                      <w:color w:val="auto"/>
                      <w:lang w:val="en-US" w:eastAsia="zh-CN"/>
                    </w:rPr>
                    <w:t>2</w:t>
                  </w:r>
                  <w:r>
                    <w:rPr>
                      <w:rFonts w:hint="eastAsia"/>
                      <w:color w:val="auto"/>
                    </w:rPr>
                    <w:t>00</w:t>
                  </w:r>
                </w:p>
              </w:tc>
              <w:tc>
                <w:tcPr>
                  <w:tcW w:w="688" w:type="pct"/>
                  <w:vAlign w:val="center"/>
                </w:tcPr>
                <w:p>
                  <w:pPr>
                    <w:pStyle w:val="42"/>
                    <w:rPr>
                      <w:color w:val="auto"/>
                      <w:vertAlign w:val="superscript"/>
                    </w:rPr>
                  </w:pPr>
                  <w:r>
                    <w:rPr>
                      <w:color w:val="auto"/>
                    </w:rPr>
                    <w:t>μg/m</w:t>
                  </w:r>
                  <w:r>
                    <w:rPr>
                      <w:color w:val="auto"/>
                      <w:vertAlign w:val="superscript"/>
                    </w:rPr>
                    <w:t>3</w:t>
                  </w:r>
                </w:p>
              </w:tc>
              <w:tc>
                <w:tcPr>
                  <w:tcW w:w="1763" w:type="pct"/>
                  <w:vMerge w:val="restart"/>
                  <w:vAlign w:val="center"/>
                </w:tcPr>
                <w:p>
                  <w:pPr>
                    <w:pStyle w:val="42"/>
                    <w:rPr>
                      <w:rFonts w:hint="default" w:eastAsia="宋体"/>
                      <w:color w:val="auto"/>
                      <w:lang w:val="en-US" w:eastAsia="zh-CN"/>
                    </w:rPr>
                  </w:pPr>
                  <w:r>
                    <w:rPr>
                      <w:rFonts w:hint="eastAsia"/>
                      <w:color w:val="auto"/>
                      <w:lang w:eastAsia="zh-CN"/>
                    </w:rPr>
                    <w:t>《</w:t>
                  </w:r>
                  <w:r>
                    <w:rPr>
                      <w:rFonts w:hint="eastAsia"/>
                      <w:color w:val="auto"/>
                      <w:lang w:val="en-US" w:eastAsia="zh-CN"/>
                    </w:rPr>
                    <w:t>环境影响评价技术导则 大气环境</w:t>
                  </w:r>
                  <w:r>
                    <w:rPr>
                      <w:rFonts w:hint="eastAsia"/>
                      <w:color w:val="auto"/>
                      <w:lang w:eastAsia="zh-CN"/>
                    </w:rPr>
                    <w:t>》（</w:t>
                  </w:r>
                  <w:r>
                    <w:rPr>
                      <w:rFonts w:hint="eastAsia"/>
                      <w:color w:val="auto"/>
                      <w:lang w:val="en-US" w:eastAsia="zh-CN"/>
                    </w:rPr>
                    <w:t>HJ2.2-2018</w:t>
                  </w:r>
                  <w:r>
                    <w:rPr>
                      <w:rFonts w:hint="eastAsia"/>
                      <w:color w:val="auto"/>
                      <w:lang w:eastAsia="zh-CN"/>
                    </w:rPr>
                    <w:t>）</w:t>
                  </w:r>
                  <w:r>
                    <w:rPr>
                      <w:rFonts w:hint="eastAsia"/>
                      <w:color w:val="auto"/>
                      <w:lang w:val="en-US" w:eastAsia="zh-CN"/>
                    </w:rPr>
                    <w:t>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Align w:val="center"/>
                </w:tcPr>
                <w:p>
                  <w:pPr>
                    <w:pStyle w:val="42"/>
                    <w:rPr>
                      <w:rFonts w:hint="default"/>
                      <w:color w:val="auto"/>
                      <w:lang w:val="en-US" w:eastAsia="zh-CN"/>
                    </w:rPr>
                  </w:pPr>
                  <w:r>
                    <w:rPr>
                      <w:rFonts w:hint="eastAsia"/>
                      <w:color w:val="auto"/>
                      <w:lang w:val="en-US" w:eastAsia="zh-CN"/>
                    </w:rPr>
                    <w:t>硫化氢</w:t>
                  </w:r>
                </w:p>
              </w:tc>
              <w:tc>
                <w:tcPr>
                  <w:tcW w:w="1032" w:type="pct"/>
                  <w:vAlign w:val="center"/>
                </w:tcPr>
                <w:p>
                  <w:pPr>
                    <w:pStyle w:val="42"/>
                    <w:rPr>
                      <w:rFonts w:hint="eastAsia"/>
                      <w:color w:val="auto"/>
                      <w:lang w:val="en-US" w:eastAsia="zh-CN"/>
                    </w:rPr>
                  </w:pPr>
                  <w:r>
                    <w:rPr>
                      <w:rFonts w:hint="eastAsia"/>
                      <w:color w:val="auto"/>
                      <w:lang w:val="en-US" w:eastAsia="zh-CN"/>
                    </w:rPr>
                    <w:t>1</w:t>
                  </w:r>
                  <w:r>
                    <w:rPr>
                      <w:rFonts w:hint="eastAsia"/>
                      <w:color w:val="auto"/>
                    </w:rPr>
                    <w:t>小时平均</w:t>
                  </w:r>
                </w:p>
              </w:tc>
              <w:tc>
                <w:tcPr>
                  <w:tcW w:w="656" w:type="pct"/>
                  <w:vAlign w:val="center"/>
                </w:tcPr>
                <w:p>
                  <w:pPr>
                    <w:pStyle w:val="42"/>
                    <w:rPr>
                      <w:rFonts w:hint="default" w:eastAsia="宋体"/>
                      <w:color w:val="auto"/>
                      <w:lang w:val="en-US" w:eastAsia="zh-CN"/>
                    </w:rPr>
                  </w:pPr>
                  <w:r>
                    <w:rPr>
                      <w:rFonts w:hint="eastAsia"/>
                      <w:color w:val="auto"/>
                      <w:lang w:val="en-US" w:eastAsia="zh-CN"/>
                    </w:rPr>
                    <w:t>10</w:t>
                  </w:r>
                </w:p>
              </w:tc>
              <w:tc>
                <w:tcPr>
                  <w:tcW w:w="688" w:type="pct"/>
                  <w:vAlign w:val="center"/>
                </w:tcPr>
                <w:p>
                  <w:pPr>
                    <w:pStyle w:val="42"/>
                    <w:rPr>
                      <w:color w:val="auto"/>
                    </w:rPr>
                  </w:pPr>
                  <w:r>
                    <w:rPr>
                      <w:color w:val="auto"/>
                    </w:rPr>
                    <w:t>μg/m</w:t>
                  </w:r>
                  <w:r>
                    <w:rPr>
                      <w:color w:val="auto"/>
                      <w:vertAlign w:val="superscript"/>
                    </w:rPr>
                    <w:t>3</w:t>
                  </w:r>
                </w:p>
              </w:tc>
              <w:tc>
                <w:tcPr>
                  <w:tcW w:w="1763" w:type="pct"/>
                  <w:vMerge w:val="continue"/>
                  <w:vAlign w:val="center"/>
                </w:tcPr>
                <w:p>
                  <w:pPr>
                    <w:pStyle w:val="42"/>
                    <w:rPr>
                      <w:rFonts w:hint="eastAsia"/>
                      <w:color w:val="auto"/>
                    </w:rPr>
                  </w:pPr>
                </w:p>
              </w:tc>
            </w:tr>
          </w:tbl>
          <w:p>
            <w:pPr>
              <w:spacing w:line="480" w:lineRule="exact"/>
              <w:ind w:firstLine="480" w:firstLineChars="200"/>
              <w:rPr>
                <w:color w:val="auto"/>
                <w:sz w:val="24"/>
              </w:rPr>
            </w:pPr>
            <w:r>
              <w:rPr>
                <w:rFonts w:hint="eastAsia"/>
                <w:bCs/>
                <w:color w:val="auto"/>
                <w:sz w:val="24"/>
              </w:rPr>
              <w:t>区域大气污染物监测结果见下表。</w:t>
            </w:r>
          </w:p>
          <w:p>
            <w:pPr>
              <w:spacing w:line="480" w:lineRule="exact"/>
              <w:jc w:val="center"/>
              <w:rPr>
                <w:rFonts w:hint="eastAsia" w:ascii="黑体" w:hAnsi="黑体" w:eastAsia="黑体"/>
                <w:bCs/>
                <w:color w:val="auto"/>
                <w:sz w:val="24"/>
                <w:szCs w:val="32"/>
              </w:rPr>
            </w:pPr>
          </w:p>
          <w:p>
            <w:pPr>
              <w:spacing w:line="480" w:lineRule="exact"/>
              <w:jc w:val="center"/>
              <w:rPr>
                <w:rFonts w:hint="eastAsia" w:ascii="黑体" w:hAnsi="黑体" w:eastAsia="黑体"/>
                <w:bCs/>
                <w:color w:val="auto"/>
                <w:sz w:val="24"/>
                <w:szCs w:val="32"/>
              </w:rPr>
            </w:pP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 xml:space="preserve">表3-5  大气污染物监测结果一览表  </w:t>
            </w:r>
            <w:r>
              <w:rPr>
                <w:rFonts w:hint="eastAsia" w:eastAsia="黑体"/>
                <w:bCs/>
                <w:color w:val="auto"/>
                <w:sz w:val="24"/>
                <w:szCs w:val="32"/>
                <w:lang w:val="en-US" w:eastAsia="zh-CN"/>
              </w:rPr>
              <w:t>m</w:t>
            </w:r>
            <w:r>
              <w:rPr>
                <w:rFonts w:eastAsia="黑体"/>
                <w:bCs/>
                <w:color w:val="auto"/>
                <w:sz w:val="24"/>
                <w:szCs w:val="32"/>
              </w:rPr>
              <w:t>g</w:t>
            </w:r>
            <w:r>
              <w:rPr>
                <w:rFonts w:hint="eastAsia" w:eastAsia="黑体"/>
                <w:bCs/>
                <w:color w:val="auto"/>
                <w:sz w:val="24"/>
                <w:szCs w:val="32"/>
              </w:rPr>
              <w:t>/m</w:t>
            </w:r>
            <w:r>
              <w:rPr>
                <w:rFonts w:hint="eastAsia" w:eastAsia="黑体"/>
                <w:bCs/>
                <w:color w:val="auto"/>
                <w:sz w:val="24"/>
                <w:szCs w:val="32"/>
                <w:vertAlign w:val="superscript"/>
              </w:rPr>
              <w:t>3</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077"/>
              <w:gridCol w:w="709"/>
              <w:gridCol w:w="1809"/>
              <w:gridCol w:w="1809"/>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tcBorders>
                    <w:left w:val="single" w:color="auto" w:sz="4" w:space="0"/>
                    <w:tl2br w:val="single" w:color="auto" w:sz="4" w:space="0"/>
                  </w:tcBorders>
                  <w:vAlign w:val="center"/>
                </w:tcPr>
                <w:p>
                  <w:pPr>
                    <w:jc w:val="center"/>
                    <w:rPr>
                      <w:bCs/>
                      <w:color w:val="auto"/>
                    </w:rPr>
                  </w:pPr>
                  <w:r>
                    <w:rPr>
                      <w:rFonts w:hint="eastAsia"/>
                      <w:bCs/>
                      <w:color w:val="auto"/>
                    </w:rPr>
                    <w:t xml:space="preserve">     日期</w:t>
                  </w:r>
                </w:p>
                <w:p>
                  <w:pPr>
                    <w:rPr>
                      <w:bCs/>
                      <w:color w:val="auto"/>
                    </w:rPr>
                  </w:pPr>
                  <w:r>
                    <w:rPr>
                      <w:rFonts w:hint="eastAsia"/>
                      <w:bCs/>
                      <w:color w:val="auto"/>
                    </w:rPr>
                    <w:t>项目</w:t>
                  </w:r>
                </w:p>
              </w:tc>
              <w:tc>
                <w:tcPr>
                  <w:tcW w:w="635" w:type="pct"/>
                  <w:vAlign w:val="center"/>
                </w:tcPr>
                <w:p>
                  <w:pPr>
                    <w:jc w:val="center"/>
                    <w:rPr>
                      <w:bCs/>
                      <w:color w:val="auto"/>
                    </w:rPr>
                  </w:pPr>
                  <w:r>
                    <w:rPr>
                      <w:rFonts w:hint="eastAsia"/>
                      <w:bCs/>
                      <w:color w:val="auto"/>
                    </w:rPr>
                    <w:t>监测点位</w:t>
                  </w:r>
                </w:p>
              </w:tc>
              <w:tc>
                <w:tcPr>
                  <w:tcW w:w="418" w:type="pct"/>
                  <w:vAlign w:val="center"/>
                </w:tcPr>
                <w:p>
                  <w:pPr>
                    <w:jc w:val="center"/>
                    <w:rPr>
                      <w:rFonts w:hint="eastAsia" w:eastAsia="宋体"/>
                      <w:bCs/>
                      <w:color w:val="auto"/>
                      <w:lang w:val="en-US" w:eastAsia="zh-CN"/>
                    </w:rPr>
                  </w:pPr>
                  <w:r>
                    <w:rPr>
                      <w:rFonts w:hint="eastAsia"/>
                      <w:bCs/>
                      <w:color w:val="auto"/>
                      <w:lang w:val="en-US" w:eastAsia="zh-CN"/>
                    </w:rPr>
                    <w:t>频次</w:t>
                  </w:r>
                </w:p>
              </w:tc>
              <w:tc>
                <w:tcPr>
                  <w:tcW w:w="1067" w:type="pct"/>
                  <w:vAlign w:val="center"/>
                </w:tcPr>
                <w:p>
                  <w:pPr>
                    <w:jc w:val="center"/>
                    <w:rPr>
                      <w:rFonts w:hint="default" w:eastAsia="宋体"/>
                      <w:bCs/>
                      <w:color w:val="auto"/>
                      <w:lang w:val="en-US" w:eastAsia="zh-CN"/>
                    </w:rPr>
                  </w:pPr>
                  <w:r>
                    <w:rPr>
                      <w:rFonts w:hint="eastAsia"/>
                      <w:bCs/>
                      <w:color w:val="auto"/>
                    </w:rPr>
                    <w:t>2022.</w:t>
                  </w:r>
                  <w:r>
                    <w:rPr>
                      <w:rFonts w:hint="eastAsia"/>
                      <w:bCs/>
                      <w:color w:val="auto"/>
                      <w:lang w:val="en-US" w:eastAsia="zh-CN"/>
                    </w:rPr>
                    <w:t>12.16</w:t>
                  </w:r>
                </w:p>
              </w:tc>
              <w:tc>
                <w:tcPr>
                  <w:tcW w:w="1067" w:type="pct"/>
                  <w:vAlign w:val="center"/>
                </w:tcPr>
                <w:p>
                  <w:pPr>
                    <w:jc w:val="center"/>
                    <w:rPr>
                      <w:rFonts w:hint="default" w:eastAsia="宋体"/>
                      <w:bCs/>
                      <w:color w:val="auto"/>
                      <w:lang w:val="en-US" w:eastAsia="zh-CN"/>
                    </w:rPr>
                  </w:pPr>
                  <w:r>
                    <w:rPr>
                      <w:rFonts w:hint="eastAsia"/>
                      <w:bCs/>
                      <w:color w:val="auto"/>
                    </w:rPr>
                    <w:t>2022.</w:t>
                  </w:r>
                  <w:r>
                    <w:rPr>
                      <w:rFonts w:hint="eastAsia"/>
                      <w:bCs/>
                      <w:color w:val="auto"/>
                      <w:lang w:val="en-US" w:eastAsia="zh-CN"/>
                    </w:rPr>
                    <w:t>12.17</w:t>
                  </w:r>
                </w:p>
              </w:tc>
              <w:tc>
                <w:tcPr>
                  <w:tcW w:w="1071" w:type="pct"/>
                  <w:vAlign w:val="center"/>
                </w:tcPr>
                <w:p>
                  <w:pPr>
                    <w:jc w:val="center"/>
                    <w:rPr>
                      <w:rFonts w:hint="default" w:eastAsia="宋体"/>
                      <w:bCs/>
                      <w:color w:val="auto"/>
                      <w:lang w:val="en-US" w:eastAsia="zh-CN"/>
                    </w:rPr>
                  </w:pPr>
                  <w:r>
                    <w:rPr>
                      <w:rFonts w:hint="eastAsia"/>
                      <w:bCs/>
                      <w:color w:val="auto"/>
                    </w:rPr>
                    <w:t>2022.</w:t>
                  </w:r>
                  <w:r>
                    <w:rPr>
                      <w:rFonts w:hint="eastAsia"/>
                      <w:bCs/>
                      <w:color w:val="auto"/>
                      <w:lang w:val="en-US" w:eastAsia="zh-CN"/>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restart"/>
                  <w:tcBorders>
                    <w:left w:val="single" w:color="auto" w:sz="4" w:space="0"/>
                  </w:tcBorders>
                  <w:vAlign w:val="center"/>
                </w:tcPr>
                <w:p>
                  <w:pPr>
                    <w:jc w:val="center"/>
                    <w:rPr>
                      <w:rFonts w:hint="eastAsia" w:eastAsia="宋体"/>
                      <w:bCs/>
                      <w:color w:val="auto"/>
                      <w:lang w:eastAsia="zh-CN"/>
                    </w:rPr>
                  </w:pPr>
                  <w:r>
                    <w:rPr>
                      <w:rFonts w:hint="eastAsia"/>
                      <w:bCs/>
                      <w:color w:val="auto"/>
                      <w:lang w:val="en-US" w:eastAsia="zh-CN"/>
                    </w:rPr>
                    <w:t>硫化氢</w:t>
                  </w:r>
                </w:p>
              </w:tc>
              <w:tc>
                <w:tcPr>
                  <w:tcW w:w="635" w:type="pct"/>
                  <w:vMerge w:val="restart"/>
                  <w:vAlign w:val="center"/>
                </w:tcPr>
                <w:p>
                  <w:pPr>
                    <w:jc w:val="center"/>
                    <w:rPr>
                      <w:rFonts w:hint="default" w:eastAsia="宋体"/>
                      <w:bCs/>
                      <w:color w:val="auto"/>
                      <w:lang w:val="en-US" w:eastAsia="zh-CN"/>
                    </w:rPr>
                  </w:pPr>
                  <w:r>
                    <w:rPr>
                      <w:rFonts w:hint="eastAsia"/>
                      <w:bCs/>
                      <w:color w:val="auto"/>
                      <w:lang w:val="en-US" w:eastAsia="zh-CN"/>
                    </w:rPr>
                    <w:t>张家庄村</w:t>
                  </w:r>
                </w:p>
              </w:tc>
              <w:tc>
                <w:tcPr>
                  <w:tcW w:w="418" w:type="pct"/>
                  <w:vAlign w:val="center"/>
                </w:tcPr>
                <w:p>
                  <w:pPr>
                    <w:jc w:val="center"/>
                    <w:rPr>
                      <w:rFonts w:hint="default"/>
                      <w:bCs/>
                      <w:color w:val="auto"/>
                      <w:lang w:val="en-US" w:eastAsia="zh-CN"/>
                    </w:rPr>
                  </w:pPr>
                  <w:r>
                    <w:rPr>
                      <w:rFonts w:hint="eastAsia"/>
                      <w:bCs/>
                      <w:color w:val="auto"/>
                      <w:lang w:val="en-US" w:eastAsia="zh-CN"/>
                    </w:rPr>
                    <w:t>1</w:t>
                  </w:r>
                </w:p>
              </w:tc>
              <w:tc>
                <w:tcPr>
                  <w:tcW w:w="1067" w:type="pct"/>
                  <w:vAlign w:val="center"/>
                </w:tcPr>
                <w:p>
                  <w:pPr>
                    <w:jc w:val="center"/>
                    <w:rPr>
                      <w:rFonts w:hint="default" w:eastAsia="宋体"/>
                      <w:bCs/>
                      <w:color w:val="auto"/>
                      <w:lang w:val="en-US" w:eastAsia="zh-CN"/>
                    </w:rPr>
                  </w:pPr>
                  <w:r>
                    <w:rPr>
                      <w:rFonts w:hint="eastAsia"/>
                      <w:bCs/>
                      <w:color w:val="auto"/>
                      <w:lang w:val="en-US" w:eastAsia="zh-CN"/>
                    </w:rPr>
                    <w:t>0.003</w:t>
                  </w:r>
                </w:p>
              </w:tc>
              <w:tc>
                <w:tcPr>
                  <w:tcW w:w="1067" w:type="pct"/>
                  <w:vAlign w:val="center"/>
                </w:tcPr>
                <w:p>
                  <w:pPr>
                    <w:jc w:val="center"/>
                    <w:rPr>
                      <w:rFonts w:hint="default" w:eastAsia="宋体"/>
                      <w:bCs/>
                      <w:color w:val="auto"/>
                      <w:lang w:val="en-US" w:eastAsia="zh-CN"/>
                    </w:rPr>
                  </w:pPr>
                  <w:r>
                    <w:rPr>
                      <w:rFonts w:hint="eastAsia"/>
                      <w:bCs/>
                      <w:color w:val="auto"/>
                      <w:lang w:val="en-US" w:eastAsia="zh-CN"/>
                    </w:rPr>
                    <w:t>0.004</w:t>
                  </w:r>
                </w:p>
              </w:tc>
              <w:tc>
                <w:tcPr>
                  <w:tcW w:w="1071" w:type="pct"/>
                  <w:vAlign w:val="center"/>
                </w:tcPr>
                <w:p>
                  <w:pPr>
                    <w:jc w:val="center"/>
                    <w:rPr>
                      <w:rFonts w:hint="default" w:eastAsia="宋体"/>
                      <w:bCs/>
                      <w:color w:val="auto"/>
                      <w:lang w:val="en-US" w:eastAsia="zh-CN"/>
                    </w:rPr>
                  </w:pPr>
                  <w:r>
                    <w:rPr>
                      <w:rFonts w:hint="eastAsia"/>
                      <w:bCs/>
                      <w:color w:val="auto"/>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continue"/>
                  <w:tcBorders>
                    <w:left w:val="single" w:color="auto" w:sz="4" w:space="0"/>
                  </w:tcBorders>
                  <w:vAlign w:val="center"/>
                </w:tcPr>
                <w:p>
                  <w:pPr>
                    <w:jc w:val="center"/>
                    <w:rPr>
                      <w:rFonts w:hint="eastAsia"/>
                      <w:bCs/>
                      <w:color w:val="auto"/>
                      <w:lang w:val="en-US" w:eastAsia="zh-CN"/>
                    </w:rPr>
                  </w:pPr>
                </w:p>
              </w:tc>
              <w:tc>
                <w:tcPr>
                  <w:tcW w:w="635" w:type="pct"/>
                  <w:vMerge w:val="continue"/>
                  <w:vAlign w:val="center"/>
                </w:tcPr>
                <w:p>
                  <w:pPr>
                    <w:jc w:val="center"/>
                    <w:rPr>
                      <w:rFonts w:hint="eastAsia"/>
                      <w:bCs/>
                      <w:color w:val="auto"/>
                      <w:lang w:val="en-US" w:eastAsia="zh-CN"/>
                    </w:rPr>
                  </w:pPr>
                </w:p>
              </w:tc>
              <w:tc>
                <w:tcPr>
                  <w:tcW w:w="418" w:type="pct"/>
                  <w:vAlign w:val="center"/>
                </w:tcPr>
                <w:p>
                  <w:pPr>
                    <w:jc w:val="center"/>
                    <w:rPr>
                      <w:rFonts w:hint="default"/>
                      <w:bCs/>
                      <w:color w:val="auto"/>
                      <w:lang w:val="en-US" w:eastAsia="zh-CN"/>
                    </w:rPr>
                  </w:pPr>
                  <w:r>
                    <w:rPr>
                      <w:rFonts w:hint="eastAsia"/>
                      <w:bCs/>
                      <w:color w:val="auto"/>
                      <w:lang w:val="en-US" w:eastAsia="zh-CN"/>
                    </w:rPr>
                    <w:t>2</w:t>
                  </w:r>
                </w:p>
              </w:tc>
              <w:tc>
                <w:tcPr>
                  <w:tcW w:w="1067" w:type="pct"/>
                  <w:vAlign w:val="center"/>
                </w:tcPr>
                <w:p>
                  <w:pPr>
                    <w:jc w:val="center"/>
                    <w:rPr>
                      <w:rFonts w:hint="default"/>
                      <w:bCs/>
                      <w:color w:val="auto"/>
                      <w:lang w:val="en-US" w:eastAsia="zh-CN"/>
                    </w:rPr>
                  </w:pPr>
                  <w:r>
                    <w:rPr>
                      <w:rFonts w:hint="eastAsia"/>
                      <w:bCs/>
                      <w:color w:val="auto"/>
                      <w:lang w:val="en-US" w:eastAsia="zh-CN"/>
                    </w:rPr>
                    <w:t>0.002</w:t>
                  </w:r>
                </w:p>
              </w:tc>
              <w:tc>
                <w:tcPr>
                  <w:tcW w:w="1067" w:type="pct"/>
                  <w:vAlign w:val="center"/>
                </w:tcPr>
                <w:p>
                  <w:pPr>
                    <w:jc w:val="center"/>
                    <w:rPr>
                      <w:rFonts w:hint="default"/>
                      <w:bCs/>
                      <w:color w:val="auto"/>
                      <w:lang w:val="en-US" w:eastAsia="zh-CN"/>
                    </w:rPr>
                  </w:pPr>
                  <w:r>
                    <w:rPr>
                      <w:rFonts w:hint="eastAsia"/>
                      <w:bCs/>
                      <w:color w:val="auto"/>
                      <w:lang w:val="en-US" w:eastAsia="zh-CN"/>
                    </w:rPr>
                    <w:t>0.002</w:t>
                  </w:r>
                </w:p>
              </w:tc>
              <w:tc>
                <w:tcPr>
                  <w:tcW w:w="1071" w:type="pct"/>
                  <w:vAlign w:val="center"/>
                </w:tcPr>
                <w:p>
                  <w:pPr>
                    <w:jc w:val="center"/>
                    <w:rPr>
                      <w:rFonts w:hint="default"/>
                      <w:bCs/>
                      <w:color w:val="auto"/>
                      <w:lang w:val="en-US" w:eastAsia="zh-CN"/>
                    </w:rPr>
                  </w:pPr>
                  <w:r>
                    <w:rPr>
                      <w:rFonts w:hint="eastAsia"/>
                      <w:bCs/>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continue"/>
                  <w:tcBorders>
                    <w:left w:val="single" w:color="auto" w:sz="4" w:space="0"/>
                  </w:tcBorders>
                  <w:vAlign w:val="center"/>
                </w:tcPr>
                <w:p>
                  <w:pPr>
                    <w:jc w:val="center"/>
                    <w:rPr>
                      <w:rFonts w:hint="eastAsia"/>
                      <w:bCs/>
                      <w:color w:val="auto"/>
                      <w:lang w:val="en-US" w:eastAsia="zh-CN"/>
                    </w:rPr>
                  </w:pPr>
                </w:p>
              </w:tc>
              <w:tc>
                <w:tcPr>
                  <w:tcW w:w="635" w:type="pct"/>
                  <w:vMerge w:val="continue"/>
                  <w:vAlign w:val="center"/>
                </w:tcPr>
                <w:p>
                  <w:pPr>
                    <w:jc w:val="center"/>
                    <w:rPr>
                      <w:rFonts w:hint="eastAsia"/>
                      <w:bCs/>
                      <w:color w:val="auto"/>
                      <w:lang w:val="en-US" w:eastAsia="zh-CN"/>
                    </w:rPr>
                  </w:pPr>
                </w:p>
              </w:tc>
              <w:tc>
                <w:tcPr>
                  <w:tcW w:w="418" w:type="pct"/>
                  <w:vAlign w:val="center"/>
                </w:tcPr>
                <w:p>
                  <w:pPr>
                    <w:jc w:val="center"/>
                    <w:rPr>
                      <w:rFonts w:hint="default"/>
                      <w:bCs/>
                      <w:color w:val="auto"/>
                      <w:lang w:val="en-US" w:eastAsia="zh-CN"/>
                    </w:rPr>
                  </w:pPr>
                  <w:r>
                    <w:rPr>
                      <w:rFonts w:hint="eastAsia"/>
                      <w:bCs/>
                      <w:color w:val="auto"/>
                      <w:lang w:val="en-US" w:eastAsia="zh-CN"/>
                    </w:rPr>
                    <w:t>3</w:t>
                  </w:r>
                </w:p>
              </w:tc>
              <w:tc>
                <w:tcPr>
                  <w:tcW w:w="1067" w:type="pct"/>
                  <w:vAlign w:val="center"/>
                </w:tcPr>
                <w:p>
                  <w:pPr>
                    <w:jc w:val="center"/>
                    <w:rPr>
                      <w:rFonts w:hint="default"/>
                      <w:bCs/>
                      <w:color w:val="auto"/>
                      <w:lang w:val="en-US" w:eastAsia="zh-CN"/>
                    </w:rPr>
                  </w:pPr>
                  <w:r>
                    <w:rPr>
                      <w:rFonts w:hint="eastAsia"/>
                      <w:bCs/>
                      <w:color w:val="auto"/>
                      <w:lang w:val="en-US" w:eastAsia="zh-CN"/>
                    </w:rPr>
                    <w:t>0.002</w:t>
                  </w:r>
                </w:p>
              </w:tc>
              <w:tc>
                <w:tcPr>
                  <w:tcW w:w="1067" w:type="pct"/>
                  <w:vAlign w:val="center"/>
                </w:tcPr>
                <w:p>
                  <w:pPr>
                    <w:jc w:val="center"/>
                    <w:rPr>
                      <w:rFonts w:hint="default"/>
                      <w:bCs/>
                      <w:color w:val="auto"/>
                      <w:lang w:val="en-US" w:eastAsia="zh-CN"/>
                    </w:rPr>
                  </w:pPr>
                  <w:r>
                    <w:rPr>
                      <w:rFonts w:hint="eastAsia"/>
                      <w:bCs/>
                      <w:color w:val="auto"/>
                      <w:lang w:val="en-US" w:eastAsia="zh-CN"/>
                    </w:rPr>
                    <w:t>0.005</w:t>
                  </w:r>
                </w:p>
              </w:tc>
              <w:tc>
                <w:tcPr>
                  <w:tcW w:w="1071" w:type="pct"/>
                  <w:vAlign w:val="center"/>
                </w:tcPr>
                <w:p>
                  <w:pPr>
                    <w:jc w:val="center"/>
                    <w:rPr>
                      <w:rFonts w:hint="default"/>
                      <w:bCs/>
                      <w:color w:val="auto"/>
                      <w:lang w:val="en-US" w:eastAsia="zh-CN"/>
                    </w:rPr>
                  </w:pPr>
                  <w:r>
                    <w:rPr>
                      <w:rFonts w:hint="eastAsia"/>
                      <w:bCs/>
                      <w:color w:val="auto"/>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continue"/>
                  <w:tcBorders>
                    <w:left w:val="single" w:color="auto" w:sz="4" w:space="0"/>
                  </w:tcBorders>
                  <w:vAlign w:val="center"/>
                </w:tcPr>
                <w:p>
                  <w:pPr>
                    <w:jc w:val="center"/>
                    <w:rPr>
                      <w:rFonts w:hint="eastAsia"/>
                      <w:bCs/>
                      <w:color w:val="auto"/>
                      <w:lang w:val="en-US" w:eastAsia="zh-CN"/>
                    </w:rPr>
                  </w:pPr>
                </w:p>
              </w:tc>
              <w:tc>
                <w:tcPr>
                  <w:tcW w:w="635" w:type="pct"/>
                  <w:vMerge w:val="continue"/>
                  <w:vAlign w:val="center"/>
                </w:tcPr>
                <w:p>
                  <w:pPr>
                    <w:jc w:val="center"/>
                    <w:rPr>
                      <w:rFonts w:hint="eastAsia"/>
                      <w:bCs/>
                      <w:color w:val="auto"/>
                      <w:lang w:val="en-US" w:eastAsia="zh-CN"/>
                    </w:rPr>
                  </w:pPr>
                </w:p>
              </w:tc>
              <w:tc>
                <w:tcPr>
                  <w:tcW w:w="418" w:type="pct"/>
                  <w:vAlign w:val="center"/>
                </w:tcPr>
                <w:p>
                  <w:pPr>
                    <w:jc w:val="center"/>
                    <w:rPr>
                      <w:rFonts w:hint="default"/>
                      <w:bCs/>
                      <w:color w:val="auto"/>
                      <w:lang w:val="en-US" w:eastAsia="zh-CN"/>
                    </w:rPr>
                  </w:pPr>
                  <w:r>
                    <w:rPr>
                      <w:rFonts w:hint="eastAsia"/>
                      <w:bCs/>
                      <w:color w:val="auto"/>
                      <w:lang w:val="en-US" w:eastAsia="zh-CN"/>
                    </w:rPr>
                    <w:t>4</w:t>
                  </w:r>
                </w:p>
              </w:tc>
              <w:tc>
                <w:tcPr>
                  <w:tcW w:w="1067" w:type="pct"/>
                  <w:vAlign w:val="center"/>
                </w:tcPr>
                <w:p>
                  <w:pPr>
                    <w:jc w:val="center"/>
                    <w:rPr>
                      <w:rFonts w:hint="default"/>
                      <w:bCs/>
                      <w:color w:val="auto"/>
                      <w:lang w:val="en-US" w:eastAsia="zh-CN"/>
                    </w:rPr>
                  </w:pPr>
                  <w:r>
                    <w:rPr>
                      <w:rFonts w:hint="eastAsia"/>
                      <w:bCs/>
                      <w:color w:val="auto"/>
                      <w:lang w:val="en-US" w:eastAsia="zh-CN"/>
                    </w:rPr>
                    <w:t>0.004</w:t>
                  </w:r>
                </w:p>
              </w:tc>
              <w:tc>
                <w:tcPr>
                  <w:tcW w:w="1067" w:type="pct"/>
                  <w:vAlign w:val="center"/>
                </w:tcPr>
                <w:p>
                  <w:pPr>
                    <w:jc w:val="center"/>
                    <w:rPr>
                      <w:rFonts w:hint="default"/>
                      <w:bCs/>
                      <w:color w:val="auto"/>
                      <w:lang w:val="en-US" w:eastAsia="zh-CN"/>
                    </w:rPr>
                  </w:pPr>
                  <w:r>
                    <w:rPr>
                      <w:rFonts w:hint="eastAsia"/>
                      <w:bCs/>
                      <w:color w:val="auto"/>
                      <w:lang w:val="en-US" w:eastAsia="zh-CN"/>
                    </w:rPr>
                    <w:t>0.003</w:t>
                  </w:r>
                </w:p>
              </w:tc>
              <w:tc>
                <w:tcPr>
                  <w:tcW w:w="1071" w:type="pct"/>
                  <w:vAlign w:val="center"/>
                </w:tcPr>
                <w:p>
                  <w:pPr>
                    <w:jc w:val="center"/>
                    <w:rPr>
                      <w:rFonts w:hint="default"/>
                      <w:bCs/>
                      <w:color w:val="auto"/>
                      <w:lang w:val="en-US" w:eastAsia="zh-CN"/>
                    </w:rPr>
                  </w:pPr>
                  <w:r>
                    <w:rPr>
                      <w:rFonts w:hint="eastAsia"/>
                      <w:bCs/>
                      <w:color w:val="auto"/>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tcBorders>
                    <w:left w:val="single" w:color="auto" w:sz="4" w:space="0"/>
                  </w:tcBorders>
                  <w:vAlign w:val="center"/>
                </w:tcPr>
                <w:p>
                  <w:pPr>
                    <w:jc w:val="both"/>
                    <w:rPr>
                      <w:rFonts w:hint="default"/>
                      <w:bCs/>
                      <w:color w:val="auto"/>
                      <w:lang w:val="en-US" w:eastAsia="zh-CN"/>
                    </w:rPr>
                  </w:pPr>
                  <w:r>
                    <w:rPr>
                      <w:rFonts w:hint="eastAsia"/>
                      <w:bCs/>
                      <w:color w:val="auto"/>
                      <w:lang w:val="en-US" w:eastAsia="zh-CN"/>
                    </w:rPr>
                    <w:t>硫化氢：最大浓度占标率50%，超标率为0%。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restart"/>
                  <w:tcBorders>
                    <w:left w:val="single" w:color="auto" w:sz="4" w:space="0"/>
                  </w:tcBorders>
                  <w:vAlign w:val="center"/>
                </w:tcPr>
                <w:p>
                  <w:pPr>
                    <w:jc w:val="center"/>
                    <w:rPr>
                      <w:rFonts w:hint="eastAsia" w:eastAsia="宋体"/>
                      <w:bCs/>
                      <w:color w:val="auto"/>
                      <w:lang w:eastAsia="zh-CN"/>
                    </w:rPr>
                  </w:pPr>
                  <w:r>
                    <w:rPr>
                      <w:rFonts w:hint="eastAsia"/>
                      <w:bCs/>
                      <w:color w:val="auto"/>
                      <w:lang w:val="en-US" w:eastAsia="zh-CN"/>
                    </w:rPr>
                    <w:t>氨</w:t>
                  </w:r>
                </w:p>
              </w:tc>
              <w:tc>
                <w:tcPr>
                  <w:tcW w:w="635" w:type="pct"/>
                  <w:vMerge w:val="restart"/>
                  <w:vAlign w:val="center"/>
                </w:tcPr>
                <w:p>
                  <w:pPr>
                    <w:jc w:val="center"/>
                    <w:rPr>
                      <w:rFonts w:hint="eastAsia"/>
                      <w:color w:val="auto"/>
                      <w:lang w:val="en-US" w:eastAsia="zh-CN"/>
                    </w:rPr>
                  </w:pPr>
                  <w:r>
                    <w:rPr>
                      <w:rFonts w:hint="eastAsia"/>
                      <w:bCs/>
                      <w:color w:val="auto"/>
                      <w:lang w:val="en-US" w:eastAsia="zh-CN"/>
                    </w:rPr>
                    <w:t>张家庄村</w:t>
                  </w:r>
                </w:p>
              </w:tc>
              <w:tc>
                <w:tcPr>
                  <w:tcW w:w="418" w:type="pct"/>
                  <w:vAlign w:val="center"/>
                </w:tcPr>
                <w:p>
                  <w:pPr>
                    <w:jc w:val="center"/>
                    <w:rPr>
                      <w:rFonts w:hint="default"/>
                      <w:bCs/>
                      <w:color w:val="auto"/>
                      <w:lang w:val="en-US" w:eastAsia="zh-CN"/>
                    </w:rPr>
                  </w:pPr>
                  <w:r>
                    <w:rPr>
                      <w:rFonts w:hint="eastAsia"/>
                      <w:bCs/>
                      <w:color w:val="auto"/>
                      <w:lang w:val="en-US" w:eastAsia="zh-CN"/>
                    </w:rPr>
                    <w:t>1</w:t>
                  </w:r>
                </w:p>
              </w:tc>
              <w:tc>
                <w:tcPr>
                  <w:tcW w:w="1067" w:type="pct"/>
                  <w:vAlign w:val="center"/>
                </w:tcPr>
                <w:p>
                  <w:pPr>
                    <w:jc w:val="center"/>
                    <w:rPr>
                      <w:rFonts w:hint="default"/>
                      <w:bCs/>
                      <w:color w:val="auto"/>
                      <w:lang w:val="en-US" w:eastAsia="zh-CN"/>
                    </w:rPr>
                  </w:pPr>
                  <w:r>
                    <w:rPr>
                      <w:rFonts w:hint="eastAsia"/>
                      <w:bCs/>
                      <w:color w:val="auto"/>
                      <w:lang w:val="en-US" w:eastAsia="zh-CN"/>
                    </w:rPr>
                    <w:t>0.14</w:t>
                  </w:r>
                </w:p>
              </w:tc>
              <w:tc>
                <w:tcPr>
                  <w:tcW w:w="1067" w:type="pct"/>
                  <w:vAlign w:val="center"/>
                </w:tcPr>
                <w:p>
                  <w:pPr>
                    <w:jc w:val="center"/>
                    <w:rPr>
                      <w:rFonts w:hint="default"/>
                      <w:bCs/>
                      <w:color w:val="auto"/>
                      <w:lang w:val="en-US" w:eastAsia="zh-CN"/>
                    </w:rPr>
                  </w:pPr>
                  <w:r>
                    <w:rPr>
                      <w:rFonts w:hint="eastAsia"/>
                      <w:bCs/>
                      <w:color w:val="auto"/>
                      <w:lang w:val="en-US" w:eastAsia="zh-CN"/>
                    </w:rPr>
                    <w:t>0.11</w:t>
                  </w:r>
                </w:p>
              </w:tc>
              <w:tc>
                <w:tcPr>
                  <w:tcW w:w="1071" w:type="pct"/>
                  <w:vAlign w:val="center"/>
                </w:tcPr>
                <w:p>
                  <w:pPr>
                    <w:jc w:val="center"/>
                    <w:rPr>
                      <w:rFonts w:hint="default"/>
                      <w:bCs/>
                      <w:color w:val="auto"/>
                      <w:lang w:val="en-US" w:eastAsia="zh-CN"/>
                    </w:rPr>
                  </w:pPr>
                  <w:r>
                    <w:rPr>
                      <w:rFonts w:hint="eastAsia"/>
                      <w:bCs/>
                      <w:color w:val="auto"/>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continue"/>
                  <w:tcBorders>
                    <w:left w:val="single" w:color="auto" w:sz="4" w:space="0"/>
                  </w:tcBorders>
                  <w:vAlign w:val="center"/>
                </w:tcPr>
                <w:p>
                  <w:pPr>
                    <w:jc w:val="center"/>
                    <w:rPr>
                      <w:rFonts w:hint="eastAsia"/>
                      <w:bCs/>
                      <w:color w:val="auto"/>
                    </w:rPr>
                  </w:pPr>
                </w:p>
              </w:tc>
              <w:tc>
                <w:tcPr>
                  <w:tcW w:w="635" w:type="pct"/>
                  <w:vMerge w:val="continue"/>
                  <w:vAlign w:val="center"/>
                </w:tcPr>
                <w:p>
                  <w:pPr>
                    <w:jc w:val="center"/>
                    <w:rPr>
                      <w:rFonts w:hint="eastAsia"/>
                      <w:color w:val="auto"/>
                      <w:lang w:val="en-US" w:eastAsia="zh-CN"/>
                    </w:rPr>
                  </w:pPr>
                </w:p>
              </w:tc>
              <w:tc>
                <w:tcPr>
                  <w:tcW w:w="418" w:type="pct"/>
                  <w:vAlign w:val="center"/>
                </w:tcPr>
                <w:p>
                  <w:pPr>
                    <w:jc w:val="center"/>
                    <w:rPr>
                      <w:rFonts w:hint="default"/>
                      <w:bCs/>
                      <w:color w:val="auto"/>
                      <w:lang w:val="en-US" w:eastAsia="zh-CN"/>
                    </w:rPr>
                  </w:pPr>
                  <w:r>
                    <w:rPr>
                      <w:rFonts w:hint="eastAsia"/>
                      <w:bCs/>
                      <w:color w:val="auto"/>
                      <w:lang w:val="en-US" w:eastAsia="zh-CN"/>
                    </w:rPr>
                    <w:t>2</w:t>
                  </w:r>
                </w:p>
              </w:tc>
              <w:tc>
                <w:tcPr>
                  <w:tcW w:w="1067" w:type="pct"/>
                  <w:vAlign w:val="center"/>
                </w:tcPr>
                <w:p>
                  <w:pPr>
                    <w:jc w:val="center"/>
                    <w:rPr>
                      <w:rFonts w:hint="default"/>
                      <w:bCs/>
                      <w:color w:val="auto"/>
                      <w:lang w:val="en-US" w:eastAsia="zh-CN"/>
                    </w:rPr>
                  </w:pPr>
                  <w:r>
                    <w:rPr>
                      <w:rFonts w:hint="eastAsia"/>
                      <w:bCs/>
                      <w:color w:val="auto"/>
                      <w:lang w:val="en-US" w:eastAsia="zh-CN"/>
                    </w:rPr>
                    <w:t>0.16</w:t>
                  </w:r>
                </w:p>
              </w:tc>
              <w:tc>
                <w:tcPr>
                  <w:tcW w:w="1067" w:type="pct"/>
                  <w:vAlign w:val="center"/>
                </w:tcPr>
                <w:p>
                  <w:pPr>
                    <w:jc w:val="center"/>
                    <w:rPr>
                      <w:rFonts w:hint="default"/>
                      <w:bCs/>
                      <w:color w:val="auto"/>
                      <w:lang w:val="en-US" w:eastAsia="zh-CN"/>
                    </w:rPr>
                  </w:pPr>
                  <w:r>
                    <w:rPr>
                      <w:rFonts w:hint="eastAsia"/>
                      <w:bCs/>
                      <w:color w:val="auto"/>
                      <w:lang w:val="en-US" w:eastAsia="zh-CN"/>
                    </w:rPr>
                    <w:t>0.14</w:t>
                  </w:r>
                </w:p>
              </w:tc>
              <w:tc>
                <w:tcPr>
                  <w:tcW w:w="1071" w:type="pct"/>
                  <w:vAlign w:val="center"/>
                </w:tcPr>
                <w:p>
                  <w:pPr>
                    <w:jc w:val="center"/>
                    <w:rPr>
                      <w:rFonts w:hint="default"/>
                      <w:bCs/>
                      <w:color w:val="auto"/>
                      <w:lang w:val="en-US" w:eastAsia="zh-CN"/>
                    </w:rPr>
                  </w:pPr>
                  <w:r>
                    <w:rPr>
                      <w:rFonts w:hint="eastAsia"/>
                      <w:bCs/>
                      <w:color w:val="auto"/>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continue"/>
                  <w:tcBorders>
                    <w:left w:val="single" w:color="auto" w:sz="4" w:space="0"/>
                  </w:tcBorders>
                  <w:vAlign w:val="center"/>
                </w:tcPr>
                <w:p>
                  <w:pPr>
                    <w:jc w:val="center"/>
                    <w:rPr>
                      <w:rFonts w:hint="eastAsia"/>
                      <w:bCs/>
                      <w:color w:val="auto"/>
                    </w:rPr>
                  </w:pPr>
                </w:p>
              </w:tc>
              <w:tc>
                <w:tcPr>
                  <w:tcW w:w="635" w:type="pct"/>
                  <w:vMerge w:val="continue"/>
                  <w:vAlign w:val="center"/>
                </w:tcPr>
                <w:p>
                  <w:pPr>
                    <w:jc w:val="center"/>
                    <w:rPr>
                      <w:rFonts w:hint="eastAsia"/>
                      <w:color w:val="auto"/>
                      <w:lang w:val="en-US" w:eastAsia="zh-CN"/>
                    </w:rPr>
                  </w:pPr>
                </w:p>
              </w:tc>
              <w:tc>
                <w:tcPr>
                  <w:tcW w:w="418" w:type="pct"/>
                  <w:vAlign w:val="center"/>
                </w:tcPr>
                <w:p>
                  <w:pPr>
                    <w:jc w:val="center"/>
                    <w:rPr>
                      <w:rFonts w:hint="default"/>
                      <w:bCs/>
                      <w:color w:val="auto"/>
                      <w:lang w:val="en-US" w:eastAsia="zh-CN"/>
                    </w:rPr>
                  </w:pPr>
                  <w:r>
                    <w:rPr>
                      <w:rFonts w:hint="eastAsia"/>
                      <w:bCs/>
                      <w:color w:val="auto"/>
                      <w:lang w:val="en-US" w:eastAsia="zh-CN"/>
                    </w:rPr>
                    <w:t>3</w:t>
                  </w:r>
                </w:p>
              </w:tc>
              <w:tc>
                <w:tcPr>
                  <w:tcW w:w="1067" w:type="pct"/>
                  <w:vAlign w:val="center"/>
                </w:tcPr>
                <w:p>
                  <w:pPr>
                    <w:jc w:val="center"/>
                    <w:rPr>
                      <w:rFonts w:hint="default"/>
                      <w:bCs/>
                      <w:color w:val="auto"/>
                      <w:lang w:val="en-US" w:eastAsia="zh-CN"/>
                    </w:rPr>
                  </w:pPr>
                  <w:r>
                    <w:rPr>
                      <w:rFonts w:hint="eastAsia"/>
                      <w:bCs/>
                      <w:color w:val="auto"/>
                      <w:lang w:val="en-US" w:eastAsia="zh-CN"/>
                    </w:rPr>
                    <w:t>0.15</w:t>
                  </w:r>
                </w:p>
              </w:tc>
              <w:tc>
                <w:tcPr>
                  <w:tcW w:w="1067" w:type="pct"/>
                  <w:vAlign w:val="center"/>
                </w:tcPr>
                <w:p>
                  <w:pPr>
                    <w:jc w:val="center"/>
                    <w:rPr>
                      <w:rFonts w:hint="default"/>
                      <w:bCs/>
                      <w:color w:val="auto"/>
                      <w:lang w:val="en-US" w:eastAsia="zh-CN"/>
                    </w:rPr>
                  </w:pPr>
                  <w:r>
                    <w:rPr>
                      <w:rFonts w:hint="eastAsia"/>
                      <w:bCs/>
                      <w:color w:val="auto"/>
                      <w:lang w:val="en-US" w:eastAsia="zh-CN"/>
                    </w:rPr>
                    <w:t>0.13</w:t>
                  </w:r>
                </w:p>
              </w:tc>
              <w:tc>
                <w:tcPr>
                  <w:tcW w:w="1071" w:type="pct"/>
                  <w:vAlign w:val="center"/>
                </w:tcPr>
                <w:p>
                  <w:pPr>
                    <w:jc w:val="center"/>
                    <w:rPr>
                      <w:rFonts w:hint="default"/>
                      <w:bCs/>
                      <w:color w:val="auto"/>
                      <w:lang w:val="en-US" w:eastAsia="zh-CN"/>
                    </w:rPr>
                  </w:pPr>
                  <w:r>
                    <w:rPr>
                      <w:rFonts w:hint="eastAsia"/>
                      <w:bCs/>
                      <w:color w:val="auto"/>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continue"/>
                  <w:tcBorders>
                    <w:left w:val="single" w:color="auto" w:sz="4" w:space="0"/>
                  </w:tcBorders>
                  <w:vAlign w:val="center"/>
                </w:tcPr>
                <w:p>
                  <w:pPr>
                    <w:jc w:val="center"/>
                    <w:rPr>
                      <w:rFonts w:hint="eastAsia"/>
                      <w:bCs/>
                      <w:color w:val="auto"/>
                    </w:rPr>
                  </w:pPr>
                </w:p>
              </w:tc>
              <w:tc>
                <w:tcPr>
                  <w:tcW w:w="635" w:type="pct"/>
                  <w:vMerge w:val="continue"/>
                  <w:vAlign w:val="center"/>
                </w:tcPr>
                <w:p>
                  <w:pPr>
                    <w:jc w:val="center"/>
                    <w:rPr>
                      <w:rFonts w:hint="eastAsia"/>
                      <w:color w:val="auto"/>
                      <w:lang w:val="en-US" w:eastAsia="zh-CN"/>
                    </w:rPr>
                  </w:pPr>
                </w:p>
              </w:tc>
              <w:tc>
                <w:tcPr>
                  <w:tcW w:w="418" w:type="pct"/>
                  <w:vAlign w:val="center"/>
                </w:tcPr>
                <w:p>
                  <w:pPr>
                    <w:jc w:val="center"/>
                    <w:rPr>
                      <w:rFonts w:hint="default"/>
                      <w:bCs/>
                      <w:color w:val="auto"/>
                      <w:lang w:val="en-US" w:eastAsia="zh-CN"/>
                    </w:rPr>
                  </w:pPr>
                  <w:r>
                    <w:rPr>
                      <w:rFonts w:hint="eastAsia"/>
                      <w:bCs/>
                      <w:color w:val="auto"/>
                      <w:lang w:val="en-US" w:eastAsia="zh-CN"/>
                    </w:rPr>
                    <w:t>4</w:t>
                  </w:r>
                </w:p>
              </w:tc>
              <w:tc>
                <w:tcPr>
                  <w:tcW w:w="1067" w:type="pct"/>
                  <w:vAlign w:val="center"/>
                </w:tcPr>
                <w:p>
                  <w:pPr>
                    <w:jc w:val="center"/>
                    <w:rPr>
                      <w:rFonts w:hint="default"/>
                      <w:bCs/>
                      <w:color w:val="auto"/>
                      <w:lang w:val="en-US" w:eastAsia="zh-CN"/>
                    </w:rPr>
                  </w:pPr>
                  <w:r>
                    <w:rPr>
                      <w:rFonts w:hint="eastAsia"/>
                      <w:bCs/>
                      <w:color w:val="auto"/>
                      <w:lang w:val="en-US" w:eastAsia="zh-CN"/>
                    </w:rPr>
                    <w:t>0.12</w:t>
                  </w:r>
                </w:p>
              </w:tc>
              <w:tc>
                <w:tcPr>
                  <w:tcW w:w="1067" w:type="pct"/>
                  <w:vAlign w:val="center"/>
                </w:tcPr>
                <w:p>
                  <w:pPr>
                    <w:jc w:val="center"/>
                    <w:rPr>
                      <w:rFonts w:hint="default"/>
                      <w:bCs/>
                      <w:color w:val="auto"/>
                      <w:lang w:val="en-US" w:eastAsia="zh-CN"/>
                    </w:rPr>
                  </w:pPr>
                  <w:r>
                    <w:rPr>
                      <w:rFonts w:hint="eastAsia"/>
                      <w:bCs/>
                      <w:color w:val="auto"/>
                      <w:lang w:val="en-US" w:eastAsia="zh-CN"/>
                    </w:rPr>
                    <w:t>0.17</w:t>
                  </w:r>
                </w:p>
              </w:tc>
              <w:tc>
                <w:tcPr>
                  <w:tcW w:w="1071" w:type="pct"/>
                  <w:vAlign w:val="center"/>
                </w:tcPr>
                <w:p>
                  <w:pPr>
                    <w:jc w:val="center"/>
                    <w:rPr>
                      <w:rFonts w:hint="default"/>
                      <w:bCs/>
                      <w:color w:val="auto"/>
                      <w:lang w:val="en-US" w:eastAsia="zh-CN"/>
                    </w:rPr>
                  </w:pPr>
                  <w:r>
                    <w:rPr>
                      <w:rFonts w:hint="eastAsia"/>
                      <w:bCs/>
                      <w:color w:val="auto"/>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tcBorders>
                    <w:left w:val="single" w:color="auto" w:sz="4" w:space="0"/>
                  </w:tcBorders>
                  <w:vAlign w:val="center"/>
                </w:tcPr>
                <w:p>
                  <w:pPr>
                    <w:jc w:val="both"/>
                    <w:rPr>
                      <w:rFonts w:hint="default"/>
                      <w:bCs/>
                      <w:color w:val="auto"/>
                      <w:lang w:val="en-US" w:eastAsia="zh-CN"/>
                    </w:rPr>
                  </w:pPr>
                  <w:r>
                    <w:rPr>
                      <w:rFonts w:hint="eastAsia"/>
                      <w:bCs/>
                      <w:color w:val="auto"/>
                      <w:lang w:val="en-US" w:eastAsia="zh-CN"/>
                    </w:rPr>
                    <w:t>氨：最大浓度占标率85%，超标率为0%。</w:t>
                  </w:r>
                </w:p>
              </w:tc>
            </w:tr>
          </w:tbl>
          <w:p>
            <w:pPr>
              <w:spacing w:line="480" w:lineRule="exact"/>
              <w:ind w:firstLine="480" w:firstLineChars="200"/>
              <w:rPr>
                <w:color w:val="auto"/>
                <w:sz w:val="24"/>
              </w:rPr>
            </w:pPr>
            <w:r>
              <w:rPr>
                <w:rFonts w:hint="eastAsia"/>
                <w:color w:val="auto"/>
                <w:sz w:val="24"/>
                <w:szCs w:val="32"/>
              </w:rPr>
              <w:t>由上表可知，监测期间，</w:t>
            </w:r>
            <w:r>
              <w:rPr>
                <w:rFonts w:hint="eastAsia"/>
                <w:color w:val="auto"/>
                <w:sz w:val="24"/>
                <w:szCs w:val="32"/>
                <w:lang w:val="en-US" w:eastAsia="zh-CN"/>
              </w:rPr>
              <w:t>张家庄村</w:t>
            </w:r>
            <w:r>
              <w:rPr>
                <w:rFonts w:hint="eastAsia"/>
                <w:color w:val="auto"/>
                <w:sz w:val="24"/>
                <w:szCs w:val="32"/>
              </w:rPr>
              <w:t>环境空气中</w:t>
            </w:r>
            <w:r>
              <w:rPr>
                <w:rFonts w:hint="eastAsia"/>
                <w:color w:val="auto"/>
                <w:sz w:val="24"/>
                <w:szCs w:val="32"/>
                <w:lang w:val="en-US" w:eastAsia="zh-CN"/>
              </w:rPr>
              <w:t>硫化氢的1小时平</w:t>
            </w:r>
            <w:r>
              <w:rPr>
                <w:rFonts w:hint="eastAsia"/>
                <w:color w:val="auto"/>
                <w:sz w:val="24"/>
                <w:szCs w:val="32"/>
              </w:rPr>
              <w:t>均浓度范围在</w:t>
            </w:r>
            <w:r>
              <w:rPr>
                <w:rFonts w:hint="eastAsia"/>
                <w:color w:val="auto"/>
                <w:sz w:val="24"/>
                <w:szCs w:val="32"/>
                <w:lang w:val="en-US" w:eastAsia="zh-CN"/>
              </w:rPr>
              <w:t>0.002-0.005m</w:t>
            </w:r>
            <w:r>
              <w:rPr>
                <w:color w:val="auto"/>
                <w:sz w:val="24"/>
                <w:szCs w:val="32"/>
              </w:rPr>
              <w:t>g /m</w:t>
            </w:r>
            <w:r>
              <w:rPr>
                <w:color w:val="auto"/>
                <w:sz w:val="24"/>
                <w:szCs w:val="32"/>
                <w:vertAlign w:val="superscript"/>
              </w:rPr>
              <w:t>3</w:t>
            </w:r>
            <w:r>
              <w:rPr>
                <w:color w:val="auto"/>
                <w:sz w:val="24"/>
                <w:szCs w:val="32"/>
              </w:rPr>
              <w:t>之间，</w:t>
            </w:r>
            <w:r>
              <w:rPr>
                <w:rFonts w:hint="eastAsia"/>
                <w:color w:val="auto"/>
                <w:sz w:val="24"/>
                <w:szCs w:val="32"/>
                <w:lang w:val="en-US" w:eastAsia="zh-CN"/>
              </w:rPr>
              <w:t>最大浓度占标率50%，超标率为0%；氨的1小时平</w:t>
            </w:r>
            <w:r>
              <w:rPr>
                <w:rFonts w:hint="eastAsia"/>
                <w:color w:val="auto"/>
                <w:sz w:val="24"/>
                <w:szCs w:val="32"/>
              </w:rPr>
              <w:t>均浓度范围在</w:t>
            </w:r>
            <w:r>
              <w:rPr>
                <w:rFonts w:hint="eastAsia"/>
                <w:color w:val="auto"/>
                <w:sz w:val="24"/>
                <w:szCs w:val="32"/>
                <w:lang w:val="en-US" w:eastAsia="zh-CN"/>
              </w:rPr>
              <w:t>0.11-0.17m</w:t>
            </w:r>
            <w:r>
              <w:rPr>
                <w:color w:val="auto"/>
                <w:sz w:val="24"/>
                <w:szCs w:val="32"/>
              </w:rPr>
              <w:t>g /m</w:t>
            </w:r>
            <w:r>
              <w:rPr>
                <w:color w:val="auto"/>
                <w:sz w:val="24"/>
                <w:szCs w:val="32"/>
                <w:vertAlign w:val="superscript"/>
              </w:rPr>
              <w:t>3</w:t>
            </w:r>
            <w:r>
              <w:rPr>
                <w:color w:val="auto"/>
                <w:sz w:val="24"/>
                <w:szCs w:val="32"/>
              </w:rPr>
              <w:t>之间，</w:t>
            </w:r>
            <w:r>
              <w:rPr>
                <w:rFonts w:hint="eastAsia"/>
                <w:color w:val="auto"/>
                <w:sz w:val="24"/>
                <w:szCs w:val="32"/>
                <w:lang w:val="en-US" w:eastAsia="zh-CN"/>
              </w:rPr>
              <w:t>最大浓度占标率85%，超标率为0%。</w:t>
            </w:r>
            <w:r>
              <w:rPr>
                <w:color w:val="auto"/>
                <w:sz w:val="24"/>
                <w:szCs w:val="32"/>
              </w:rPr>
              <w:t>区域大气污染物现状质量浓度达标。</w:t>
            </w:r>
          </w:p>
          <w:p>
            <w:pPr>
              <w:adjustRightInd w:val="0"/>
              <w:snapToGrid w:val="0"/>
              <w:spacing w:line="480" w:lineRule="exact"/>
              <w:ind w:firstLine="482" w:firstLineChars="200"/>
              <w:rPr>
                <w:b/>
                <w:bCs/>
                <w:color w:val="auto"/>
                <w:kern w:val="0"/>
                <w:sz w:val="24"/>
              </w:rPr>
            </w:pPr>
            <w:r>
              <w:rPr>
                <w:rFonts w:hint="eastAsia"/>
                <w:b/>
                <w:bCs/>
                <w:color w:val="auto"/>
                <w:kern w:val="0"/>
                <w:sz w:val="24"/>
              </w:rPr>
              <w:t>2、</w:t>
            </w:r>
            <w:r>
              <w:rPr>
                <w:rFonts w:hint="eastAsia" w:hAnsi="宋体"/>
                <w:b/>
                <w:color w:val="auto"/>
                <w:sz w:val="24"/>
                <w:szCs w:val="32"/>
              </w:rPr>
              <w:t>地表水环境质量现状</w:t>
            </w:r>
          </w:p>
          <w:p>
            <w:pPr>
              <w:spacing w:line="480" w:lineRule="exact"/>
              <w:ind w:firstLine="482" w:firstLineChars="200"/>
              <w:rPr>
                <w:b/>
                <w:color w:val="auto"/>
                <w:sz w:val="24"/>
              </w:rPr>
            </w:pPr>
            <w:r>
              <w:rPr>
                <w:rFonts w:hint="eastAsia"/>
                <w:b/>
                <w:color w:val="auto"/>
                <w:sz w:val="24"/>
              </w:rPr>
              <w:t>（1）区域</w:t>
            </w:r>
            <w:r>
              <w:rPr>
                <w:rFonts w:hint="eastAsia"/>
                <w:b/>
                <w:color w:val="auto"/>
                <w:sz w:val="24"/>
                <w:lang w:val="en-US" w:eastAsia="zh-CN"/>
              </w:rPr>
              <w:t>地表水环境</w:t>
            </w:r>
            <w:r>
              <w:rPr>
                <w:rFonts w:hint="eastAsia"/>
                <w:b/>
                <w:color w:val="auto"/>
                <w:sz w:val="24"/>
              </w:rPr>
              <w:t>质量现状</w:t>
            </w:r>
          </w:p>
          <w:p>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评价区地表水体为滹沱河。根据《山西省地表水环境功能区划》（DB14/67-2019），评价区所在</w:t>
            </w:r>
            <w:r>
              <w:rPr>
                <w:rFonts w:hint="eastAsia" w:cs="Times New Roman"/>
                <w:color w:val="auto"/>
                <w:sz w:val="24"/>
                <w:lang w:val="en-US" w:eastAsia="zh-CN"/>
              </w:rPr>
              <w:t>滹沱河</w:t>
            </w:r>
            <w:r>
              <w:rPr>
                <w:rFonts w:hint="default" w:ascii="Times New Roman" w:hAnsi="Times New Roman" w:cs="Times New Roman"/>
                <w:color w:val="auto"/>
                <w:sz w:val="24"/>
              </w:rPr>
              <w:t>“济胜桥—南庄”段，水环境功能为过渡区水源保护，水质要求</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IV</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类，水质要求不低于现状水质，执行《地表水环境质量标准》（GB 3838-2002）</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类水质标准。水质监控断面为南庄断面，监控五台县出境水质。</w:t>
            </w:r>
          </w:p>
          <w:p>
            <w:pPr>
              <w:spacing w:line="480" w:lineRule="exact"/>
              <w:ind w:firstLine="480" w:firstLineChars="200"/>
              <w:rPr>
                <w:rFonts w:hint="default" w:ascii="Times New Roman" w:hAnsi="Times New Roman" w:cs="Times New Roman"/>
                <w:bCs/>
                <w:color w:val="auto"/>
                <w:sz w:val="24"/>
              </w:rPr>
            </w:pPr>
            <w:r>
              <w:rPr>
                <w:rFonts w:hint="eastAsia"/>
                <w:bCs/>
                <w:color w:val="auto"/>
                <w:sz w:val="24"/>
                <w:lang w:eastAsia="zh-CN"/>
              </w:rPr>
              <w:t>本项目</w:t>
            </w:r>
            <w:r>
              <w:rPr>
                <w:rFonts w:hint="eastAsia"/>
                <w:bCs/>
                <w:color w:val="auto"/>
                <w:sz w:val="24"/>
                <w:lang w:val="en-US" w:eastAsia="zh-CN"/>
              </w:rPr>
              <w:t>拟建</w:t>
            </w:r>
            <w:r>
              <w:rPr>
                <w:rFonts w:hint="eastAsia"/>
                <w:b w:val="0"/>
                <w:bCs/>
                <w:color w:val="auto"/>
                <w:sz w:val="24"/>
                <w:lang w:val="en-US" w:eastAsia="zh-CN"/>
              </w:rPr>
              <w:t>厂址</w:t>
            </w:r>
            <w:r>
              <w:rPr>
                <w:rFonts w:hint="eastAsia"/>
                <w:bCs/>
                <w:color w:val="auto"/>
                <w:sz w:val="24"/>
                <w:lang w:eastAsia="zh-CN"/>
              </w:rPr>
              <w:t>位于</w:t>
            </w:r>
            <w:r>
              <w:rPr>
                <w:rFonts w:hint="eastAsia"/>
                <w:bCs/>
                <w:color w:val="auto"/>
                <w:sz w:val="24"/>
                <w:lang w:val="en-US" w:eastAsia="zh-CN"/>
              </w:rPr>
              <w:t>滹沱</w:t>
            </w:r>
            <w:r>
              <w:rPr>
                <w:rFonts w:hint="eastAsia"/>
                <w:bCs/>
                <w:color w:val="auto"/>
                <w:sz w:val="24"/>
                <w:lang w:eastAsia="zh-CN"/>
              </w:rPr>
              <w:t>河</w:t>
            </w:r>
            <w:r>
              <w:rPr>
                <w:rFonts w:hint="eastAsia"/>
                <w:bCs/>
                <w:color w:val="auto"/>
                <w:sz w:val="24"/>
                <w:lang w:val="en-US" w:eastAsia="zh-CN"/>
              </w:rPr>
              <w:t>西</w:t>
            </w:r>
            <w:r>
              <w:rPr>
                <w:rFonts w:hint="eastAsia"/>
                <w:bCs/>
                <w:color w:val="auto"/>
                <w:sz w:val="24"/>
                <w:lang w:eastAsia="zh-CN"/>
              </w:rPr>
              <w:t>侧约</w:t>
            </w:r>
            <w:r>
              <w:rPr>
                <w:rFonts w:hint="eastAsia"/>
                <w:bCs/>
                <w:color w:val="auto"/>
                <w:sz w:val="24"/>
                <w:lang w:val="en-US" w:eastAsia="zh-CN"/>
              </w:rPr>
              <w:t>100</w:t>
            </w:r>
            <w:r>
              <w:rPr>
                <w:rFonts w:hint="eastAsia"/>
                <w:bCs/>
                <w:color w:val="auto"/>
                <w:sz w:val="24"/>
                <w:lang w:eastAsia="zh-CN"/>
              </w:rPr>
              <w:t>m处，</w:t>
            </w:r>
            <w:r>
              <w:rPr>
                <w:rFonts w:hint="eastAsia" w:cs="Times New Roman"/>
                <w:bCs/>
                <w:color w:val="auto"/>
                <w:sz w:val="24"/>
                <w:lang w:val="en-US" w:eastAsia="zh-CN"/>
              </w:rPr>
              <w:t>济胜桥</w:t>
            </w:r>
            <w:r>
              <w:rPr>
                <w:rFonts w:hint="eastAsia"/>
                <w:bCs/>
                <w:color w:val="auto"/>
                <w:sz w:val="24"/>
                <w:lang w:val="en-US" w:eastAsia="zh-CN"/>
              </w:rPr>
              <w:t>至南庄段区域；</w:t>
            </w:r>
            <w:r>
              <w:rPr>
                <w:rFonts w:hint="eastAsia"/>
                <w:bCs/>
                <w:color w:val="auto"/>
                <w:sz w:val="24"/>
              </w:rPr>
              <w:t>根据忻州市生态文明建设和污染防治攻坚战领导小组办公室发布的“关于忻州市2021年12月及全年地表水环境质量的通报”（忻污防办发[2022]1号），</w:t>
            </w:r>
            <w:r>
              <w:rPr>
                <w:rFonts w:hint="eastAsia"/>
                <w:bCs/>
                <w:color w:val="auto"/>
                <w:sz w:val="24"/>
                <w:lang w:val="en-US" w:eastAsia="zh-CN"/>
              </w:rPr>
              <w:t>南庄断面</w:t>
            </w:r>
            <w:r>
              <w:rPr>
                <w:rFonts w:hint="eastAsia"/>
                <w:bCs/>
                <w:color w:val="auto"/>
                <w:sz w:val="24"/>
              </w:rPr>
              <w:t>1月-12月为Ⅱ类水质，满足Ⅱ类水质考核标准要求。</w:t>
            </w:r>
          </w:p>
          <w:p>
            <w:pPr>
              <w:spacing w:line="480" w:lineRule="exact"/>
              <w:ind w:firstLine="482" w:firstLineChars="200"/>
              <w:rPr>
                <w:rFonts w:hint="eastAsia" w:ascii="Times New Roman" w:hAnsi="Times New Roman" w:eastAsia="宋体" w:cs="Times New Roman"/>
                <w:bCs/>
                <w:color w:val="auto"/>
                <w:sz w:val="24"/>
                <w:lang w:eastAsia="zh-CN"/>
              </w:rPr>
            </w:pPr>
            <w:r>
              <w:rPr>
                <w:rFonts w:hint="eastAsia" w:cs="Times New Roman"/>
                <w:b/>
                <w:bCs w:val="0"/>
                <w:color w:val="auto"/>
                <w:sz w:val="24"/>
                <w:lang w:eastAsia="zh-CN"/>
              </w:rPr>
              <w:t>（</w:t>
            </w:r>
            <w:r>
              <w:rPr>
                <w:rFonts w:hint="eastAsia" w:cs="Times New Roman"/>
                <w:b/>
                <w:bCs w:val="0"/>
                <w:color w:val="auto"/>
                <w:sz w:val="24"/>
                <w:lang w:val="en-US" w:eastAsia="zh-CN"/>
              </w:rPr>
              <w:t>2</w:t>
            </w:r>
            <w:r>
              <w:rPr>
                <w:rFonts w:hint="eastAsia" w:cs="Times New Roman"/>
                <w:b/>
                <w:bCs w:val="0"/>
                <w:color w:val="auto"/>
                <w:sz w:val="24"/>
                <w:lang w:eastAsia="zh-CN"/>
              </w:rPr>
              <w:t>）</w:t>
            </w:r>
            <w:r>
              <w:rPr>
                <w:rFonts w:hint="eastAsia"/>
                <w:b/>
                <w:bCs/>
                <w:color w:val="auto"/>
                <w:kern w:val="0"/>
                <w:sz w:val="24"/>
              </w:rPr>
              <w:t>区域污染物质量现状监测与评价</w:t>
            </w:r>
          </w:p>
          <w:p>
            <w:pPr>
              <w:spacing w:line="480" w:lineRule="exact"/>
              <w:ind w:firstLine="480" w:firstLineChars="200"/>
              <w:rPr>
                <w:rFonts w:hint="default" w:ascii="Times New Roman" w:hAnsi="Times New Roman" w:cs="Times New Roman"/>
                <w:bCs/>
                <w:color w:val="auto"/>
                <w:sz w:val="24"/>
              </w:rPr>
            </w:pPr>
            <w:r>
              <w:rPr>
                <w:rFonts w:hint="eastAsia"/>
                <w:bCs/>
                <w:color w:val="auto"/>
                <w:sz w:val="24"/>
              </w:rPr>
              <w:t>本次评价由建设单位委托山西</w:t>
            </w:r>
            <w:r>
              <w:rPr>
                <w:rFonts w:hint="eastAsia"/>
                <w:bCs/>
                <w:color w:val="auto"/>
                <w:sz w:val="24"/>
                <w:lang w:val="en-US" w:eastAsia="zh-CN"/>
              </w:rPr>
              <w:t>中安环境监测</w:t>
            </w:r>
            <w:r>
              <w:rPr>
                <w:rFonts w:hint="eastAsia"/>
                <w:bCs/>
                <w:color w:val="auto"/>
                <w:sz w:val="24"/>
              </w:rPr>
              <w:t>有限公司于2022年</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16</w:t>
            </w:r>
            <w:r>
              <w:rPr>
                <w:rFonts w:hint="eastAsia"/>
                <w:bCs/>
                <w:color w:val="auto"/>
                <w:sz w:val="24"/>
              </w:rPr>
              <w:t>日-</w:t>
            </w:r>
            <w:r>
              <w:rPr>
                <w:rFonts w:hint="eastAsia"/>
                <w:bCs/>
                <w:color w:val="auto"/>
                <w:sz w:val="24"/>
                <w:lang w:val="en-US" w:eastAsia="zh-CN"/>
              </w:rPr>
              <w:t>12月18</w:t>
            </w:r>
            <w:r>
              <w:rPr>
                <w:rFonts w:hint="eastAsia"/>
                <w:bCs/>
                <w:color w:val="auto"/>
                <w:sz w:val="24"/>
              </w:rPr>
              <w:t>日对拟建厂址</w:t>
            </w:r>
            <w:r>
              <w:rPr>
                <w:rFonts w:hint="eastAsia"/>
                <w:bCs/>
                <w:color w:val="auto"/>
                <w:sz w:val="24"/>
                <w:lang w:val="en-US" w:eastAsia="zh-CN"/>
              </w:rPr>
              <w:t>污水排放口上下游</w:t>
            </w:r>
            <w:r>
              <w:rPr>
                <w:rFonts w:hint="eastAsia"/>
                <w:bCs/>
                <w:color w:val="auto"/>
                <w:sz w:val="24"/>
              </w:rPr>
              <w:t>进行了为期3天的</w:t>
            </w:r>
            <w:r>
              <w:rPr>
                <w:rFonts w:hint="eastAsia"/>
                <w:bCs/>
                <w:color w:val="auto"/>
                <w:sz w:val="24"/>
                <w:lang w:val="en-US" w:eastAsia="zh-CN"/>
              </w:rPr>
              <w:t>地表水环境</w:t>
            </w:r>
            <w:r>
              <w:rPr>
                <w:rFonts w:hint="eastAsia"/>
                <w:bCs/>
                <w:color w:val="auto"/>
                <w:sz w:val="24"/>
              </w:rPr>
              <w:t>污染物质量现状补充监测。</w:t>
            </w:r>
            <w:r>
              <w:rPr>
                <w:rFonts w:hint="eastAsia"/>
                <w:color w:val="auto"/>
                <w:sz w:val="24"/>
                <w:szCs w:val="20"/>
              </w:rPr>
              <w:t>监测点位、项目、频次、时间及要求见下表。监测布点图见图3-</w:t>
            </w:r>
            <w:r>
              <w:rPr>
                <w:rFonts w:hint="eastAsia"/>
                <w:color w:val="auto"/>
                <w:sz w:val="24"/>
                <w:szCs w:val="20"/>
                <w:lang w:val="en-US" w:eastAsia="zh-CN"/>
              </w:rPr>
              <w:t>2</w:t>
            </w:r>
            <w:r>
              <w:rPr>
                <w:rFonts w:hint="eastAsia"/>
                <w:color w:val="auto"/>
                <w:sz w:val="24"/>
                <w:szCs w:val="20"/>
              </w:rPr>
              <w:t>。</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w:t>
            </w:r>
            <w:r>
              <w:rPr>
                <w:rFonts w:hint="eastAsia" w:ascii="黑体" w:hAnsi="黑体" w:eastAsia="黑体"/>
                <w:bCs/>
                <w:color w:val="auto"/>
                <w:sz w:val="24"/>
                <w:szCs w:val="32"/>
                <w:lang w:val="en-US" w:eastAsia="zh-CN"/>
              </w:rPr>
              <w:t>6</w:t>
            </w:r>
            <w:r>
              <w:rPr>
                <w:rFonts w:hint="eastAsia" w:ascii="黑体" w:hAnsi="黑体" w:eastAsia="黑体"/>
                <w:bCs/>
                <w:color w:val="auto"/>
                <w:sz w:val="24"/>
                <w:szCs w:val="32"/>
              </w:rPr>
              <w:t xml:space="preserve">  </w:t>
            </w:r>
            <w:r>
              <w:rPr>
                <w:rFonts w:hint="eastAsia" w:ascii="黑体" w:hAnsi="黑体" w:eastAsia="黑体"/>
                <w:bCs/>
                <w:color w:val="auto"/>
                <w:sz w:val="24"/>
                <w:szCs w:val="32"/>
                <w:lang w:val="en-US" w:eastAsia="zh-CN"/>
              </w:rPr>
              <w:t>地表水环境</w:t>
            </w:r>
            <w:r>
              <w:rPr>
                <w:rFonts w:hint="eastAsia" w:ascii="黑体" w:hAnsi="黑体" w:eastAsia="黑体"/>
                <w:bCs/>
                <w:color w:val="auto"/>
                <w:sz w:val="24"/>
                <w:szCs w:val="32"/>
              </w:rPr>
              <w:t>质量现状监测点位、项目、频次一览表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002"/>
              <w:gridCol w:w="2683"/>
              <w:gridCol w:w="1531"/>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Align w:val="center"/>
                </w:tcPr>
                <w:p>
                  <w:pPr>
                    <w:jc w:val="center"/>
                    <w:rPr>
                      <w:color w:val="auto"/>
                    </w:rPr>
                  </w:pPr>
                  <w:r>
                    <w:rPr>
                      <w:rFonts w:hint="eastAsia"/>
                      <w:color w:val="auto"/>
                    </w:rPr>
                    <w:t>监测</w:t>
                  </w:r>
                </w:p>
                <w:p>
                  <w:pPr>
                    <w:jc w:val="center"/>
                    <w:rPr>
                      <w:color w:val="auto"/>
                    </w:rPr>
                  </w:pPr>
                  <w:r>
                    <w:rPr>
                      <w:rFonts w:hint="eastAsia"/>
                      <w:color w:val="auto"/>
                    </w:rPr>
                    <w:t>类别</w:t>
                  </w:r>
                </w:p>
              </w:tc>
              <w:tc>
                <w:tcPr>
                  <w:tcW w:w="1180" w:type="pct"/>
                  <w:vAlign w:val="center"/>
                </w:tcPr>
                <w:p>
                  <w:pPr>
                    <w:jc w:val="center"/>
                    <w:rPr>
                      <w:color w:val="auto"/>
                    </w:rPr>
                  </w:pPr>
                  <w:r>
                    <w:rPr>
                      <w:rFonts w:hint="eastAsia"/>
                      <w:color w:val="auto"/>
                    </w:rPr>
                    <w:t>点位</w:t>
                  </w:r>
                </w:p>
              </w:tc>
              <w:tc>
                <w:tcPr>
                  <w:tcW w:w="1581" w:type="pct"/>
                  <w:vAlign w:val="center"/>
                </w:tcPr>
                <w:p>
                  <w:pPr>
                    <w:jc w:val="center"/>
                    <w:rPr>
                      <w:rFonts w:hint="eastAsia"/>
                      <w:color w:val="auto"/>
                    </w:rPr>
                  </w:pPr>
                  <w:r>
                    <w:rPr>
                      <w:rFonts w:hint="eastAsia"/>
                      <w:color w:val="auto"/>
                    </w:rPr>
                    <w:t>监测</w:t>
                  </w:r>
                </w:p>
                <w:p>
                  <w:pPr>
                    <w:jc w:val="center"/>
                    <w:rPr>
                      <w:color w:val="auto"/>
                    </w:rPr>
                  </w:pPr>
                  <w:r>
                    <w:rPr>
                      <w:rFonts w:hint="eastAsia"/>
                      <w:color w:val="auto"/>
                    </w:rPr>
                    <w:t>项目</w:t>
                  </w:r>
                </w:p>
              </w:tc>
              <w:tc>
                <w:tcPr>
                  <w:tcW w:w="902" w:type="pct"/>
                  <w:vAlign w:val="center"/>
                </w:tcPr>
                <w:p>
                  <w:pPr>
                    <w:jc w:val="center"/>
                    <w:rPr>
                      <w:color w:val="auto"/>
                    </w:rPr>
                  </w:pPr>
                  <w:r>
                    <w:rPr>
                      <w:rFonts w:hint="eastAsia"/>
                      <w:color w:val="auto"/>
                    </w:rPr>
                    <w:t>监测频次、时间</w:t>
                  </w:r>
                </w:p>
              </w:tc>
              <w:tc>
                <w:tcPr>
                  <w:tcW w:w="624" w:type="pct"/>
                  <w:vAlign w:val="center"/>
                </w:tcPr>
                <w:p>
                  <w:pPr>
                    <w:jc w:val="center"/>
                    <w:rPr>
                      <w:color w:val="auto"/>
                    </w:rPr>
                  </w:pPr>
                  <w:r>
                    <w:rPr>
                      <w:rFonts w:hint="eastAsia"/>
                      <w:color w:val="auto"/>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Merge w:val="restart"/>
                  <w:vAlign w:val="center"/>
                </w:tcPr>
                <w:p>
                  <w:pPr>
                    <w:jc w:val="center"/>
                    <w:rPr>
                      <w:rFonts w:hint="default" w:eastAsia="宋体"/>
                      <w:color w:val="auto"/>
                      <w:lang w:val="en-US" w:eastAsia="zh-CN"/>
                    </w:rPr>
                  </w:pPr>
                  <w:r>
                    <w:rPr>
                      <w:rFonts w:hint="eastAsia"/>
                      <w:color w:val="auto"/>
                      <w:lang w:val="en-US" w:eastAsia="zh-CN"/>
                    </w:rPr>
                    <w:t>地表水环境质量</w:t>
                  </w:r>
                </w:p>
              </w:tc>
              <w:tc>
                <w:tcPr>
                  <w:tcW w:w="1180" w:type="pct"/>
                  <w:vAlign w:val="center"/>
                </w:tcPr>
                <w:p>
                  <w:pPr>
                    <w:jc w:val="center"/>
                    <w:rPr>
                      <w:color w:val="auto"/>
                    </w:rPr>
                  </w:pPr>
                  <w:r>
                    <w:rPr>
                      <w:rFonts w:hint="default"/>
                      <w:color w:val="auto"/>
                      <w:lang w:val="en-US"/>
                    </w:rPr>
                    <w:t>污水处理厂排口入滹沱河上游500m</w:t>
                  </w:r>
                </w:p>
              </w:tc>
              <w:tc>
                <w:tcPr>
                  <w:tcW w:w="1581" w:type="pct"/>
                  <w:vMerge w:val="restart"/>
                  <w:vAlign w:val="center"/>
                </w:tcPr>
                <w:p>
                  <w:pPr>
                    <w:jc w:val="center"/>
                    <w:rPr>
                      <w:rFonts w:hint="default" w:eastAsia="宋体"/>
                      <w:color w:val="auto"/>
                      <w:lang w:val="en-US" w:eastAsia="zh-CN"/>
                    </w:rPr>
                  </w:pPr>
                  <w:r>
                    <w:rPr>
                      <w:rFonts w:hint="default" w:eastAsia="宋体"/>
                      <w:color w:val="auto"/>
                      <w:lang w:val="en-US" w:eastAsia="zh-CN"/>
                    </w:rPr>
                    <w:t>pH、CODCr、BOD5、硫化物、动植物油、氨氮、挥发酚、石油类、汞、砷、铅、六价铬、铁、锰、铜、锌、总氮、总磷、阴离子表面活性剂、粪大肠菌群等</w:t>
                  </w:r>
                </w:p>
              </w:tc>
              <w:tc>
                <w:tcPr>
                  <w:tcW w:w="902" w:type="pct"/>
                  <w:vMerge w:val="restart"/>
                  <w:vAlign w:val="center"/>
                </w:tcPr>
                <w:p>
                  <w:pPr>
                    <w:jc w:val="center"/>
                    <w:rPr>
                      <w:rFonts w:hint="default" w:eastAsia="宋体"/>
                      <w:color w:val="auto"/>
                      <w:lang w:val="en-US" w:eastAsia="zh-CN"/>
                    </w:rPr>
                  </w:pPr>
                  <w:r>
                    <w:rPr>
                      <w:rFonts w:hint="eastAsia"/>
                      <w:color w:val="auto"/>
                    </w:rPr>
                    <w:t>2022年</w:t>
                  </w:r>
                  <w:r>
                    <w:rPr>
                      <w:rFonts w:hint="eastAsia"/>
                      <w:color w:val="auto"/>
                      <w:lang w:val="en-US" w:eastAsia="zh-CN"/>
                    </w:rPr>
                    <w:t>12</w:t>
                  </w:r>
                  <w:r>
                    <w:rPr>
                      <w:rFonts w:hint="eastAsia"/>
                      <w:color w:val="auto"/>
                    </w:rPr>
                    <w:t>月</w:t>
                  </w:r>
                  <w:r>
                    <w:rPr>
                      <w:rFonts w:hint="eastAsia"/>
                      <w:color w:val="auto"/>
                      <w:lang w:val="en-US" w:eastAsia="zh-CN"/>
                    </w:rPr>
                    <w:t>16</w:t>
                  </w:r>
                  <w:r>
                    <w:rPr>
                      <w:rFonts w:hint="eastAsia"/>
                      <w:color w:val="auto"/>
                    </w:rPr>
                    <w:t>日至</w:t>
                  </w:r>
                  <w:r>
                    <w:rPr>
                      <w:rFonts w:hint="eastAsia"/>
                      <w:color w:val="auto"/>
                      <w:lang w:val="en-US" w:eastAsia="zh-CN"/>
                    </w:rPr>
                    <w:t>12月18</w:t>
                  </w:r>
                  <w:r>
                    <w:rPr>
                      <w:rFonts w:hint="eastAsia"/>
                      <w:color w:val="auto"/>
                    </w:rPr>
                    <w:t>日，连续3d</w:t>
                  </w:r>
                  <w:r>
                    <w:rPr>
                      <w:rFonts w:hint="eastAsia"/>
                      <w:color w:val="auto"/>
                      <w:lang w:eastAsia="zh-CN"/>
                    </w:rPr>
                    <w:t>，</w:t>
                  </w:r>
                  <w:r>
                    <w:rPr>
                      <w:rFonts w:hint="eastAsia"/>
                      <w:color w:val="auto"/>
                      <w:lang w:val="en-US" w:eastAsia="zh-CN"/>
                    </w:rPr>
                    <w:t>每天一次</w:t>
                  </w:r>
                </w:p>
              </w:tc>
              <w:tc>
                <w:tcPr>
                  <w:tcW w:w="624" w:type="pct"/>
                  <w:vMerge w:val="restart"/>
                  <w:vAlign w:val="center"/>
                </w:tcPr>
                <w:p>
                  <w:pPr>
                    <w:jc w:val="center"/>
                    <w:rPr>
                      <w:color w:val="auto"/>
                    </w:rPr>
                  </w:pPr>
                  <w:r>
                    <w:rPr>
                      <w:rFonts w:hint="eastAsia"/>
                      <w:color w:val="auto"/>
                    </w:rPr>
                    <w:t>测量流量、流速、水温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Merge w:val="continue"/>
                  <w:vAlign w:val="center"/>
                </w:tcPr>
                <w:p>
                  <w:pPr>
                    <w:jc w:val="center"/>
                    <w:rPr>
                      <w:rFonts w:hint="eastAsia"/>
                      <w:color w:val="auto"/>
                      <w:lang w:val="en-US" w:eastAsia="zh-CN"/>
                    </w:rPr>
                  </w:pPr>
                </w:p>
              </w:tc>
              <w:tc>
                <w:tcPr>
                  <w:tcW w:w="1180" w:type="pct"/>
                  <w:vAlign w:val="center"/>
                </w:tcPr>
                <w:p>
                  <w:pPr>
                    <w:jc w:val="center"/>
                    <w:rPr>
                      <w:rFonts w:hint="default"/>
                      <w:color w:val="auto"/>
                      <w:lang w:val="en-US"/>
                    </w:rPr>
                  </w:pPr>
                  <w:r>
                    <w:rPr>
                      <w:rFonts w:hint="default"/>
                      <w:color w:val="auto"/>
                      <w:lang w:val="en-US"/>
                    </w:rPr>
                    <w:t>污水处理厂排口入滹沱河下游500m</w:t>
                  </w:r>
                </w:p>
              </w:tc>
              <w:tc>
                <w:tcPr>
                  <w:tcW w:w="1581" w:type="pct"/>
                  <w:vMerge w:val="continue"/>
                  <w:vAlign w:val="center"/>
                </w:tcPr>
                <w:p>
                  <w:pPr>
                    <w:jc w:val="center"/>
                    <w:rPr>
                      <w:rFonts w:hint="eastAsia"/>
                      <w:color w:val="auto"/>
                      <w:lang w:val="en-US" w:eastAsia="zh-CN"/>
                    </w:rPr>
                  </w:pPr>
                </w:p>
              </w:tc>
              <w:tc>
                <w:tcPr>
                  <w:tcW w:w="902" w:type="pct"/>
                  <w:vMerge w:val="continue"/>
                  <w:vAlign w:val="center"/>
                </w:tcPr>
                <w:p>
                  <w:pPr>
                    <w:jc w:val="center"/>
                    <w:rPr>
                      <w:rFonts w:hint="eastAsia"/>
                      <w:color w:val="auto"/>
                    </w:rPr>
                  </w:pPr>
                </w:p>
              </w:tc>
              <w:tc>
                <w:tcPr>
                  <w:tcW w:w="624" w:type="pct"/>
                  <w:vMerge w:val="continue"/>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Merge w:val="continue"/>
                  <w:vAlign w:val="center"/>
                </w:tcPr>
                <w:p>
                  <w:pPr>
                    <w:jc w:val="center"/>
                    <w:rPr>
                      <w:rFonts w:hint="eastAsia"/>
                      <w:color w:val="auto"/>
                      <w:lang w:val="en-US" w:eastAsia="zh-CN"/>
                    </w:rPr>
                  </w:pPr>
                </w:p>
              </w:tc>
              <w:tc>
                <w:tcPr>
                  <w:tcW w:w="1180" w:type="pct"/>
                  <w:vAlign w:val="center"/>
                </w:tcPr>
                <w:p>
                  <w:pPr>
                    <w:jc w:val="center"/>
                    <w:rPr>
                      <w:rFonts w:hint="default"/>
                      <w:color w:val="auto"/>
                      <w:lang w:val="en-US"/>
                    </w:rPr>
                  </w:pPr>
                  <w:r>
                    <w:rPr>
                      <w:rFonts w:hint="default"/>
                      <w:color w:val="auto"/>
                      <w:lang w:val="en-US"/>
                    </w:rPr>
                    <w:t>污水处理厂排口入滹沱河下游1500m</w:t>
                  </w:r>
                </w:p>
              </w:tc>
              <w:tc>
                <w:tcPr>
                  <w:tcW w:w="1581" w:type="pct"/>
                  <w:vMerge w:val="continue"/>
                  <w:vAlign w:val="center"/>
                </w:tcPr>
                <w:p>
                  <w:pPr>
                    <w:jc w:val="center"/>
                    <w:rPr>
                      <w:rFonts w:hint="eastAsia"/>
                      <w:color w:val="auto"/>
                      <w:lang w:val="en-US" w:eastAsia="zh-CN"/>
                    </w:rPr>
                  </w:pPr>
                </w:p>
              </w:tc>
              <w:tc>
                <w:tcPr>
                  <w:tcW w:w="902" w:type="pct"/>
                  <w:vMerge w:val="continue"/>
                  <w:vAlign w:val="center"/>
                </w:tcPr>
                <w:p>
                  <w:pPr>
                    <w:jc w:val="center"/>
                    <w:rPr>
                      <w:rFonts w:hint="eastAsia"/>
                      <w:color w:val="auto"/>
                    </w:rPr>
                  </w:pPr>
                </w:p>
              </w:tc>
              <w:tc>
                <w:tcPr>
                  <w:tcW w:w="624" w:type="pct"/>
                  <w:vMerge w:val="continue"/>
                  <w:vAlign w:val="center"/>
                </w:tcPr>
                <w:p>
                  <w:pPr>
                    <w:jc w:val="center"/>
                    <w:rPr>
                      <w:rFonts w:hint="eastAsia"/>
                      <w:color w:val="auto"/>
                    </w:rPr>
                  </w:pP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4"/>
              </w:rPr>
            </w:pPr>
            <w:r>
              <w:drawing>
                <wp:inline distT="0" distB="0" distL="114300" distR="114300">
                  <wp:extent cx="5297170" cy="3348355"/>
                  <wp:effectExtent l="0" t="0" r="17780" b="4445"/>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17"/>
                          <a:stretch>
                            <a:fillRect/>
                          </a:stretch>
                        </pic:blipFill>
                        <pic:spPr>
                          <a:xfrm>
                            <a:off x="0" y="0"/>
                            <a:ext cx="5297170" cy="33483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rPr>
            </w:pPr>
            <w:r>
              <w:rPr>
                <w:rFonts w:hint="eastAsia" w:ascii="黑体" w:hAnsi="黑体" w:eastAsia="黑体"/>
                <w:color w:val="auto"/>
                <w:kern w:val="0"/>
                <w:sz w:val="24"/>
              </w:rPr>
              <w:t>图3-</w:t>
            </w:r>
            <w:r>
              <w:rPr>
                <w:rFonts w:hint="eastAsia" w:ascii="黑体" w:hAnsi="黑体" w:eastAsia="黑体"/>
                <w:color w:val="auto"/>
                <w:kern w:val="0"/>
                <w:sz w:val="24"/>
                <w:lang w:val="en-US" w:eastAsia="zh-CN"/>
              </w:rPr>
              <w:t>2</w:t>
            </w:r>
            <w:r>
              <w:rPr>
                <w:rFonts w:hint="eastAsia" w:ascii="黑体" w:hAnsi="黑体" w:eastAsia="黑体"/>
                <w:color w:val="auto"/>
                <w:kern w:val="0"/>
                <w:sz w:val="24"/>
              </w:rPr>
              <w:t xml:space="preserve">  </w:t>
            </w:r>
            <w:r>
              <w:rPr>
                <w:rFonts w:hint="eastAsia" w:ascii="黑体" w:hAnsi="黑体" w:eastAsia="黑体"/>
                <w:color w:val="auto"/>
                <w:kern w:val="0"/>
                <w:sz w:val="24"/>
                <w:lang w:val="en-US" w:eastAsia="zh-CN"/>
              </w:rPr>
              <w:t>地表水环境</w:t>
            </w:r>
            <w:r>
              <w:rPr>
                <w:rFonts w:hint="eastAsia" w:ascii="黑体" w:hAnsi="黑体" w:eastAsia="黑体"/>
                <w:color w:val="auto"/>
                <w:kern w:val="0"/>
                <w:sz w:val="24"/>
              </w:rPr>
              <w:t>质量现状监测布点图</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w:t>
            </w:r>
            <w:r>
              <w:rPr>
                <w:rFonts w:hint="eastAsia" w:ascii="黑体" w:hAnsi="黑体" w:eastAsia="黑体"/>
                <w:bCs/>
                <w:color w:val="auto"/>
                <w:sz w:val="24"/>
                <w:szCs w:val="32"/>
                <w:lang w:val="en-US" w:eastAsia="zh-CN"/>
              </w:rPr>
              <w:t>7</w:t>
            </w:r>
            <w:r>
              <w:rPr>
                <w:rFonts w:hint="eastAsia" w:ascii="黑体" w:hAnsi="黑体" w:eastAsia="黑体"/>
                <w:bCs/>
                <w:color w:val="auto"/>
                <w:sz w:val="24"/>
                <w:szCs w:val="32"/>
              </w:rPr>
              <w:t xml:space="preserve">  监测分析方法一览表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2084"/>
              <w:gridCol w:w="2612"/>
              <w:gridCol w:w="1762"/>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Align w:val="center"/>
                </w:tcPr>
                <w:p>
                  <w:pPr>
                    <w:jc w:val="center"/>
                    <w:rPr>
                      <w:color w:val="auto"/>
                    </w:rPr>
                  </w:pPr>
                  <w:r>
                    <w:rPr>
                      <w:rFonts w:hint="eastAsia"/>
                      <w:color w:val="auto"/>
                    </w:rPr>
                    <w:t>监测类别</w:t>
                  </w:r>
                </w:p>
              </w:tc>
              <w:tc>
                <w:tcPr>
                  <w:tcW w:w="1228" w:type="pct"/>
                  <w:vAlign w:val="center"/>
                </w:tcPr>
                <w:p>
                  <w:pPr>
                    <w:jc w:val="center"/>
                    <w:rPr>
                      <w:color w:val="auto"/>
                    </w:rPr>
                  </w:pPr>
                  <w:r>
                    <w:rPr>
                      <w:rFonts w:hint="eastAsia"/>
                      <w:color w:val="auto"/>
                    </w:rPr>
                    <w:t>监测项目</w:t>
                  </w:r>
                </w:p>
              </w:tc>
              <w:tc>
                <w:tcPr>
                  <w:tcW w:w="1539" w:type="pct"/>
                  <w:vAlign w:val="center"/>
                </w:tcPr>
                <w:p>
                  <w:pPr>
                    <w:jc w:val="center"/>
                    <w:rPr>
                      <w:color w:val="auto"/>
                    </w:rPr>
                  </w:pPr>
                  <w:r>
                    <w:rPr>
                      <w:rFonts w:hint="eastAsia"/>
                      <w:color w:val="auto"/>
                    </w:rPr>
                    <w:t>分析方法</w:t>
                  </w:r>
                </w:p>
              </w:tc>
              <w:tc>
                <w:tcPr>
                  <w:tcW w:w="1038" w:type="pct"/>
                  <w:vAlign w:val="center"/>
                </w:tcPr>
                <w:p>
                  <w:pPr>
                    <w:jc w:val="center"/>
                    <w:rPr>
                      <w:color w:val="auto"/>
                    </w:rPr>
                  </w:pPr>
                  <w:r>
                    <w:rPr>
                      <w:rFonts w:hint="eastAsia"/>
                      <w:color w:val="auto"/>
                    </w:rPr>
                    <w:t>方法来源</w:t>
                  </w:r>
                </w:p>
              </w:tc>
              <w:tc>
                <w:tcPr>
                  <w:tcW w:w="778" w:type="pct"/>
                  <w:vAlign w:val="center"/>
                </w:tcPr>
                <w:p>
                  <w:pPr>
                    <w:jc w:val="center"/>
                    <w:rPr>
                      <w:color w:val="auto"/>
                    </w:rPr>
                  </w:pPr>
                  <w:r>
                    <w:rPr>
                      <w:rFonts w:hint="eastAsia"/>
                      <w:color w:val="auto"/>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restart"/>
                  <w:vAlign w:val="center"/>
                </w:tcPr>
                <w:p>
                  <w:pPr>
                    <w:jc w:val="center"/>
                    <w:rPr>
                      <w:rFonts w:hint="eastAsia" w:eastAsia="宋体"/>
                      <w:color w:val="auto"/>
                      <w:lang w:eastAsia="zh-CN"/>
                    </w:rPr>
                  </w:pPr>
                  <w:r>
                    <w:rPr>
                      <w:rFonts w:hint="eastAsia"/>
                      <w:color w:val="auto"/>
                      <w:lang w:val="en-US" w:eastAsia="zh-CN"/>
                    </w:rPr>
                    <w:t>地表水</w:t>
                  </w: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pH</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玻璃电极法</w:t>
                  </w:r>
                </w:p>
              </w:tc>
              <w:tc>
                <w:tcPr>
                  <w:tcW w:w="1038" w:type="pct"/>
                  <w:vAlign w:val="center"/>
                </w:tcPr>
                <w:p>
                  <w:pPr>
                    <w:jc w:val="center"/>
                    <w:rPr>
                      <w:rFonts w:hint="default" w:eastAsia="宋体"/>
                      <w:color w:val="auto"/>
                      <w:lang w:val="en-US" w:eastAsia="zh-CN"/>
                    </w:rPr>
                  </w:pPr>
                  <w:r>
                    <w:rPr>
                      <w:rFonts w:hint="eastAsia"/>
                      <w:color w:val="auto"/>
                      <w:lang w:val="en-US" w:eastAsia="zh-CN"/>
                    </w:rPr>
                    <w:t>GB6920-86</w:t>
                  </w:r>
                </w:p>
              </w:tc>
              <w:tc>
                <w:tcPr>
                  <w:tcW w:w="778" w:type="pct"/>
                  <w:vAlign w:val="center"/>
                </w:tcPr>
                <w:p>
                  <w:pPr>
                    <w:jc w:val="center"/>
                    <w:rPr>
                      <w:rFonts w:hint="default" w:eastAsia="宋体"/>
                      <w:color w:val="auto"/>
                      <w:vertAlign w:val="superscript"/>
                      <w:lang w:val="en-US" w:eastAsia="zh-CN"/>
                    </w:rPr>
                  </w:pPr>
                  <w:r>
                    <w:rPr>
                      <w:rFonts w:hint="eastAsia"/>
                      <w:color w:val="auto"/>
                      <w:lang w:val="en-US" w:eastAsia="zh-CN"/>
                    </w:rPr>
                    <w:t>0.1pH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五日生化需氧量</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稀释与接种法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HJ505-2009</w:t>
                  </w:r>
                </w:p>
              </w:tc>
              <w:tc>
                <w:tcPr>
                  <w:tcW w:w="778" w:type="pct"/>
                  <w:vAlign w:val="center"/>
                </w:tcPr>
                <w:p>
                  <w:pPr>
                    <w:jc w:val="center"/>
                    <w:rPr>
                      <w:rFonts w:hint="eastAsia" w:eastAsia="宋体"/>
                      <w:color w:val="auto"/>
                      <w:lang w:eastAsia="zh-CN"/>
                    </w:rPr>
                  </w:pPr>
                  <w:r>
                    <w:rPr>
                      <w:rFonts w:hint="eastAsia"/>
                      <w:color w:val="auto"/>
                    </w:rPr>
                    <w:t>0.</w:t>
                  </w:r>
                  <w:r>
                    <w:rPr>
                      <w:rFonts w:hint="eastAsia"/>
                      <w:color w:val="auto"/>
                      <w:lang w:val="en-US" w:eastAsia="zh-CN"/>
                    </w:rPr>
                    <w:t>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化学需氧量</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重铬酸盐法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HJ828-2017</w:t>
                  </w:r>
                </w:p>
              </w:tc>
              <w:tc>
                <w:tcPr>
                  <w:tcW w:w="778" w:type="pct"/>
                  <w:vAlign w:val="center"/>
                </w:tcPr>
                <w:p>
                  <w:pPr>
                    <w:jc w:val="center"/>
                    <w:rPr>
                      <w:rFonts w:hint="eastAsia" w:eastAsia="宋体"/>
                      <w:color w:val="auto"/>
                      <w:lang w:val="en-US" w:eastAsia="zh-CN"/>
                    </w:rPr>
                  </w:pPr>
                  <w:r>
                    <w:rPr>
                      <w:rFonts w:hint="eastAsia"/>
                      <w:color w:val="auto"/>
                      <w:lang w:val="en-US" w:eastAsia="zh-CN"/>
                    </w:rPr>
                    <w:t>4</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氨氮</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纳氏试剂分光光度法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HJ535-2009</w:t>
                  </w:r>
                </w:p>
              </w:tc>
              <w:tc>
                <w:tcPr>
                  <w:tcW w:w="778" w:type="pct"/>
                  <w:vAlign w:val="center"/>
                </w:tcPr>
                <w:p>
                  <w:pPr>
                    <w:jc w:val="center"/>
                    <w:rPr>
                      <w:rFonts w:hint="eastAsia"/>
                      <w:color w:val="auto"/>
                    </w:rPr>
                  </w:pPr>
                  <w:r>
                    <w:rPr>
                      <w:rFonts w:hint="eastAsia"/>
                      <w:color w:val="auto"/>
                      <w:lang w:val="en-US" w:eastAsia="zh-CN"/>
                    </w:rPr>
                    <w:t>0.025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硫化物</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亚甲基蓝分光光度法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GB/T16489-1996</w:t>
                  </w:r>
                </w:p>
              </w:tc>
              <w:tc>
                <w:tcPr>
                  <w:tcW w:w="778" w:type="pct"/>
                  <w:vAlign w:val="center"/>
                </w:tcPr>
                <w:p>
                  <w:pPr>
                    <w:jc w:val="center"/>
                    <w:rPr>
                      <w:rFonts w:hint="eastAsia"/>
                      <w:color w:val="auto"/>
                    </w:rPr>
                  </w:pPr>
                  <w:r>
                    <w:rPr>
                      <w:rFonts w:hint="eastAsia"/>
                      <w:color w:val="auto"/>
                      <w:lang w:val="en-US" w:eastAsia="zh-CN"/>
                    </w:rPr>
                    <w:t>0.005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石油类</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红外分光光度法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HJ637-2018</w:t>
                  </w:r>
                </w:p>
              </w:tc>
              <w:tc>
                <w:tcPr>
                  <w:tcW w:w="778" w:type="pct"/>
                  <w:vAlign w:val="center"/>
                </w:tcPr>
                <w:p>
                  <w:pPr>
                    <w:jc w:val="center"/>
                    <w:rPr>
                      <w:rFonts w:hint="eastAsia"/>
                      <w:color w:val="auto"/>
                    </w:rPr>
                  </w:pPr>
                  <w:r>
                    <w:rPr>
                      <w:rFonts w:hint="eastAsia"/>
                      <w:color w:val="auto"/>
                      <w:lang w:val="en-US" w:eastAsia="zh-CN"/>
                    </w:rPr>
                    <w:t>0.06</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动植物油</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红外分光光度法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HJ637-2018</w:t>
                  </w:r>
                </w:p>
              </w:tc>
              <w:tc>
                <w:tcPr>
                  <w:tcW w:w="778" w:type="pct"/>
                  <w:vAlign w:val="center"/>
                </w:tcPr>
                <w:p>
                  <w:pPr>
                    <w:jc w:val="center"/>
                    <w:rPr>
                      <w:rFonts w:hint="eastAsia"/>
                      <w:color w:val="auto"/>
                    </w:rPr>
                  </w:pPr>
                  <w:r>
                    <w:rPr>
                      <w:rFonts w:hint="eastAsia"/>
                      <w:color w:val="auto"/>
                      <w:lang w:val="en-US" w:eastAsia="zh-CN"/>
                    </w:rPr>
                    <w:t>0.06</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总砷</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原子荧光法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HJ694-2014</w:t>
                  </w:r>
                </w:p>
              </w:tc>
              <w:tc>
                <w:tcPr>
                  <w:tcW w:w="778" w:type="pct"/>
                  <w:vAlign w:val="center"/>
                </w:tcPr>
                <w:p>
                  <w:pPr>
                    <w:jc w:val="center"/>
                    <w:rPr>
                      <w:rFonts w:hint="default" w:eastAsia="宋体"/>
                      <w:color w:val="auto"/>
                      <w:lang w:val="en-US" w:eastAsia="zh-CN"/>
                    </w:rPr>
                  </w:pPr>
                  <w:r>
                    <w:rPr>
                      <w:rFonts w:hint="eastAsia"/>
                      <w:color w:val="auto"/>
                      <w:lang w:val="en-US" w:eastAsia="zh-CN"/>
                    </w:rPr>
                    <w:t>0.3</w:t>
                  </w:r>
                  <w:r>
                    <w:rPr>
                      <w:rFonts w:hint="default" w:ascii="Times New Roman" w:hAnsi="Times New Roman" w:cs="Times New Roman"/>
                      <w:color w:val="auto"/>
                      <w:lang w:val="en-US" w:eastAsia="zh-CN"/>
                    </w:rPr>
                    <w:t>μ</w:t>
                  </w:r>
                  <w:r>
                    <w:rPr>
                      <w:rFonts w:hint="eastAsia" w:ascii="Times New Roman" w:hAnsi="Times New Roman" w:cs="Times New Roman"/>
                      <w:color w:val="auto"/>
                      <w:lang w:val="en-US" w:eastAsia="zh-CN"/>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总汞</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亚甲基蓝分光光度法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GB7494-87</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铅</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原子吸收分光光度法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GB7475-87</w:t>
                  </w:r>
                </w:p>
              </w:tc>
              <w:tc>
                <w:tcPr>
                  <w:tcW w:w="778" w:type="pct"/>
                  <w:vAlign w:val="center"/>
                </w:tcPr>
                <w:p>
                  <w:pPr>
                    <w:jc w:val="center"/>
                    <w:rPr>
                      <w:rFonts w:hint="default" w:eastAsia="宋体"/>
                      <w:color w:val="auto"/>
                      <w:lang w:val="en-US" w:eastAsia="zh-CN"/>
                    </w:rPr>
                  </w:pPr>
                  <w:r>
                    <w:rPr>
                      <w:rFonts w:hint="eastAsia"/>
                      <w:color w:val="auto"/>
                      <w:lang w:val="en-US" w:eastAsia="zh-CN"/>
                    </w:rPr>
                    <w:t>0.2</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总铁</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火焰原子吸收分光光度法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GB11911-89</w:t>
                  </w:r>
                </w:p>
              </w:tc>
              <w:tc>
                <w:tcPr>
                  <w:tcW w:w="778" w:type="pct"/>
                  <w:vAlign w:val="center"/>
                </w:tcPr>
                <w:p>
                  <w:pPr>
                    <w:jc w:val="center"/>
                    <w:rPr>
                      <w:rFonts w:hint="default" w:eastAsia="宋体"/>
                      <w:color w:val="auto"/>
                      <w:lang w:val="en-US" w:eastAsia="zh-CN"/>
                    </w:rPr>
                  </w:pPr>
                  <w:r>
                    <w:rPr>
                      <w:rFonts w:hint="eastAsia"/>
                      <w:color w:val="auto"/>
                      <w:lang w:val="en-US" w:eastAsia="zh-CN"/>
                    </w:rPr>
                    <w:t>0.03</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总锰</w:t>
                  </w:r>
                </w:p>
              </w:tc>
              <w:tc>
                <w:tcPr>
                  <w:tcW w:w="2605" w:type="dxa"/>
                  <w:vAlign w:val="center"/>
                </w:tcPr>
                <w:p>
                  <w:pPr>
                    <w:jc w:val="center"/>
                    <w:rPr>
                      <w:rFonts w:hint="default" w:eastAsia="宋体"/>
                      <w:color w:val="auto"/>
                      <w:lang w:val="en-US" w:eastAsia="zh-CN"/>
                    </w:rPr>
                  </w:pPr>
                  <w:r>
                    <w:rPr>
                      <w:rFonts w:hint="eastAsia" w:eastAsia="宋体"/>
                      <w:color w:val="auto"/>
                      <w:lang w:val="en-US" w:eastAsia="zh-CN"/>
                    </w:rPr>
                    <w:t>火焰原子吸收分光光度法</w:t>
                  </w:r>
                </w:p>
              </w:tc>
              <w:tc>
                <w:tcPr>
                  <w:tcW w:w="1757" w:type="dxa"/>
                  <w:vAlign w:val="center"/>
                </w:tcPr>
                <w:p>
                  <w:pPr>
                    <w:jc w:val="center"/>
                    <w:rPr>
                      <w:rFonts w:hint="default" w:eastAsia="宋体"/>
                      <w:color w:val="auto"/>
                      <w:lang w:val="en-US" w:eastAsia="zh-CN"/>
                    </w:rPr>
                  </w:pPr>
                  <w:r>
                    <w:rPr>
                      <w:rFonts w:hint="eastAsia" w:eastAsia="宋体"/>
                      <w:color w:val="auto"/>
                      <w:lang w:val="en-US" w:eastAsia="zh-CN"/>
                    </w:rPr>
                    <w:t>GB11911-89</w:t>
                  </w:r>
                </w:p>
              </w:tc>
              <w:tc>
                <w:tcPr>
                  <w:tcW w:w="778" w:type="pct"/>
                  <w:vAlign w:val="center"/>
                </w:tcPr>
                <w:p>
                  <w:pPr>
                    <w:jc w:val="center"/>
                    <w:rPr>
                      <w:rFonts w:hint="default" w:eastAsia="宋体"/>
                      <w:color w:val="auto"/>
                      <w:lang w:val="en-US" w:eastAsia="zh-CN"/>
                    </w:rPr>
                  </w:pPr>
                  <w:r>
                    <w:rPr>
                      <w:rFonts w:hint="eastAsia"/>
                      <w:color w:val="auto"/>
                      <w:lang w:val="en-US" w:eastAsia="zh-CN"/>
                    </w:rPr>
                    <w:t>0.01</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铜</w:t>
                  </w:r>
                </w:p>
              </w:tc>
              <w:tc>
                <w:tcPr>
                  <w:tcW w:w="2605" w:type="dxa"/>
                  <w:vAlign w:val="center"/>
                </w:tcPr>
                <w:p>
                  <w:pPr>
                    <w:jc w:val="center"/>
                    <w:rPr>
                      <w:rFonts w:hint="default" w:eastAsia="宋体"/>
                      <w:color w:val="auto"/>
                      <w:lang w:val="en-US" w:eastAsia="zh-CN"/>
                    </w:rPr>
                  </w:pPr>
                  <w:r>
                    <w:rPr>
                      <w:rFonts w:hint="eastAsia" w:eastAsia="宋体"/>
                      <w:color w:val="auto"/>
                      <w:lang w:val="en-US" w:eastAsia="zh-CN"/>
                    </w:rPr>
                    <w:t>原子吸收分光光度法</w:t>
                  </w:r>
                </w:p>
              </w:tc>
              <w:tc>
                <w:tcPr>
                  <w:tcW w:w="1757" w:type="dxa"/>
                  <w:vAlign w:val="center"/>
                </w:tcPr>
                <w:p>
                  <w:pPr>
                    <w:jc w:val="center"/>
                    <w:rPr>
                      <w:rFonts w:hint="default" w:eastAsia="宋体"/>
                      <w:color w:val="auto"/>
                      <w:lang w:val="en-US" w:eastAsia="zh-CN"/>
                    </w:rPr>
                  </w:pPr>
                  <w:r>
                    <w:rPr>
                      <w:rFonts w:hint="eastAsia" w:eastAsia="宋体"/>
                      <w:color w:val="auto"/>
                      <w:lang w:val="en-US" w:eastAsia="zh-CN"/>
                    </w:rPr>
                    <w:t>GB7475-87</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锌</w:t>
                  </w:r>
                </w:p>
              </w:tc>
              <w:tc>
                <w:tcPr>
                  <w:tcW w:w="2605" w:type="dxa"/>
                  <w:vAlign w:val="center"/>
                </w:tcPr>
                <w:p>
                  <w:pPr>
                    <w:jc w:val="center"/>
                    <w:rPr>
                      <w:rFonts w:hint="default" w:eastAsia="宋体"/>
                      <w:color w:val="auto"/>
                      <w:lang w:val="en-US" w:eastAsia="zh-CN"/>
                    </w:rPr>
                  </w:pPr>
                  <w:r>
                    <w:rPr>
                      <w:rFonts w:hint="eastAsia" w:eastAsia="宋体"/>
                      <w:color w:val="auto"/>
                      <w:lang w:val="en-US" w:eastAsia="zh-CN"/>
                    </w:rPr>
                    <w:t>原子吸收分光光度法</w:t>
                  </w:r>
                </w:p>
              </w:tc>
              <w:tc>
                <w:tcPr>
                  <w:tcW w:w="1757" w:type="dxa"/>
                  <w:vAlign w:val="center"/>
                </w:tcPr>
                <w:p>
                  <w:pPr>
                    <w:jc w:val="center"/>
                    <w:rPr>
                      <w:rFonts w:hint="default" w:eastAsia="宋体"/>
                      <w:color w:val="auto"/>
                      <w:lang w:val="en-US" w:eastAsia="zh-CN"/>
                    </w:rPr>
                  </w:pPr>
                  <w:r>
                    <w:rPr>
                      <w:rFonts w:hint="eastAsia" w:eastAsia="宋体"/>
                      <w:color w:val="auto"/>
                      <w:lang w:val="en-US" w:eastAsia="zh-CN"/>
                    </w:rPr>
                    <w:t>GB7475-87</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六价铬</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二苯碳酰二肼分光光度法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GB7467-89</w:t>
                  </w:r>
                </w:p>
              </w:tc>
              <w:tc>
                <w:tcPr>
                  <w:tcW w:w="778" w:type="pct"/>
                  <w:vAlign w:val="center"/>
                </w:tcPr>
                <w:p>
                  <w:pPr>
                    <w:jc w:val="center"/>
                    <w:rPr>
                      <w:rFonts w:hint="default" w:eastAsia="宋体"/>
                      <w:color w:val="auto"/>
                      <w:lang w:val="en-US" w:eastAsia="zh-CN"/>
                    </w:rPr>
                  </w:pPr>
                  <w:r>
                    <w:rPr>
                      <w:rFonts w:hint="eastAsia"/>
                      <w:color w:val="auto"/>
                      <w:lang w:val="en-US" w:eastAsia="zh-CN"/>
                    </w:rPr>
                    <w:t>0.004</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总磷</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钼酸铵分光光度法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GB11893-89</w:t>
                  </w:r>
                </w:p>
              </w:tc>
              <w:tc>
                <w:tcPr>
                  <w:tcW w:w="778" w:type="pct"/>
                  <w:vAlign w:val="center"/>
                </w:tcPr>
                <w:p>
                  <w:pPr>
                    <w:jc w:val="center"/>
                    <w:rPr>
                      <w:rFonts w:hint="default" w:eastAsia="宋体"/>
                      <w:color w:val="auto"/>
                      <w:lang w:val="en-US" w:eastAsia="zh-CN"/>
                    </w:rPr>
                  </w:pPr>
                  <w:r>
                    <w:rPr>
                      <w:rFonts w:hint="eastAsia"/>
                      <w:color w:val="auto"/>
                      <w:lang w:val="en-US" w:eastAsia="zh-CN"/>
                    </w:rPr>
                    <w:t>0.01</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总氮</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酸洗过硫酸钾消解紫外分光光度法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HJ636-2012</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阴离子表面活性剂</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亚甲蓝分光光度法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GB7494-87</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挥发酚</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4-氨基安替比林分光光度法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HJ503-2009</w:t>
                  </w:r>
                </w:p>
              </w:tc>
              <w:tc>
                <w:tcPr>
                  <w:tcW w:w="778" w:type="pct"/>
                  <w:vAlign w:val="center"/>
                </w:tcPr>
                <w:p>
                  <w:pPr>
                    <w:jc w:val="center"/>
                    <w:rPr>
                      <w:rFonts w:hint="default" w:eastAsia="宋体"/>
                      <w:color w:val="auto"/>
                      <w:lang w:val="en-US" w:eastAsia="zh-CN"/>
                    </w:rPr>
                  </w:pPr>
                  <w:r>
                    <w:rPr>
                      <w:rFonts w:hint="eastAsia"/>
                      <w:color w:val="auto"/>
                      <w:lang w:val="en-US" w:eastAsia="zh-CN"/>
                    </w:rPr>
                    <w:t>0.0003</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粪大肠菌群</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多管发酵法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HJ347.2-2018</w:t>
                  </w:r>
                </w:p>
              </w:tc>
              <w:tc>
                <w:tcPr>
                  <w:tcW w:w="778" w:type="pct"/>
                  <w:vAlign w:val="center"/>
                </w:tcPr>
                <w:p>
                  <w:pPr>
                    <w:jc w:val="center"/>
                    <w:rPr>
                      <w:rFonts w:hint="default" w:eastAsia="宋体"/>
                      <w:color w:val="auto"/>
                      <w:lang w:val="en-US" w:eastAsia="zh-CN"/>
                    </w:rPr>
                  </w:pPr>
                  <w:r>
                    <w:rPr>
                      <w:rFonts w:hint="eastAsia"/>
                      <w:color w:val="auto"/>
                      <w:lang w:val="en-US" w:eastAsia="zh-CN"/>
                    </w:rPr>
                    <w:t>20MPN/L</w:t>
                  </w:r>
                </w:p>
              </w:tc>
            </w:tr>
          </w:tbl>
          <w:p>
            <w:pPr>
              <w:spacing w:line="480" w:lineRule="exact"/>
              <w:ind w:firstLine="480" w:firstLineChars="200"/>
              <w:rPr>
                <w:bCs/>
                <w:color w:val="auto"/>
                <w:sz w:val="24"/>
              </w:rPr>
            </w:pPr>
            <w:r>
              <w:rPr>
                <w:rFonts w:hint="eastAsia"/>
                <w:bCs/>
                <w:color w:val="auto"/>
                <w:sz w:val="24"/>
                <w:lang w:val="en-US" w:eastAsia="zh-CN"/>
              </w:rPr>
              <w:t>地表水环境质量</w:t>
            </w:r>
            <w:r>
              <w:rPr>
                <w:rFonts w:hint="eastAsia"/>
                <w:bCs/>
                <w:color w:val="auto"/>
                <w:sz w:val="24"/>
              </w:rPr>
              <w:t>现状评价标准值见表3-</w:t>
            </w:r>
            <w:r>
              <w:rPr>
                <w:rFonts w:hint="eastAsia"/>
                <w:bCs/>
                <w:color w:val="auto"/>
                <w:sz w:val="24"/>
                <w:lang w:val="en-US" w:eastAsia="zh-CN"/>
              </w:rPr>
              <w:t>8</w:t>
            </w:r>
            <w:r>
              <w:rPr>
                <w:rFonts w:hint="eastAsia"/>
                <w:bCs/>
                <w:color w:val="auto"/>
                <w:sz w:val="24"/>
              </w:rPr>
              <w:t>。</w:t>
            </w:r>
          </w:p>
          <w:p>
            <w:pPr>
              <w:pStyle w:val="10"/>
              <w:spacing w:line="480" w:lineRule="exact"/>
              <w:ind w:firstLine="0"/>
              <w:jc w:val="center"/>
              <w:rPr>
                <w:rFonts w:ascii="黑体" w:hAnsi="黑体" w:eastAsia="黑体"/>
                <w:color w:val="auto"/>
                <w:sz w:val="24"/>
                <w:szCs w:val="21"/>
              </w:rPr>
            </w:pPr>
            <w:r>
              <w:rPr>
                <w:rFonts w:hint="eastAsia" w:ascii="黑体" w:hAnsi="黑体" w:eastAsia="黑体"/>
                <w:color w:val="auto"/>
                <w:sz w:val="24"/>
                <w:szCs w:val="21"/>
              </w:rPr>
              <w:t>表3-</w:t>
            </w:r>
            <w:r>
              <w:rPr>
                <w:rFonts w:hint="eastAsia" w:ascii="黑体" w:hAnsi="黑体" w:eastAsia="黑体"/>
                <w:color w:val="auto"/>
                <w:sz w:val="24"/>
                <w:szCs w:val="21"/>
                <w:lang w:val="en-US" w:eastAsia="zh-CN"/>
              </w:rPr>
              <w:t>8</w:t>
            </w:r>
            <w:r>
              <w:rPr>
                <w:rFonts w:hint="eastAsia" w:ascii="黑体" w:hAnsi="黑体" w:eastAsia="黑体"/>
                <w:color w:val="auto"/>
                <w:sz w:val="24"/>
                <w:szCs w:val="21"/>
              </w:rPr>
              <w:t xml:space="preserve">  </w:t>
            </w:r>
            <w:r>
              <w:rPr>
                <w:rFonts w:hint="eastAsia" w:ascii="黑体" w:hAnsi="黑体" w:eastAsia="黑体"/>
                <w:color w:val="auto"/>
                <w:sz w:val="24"/>
                <w:szCs w:val="21"/>
                <w:lang w:val="en-US" w:eastAsia="zh-CN"/>
              </w:rPr>
              <w:t>地表水环境</w:t>
            </w:r>
            <w:r>
              <w:rPr>
                <w:rFonts w:hint="eastAsia" w:ascii="黑体" w:hAnsi="黑体" w:eastAsia="黑体"/>
                <w:color w:val="auto"/>
                <w:sz w:val="24"/>
                <w:szCs w:val="21"/>
              </w:rPr>
              <w:t>质量标准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899"/>
              <w:gridCol w:w="899"/>
              <w:gridCol w:w="794"/>
              <w:gridCol w:w="741"/>
              <w:gridCol w:w="741"/>
              <w:gridCol w:w="972"/>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Merge w:val="restart"/>
                  <w:vAlign w:val="center"/>
                </w:tcPr>
                <w:p>
                  <w:pPr>
                    <w:pStyle w:val="42"/>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rPr>
                    <w:t>污染物名称</w:t>
                  </w:r>
                </w:p>
              </w:tc>
              <w:tc>
                <w:tcPr>
                  <w:tcW w:w="2516" w:type="pct"/>
                  <w:gridSpan w:val="5"/>
                  <w:vAlign w:val="center"/>
                </w:tcPr>
                <w:p>
                  <w:pPr>
                    <w:pStyle w:val="42"/>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rPr>
                    <w:t>浓度限值</w:t>
                  </w:r>
                </w:p>
              </w:tc>
              <w:tc>
                <w:tcPr>
                  <w:tcW w:w="637" w:type="pct"/>
                  <w:vMerge w:val="restart"/>
                  <w:vAlign w:val="center"/>
                </w:tcPr>
                <w:p>
                  <w:pPr>
                    <w:pStyle w:val="42"/>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rPr>
                    <w:t>浓度单位</w:t>
                  </w:r>
                </w:p>
              </w:tc>
              <w:tc>
                <w:tcPr>
                  <w:tcW w:w="849" w:type="pct"/>
                  <w:vMerge w:val="restart"/>
                  <w:vAlign w:val="center"/>
                </w:tcPr>
                <w:p>
                  <w:pPr>
                    <w:pStyle w:val="42"/>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eastAsia="宋体"/>
                      <w:color w:val="auto"/>
                      <w:lang w:val="en-US" w:eastAsia="zh-CN"/>
                    </w:rPr>
                  </w:pPr>
                  <w:r>
                    <w:rPr>
                      <w:rFonts w:hint="eastAsia"/>
                      <w:color w:val="auto"/>
                    </w:rPr>
                    <w:t>Ⅰ</w:t>
                  </w:r>
                  <w:r>
                    <w:rPr>
                      <w:rFonts w:hint="eastAsia"/>
                      <w:color w:val="auto"/>
                      <w:lang w:val="en-US" w:eastAsia="zh-CN"/>
                    </w:rPr>
                    <w:t>类</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eastAsia="宋体"/>
                      <w:color w:val="auto"/>
                      <w:lang w:val="en-US" w:eastAsia="zh-CN"/>
                    </w:rPr>
                  </w:pPr>
                  <w:r>
                    <w:rPr>
                      <w:rFonts w:hint="eastAsia"/>
                      <w:color w:val="auto"/>
                    </w:rPr>
                    <w:t>Ⅱ</w:t>
                  </w:r>
                  <w:r>
                    <w:rPr>
                      <w:rFonts w:hint="eastAsia"/>
                      <w:color w:val="auto"/>
                      <w:lang w:val="en-US" w:eastAsia="zh-CN"/>
                    </w:rPr>
                    <w:t>类</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eastAsia="宋体"/>
                      <w:color w:val="auto"/>
                      <w:lang w:val="en-US" w:eastAsia="zh-CN"/>
                    </w:rPr>
                  </w:pPr>
                  <w:r>
                    <w:rPr>
                      <w:rFonts w:hint="eastAsia"/>
                      <w:color w:val="auto"/>
                    </w:rPr>
                    <w:t>Ⅲ</w:t>
                  </w:r>
                  <w:r>
                    <w:rPr>
                      <w:rFonts w:hint="eastAsia"/>
                      <w:color w:val="auto"/>
                      <w:lang w:val="en-US" w:eastAsia="zh-CN"/>
                    </w:rPr>
                    <w:t>类</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eastAsia="宋体"/>
                      <w:color w:val="auto"/>
                      <w:lang w:val="en-US" w:eastAsia="zh-CN"/>
                    </w:rPr>
                  </w:pPr>
                  <w:r>
                    <w:rPr>
                      <w:rFonts w:hint="eastAsia"/>
                      <w:color w:val="auto"/>
                    </w:rPr>
                    <w:t>Ⅳ</w:t>
                  </w:r>
                  <w:r>
                    <w:rPr>
                      <w:rFonts w:hint="eastAsia"/>
                      <w:color w:val="auto"/>
                      <w:lang w:val="en-US" w:eastAsia="zh-CN"/>
                    </w:rPr>
                    <w:t>类</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eastAsia="宋体"/>
                      <w:color w:val="auto"/>
                      <w:lang w:val="en-US" w:eastAsia="zh-CN"/>
                    </w:rPr>
                  </w:pPr>
                  <w:r>
                    <w:rPr>
                      <w:rFonts w:hint="eastAsia"/>
                      <w:color w:val="auto"/>
                    </w:rPr>
                    <w:t>Ⅴ</w:t>
                  </w:r>
                  <w:r>
                    <w:rPr>
                      <w:rFonts w:hint="eastAsia"/>
                      <w:color w:val="auto"/>
                      <w:lang w:val="en-US" w:eastAsia="zh-CN"/>
                    </w:rPr>
                    <w:t>类</w:t>
                  </w:r>
                </w:p>
              </w:tc>
              <w:tc>
                <w:tcPr>
                  <w:tcW w:w="637"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eastAsia="宋体"/>
                      <w:color w:val="auto"/>
                      <w:lang w:eastAsia="zh-CN"/>
                    </w:rPr>
                  </w:pPr>
                  <w:r>
                    <w:rPr>
                      <w:rFonts w:hint="eastAsia" w:eastAsia="宋体"/>
                      <w:color w:val="auto"/>
                      <w:lang w:val="en-US" w:eastAsia="zh-CN"/>
                    </w:rPr>
                    <w:t>pH</w:t>
                  </w:r>
                </w:p>
              </w:tc>
              <w:tc>
                <w:tcPr>
                  <w:tcW w:w="2516" w:type="pct"/>
                  <w:gridSpan w:val="5"/>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color w:val="auto"/>
                      <w:lang w:val="en-US" w:eastAsia="zh-CN"/>
                    </w:rPr>
                    <w:t>6-9</w:t>
                  </w:r>
                </w:p>
              </w:tc>
              <w:tc>
                <w:tcPr>
                  <w:tcW w:w="637"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vertAlign w:val="superscript"/>
                      <w:lang w:val="en-US" w:eastAsia="zh-CN"/>
                    </w:rPr>
                  </w:pPr>
                  <w:r>
                    <w:rPr>
                      <w:rFonts w:hint="eastAsia"/>
                      <w:color w:val="auto"/>
                      <w:vertAlign w:val="baseline"/>
                      <w:lang w:val="en-US" w:eastAsia="zh-CN"/>
                    </w:rPr>
                    <w:t>无量纲</w:t>
                  </w:r>
                </w:p>
              </w:tc>
              <w:tc>
                <w:tcPr>
                  <w:tcW w:w="849" w:type="pct"/>
                  <w:vMerge w:val="restar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color w:val="auto"/>
                      <w:lang w:eastAsia="zh-CN"/>
                    </w:rPr>
                    <w:t>《</w:t>
                  </w:r>
                  <w:r>
                    <w:rPr>
                      <w:rFonts w:hint="eastAsia"/>
                      <w:color w:val="auto"/>
                      <w:lang w:val="en-US" w:eastAsia="zh-CN"/>
                    </w:rPr>
                    <w:t>地表水环境质量标准</w:t>
                  </w:r>
                  <w:r>
                    <w:rPr>
                      <w:rFonts w:hint="eastAsia"/>
                      <w:color w:val="auto"/>
                      <w:lang w:eastAsia="zh-CN"/>
                    </w:rPr>
                    <w:t>》（</w:t>
                  </w:r>
                  <w:r>
                    <w:rPr>
                      <w:rFonts w:hint="eastAsia"/>
                      <w:color w:val="auto"/>
                      <w:lang w:val="en-US" w:eastAsia="zh-CN"/>
                    </w:rPr>
                    <w:t>GB3838-2002</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lang w:val="en-US" w:eastAsia="zh-CN"/>
                    </w:rPr>
                  </w:pPr>
                  <w:r>
                    <w:rPr>
                      <w:rFonts w:hint="eastAsia" w:eastAsia="宋体"/>
                      <w:color w:val="auto"/>
                      <w:lang w:val="en-US" w:eastAsia="zh-CN"/>
                    </w:rPr>
                    <w:t>五日生化需氧量</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3</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3</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4</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6</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10</w:t>
                  </w:r>
                </w:p>
              </w:tc>
              <w:tc>
                <w:tcPr>
                  <w:tcW w:w="637"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lang w:val="en-US" w:eastAsia="zh-CN"/>
                    </w:rPr>
                  </w:pPr>
                  <w:r>
                    <w:rPr>
                      <w:rFonts w:hint="eastAsia" w:eastAsia="宋体"/>
                      <w:color w:val="auto"/>
                      <w:lang w:val="en-US" w:eastAsia="zh-CN"/>
                    </w:rPr>
                    <w:t>化学需氧量</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15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15</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20</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30</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40</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lang w:val="en-US" w:eastAsia="zh-CN"/>
                    </w:rPr>
                  </w:pPr>
                  <w:r>
                    <w:rPr>
                      <w:rFonts w:hint="eastAsia" w:eastAsia="宋体"/>
                      <w:color w:val="auto"/>
                      <w:lang w:val="en-US" w:eastAsia="zh-CN"/>
                    </w:rPr>
                    <w:t>氨氮</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0.15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0.5</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1.5</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2.0</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lang w:val="en-US" w:eastAsia="zh-CN"/>
                    </w:rPr>
                  </w:pPr>
                  <w:r>
                    <w:rPr>
                      <w:rFonts w:hint="eastAsia" w:eastAsia="宋体"/>
                      <w:color w:val="auto"/>
                      <w:lang w:val="en-US" w:eastAsia="zh-CN"/>
                    </w:rPr>
                    <w:t>硫化物</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0.1</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0.2</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0.5</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1.0</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石油类</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0.5</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1.0</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动植物油</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总砷</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0.1</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0.1</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总汞</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0.00005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0.00005</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0.0001</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0.001</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0.001</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铅</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0.01</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0.01</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0.1</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总铁</w:t>
                  </w:r>
                </w:p>
              </w:tc>
              <w:tc>
                <w:tcPr>
                  <w:tcW w:w="2516" w:type="pct"/>
                  <w:gridSpan w:val="5"/>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0.3</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总锰</w:t>
                  </w:r>
                </w:p>
              </w:tc>
              <w:tc>
                <w:tcPr>
                  <w:tcW w:w="2516" w:type="pct"/>
                  <w:gridSpan w:val="5"/>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0.1</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铜</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0.01</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1.0</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1.0</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1.0</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锌</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1.0</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2.0</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2.0</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六价铬</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0.01</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0.05</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0.1</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总磷</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0.02</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0.1</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0.2</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0.3</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0.4</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总氮</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0.2</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0.5</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1.5</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2.0</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阴离子表面活性剂</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0.2</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0.2</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0.2</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0.3</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0.3</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挥发酚</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0.002</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0.002</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0.005</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0.01</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0.1</w:t>
                  </w:r>
                </w:p>
              </w:tc>
              <w:tc>
                <w:tcPr>
                  <w:tcW w:w="637" w:type="pct"/>
                  <w:vAlign w:val="center"/>
                </w:tcPr>
                <w:p>
                  <w:pPr>
                    <w:keepNext w:val="0"/>
                    <w:keepLines w:val="0"/>
                    <w:pageBreakBefore w:val="0"/>
                    <w:widowControl w:val="0"/>
                    <w:kinsoku/>
                    <w:wordWrap/>
                    <w:overflowPunct/>
                    <w:topLinePunct w:val="0"/>
                    <w:autoSpaceDE/>
                    <w:autoSpaceDN/>
                    <w:bidi w:val="0"/>
                    <w:adjustRightInd/>
                    <w:jc w:val="center"/>
                    <w:textAlignment w:val="auto"/>
                    <w:rPr>
                      <w:color w:val="auto"/>
                    </w:rPr>
                  </w:pPr>
                  <w:r>
                    <w:rPr>
                      <w:rFonts w:hint="eastAsia"/>
                      <w:color w:val="auto"/>
                      <w:lang w:val="en-US" w:eastAsia="zh-CN"/>
                    </w:rPr>
                    <w:t>mg/L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eastAsia"/>
                      <w:color w:val="auto"/>
                      <w:lang w:val="en-US" w:eastAsia="zh-CN"/>
                    </w:rPr>
                  </w:pPr>
                  <w:r>
                    <w:rPr>
                      <w:rFonts w:hint="eastAsia" w:eastAsia="宋体"/>
                      <w:color w:val="auto"/>
                      <w:lang w:val="en-US" w:eastAsia="zh-CN"/>
                    </w:rPr>
                    <w:t>粪大肠菌群</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200</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2000</w:t>
                  </w:r>
                </w:p>
              </w:tc>
              <w:tc>
                <w:tcPr>
                  <w:tcW w:w="502"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10000</w:t>
                  </w:r>
                </w:p>
              </w:tc>
              <w:tc>
                <w:tcPr>
                  <w:tcW w:w="502" w:type="pct"/>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eastAsia="宋体"/>
                      <w:color w:val="auto"/>
                      <w:lang w:val="en-US" w:eastAsia="zh-CN"/>
                    </w:rPr>
                    <w:t>20000</w:t>
                  </w:r>
                </w:p>
              </w:tc>
              <w:tc>
                <w:tcPr>
                  <w:tcW w:w="505"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color w:val="auto"/>
                      <w:lang w:val="en-US" w:eastAsia="zh-CN"/>
                    </w:rPr>
                  </w:pPr>
                  <w:r>
                    <w:rPr>
                      <w:rFonts w:hint="eastAsia"/>
                      <w:color w:val="auto"/>
                      <w:lang w:val="en-US" w:eastAsia="zh-CN"/>
                    </w:rPr>
                    <w:t>40000</w:t>
                  </w:r>
                </w:p>
              </w:tc>
              <w:tc>
                <w:tcPr>
                  <w:tcW w:w="637" w:type="pct"/>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default" w:eastAsia="宋体"/>
                      <w:color w:val="auto"/>
                      <w:lang w:val="en-US" w:eastAsia="zh-CN"/>
                    </w:rPr>
                  </w:pPr>
                  <w:r>
                    <w:rPr>
                      <w:rFonts w:hint="eastAsia"/>
                      <w:color w:val="auto"/>
                      <w:lang w:val="en-US" w:eastAsia="zh-CN"/>
                    </w:rPr>
                    <w:t>个/L</w:t>
                  </w:r>
                </w:p>
              </w:tc>
              <w:tc>
                <w:tcPr>
                  <w:tcW w:w="849" w:type="pct"/>
                  <w:vMerge w:val="continue"/>
                  <w:vAlign w:val="center"/>
                </w:tcPr>
                <w:p>
                  <w:pPr>
                    <w:pStyle w:val="42"/>
                    <w:keepNext w:val="0"/>
                    <w:keepLines w:val="0"/>
                    <w:pageBreakBefore w:val="0"/>
                    <w:widowControl w:val="0"/>
                    <w:kinsoku/>
                    <w:wordWrap/>
                    <w:overflowPunct/>
                    <w:topLinePunct w:val="0"/>
                    <w:autoSpaceDE/>
                    <w:autoSpaceDN/>
                    <w:bidi w:val="0"/>
                    <w:adjustRightInd/>
                    <w:jc w:val="center"/>
                    <w:textAlignment w:val="auto"/>
                    <w:rPr>
                      <w:rFonts w:hint="eastAsia"/>
                      <w:color w:val="auto"/>
                    </w:rPr>
                  </w:pPr>
                </w:p>
              </w:tc>
            </w:tr>
          </w:tbl>
          <w:p>
            <w:pPr>
              <w:spacing w:line="480" w:lineRule="exact"/>
              <w:ind w:firstLine="480" w:firstLineChars="200"/>
              <w:rPr>
                <w:color w:val="auto"/>
                <w:sz w:val="24"/>
              </w:rPr>
            </w:pPr>
            <w:r>
              <w:rPr>
                <w:rFonts w:hint="eastAsia"/>
                <w:bCs/>
                <w:color w:val="auto"/>
                <w:sz w:val="24"/>
                <w:lang w:val="en-US" w:eastAsia="zh-CN"/>
              </w:rPr>
              <w:t>地表水环境质量</w:t>
            </w:r>
            <w:r>
              <w:rPr>
                <w:rFonts w:hint="eastAsia"/>
                <w:bCs/>
                <w:color w:val="auto"/>
                <w:sz w:val="24"/>
              </w:rPr>
              <w:t>监测结果见下表。</w:t>
            </w:r>
          </w:p>
          <w:p>
            <w:pPr>
              <w:pStyle w:val="10"/>
              <w:spacing w:line="480" w:lineRule="exact"/>
              <w:ind w:firstLine="0"/>
              <w:jc w:val="center"/>
              <w:rPr>
                <w:rFonts w:hint="default" w:ascii="黑体" w:hAnsi="黑体" w:eastAsia="黑体"/>
                <w:color w:val="auto"/>
                <w:sz w:val="24"/>
                <w:szCs w:val="21"/>
                <w:lang w:val="en-US"/>
              </w:rPr>
            </w:pPr>
            <w:r>
              <w:rPr>
                <w:rFonts w:hint="eastAsia" w:ascii="黑体" w:hAnsi="黑体" w:eastAsia="黑体"/>
                <w:color w:val="auto"/>
                <w:sz w:val="24"/>
                <w:szCs w:val="21"/>
              </w:rPr>
              <w:t>表3-</w:t>
            </w:r>
            <w:r>
              <w:rPr>
                <w:rFonts w:hint="eastAsia" w:ascii="黑体" w:hAnsi="黑体" w:eastAsia="黑体"/>
                <w:color w:val="auto"/>
                <w:sz w:val="24"/>
                <w:szCs w:val="21"/>
                <w:lang w:val="en-US" w:eastAsia="zh-CN"/>
              </w:rPr>
              <w:t>9</w:t>
            </w:r>
            <w:r>
              <w:rPr>
                <w:rFonts w:hint="eastAsia" w:ascii="黑体" w:hAnsi="黑体" w:eastAsia="黑体"/>
                <w:color w:val="auto"/>
                <w:sz w:val="24"/>
                <w:szCs w:val="21"/>
              </w:rPr>
              <w:t xml:space="preserve">  </w:t>
            </w:r>
            <w:r>
              <w:rPr>
                <w:rFonts w:hint="eastAsia" w:ascii="黑体" w:hAnsi="黑体" w:eastAsia="黑体"/>
                <w:color w:val="auto"/>
                <w:sz w:val="24"/>
                <w:szCs w:val="21"/>
                <w:lang w:val="en-US" w:eastAsia="zh-CN"/>
              </w:rPr>
              <w:t>污水处理厂排口入滹沱河上游500m监测断面监测结果</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09"/>
              <w:gridCol w:w="1409"/>
              <w:gridCol w:w="1409"/>
              <w:gridCol w:w="140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监测项目</w:t>
                  </w:r>
                </w:p>
              </w:tc>
              <w:tc>
                <w:tcPr>
                  <w:tcW w:w="4227" w:type="dxa"/>
                  <w:gridSpan w:val="3"/>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监测结果</w:t>
                  </w:r>
                </w:p>
              </w:tc>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标准值</w:t>
                  </w:r>
                </w:p>
              </w:tc>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水质情况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2022.12.16</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2022.12.17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2022.12.18</w:t>
                  </w:r>
                </w:p>
              </w:tc>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pH值</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7.30</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7.27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7.24</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6-9</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化学需氧量</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18</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16</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15</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五日生化需氧量</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3.7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3.5</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3.4</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氨氮</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0.542</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0.528</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0.557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总磷</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0.128</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0.117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0.109</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总氮</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0.851</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0.888</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0.864</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铜</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锌</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铁</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0.3</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锰</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砷</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汞</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六价铬</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铅</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挥发酚</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石油类</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动植物油</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阴离子表面活性剂</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硫化物</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粪大肠菌群</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4.3×10</w:t>
                  </w:r>
                  <w:r>
                    <w:rPr>
                      <w:rFonts w:hint="default"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4.5×10</w:t>
                  </w:r>
                  <w:r>
                    <w:rPr>
                      <w:rFonts w:hint="default"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3.9×10</w:t>
                  </w:r>
                  <w:r>
                    <w:rPr>
                      <w:rFonts w:hint="default"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10000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bl>
          <w:p>
            <w:pPr>
              <w:pStyle w:val="10"/>
              <w:spacing w:line="480" w:lineRule="exact"/>
              <w:ind w:firstLine="0"/>
              <w:jc w:val="center"/>
              <w:rPr>
                <w:rFonts w:hint="default" w:ascii="黑体" w:hAnsi="黑体" w:eastAsia="黑体"/>
                <w:color w:val="auto"/>
                <w:sz w:val="24"/>
                <w:szCs w:val="21"/>
                <w:lang w:val="en-US"/>
              </w:rPr>
            </w:pPr>
            <w:r>
              <w:rPr>
                <w:rFonts w:hint="eastAsia" w:ascii="黑体" w:hAnsi="黑体" w:eastAsia="黑体"/>
                <w:color w:val="auto"/>
                <w:sz w:val="24"/>
                <w:szCs w:val="21"/>
              </w:rPr>
              <w:t>表3-</w:t>
            </w:r>
            <w:r>
              <w:rPr>
                <w:rFonts w:hint="eastAsia" w:ascii="黑体" w:hAnsi="黑体" w:eastAsia="黑体"/>
                <w:color w:val="auto"/>
                <w:sz w:val="24"/>
                <w:szCs w:val="21"/>
                <w:lang w:val="en-US" w:eastAsia="zh-CN"/>
              </w:rPr>
              <w:t>10</w:t>
            </w:r>
            <w:r>
              <w:rPr>
                <w:rFonts w:hint="eastAsia" w:ascii="黑体" w:hAnsi="黑体" w:eastAsia="黑体"/>
                <w:color w:val="auto"/>
                <w:sz w:val="24"/>
                <w:szCs w:val="21"/>
              </w:rPr>
              <w:t xml:space="preserve">  </w:t>
            </w:r>
            <w:r>
              <w:rPr>
                <w:rFonts w:hint="eastAsia" w:ascii="黑体" w:hAnsi="黑体" w:eastAsia="黑体"/>
                <w:color w:val="auto"/>
                <w:sz w:val="24"/>
                <w:szCs w:val="21"/>
                <w:lang w:val="en-US" w:eastAsia="zh-CN"/>
              </w:rPr>
              <w:t>污水处理厂排口入滹沱河下游500m监测断面监测结果</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09"/>
              <w:gridCol w:w="1409"/>
              <w:gridCol w:w="1409"/>
              <w:gridCol w:w="140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监测项目</w:t>
                  </w:r>
                </w:p>
              </w:tc>
              <w:tc>
                <w:tcPr>
                  <w:tcW w:w="4227" w:type="dxa"/>
                  <w:gridSpan w:val="3"/>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监测结果</w:t>
                  </w:r>
                </w:p>
              </w:tc>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标准值</w:t>
                  </w:r>
                </w:p>
              </w:tc>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2022.12.16</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2022.12.18</w:t>
                  </w:r>
                </w:p>
              </w:tc>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pH值</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7.23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7.17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7.21</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6-9</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化学需氧量</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15</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15</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五日生化需氧量</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3.6</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氨氮</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0.524</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0.511</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0.537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总磷</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0.111</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0.105</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0.100</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总氮</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0.832</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0.846</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0.821</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铜</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锌</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铁</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0.3</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锰</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砷</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汞</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六价铬</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铅</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挥发酚</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石油类</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动植物油</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阴离子表面活性剂</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硫化物</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粪大肠菌群</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3.5×10</w:t>
                  </w:r>
                  <w:r>
                    <w:rPr>
                      <w:rFonts w:hint="eastAsia"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3.6×10</w:t>
                  </w:r>
                  <w:r>
                    <w:rPr>
                      <w:rFonts w:hint="eastAsia"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3.8×10</w:t>
                  </w:r>
                  <w:r>
                    <w:rPr>
                      <w:rFonts w:hint="eastAsia"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10000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bl>
          <w:p>
            <w:pPr>
              <w:pStyle w:val="10"/>
              <w:spacing w:line="480" w:lineRule="exact"/>
              <w:ind w:firstLine="0"/>
              <w:jc w:val="center"/>
              <w:rPr>
                <w:rFonts w:hint="default" w:ascii="黑体" w:hAnsi="黑体" w:eastAsia="黑体"/>
                <w:color w:val="auto"/>
                <w:sz w:val="24"/>
                <w:szCs w:val="21"/>
                <w:lang w:val="en-US"/>
              </w:rPr>
            </w:pPr>
            <w:r>
              <w:rPr>
                <w:rFonts w:hint="eastAsia" w:ascii="黑体" w:hAnsi="黑体" w:eastAsia="黑体"/>
                <w:color w:val="auto"/>
                <w:sz w:val="24"/>
                <w:szCs w:val="21"/>
              </w:rPr>
              <w:t>表3-</w:t>
            </w:r>
            <w:r>
              <w:rPr>
                <w:rFonts w:hint="eastAsia" w:ascii="黑体" w:hAnsi="黑体" w:eastAsia="黑体"/>
                <w:color w:val="auto"/>
                <w:sz w:val="24"/>
                <w:szCs w:val="21"/>
                <w:lang w:val="en-US" w:eastAsia="zh-CN"/>
              </w:rPr>
              <w:t>11</w:t>
            </w:r>
            <w:r>
              <w:rPr>
                <w:rFonts w:hint="eastAsia" w:ascii="黑体" w:hAnsi="黑体" w:eastAsia="黑体"/>
                <w:color w:val="auto"/>
                <w:sz w:val="24"/>
                <w:szCs w:val="21"/>
              </w:rPr>
              <w:t xml:space="preserve">  </w:t>
            </w:r>
            <w:r>
              <w:rPr>
                <w:rFonts w:hint="eastAsia" w:ascii="黑体" w:hAnsi="黑体" w:eastAsia="黑体"/>
                <w:color w:val="auto"/>
                <w:sz w:val="24"/>
                <w:szCs w:val="21"/>
                <w:lang w:val="en-US" w:eastAsia="zh-CN"/>
              </w:rPr>
              <w:t>污水处理厂排口入滹沱河下游1500m监测断面监测结果</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09"/>
              <w:gridCol w:w="1409"/>
              <w:gridCol w:w="1409"/>
              <w:gridCol w:w="140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监测项目</w:t>
                  </w:r>
                </w:p>
              </w:tc>
              <w:tc>
                <w:tcPr>
                  <w:tcW w:w="4227" w:type="dxa"/>
                  <w:gridSpan w:val="3"/>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监测结果</w:t>
                  </w:r>
                </w:p>
              </w:tc>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标准值</w:t>
                  </w:r>
                </w:p>
              </w:tc>
              <w:tc>
                <w:tcPr>
                  <w:tcW w:w="140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2022.12.16</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2022.12.18</w:t>
                  </w:r>
                </w:p>
              </w:tc>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140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pH值</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7.38</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7.42</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7.34</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6-9</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化学需氧量</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15</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14</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五日生化需氧量</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3.4</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3.2</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3.0</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氨氮</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0.425</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0.418</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0.409</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总磷</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0.086</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0.103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0.097</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总氮</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0.796</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0.811</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0.802</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铜</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锌</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铁</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0.3</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锰</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砷</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汞</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六价铬</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铅</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挥发酚</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石油类</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动植物油</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阴离子表面活性剂</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硫化物</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粪大肠菌群</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3.2×10</w:t>
                  </w:r>
                  <w:r>
                    <w:rPr>
                      <w:rFonts w:hint="eastAsia"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3.1×10</w:t>
                  </w:r>
                  <w:r>
                    <w:rPr>
                      <w:rFonts w:hint="eastAsia"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3.2×10</w:t>
                  </w:r>
                  <w:r>
                    <w:rPr>
                      <w:rFonts w:hint="eastAsia" w:ascii="Times New Roman" w:hAnsi="Times New Roman" w:eastAsia="宋体" w:cs="Times New Roman"/>
                      <w:color w:val="auto"/>
                      <w:sz w:val="21"/>
                      <w:szCs w:val="18"/>
                      <w:vertAlign w:val="superscript"/>
                      <w:lang w:val="en-US" w:eastAsia="zh-CN"/>
                    </w:rPr>
                    <w:t>3</w:t>
                  </w:r>
                </w:p>
              </w:tc>
              <w:tc>
                <w:tcPr>
                  <w:tcW w:w="1409" w:type="dxa"/>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10000</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bl>
          <w:p>
            <w:pPr>
              <w:spacing w:line="480" w:lineRule="exact"/>
              <w:ind w:firstLine="480" w:firstLineChars="200"/>
              <w:rPr>
                <w:rFonts w:hint="default" w:ascii="Times New Roman" w:hAnsi="Times New Roman" w:cs="Times New Roman"/>
                <w:bCs/>
                <w:color w:val="auto"/>
                <w:sz w:val="24"/>
                <w:lang w:val="en-US"/>
              </w:rPr>
            </w:pPr>
            <w:r>
              <w:rPr>
                <w:rFonts w:hint="eastAsia"/>
                <w:color w:val="auto"/>
                <w:sz w:val="24"/>
                <w:szCs w:val="32"/>
              </w:rPr>
              <w:t>由上表可知，监测期间，</w:t>
            </w:r>
            <w:r>
              <w:rPr>
                <w:rFonts w:hint="eastAsia"/>
                <w:color w:val="auto"/>
                <w:sz w:val="24"/>
                <w:szCs w:val="32"/>
                <w:lang w:val="en-US" w:eastAsia="zh-CN"/>
              </w:rPr>
              <w:t>滹沱河3个监测断面</w:t>
            </w:r>
            <w:r>
              <w:rPr>
                <w:rFonts w:hint="eastAsia"/>
                <w:color w:val="auto"/>
                <w:sz w:val="24"/>
                <w:szCs w:val="32"/>
              </w:rPr>
              <w:t>中</w:t>
            </w:r>
            <w:r>
              <w:rPr>
                <w:rFonts w:hint="eastAsia"/>
                <w:color w:val="auto"/>
                <w:sz w:val="24"/>
                <w:szCs w:val="32"/>
                <w:lang w:val="en-US" w:eastAsia="zh-CN"/>
              </w:rPr>
              <w:t>各监测项目中，部分满足《地表水环境质量标准》（GB3838-2002）中的Ⅲ类水质标准，部分满足《地表水环境质量标准》（GB3838-2002）中的Ⅰ类水质标准。</w:t>
            </w:r>
          </w:p>
          <w:p>
            <w:pPr>
              <w:adjustRightInd w:val="0"/>
              <w:snapToGrid w:val="0"/>
              <w:spacing w:line="480" w:lineRule="exact"/>
              <w:ind w:firstLine="482" w:firstLineChars="200"/>
              <w:rPr>
                <w:b/>
                <w:bCs/>
                <w:color w:val="auto"/>
                <w:kern w:val="0"/>
                <w:sz w:val="24"/>
              </w:rPr>
            </w:pPr>
            <w:r>
              <w:rPr>
                <w:rFonts w:hint="eastAsia"/>
                <w:b/>
                <w:bCs/>
                <w:color w:val="auto"/>
                <w:kern w:val="0"/>
                <w:sz w:val="24"/>
              </w:rPr>
              <w:t>3、</w:t>
            </w:r>
            <w:r>
              <w:rPr>
                <w:rFonts w:hint="eastAsia" w:hAnsi="宋体"/>
                <w:b/>
                <w:color w:val="auto"/>
                <w:sz w:val="24"/>
                <w:szCs w:val="32"/>
              </w:rPr>
              <w:t>声环境现状</w:t>
            </w:r>
          </w:p>
          <w:p>
            <w:pPr>
              <w:spacing w:line="480" w:lineRule="exact"/>
              <w:ind w:firstLine="480" w:firstLineChars="200"/>
              <w:rPr>
                <w:bCs/>
                <w:color w:val="auto"/>
                <w:sz w:val="24"/>
              </w:rPr>
            </w:pPr>
            <w:r>
              <w:rPr>
                <w:rFonts w:hint="eastAsia"/>
                <w:bCs/>
                <w:color w:val="auto"/>
                <w:sz w:val="24"/>
              </w:rPr>
              <w:t>本次评价由建设单位委托山西</w:t>
            </w:r>
            <w:r>
              <w:rPr>
                <w:rFonts w:hint="eastAsia"/>
                <w:bCs/>
                <w:color w:val="auto"/>
                <w:sz w:val="24"/>
                <w:lang w:val="en-US" w:eastAsia="zh-CN"/>
              </w:rPr>
              <w:t>中安环境监测</w:t>
            </w:r>
            <w:r>
              <w:rPr>
                <w:rFonts w:hint="eastAsia"/>
                <w:bCs/>
                <w:color w:val="auto"/>
                <w:sz w:val="24"/>
              </w:rPr>
              <w:t>有限公司于2022年</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18</w:t>
            </w:r>
            <w:r>
              <w:rPr>
                <w:rFonts w:hint="eastAsia"/>
                <w:bCs/>
                <w:color w:val="auto"/>
                <w:sz w:val="24"/>
              </w:rPr>
              <w:t>日对</w:t>
            </w:r>
            <w:r>
              <w:rPr>
                <w:rFonts w:hint="eastAsia"/>
                <w:color w:val="auto"/>
                <w:sz w:val="24"/>
                <w:szCs w:val="32"/>
              </w:rPr>
              <w:t>厂界声环境质量现状进行了监测，监测点位、项目、频次、时间及要求见下表。</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w:t>
            </w:r>
            <w:r>
              <w:rPr>
                <w:rFonts w:hint="eastAsia" w:ascii="黑体" w:hAnsi="黑体" w:eastAsia="黑体"/>
                <w:bCs/>
                <w:color w:val="auto"/>
                <w:sz w:val="24"/>
                <w:szCs w:val="32"/>
                <w:lang w:val="en-US" w:eastAsia="zh-CN"/>
              </w:rPr>
              <w:t>12</w:t>
            </w:r>
            <w:r>
              <w:rPr>
                <w:rFonts w:hint="eastAsia" w:ascii="黑体" w:hAnsi="黑体" w:eastAsia="黑体"/>
                <w:bCs/>
                <w:color w:val="auto"/>
                <w:sz w:val="24"/>
                <w:szCs w:val="32"/>
              </w:rPr>
              <w:t xml:space="preserve">  厂界声环境质量现状监测点位、项目、频次一览表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855"/>
              <w:gridCol w:w="1173"/>
              <w:gridCol w:w="1312"/>
              <w:gridCol w:w="1641"/>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Align w:val="center"/>
                </w:tcPr>
                <w:p>
                  <w:pPr>
                    <w:jc w:val="center"/>
                    <w:rPr>
                      <w:color w:val="auto"/>
                    </w:rPr>
                  </w:pPr>
                  <w:r>
                    <w:rPr>
                      <w:rFonts w:hint="eastAsia"/>
                      <w:color w:val="auto"/>
                    </w:rPr>
                    <w:t>监测类别</w:t>
                  </w:r>
                </w:p>
              </w:tc>
              <w:tc>
                <w:tcPr>
                  <w:tcW w:w="1093" w:type="pct"/>
                  <w:vAlign w:val="center"/>
                </w:tcPr>
                <w:p>
                  <w:pPr>
                    <w:jc w:val="center"/>
                    <w:rPr>
                      <w:color w:val="auto"/>
                    </w:rPr>
                  </w:pPr>
                  <w:r>
                    <w:rPr>
                      <w:rFonts w:hint="eastAsia"/>
                      <w:color w:val="auto"/>
                    </w:rPr>
                    <w:t>监测点位</w:t>
                  </w:r>
                </w:p>
              </w:tc>
              <w:tc>
                <w:tcPr>
                  <w:tcW w:w="691" w:type="pct"/>
                  <w:vAlign w:val="center"/>
                </w:tcPr>
                <w:p>
                  <w:pPr>
                    <w:jc w:val="center"/>
                    <w:rPr>
                      <w:color w:val="auto"/>
                    </w:rPr>
                  </w:pPr>
                  <w:r>
                    <w:rPr>
                      <w:rFonts w:hint="eastAsia"/>
                      <w:color w:val="auto"/>
                    </w:rPr>
                    <w:t>方位距离</w:t>
                  </w:r>
                </w:p>
              </w:tc>
              <w:tc>
                <w:tcPr>
                  <w:tcW w:w="773" w:type="pct"/>
                  <w:vAlign w:val="center"/>
                </w:tcPr>
                <w:p>
                  <w:pPr>
                    <w:jc w:val="center"/>
                    <w:rPr>
                      <w:color w:val="auto"/>
                    </w:rPr>
                  </w:pPr>
                  <w:r>
                    <w:rPr>
                      <w:rFonts w:hint="eastAsia"/>
                      <w:color w:val="auto"/>
                    </w:rPr>
                    <w:t>监测项目</w:t>
                  </w:r>
                </w:p>
              </w:tc>
              <w:tc>
                <w:tcPr>
                  <w:tcW w:w="967" w:type="pct"/>
                  <w:vAlign w:val="center"/>
                </w:tcPr>
                <w:p>
                  <w:pPr>
                    <w:jc w:val="center"/>
                    <w:rPr>
                      <w:color w:val="auto"/>
                    </w:rPr>
                  </w:pPr>
                  <w:r>
                    <w:rPr>
                      <w:rFonts w:hint="eastAsia"/>
                      <w:color w:val="auto"/>
                    </w:rPr>
                    <w:t>监测频次、时间</w:t>
                  </w:r>
                </w:p>
              </w:tc>
              <w:tc>
                <w:tcPr>
                  <w:tcW w:w="998" w:type="pct"/>
                  <w:vAlign w:val="center"/>
                </w:tcPr>
                <w:p>
                  <w:pPr>
                    <w:jc w:val="center"/>
                    <w:rPr>
                      <w:color w:val="auto"/>
                    </w:rPr>
                  </w:pPr>
                  <w:r>
                    <w:rPr>
                      <w:rFonts w:hint="eastAsia"/>
                      <w:color w:val="auto"/>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Align w:val="center"/>
                </w:tcPr>
                <w:p>
                  <w:pPr>
                    <w:jc w:val="center"/>
                    <w:rPr>
                      <w:color w:val="auto"/>
                    </w:rPr>
                  </w:pPr>
                  <w:r>
                    <w:rPr>
                      <w:rFonts w:hint="eastAsia"/>
                      <w:color w:val="auto"/>
                    </w:rPr>
                    <w:t>噪声</w:t>
                  </w:r>
                </w:p>
              </w:tc>
              <w:tc>
                <w:tcPr>
                  <w:tcW w:w="1093" w:type="pct"/>
                  <w:vAlign w:val="center"/>
                </w:tcPr>
                <w:p>
                  <w:pPr>
                    <w:jc w:val="center"/>
                    <w:rPr>
                      <w:color w:val="auto"/>
                    </w:rPr>
                  </w:pPr>
                  <w:r>
                    <w:rPr>
                      <w:rFonts w:hint="eastAsia"/>
                      <w:color w:val="auto"/>
                    </w:rPr>
                    <w:t>厂界1#-</w:t>
                  </w:r>
                  <w:r>
                    <w:rPr>
                      <w:rFonts w:hint="eastAsia"/>
                      <w:color w:val="auto"/>
                      <w:lang w:val="en-US" w:eastAsia="zh-CN"/>
                    </w:rPr>
                    <w:t>4</w:t>
                  </w:r>
                  <w:r>
                    <w:rPr>
                      <w:rFonts w:hint="eastAsia"/>
                      <w:color w:val="auto"/>
                    </w:rPr>
                    <w:t>#</w:t>
                  </w:r>
                </w:p>
              </w:tc>
              <w:tc>
                <w:tcPr>
                  <w:tcW w:w="691" w:type="pct"/>
                  <w:vAlign w:val="center"/>
                </w:tcPr>
                <w:p>
                  <w:pPr>
                    <w:jc w:val="center"/>
                    <w:rPr>
                      <w:color w:val="auto"/>
                    </w:rPr>
                  </w:pPr>
                  <w:r>
                    <w:rPr>
                      <w:rFonts w:hint="eastAsia"/>
                      <w:color w:val="auto"/>
                    </w:rPr>
                    <w:t>/</w:t>
                  </w:r>
                </w:p>
              </w:tc>
              <w:tc>
                <w:tcPr>
                  <w:tcW w:w="773" w:type="pct"/>
                  <w:vAlign w:val="center"/>
                </w:tcPr>
                <w:p>
                  <w:pPr>
                    <w:jc w:val="center"/>
                    <w:rPr>
                      <w:color w:val="auto"/>
                    </w:rPr>
                  </w:pPr>
                  <w:r>
                    <w:rPr>
                      <w:rFonts w:hint="eastAsia"/>
                      <w:color w:val="auto"/>
                    </w:rPr>
                    <w:t>L</w:t>
                  </w:r>
                  <w:r>
                    <w:rPr>
                      <w:rFonts w:hint="eastAsia"/>
                      <w:color w:val="auto"/>
                      <w:vertAlign w:val="subscript"/>
                    </w:rPr>
                    <w:t>eq</w:t>
                  </w:r>
                </w:p>
              </w:tc>
              <w:tc>
                <w:tcPr>
                  <w:tcW w:w="967" w:type="pct"/>
                  <w:vAlign w:val="center"/>
                </w:tcPr>
                <w:p>
                  <w:pPr>
                    <w:jc w:val="center"/>
                    <w:rPr>
                      <w:color w:val="auto"/>
                    </w:rPr>
                  </w:pPr>
                  <w:r>
                    <w:rPr>
                      <w:rFonts w:hint="eastAsia"/>
                      <w:color w:val="auto"/>
                    </w:rPr>
                    <w:t>监测1天，昼夜各1次</w:t>
                  </w:r>
                </w:p>
              </w:tc>
              <w:tc>
                <w:tcPr>
                  <w:tcW w:w="998" w:type="pct"/>
                  <w:vAlign w:val="center"/>
                </w:tcPr>
                <w:p>
                  <w:pPr>
                    <w:jc w:val="center"/>
                    <w:rPr>
                      <w:color w:val="auto"/>
                    </w:rPr>
                  </w:pPr>
                  <w:r>
                    <w:rPr>
                      <w:rFonts w:hint="eastAsia"/>
                      <w:color w:val="auto"/>
                    </w:rPr>
                    <w:t>无雨雪、雷电天气，风速＜5m/s</w:t>
                  </w:r>
                </w:p>
              </w:tc>
            </w:tr>
          </w:tbl>
          <w:p>
            <w:pPr>
              <w:spacing w:line="480" w:lineRule="exact"/>
              <w:ind w:firstLine="480" w:firstLineChars="200"/>
              <w:rPr>
                <w:bCs/>
                <w:color w:val="auto"/>
                <w:sz w:val="24"/>
              </w:rPr>
            </w:pPr>
            <w:r>
              <w:rPr>
                <w:rFonts w:hint="eastAsia"/>
                <w:bCs/>
                <w:color w:val="auto"/>
                <w:sz w:val="24"/>
              </w:rPr>
              <w:t>本项目监测分析方法见下表。</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w:t>
            </w:r>
            <w:r>
              <w:rPr>
                <w:rFonts w:hint="eastAsia" w:ascii="黑体" w:hAnsi="黑体" w:eastAsia="黑体"/>
                <w:bCs/>
                <w:color w:val="auto"/>
                <w:sz w:val="24"/>
                <w:szCs w:val="32"/>
                <w:lang w:val="en-US" w:eastAsia="zh-CN"/>
              </w:rPr>
              <w:t>13</w:t>
            </w:r>
            <w:r>
              <w:rPr>
                <w:rFonts w:hint="eastAsia" w:ascii="黑体" w:hAnsi="黑体" w:eastAsia="黑体"/>
                <w:bCs/>
                <w:color w:val="auto"/>
                <w:sz w:val="24"/>
                <w:szCs w:val="32"/>
              </w:rPr>
              <w:t xml:space="preserve">  监测分析方法一览表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2040"/>
              <w:gridCol w:w="2865"/>
              <w:gridCol w:w="1513"/>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pct"/>
                  <w:vAlign w:val="center"/>
                </w:tcPr>
                <w:p>
                  <w:pPr>
                    <w:pStyle w:val="34"/>
                    <w:overflowPunct w:val="0"/>
                    <w:topLinePunct/>
                    <w:adjustRightInd/>
                    <w:snapToGrid/>
                    <w:spacing w:beforeLines="0" w:afterLines="0" w:line="240" w:lineRule="auto"/>
                    <w:rPr>
                      <w:rFonts w:ascii="Times New Roman"/>
                      <w:bCs/>
                      <w:color w:val="auto"/>
                      <w:sz w:val="21"/>
                      <w:szCs w:val="21"/>
                    </w:rPr>
                  </w:pPr>
                  <w:r>
                    <w:rPr>
                      <w:rFonts w:hint="eastAsia" w:ascii="Times New Roman"/>
                      <w:bCs/>
                      <w:color w:val="auto"/>
                      <w:sz w:val="21"/>
                      <w:szCs w:val="21"/>
                    </w:rPr>
                    <w:t>检测类别</w:t>
                  </w:r>
                </w:p>
              </w:tc>
              <w:tc>
                <w:tcPr>
                  <w:tcW w:w="1203" w:type="pct"/>
                  <w:vAlign w:val="center"/>
                </w:tcPr>
                <w:p>
                  <w:pPr>
                    <w:pStyle w:val="34"/>
                    <w:overflowPunct w:val="0"/>
                    <w:topLinePunct/>
                    <w:adjustRightInd/>
                    <w:snapToGrid/>
                    <w:spacing w:beforeLines="0" w:afterLines="0" w:line="240" w:lineRule="auto"/>
                    <w:rPr>
                      <w:rFonts w:ascii="Times New Roman"/>
                      <w:bCs/>
                      <w:color w:val="auto"/>
                      <w:sz w:val="21"/>
                      <w:szCs w:val="21"/>
                    </w:rPr>
                  </w:pPr>
                  <w:r>
                    <w:rPr>
                      <w:rFonts w:hint="eastAsia" w:ascii="Times New Roman"/>
                      <w:bCs/>
                      <w:color w:val="auto"/>
                      <w:sz w:val="21"/>
                      <w:szCs w:val="21"/>
                    </w:rPr>
                    <w:t>检测项目</w:t>
                  </w:r>
                </w:p>
              </w:tc>
              <w:tc>
                <w:tcPr>
                  <w:tcW w:w="1689" w:type="pct"/>
                  <w:vAlign w:val="center"/>
                </w:tcPr>
                <w:p>
                  <w:pPr>
                    <w:pStyle w:val="34"/>
                    <w:overflowPunct w:val="0"/>
                    <w:topLinePunct/>
                    <w:adjustRightInd/>
                    <w:snapToGrid/>
                    <w:spacing w:beforeLines="0" w:afterLines="0" w:line="240" w:lineRule="auto"/>
                    <w:rPr>
                      <w:rFonts w:ascii="Times New Roman"/>
                      <w:bCs/>
                      <w:color w:val="auto"/>
                      <w:sz w:val="21"/>
                      <w:szCs w:val="21"/>
                    </w:rPr>
                  </w:pPr>
                  <w:r>
                    <w:rPr>
                      <w:rFonts w:hint="eastAsia" w:ascii="Times New Roman"/>
                      <w:bCs/>
                      <w:color w:val="auto"/>
                      <w:sz w:val="21"/>
                      <w:szCs w:val="21"/>
                    </w:rPr>
                    <w:t>检测分析方法与依据</w:t>
                  </w:r>
                </w:p>
              </w:tc>
              <w:tc>
                <w:tcPr>
                  <w:tcW w:w="892" w:type="pct"/>
                  <w:vAlign w:val="center"/>
                </w:tcPr>
                <w:p>
                  <w:pPr>
                    <w:pStyle w:val="34"/>
                    <w:overflowPunct w:val="0"/>
                    <w:topLinePunct/>
                    <w:adjustRightInd/>
                    <w:snapToGrid/>
                    <w:spacing w:beforeLines="0" w:afterLines="0" w:line="240" w:lineRule="auto"/>
                    <w:rPr>
                      <w:rFonts w:ascii="Times New Roman"/>
                      <w:bCs/>
                      <w:color w:val="auto"/>
                      <w:sz w:val="21"/>
                      <w:szCs w:val="21"/>
                    </w:rPr>
                  </w:pPr>
                  <w:r>
                    <w:rPr>
                      <w:rFonts w:hint="eastAsia"/>
                      <w:color w:val="auto"/>
                      <w:sz w:val="21"/>
                      <w:szCs w:val="21"/>
                    </w:rPr>
                    <w:t>方法来源</w:t>
                  </w:r>
                </w:p>
              </w:tc>
              <w:tc>
                <w:tcPr>
                  <w:tcW w:w="725" w:type="pct"/>
                  <w:vAlign w:val="center"/>
                </w:tcPr>
                <w:p>
                  <w:pPr>
                    <w:pStyle w:val="34"/>
                    <w:overflowPunct w:val="0"/>
                    <w:topLinePunct/>
                    <w:adjustRightInd/>
                    <w:snapToGrid/>
                    <w:spacing w:beforeLines="0" w:afterLines="0" w:line="240" w:lineRule="auto"/>
                    <w:rPr>
                      <w:rFonts w:ascii="Times New Roman"/>
                      <w:bCs/>
                      <w:color w:val="auto"/>
                      <w:sz w:val="21"/>
                      <w:szCs w:val="21"/>
                    </w:rPr>
                  </w:pPr>
                  <w:r>
                    <w:rPr>
                      <w:rFonts w:hint="eastAsia" w:ascii="Times New Roman"/>
                      <w:bCs/>
                      <w:color w:val="auto"/>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pct"/>
                  <w:vAlign w:val="center"/>
                </w:tcPr>
                <w:p>
                  <w:pPr>
                    <w:pStyle w:val="34"/>
                    <w:overflowPunct w:val="0"/>
                    <w:topLinePunct/>
                    <w:adjustRightInd/>
                    <w:snapToGrid/>
                    <w:spacing w:beforeLines="0" w:afterLines="0" w:line="240" w:lineRule="auto"/>
                    <w:rPr>
                      <w:rFonts w:ascii="Times New Roman"/>
                      <w:bCs/>
                      <w:color w:val="auto"/>
                      <w:sz w:val="21"/>
                      <w:szCs w:val="21"/>
                    </w:rPr>
                  </w:pPr>
                  <w:r>
                    <w:rPr>
                      <w:rFonts w:hint="eastAsia"/>
                      <w:color w:val="auto"/>
                      <w:sz w:val="21"/>
                      <w:szCs w:val="21"/>
                    </w:rPr>
                    <w:t>噪声</w:t>
                  </w:r>
                </w:p>
              </w:tc>
              <w:tc>
                <w:tcPr>
                  <w:tcW w:w="1203" w:type="pct"/>
                  <w:vAlign w:val="center"/>
                </w:tcPr>
                <w:p>
                  <w:pPr>
                    <w:jc w:val="center"/>
                    <w:rPr>
                      <w:bCs/>
                      <w:color w:val="auto"/>
                    </w:rPr>
                  </w:pPr>
                  <w:r>
                    <w:rPr>
                      <w:rFonts w:hint="eastAsia"/>
                      <w:color w:val="auto"/>
                    </w:rPr>
                    <w:t>Leq、L</w:t>
                  </w:r>
                  <w:r>
                    <w:rPr>
                      <w:rFonts w:hint="eastAsia"/>
                      <w:color w:val="auto"/>
                      <w:vertAlign w:val="subscript"/>
                    </w:rPr>
                    <w:t>10</w:t>
                  </w:r>
                  <w:r>
                    <w:rPr>
                      <w:rFonts w:hint="eastAsia"/>
                      <w:color w:val="auto"/>
                    </w:rPr>
                    <w:t>、L</w:t>
                  </w:r>
                  <w:r>
                    <w:rPr>
                      <w:rFonts w:hint="eastAsia"/>
                      <w:color w:val="auto"/>
                      <w:vertAlign w:val="subscript"/>
                    </w:rPr>
                    <w:t>50</w:t>
                  </w:r>
                  <w:r>
                    <w:rPr>
                      <w:rFonts w:hint="eastAsia"/>
                      <w:color w:val="auto"/>
                    </w:rPr>
                    <w:t>、L</w:t>
                  </w:r>
                  <w:r>
                    <w:rPr>
                      <w:rFonts w:hint="eastAsia"/>
                      <w:color w:val="auto"/>
                      <w:vertAlign w:val="subscript"/>
                    </w:rPr>
                    <w:t>90</w:t>
                  </w:r>
                </w:p>
              </w:tc>
              <w:tc>
                <w:tcPr>
                  <w:tcW w:w="1689" w:type="pct"/>
                  <w:vAlign w:val="center"/>
                </w:tcPr>
                <w:p>
                  <w:pPr>
                    <w:jc w:val="center"/>
                    <w:rPr>
                      <w:bCs/>
                      <w:color w:val="auto"/>
                    </w:rPr>
                  </w:pPr>
                  <w:r>
                    <w:rPr>
                      <w:rFonts w:hint="eastAsia"/>
                      <w:bCs/>
                      <w:color w:val="auto"/>
                    </w:rPr>
                    <w:t>《声环境质量标准》附录B</w:t>
                  </w:r>
                </w:p>
              </w:tc>
              <w:tc>
                <w:tcPr>
                  <w:tcW w:w="892" w:type="pct"/>
                  <w:vAlign w:val="center"/>
                </w:tcPr>
                <w:p>
                  <w:pPr>
                    <w:jc w:val="center"/>
                    <w:rPr>
                      <w:color w:val="auto"/>
                    </w:rPr>
                  </w:pPr>
                  <w:r>
                    <w:rPr>
                      <w:rFonts w:hint="eastAsia"/>
                      <w:color w:val="auto"/>
                    </w:rPr>
                    <w:t>GB3096-2008</w:t>
                  </w:r>
                </w:p>
              </w:tc>
              <w:tc>
                <w:tcPr>
                  <w:tcW w:w="725" w:type="pct"/>
                  <w:vAlign w:val="center"/>
                </w:tcPr>
                <w:p>
                  <w:pPr>
                    <w:jc w:val="center"/>
                    <w:rPr>
                      <w:color w:val="auto"/>
                    </w:rPr>
                  </w:pPr>
                  <w:r>
                    <w:rPr>
                      <w:rFonts w:hint="eastAsia"/>
                      <w:color w:val="auto"/>
                    </w:rPr>
                    <w:t>35dB(A)</w:t>
                  </w:r>
                </w:p>
              </w:tc>
            </w:tr>
          </w:tbl>
          <w:p>
            <w:pPr>
              <w:spacing w:line="480" w:lineRule="exact"/>
              <w:ind w:firstLine="480" w:firstLineChars="200"/>
              <w:rPr>
                <w:bCs/>
                <w:color w:val="auto"/>
                <w:sz w:val="24"/>
              </w:rPr>
            </w:pPr>
            <w:r>
              <w:rPr>
                <w:rFonts w:hint="eastAsia"/>
                <w:bCs/>
                <w:color w:val="auto"/>
                <w:sz w:val="24"/>
              </w:rPr>
              <w:t>声环境质量现状评价标准值见</w:t>
            </w:r>
            <w:r>
              <w:rPr>
                <w:rFonts w:hint="eastAsia"/>
                <w:bCs/>
                <w:color w:val="auto"/>
                <w:sz w:val="24"/>
                <w:lang w:val="en-US" w:eastAsia="zh-CN"/>
              </w:rPr>
              <w:t>下</w:t>
            </w:r>
            <w:r>
              <w:rPr>
                <w:rFonts w:hint="eastAsia"/>
                <w:bCs/>
                <w:color w:val="auto"/>
                <w:sz w:val="24"/>
              </w:rPr>
              <w:t>表。</w:t>
            </w:r>
          </w:p>
          <w:p>
            <w:pPr>
              <w:pStyle w:val="10"/>
              <w:spacing w:line="480" w:lineRule="exact"/>
              <w:ind w:firstLine="0"/>
              <w:jc w:val="center"/>
              <w:rPr>
                <w:rFonts w:ascii="黑体" w:hAnsi="黑体" w:eastAsia="黑体"/>
                <w:color w:val="auto"/>
                <w:sz w:val="24"/>
                <w:szCs w:val="21"/>
              </w:rPr>
            </w:pPr>
            <w:r>
              <w:rPr>
                <w:rFonts w:hint="eastAsia" w:ascii="黑体" w:hAnsi="黑体" w:eastAsia="黑体"/>
                <w:color w:val="auto"/>
                <w:sz w:val="24"/>
                <w:szCs w:val="21"/>
              </w:rPr>
              <w:t>表3-</w:t>
            </w:r>
            <w:r>
              <w:rPr>
                <w:rFonts w:hint="eastAsia" w:ascii="黑体" w:hAnsi="黑体" w:eastAsia="黑体"/>
                <w:color w:val="auto"/>
                <w:sz w:val="24"/>
                <w:szCs w:val="21"/>
                <w:lang w:val="en-US" w:eastAsia="zh-CN"/>
              </w:rPr>
              <w:t>14</w:t>
            </w:r>
            <w:r>
              <w:rPr>
                <w:rFonts w:hint="eastAsia" w:ascii="黑体" w:hAnsi="黑体" w:eastAsia="黑体"/>
                <w:color w:val="auto"/>
                <w:sz w:val="24"/>
                <w:szCs w:val="21"/>
              </w:rPr>
              <w:t xml:space="preserve">  声环境质量标准</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378"/>
              <w:gridCol w:w="1208"/>
              <w:gridCol w:w="1225"/>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45" w:type="pct"/>
                  <w:vAlign w:val="center"/>
                </w:tcPr>
                <w:p>
                  <w:pPr>
                    <w:pStyle w:val="42"/>
                    <w:rPr>
                      <w:color w:val="auto"/>
                    </w:rPr>
                  </w:pPr>
                  <w:r>
                    <w:rPr>
                      <w:rFonts w:hint="eastAsia"/>
                      <w:color w:val="auto"/>
                    </w:rPr>
                    <w:t>污染物名称</w:t>
                  </w:r>
                </w:p>
              </w:tc>
              <w:tc>
                <w:tcPr>
                  <w:tcW w:w="813" w:type="pct"/>
                  <w:vAlign w:val="center"/>
                </w:tcPr>
                <w:p>
                  <w:pPr>
                    <w:pStyle w:val="42"/>
                    <w:rPr>
                      <w:color w:val="auto"/>
                    </w:rPr>
                  </w:pPr>
                  <w:r>
                    <w:rPr>
                      <w:rFonts w:hint="eastAsia"/>
                      <w:color w:val="auto"/>
                    </w:rPr>
                    <w:t>取值时间</w:t>
                  </w:r>
                </w:p>
              </w:tc>
              <w:tc>
                <w:tcPr>
                  <w:tcW w:w="712" w:type="pct"/>
                  <w:vAlign w:val="center"/>
                </w:tcPr>
                <w:p>
                  <w:pPr>
                    <w:pStyle w:val="42"/>
                    <w:rPr>
                      <w:color w:val="auto"/>
                    </w:rPr>
                  </w:pPr>
                  <w:r>
                    <w:rPr>
                      <w:rFonts w:hint="eastAsia"/>
                      <w:color w:val="auto"/>
                    </w:rPr>
                    <w:t>浓度限值</w:t>
                  </w:r>
                </w:p>
              </w:tc>
              <w:tc>
                <w:tcPr>
                  <w:tcW w:w="722" w:type="pct"/>
                  <w:vAlign w:val="center"/>
                </w:tcPr>
                <w:p>
                  <w:pPr>
                    <w:pStyle w:val="42"/>
                    <w:rPr>
                      <w:color w:val="auto"/>
                    </w:rPr>
                  </w:pPr>
                  <w:r>
                    <w:rPr>
                      <w:rFonts w:hint="eastAsia"/>
                      <w:color w:val="auto"/>
                    </w:rPr>
                    <w:t>浓度单位</w:t>
                  </w:r>
                </w:p>
              </w:tc>
              <w:tc>
                <w:tcPr>
                  <w:tcW w:w="2008" w:type="pct"/>
                  <w:vAlign w:val="center"/>
                </w:tcPr>
                <w:p>
                  <w:pPr>
                    <w:pStyle w:val="42"/>
                    <w:rPr>
                      <w:color w:val="auto"/>
                    </w:rPr>
                  </w:pPr>
                  <w:r>
                    <w:rPr>
                      <w:rFonts w:hint="eastAsia"/>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vMerge w:val="restart"/>
                  <w:vAlign w:val="center"/>
                </w:tcPr>
                <w:p>
                  <w:pPr>
                    <w:pStyle w:val="42"/>
                    <w:rPr>
                      <w:color w:val="auto"/>
                    </w:rPr>
                  </w:pPr>
                  <w:r>
                    <w:rPr>
                      <w:rFonts w:hint="eastAsia"/>
                      <w:color w:val="auto"/>
                    </w:rPr>
                    <w:t>噪声</w:t>
                  </w:r>
                </w:p>
              </w:tc>
              <w:tc>
                <w:tcPr>
                  <w:tcW w:w="813" w:type="pct"/>
                  <w:vAlign w:val="center"/>
                </w:tcPr>
                <w:p>
                  <w:pPr>
                    <w:pStyle w:val="42"/>
                    <w:rPr>
                      <w:color w:val="auto"/>
                    </w:rPr>
                  </w:pPr>
                  <w:r>
                    <w:rPr>
                      <w:rFonts w:hint="eastAsia"/>
                      <w:color w:val="auto"/>
                    </w:rPr>
                    <w:t>昼间</w:t>
                  </w:r>
                </w:p>
              </w:tc>
              <w:tc>
                <w:tcPr>
                  <w:tcW w:w="712" w:type="pct"/>
                  <w:vAlign w:val="center"/>
                </w:tcPr>
                <w:p>
                  <w:pPr>
                    <w:pStyle w:val="42"/>
                    <w:rPr>
                      <w:rFonts w:hint="default" w:eastAsia="宋体"/>
                      <w:color w:val="auto"/>
                      <w:lang w:val="en-US" w:eastAsia="zh-CN"/>
                    </w:rPr>
                  </w:pPr>
                  <w:r>
                    <w:rPr>
                      <w:rFonts w:hint="eastAsia"/>
                      <w:color w:val="auto"/>
                      <w:lang w:val="en-US" w:eastAsia="zh-CN"/>
                    </w:rPr>
                    <w:t>60</w:t>
                  </w:r>
                </w:p>
              </w:tc>
              <w:tc>
                <w:tcPr>
                  <w:tcW w:w="722" w:type="pct"/>
                  <w:vAlign w:val="center"/>
                </w:tcPr>
                <w:p>
                  <w:pPr>
                    <w:pStyle w:val="42"/>
                    <w:rPr>
                      <w:color w:val="auto"/>
                    </w:rPr>
                  </w:pPr>
                  <w:r>
                    <w:rPr>
                      <w:rFonts w:hint="eastAsia"/>
                      <w:color w:val="auto"/>
                    </w:rPr>
                    <w:t>dB（A）</w:t>
                  </w:r>
                </w:p>
              </w:tc>
              <w:tc>
                <w:tcPr>
                  <w:tcW w:w="2008" w:type="pct"/>
                  <w:vMerge w:val="restart"/>
                  <w:vAlign w:val="center"/>
                </w:tcPr>
                <w:p>
                  <w:pPr>
                    <w:pStyle w:val="42"/>
                    <w:rPr>
                      <w:color w:val="auto"/>
                    </w:rPr>
                  </w:pPr>
                  <w:r>
                    <w:rPr>
                      <w:rFonts w:hint="eastAsia"/>
                      <w:color w:val="auto"/>
                    </w:rPr>
                    <w:t>《声环境质量标准》(GB3096-2008)2类标准限值要求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vMerge w:val="continue"/>
                  <w:vAlign w:val="center"/>
                </w:tcPr>
                <w:p>
                  <w:pPr>
                    <w:pStyle w:val="42"/>
                    <w:rPr>
                      <w:color w:val="auto"/>
                    </w:rPr>
                  </w:pPr>
                </w:p>
              </w:tc>
              <w:tc>
                <w:tcPr>
                  <w:tcW w:w="813" w:type="pct"/>
                  <w:vAlign w:val="center"/>
                </w:tcPr>
                <w:p>
                  <w:pPr>
                    <w:pStyle w:val="42"/>
                    <w:rPr>
                      <w:color w:val="auto"/>
                    </w:rPr>
                  </w:pPr>
                  <w:r>
                    <w:rPr>
                      <w:rFonts w:hint="eastAsia"/>
                      <w:color w:val="auto"/>
                    </w:rPr>
                    <w:t>夜间</w:t>
                  </w:r>
                </w:p>
              </w:tc>
              <w:tc>
                <w:tcPr>
                  <w:tcW w:w="712" w:type="pct"/>
                  <w:vAlign w:val="center"/>
                </w:tcPr>
                <w:p>
                  <w:pPr>
                    <w:pStyle w:val="42"/>
                    <w:rPr>
                      <w:color w:val="auto"/>
                    </w:rPr>
                  </w:pPr>
                  <w:r>
                    <w:rPr>
                      <w:rFonts w:hint="eastAsia"/>
                      <w:color w:val="auto"/>
                    </w:rPr>
                    <w:t>50</w:t>
                  </w:r>
                </w:p>
              </w:tc>
              <w:tc>
                <w:tcPr>
                  <w:tcW w:w="722" w:type="pct"/>
                  <w:vAlign w:val="center"/>
                </w:tcPr>
                <w:p>
                  <w:pPr>
                    <w:pStyle w:val="42"/>
                    <w:rPr>
                      <w:color w:val="auto"/>
                    </w:rPr>
                  </w:pPr>
                  <w:r>
                    <w:rPr>
                      <w:rFonts w:hint="eastAsia"/>
                      <w:color w:val="auto"/>
                    </w:rPr>
                    <w:t>dB（A）</w:t>
                  </w:r>
                </w:p>
              </w:tc>
              <w:tc>
                <w:tcPr>
                  <w:tcW w:w="2008" w:type="pct"/>
                  <w:vMerge w:val="continue"/>
                  <w:vAlign w:val="center"/>
                </w:tcPr>
                <w:p>
                  <w:pPr>
                    <w:pStyle w:val="42"/>
                    <w:rPr>
                      <w:color w:val="auto"/>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olor w:val="auto"/>
                <w:kern w:val="0"/>
                <w:sz w:val="24"/>
              </w:rPr>
            </w:pPr>
            <w:r>
              <w:drawing>
                <wp:inline distT="0" distB="0" distL="114300" distR="114300">
                  <wp:extent cx="5374005" cy="3785870"/>
                  <wp:effectExtent l="0" t="0" r="17145" b="508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18"/>
                          <a:stretch>
                            <a:fillRect/>
                          </a:stretch>
                        </pic:blipFill>
                        <pic:spPr>
                          <a:xfrm>
                            <a:off x="0" y="0"/>
                            <a:ext cx="5374005" cy="3785870"/>
                          </a:xfrm>
                          <a:prstGeom prst="rect">
                            <a:avLst/>
                          </a:prstGeom>
                          <a:noFill/>
                          <a:ln>
                            <a:noFill/>
                          </a:ln>
                        </pic:spPr>
                      </pic:pic>
                    </a:graphicData>
                  </a:graphic>
                </wp:inline>
              </w:drawing>
            </w:r>
          </w:p>
          <w:p>
            <w:pPr>
              <w:spacing w:line="480" w:lineRule="exact"/>
              <w:jc w:val="center"/>
              <w:rPr>
                <w:bCs/>
                <w:color w:val="auto"/>
                <w:sz w:val="24"/>
              </w:rPr>
            </w:pPr>
            <w:r>
              <w:rPr>
                <w:rFonts w:hint="eastAsia" w:ascii="黑体" w:hAnsi="黑体" w:eastAsia="黑体"/>
                <w:color w:val="auto"/>
                <w:kern w:val="0"/>
                <w:sz w:val="24"/>
              </w:rPr>
              <w:t>图3-</w:t>
            </w:r>
            <w:r>
              <w:rPr>
                <w:rFonts w:hint="eastAsia" w:ascii="黑体" w:hAnsi="黑体" w:eastAsia="黑体"/>
                <w:color w:val="auto"/>
                <w:kern w:val="0"/>
                <w:sz w:val="24"/>
                <w:lang w:val="en-US" w:eastAsia="zh-CN"/>
              </w:rPr>
              <w:t>3</w:t>
            </w:r>
            <w:r>
              <w:rPr>
                <w:rFonts w:hint="eastAsia" w:ascii="黑体" w:hAnsi="黑体" w:eastAsia="黑体"/>
                <w:color w:val="auto"/>
                <w:kern w:val="0"/>
                <w:sz w:val="24"/>
              </w:rPr>
              <w:t xml:space="preserve">  厂界声环境监测布点图</w:t>
            </w:r>
          </w:p>
          <w:p>
            <w:pPr>
              <w:spacing w:line="480" w:lineRule="exact"/>
              <w:ind w:firstLine="480" w:firstLineChars="200"/>
              <w:rPr>
                <w:color w:val="auto"/>
                <w:sz w:val="24"/>
              </w:rPr>
            </w:pPr>
            <w:r>
              <w:rPr>
                <w:rFonts w:hint="eastAsia"/>
                <w:bCs/>
                <w:color w:val="auto"/>
                <w:sz w:val="24"/>
              </w:rPr>
              <w:t>监测结果：</w:t>
            </w:r>
            <w:r>
              <w:rPr>
                <w:rFonts w:hint="eastAsia" w:hAnsi="宋体"/>
                <w:color w:val="auto"/>
                <w:sz w:val="24"/>
              </w:rPr>
              <w:t>厂界声环境质量现状监测结果见下表。</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表3-</w:t>
            </w:r>
            <w:r>
              <w:rPr>
                <w:rFonts w:hint="eastAsia" w:ascii="黑体" w:hAnsi="黑体" w:eastAsia="黑体"/>
                <w:bCs/>
                <w:color w:val="auto"/>
                <w:sz w:val="24"/>
                <w:szCs w:val="32"/>
                <w:lang w:val="en-US" w:eastAsia="zh-CN"/>
              </w:rPr>
              <w:t>15</w:t>
            </w:r>
            <w:r>
              <w:rPr>
                <w:rFonts w:hint="eastAsia" w:ascii="黑体" w:hAnsi="黑体" w:eastAsia="黑体"/>
                <w:bCs/>
                <w:color w:val="auto"/>
                <w:sz w:val="24"/>
                <w:szCs w:val="32"/>
              </w:rPr>
              <w:t xml:space="preserve">  厂界声环境监测结果一览表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787"/>
              <w:gridCol w:w="789"/>
              <w:gridCol w:w="789"/>
              <w:gridCol w:w="796"/>
              <w:gridCol w:w="789"/>
              <w:gridCol w:w="789"/>
              <w:gridCol w:w="789"/>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vMerge w:val="restart"/>
                  <w:vAlign w:val="center"/>
                </w:tcPr>
                <w:p>
                  <w:pPr>
                    <w:jc w:val="center"/>
                    <w:rPr>
                      <w:color w:val="auto"/>
                    </w:rPr>
                  </w:pPr>
                  <w:r>
                    <w:rPr>
                      <w:rFonts w:hint="eastAsia"/>
                      <w:color w:val="auto"/>
                    </w:rPr>
                    <w:t>监测点</w:t>
                  </w:r>
                </w:p>
              </w:tc>
              <w:tc>
                <w:tcPr>
                  <w:tcW w:w="1863" w:type="pct"/>
                  <w:gridSpan w:val="4"/>
                  <w:vAlign w:val="center"/>
                </w:tcPr>
                <w:p>
                  <w:pPr>
                    <w:jc w:val="center"/>
                    <w:rPr>
                      <w:bCs/>
                      <w:color w:val="auto"/>
                    </w:rPr>
                  </w:pPr>
                  <w:r>
                    <w:rPr>
                      <w:rFonts w:hint="eastAsia"/>
                      <w:bCs/>
                      <w:color w:val="auto"/>
                    </w:rPr>
                    <w:t>昼间</w:t>
                  </w:r>
                </w:p>
              </w:tc>
              <w:tc>
                <w:tcPr>
                  <w:tcW w:w="1864" w:type="pct"/>
                  <w:gridSpan w:val="4"/>
                  <w:vAlign w:val="center"/>
                </w:tcPr>
                <w:p>
                  <w:pPr>
                    <w:jc w:val="center"/>
                    <w:rPr>
                      <w:bCs/>
                      <w:color w:val="auto"/>
                    </w:rPr>
                  </w:pPr>
                  <w:r>
                    <w:rPr>
                      <w:rFonts w:hint="eastAsia"/>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vMerge w:val="continue"/>
                  <w:vAlign w:val="center"/>
                </w:tcPr>
                <w:p>
                  <w:pPr>
                    <w:jc w:val="center"/>
                    <w:textAlignment w:val="baseline"/>
                    <w:rPr>
                      <w:rFonts w:eastAsia="Times New Roman"/>
                      <w:color w:val="auto"/>
                    </w:rPr>
                  </w:pPr>
                </w:p>
              </w:tc>
              <w:tc>
                <w:tcPr>
                  <w:tcW w:w="464"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eq</w:t>
                  </w:r>
                </w:p>
              </w:tc>
              <w:tc>
                <w:tcPr>
                  <w:tcW w:w="465"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宋体"/>
                      <w:bCs/>
                      <w:color w:val="auto"/>
                      <w:vertAlign w:val="subscript"/>
                      <w:lang w:val="en-US" w:eastAsia="zh-CN"/>
                    </w:rPr>
                    <w:t>9</w:t>
                  </w:r>
                  <w:r>
                    <w:rPr>
                      <w:rFonts w:hint="eastAsia" w:eastAsia="Times New Roman"/>
                      <w:bCs/>
                      <w:color w:val="auto"/>
                      <w:vertAlign w:val="subscript"/>
                    </w:rPr>
                    <w:t>0</w:t>
                  </w:r>
                </w:p>
              </w:tc>
              <w:tc>
                <w:tcPr>
                  <w:tcW w:w="465"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50</w:t>
                  </w:r>
                </w:p>
              </w:tc>
              <w:tc>
                <w:tcPr>
                  <w:tcW w:w="468"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宋体"/>
                      <w:bCs/>
                      <w:color w:val="auto"/>
                      <w:vertAlign w:val="subscript"/>
                      <w:lang w:val="en-US" w:eastAsia="zh-CN"/>
                    </w:rPr>
                    <w:t>1</w:t>
                  </w:r>
                  <w:r>
                    <w:rPr>
                      <w:rFonts w:hint="eastAsia" w:eastAsia="Times New Roman"/>
                      <w:bCs/>
                      <w:color w:val="auto"/>
                      <w:vertAlign w:val="subscript"/>
                    </w:rPr>
                    <w:t>0</w:t>
                  </w:r>
                </w:p>
              </w:tc>
              <w:tc>
                <w:tcPr>
                  <w:tcW w:w="465"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eq</w:t>
                  </w:r>
                </w:p>
              </w:tc>
              <w:tc>
                <w:tcPr>
                  <w:tcW w:w="465"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宋体"/>
                      <w:bCs/>
                      <w:color w:val="auto"/>
                      <w:vertAlign w:val="subscript"/>
                      <w:lang w:val="en-US" w:eastAsia="zh-CN"/>
                    </w:rPr>
                    <w:t>9</w:t>
                  </w:r>
                  <w:r>
                    <w:rPr>
                      <w:rFonts w:hint="eastAsia" w:eastAsia="Times New Roman"/>
                      <w:bCs/>
                      <w:color w:val="auto"/>
                      <w:vertAlign w:val="subscript"/>
                    </w:rPr>
                    <w:t>0</w:t>
                  </w:r>
                </w:p>
              </w:tc>
              <w:tc>
                <w:tcPr>
                  <w:tcW w:w="465" w:type="pct"/>
                  <w:vAlign w:val="center"/>
                </w:tcPr>
                <w:p>
                  <w:pPr>
                    <w:jc w:val="center"/>
                    <w:textAlignment w:val="baseline"/>
                    <w:rPr>
                      <w:rFonts w:eastAsia="Times New Roman"/>
                      <w:bCs/>
                      <w:color w:val="auto"/>
                    </w:rPr>
                  </w:pPr>
                  <w:r>
                    <w:rPr>
                      <w:rFonts w:hint="eastAsia" w:eastAsia="Times New Roman"/>
                      <w:bCs/>
                      <w:color w:val="auto"/>
                    </w:rPr>
                    <w:t>L</w:t>
                  </w:r>
                  <w:r>
                    <w:rPr>
                      <w:rFonts w:hint="eastAsia" w:eastAsia="Times New Roman"/>
                      <w:bCs/>
                      <w:color w:val="auto"/>
                      <w:vertAlign w:val="subscript"/>
                    </w:rPr>
                    <w:t>50</w:t>
                  </w:r>
                </w:p>
              </w:tc>
              <w:tc>
                <w:tcPr>
                  <w:tcW w:w="468" w:type="pct"/>
                  <w:vAlign w:val="center"/>
                </w:tcPr>
                <w:p>
                  <w:pPr>
                    <w:jc w:val="center"/>
                    <w:textAlignment w:val="baseline"/>
                    <w:rPr>
                      <w:rFonts w:hint="default" w:eastAsia="宋体"/>
                      <w:bCs/>
                      <w:color w:val="auto"/>
                      <w:lang w:val="en-US" w:eastAsia="zh-CN"/>
                    </w:rPr>
                  </w:pPr>
                  <w:r>
                    <w:rPr>
                      <w:rFonts w:hint="eastAsia" w:eastAsia="Times New Roman"/>
                      <w:bCs/>
                      <w:color w:val="auto"/>
                    </w:rPr>
                    <w:t>L</w:t>
                  </w:r>
                  <w:r>
                    <w:rPr>
                      <w:rFonts w:hint="eastAsia" w:eastAsia="宋体"/>
                      <w:bCs/>
                      <w:color w:val="auto"/>
                      <w:vertAlign w:val="subscrip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pct"/>
                  <w:vAlign w:val="center"/>
                </w:tcPr>
                <w:p>
                  <w:pPr>
                    <w:jc w:val="center"/>
                    <w:rPr>
                      <w:color w:val="auto"/>
                    </w:rPr>
                  </w:pPr>
                  <w:r>
                    <w:rPr>
                      <w:rFonts w:hint="eastAsia"/>
                      <w:color w:val="auto"/>
                    </w:rPr>
                    <w:t>厂界</w:t>
                  </w:r>
                  <w:r>
                    <w:rPr>
                      <w:rFonts w:hint="eastAsia"/>
                      <w:color w:val="auto"/>
                      <w:lang w:val="en-US" w:eastAsia="zh-CN"/>
                    </w:rPr>
                    <w:t>北</w:t>
                  </w:r>
                  <w:r>
                    <w:rPr>
                      <w:rFonts w:hint="eastAsia"/>
                      <w:color w:val="auto"/>
                    </w:rPr>
                    <w:t>1#</w:t>
                  </w:r>
                </w:p>
              </w:tc>
              <w:tc>
                <w:tcPr>
                  <w:tcW w:w="464" w:type="pct"/>
                  <w:vAlign w:val="center"/>
                </w:tcPr>
                <w:p>
                  <w:pPr>
                    <w:jc w:val="center"/>
                    <w:textAlignment w:val="baseline"/>
                    <w:rPr>
                      <w:rFonts w:hint="default" w:eastAsia="宋体"/>
                      <w:bCs/>
                      <w:color w:val="auto"/>
                      <w:lang w:val="en-US" w:eastAsia="zh-CN"/>
                    </w:rPr>
                  </w:pPr>
                  <w:r>
                    <w:rPr>
                      <w:rFonts w:hint="eastAsia"/>
                      <w:bCs/>
                      <w:color w:val="auto"/>
                      <w:lang w:val="en-US" w:eastAsia="zh-CN"/>
                    </w:rPr>
                    <w:t>53.3</w:t>
                  </w:r>
                </w:p>
              </w:tc>
              <w:tc>
                <w:tcPr>
                  <w:tcW w:w="465" w:type="pct"/>
                  <w:vAlign w:val="center"/>
                </w:tcPr>
                <w:p>
                  <w:pPr>
                    <w:jc w:val="center"/>
                    <w:textAlignment w:val="baseline"/>
                    <w:rPr>
                      <w:rFonts w:hint="default" w:eastAsia="宋体"/>
                      <w:bCs/>
                      <w:color w:val="auto"/>
                      <w:lang w:val="en-US" w:eastAsia="zh-CN"/>
                    </w:rPr>
                  </w:pPr>
                  <w:r>
                    <w:rPr>
                      <w:rFonts w:hint="eastAsia"/>
                      <w:bCs/>
                      <w:color w:val="auto"/>
                      <w:lang w:val="en-US" w:eastAsia="zh-CN"/>
                    </w:rPr>
                    <w:t>50.2</w:t>
                  </w:r>
                </w:p>
              </w:tc>
              <w:tc>
                <w:tcPr>
                  <w:tcW w:w="465" w:type="pct"/>
                  <w:vAlign w:val="center"/>
                </w:tcPr>
                <w:p>
                  <w:pPr>
                    <w:jc w:val="center"/>
                    <w:textAlignment w:val="baseline"/>
                    <w:rPr>
                      <w:rFonts w:hint="default" w:eastAsia="宋体"/>
                      <w:bCs/>
                      <w:color w:val="auto"/>
                      <w:lang w:val="en-US" w:eastAsia="zh-CN"/>
                    </w:rPr>
                  </w:pPr>
                  <w:r>
                    <w:rPr>
                      <w:rFonts w:hint="eastAsia"/>
                      <w:bCs/>
                      <w:color w:val="auto"/>
                      <w:lang w:val="en-US" w:eastAsia="zh-CN"/>
                    </w:rPr>
                    <w:t>52.8</w:t>
                  </w:r>
                </w:p>
              </w:tc>
              <w:tc>
                <w:tcPr>
                  <w:tcW w:w="468" w:type="pct"/>
                  <w:vAlign w:val="center"/>
                </w:tcPr>
                <w:p>
                  <w:pPr>
                    <w:jc w:val="center"/>
                    <w:textAlignment w:val="baseline"/>
                    <w:rPr>
                      <w:rFonts w:hint="default" w:eastAsia="宋体"/>
                      <w:bCs/>
                      <w:color w:val="auto"/>
                      <w:lang w:val="en-US" w:eastAsia="zh-CN"/>
                    </w:rPr>
                  </w:pPr>
                  <w:r>
                    <w:rPr>
                      <w:rFonts w:hint="eastAsia"/>
                      <w:bCs/>
                      <w:color w:val="auto"/>
                      <w:lang w:val="en-US" w:eastAsia="zh-CN"/>
                    </w:rPr>
                    <w:t>55.3</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43.2</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40.4</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42.8</w:t>
                  </w:r>
                </w:p>
              </w:tc>
              <w:tc>
                <w:tcPr>
                  <w:tcW w:w="468"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vAlign w:val="center"/>
                </w:tcPr>
                <w:p>
                  <w:pPr>
                    <w:jc w:val="center"/>
                    <w:rPr>
                      <w:color w:val="auto"/>
                    </w:rPr>
                  </w:pPr>
                  <w:r>
                    <w:rPr>
                      <w:rFonts w:hint="eastAsia"/>
                      <w:color w:val="auto"/>
                    </w:rPr>
                    <w:t>厂界</w:t>
                  </w:r>
                  <w:r>
                    <w:rPr>
                      <w:rFonts w:hint="eastAsia"/>
                      <w:color w:val="auto"/>
                      <w:lang w:val="en-US" w:eastAsia="zh-CN"/>
                    </w:rPr>
                    <w:t>东</w:t>
                  </w:r>
                  <w:r>
                    <w:rPr>
                      <w:rFonts w:hint="eastAsia"/>
                      <w:color w:val="auto"/>
                    </w:rPr>
                    <w:t>2#</w:t>
                  </w:r>
                </w:p>
              </w:tc>
              <w:tc>
                <w:tcPr>
                  <w:tcW w:w="464" w:type="pct"/>
                  <w:vAlign w:val="center"/>
                </w:tcPr>
                <w:p>
                  <w:pPr>
                    <w:jc w:val="center"/>
                    <w:textAlignment w:val="baseline"/>
                    <w:rPr>
                      <w:rFonts w:hint="default" w:eastAsia="宋体"/>
                      <w:bCs/>
                      <w:color w:val="auto"/>
                      <w:lang w:val="en-US" w:eastAsia="zh-CN"/>
                    </w:rPr>
                  </w:pPr>
                  <w:r>
                    <w:rPr>
                      <w:rFonts w:hint="eastAsia"/>
                      <w:bCs/>
                      <w:color w:val="auto"/>
                      <w:lang w:val="en-US" w:eastAsia="zh-CN"/>
                    </w:rPr>
                    <w:t>52.8</w:t>
                  </w:r>
                </w:p>
              </w:tc>
              <w:tc>
                <w:tcPr>
                  <w:tcW w:w="465" w:type="pct"/>
                  <w:vAlign w:val="center"/>
                </w:tcPr>
                <w:p>
                  <w:pPr>
                    <w:jc w:val="center"/>
                    <w:textAlignment w:val="baseline"/>
                    <w:rPr>
                      <w:rFonts w:hint="default" w:eastAsia="宋体"/>
                      <w:bCs/>
                      <w:color w:val="auto"/>
                      <w:lang w:val="en-US" w:eastAsia="zh-CN"/>
                    </w:rPr>
                  </w:pPr>
                  <w:r>
                    <w:rPr>
                      <w:rFonts w:hint="eastAsia"/>
                      <w:bCs/>
                      <w:color w:val="auto"/>
                      <w:lang w:val="en-US" w:eastAsia="zh-CN"/>
                    </w:rPr>
                    <w:t>51.0</w:t>
                  </w:r>
                </w:p>
              </w:tc>
              <w:tc>
                <w:tcPr>
                  <w:tcW w:w="465" w:type="pct"/>
                  <w:vAlign w:val="center"/>
                </w:tcPr>
                <w:p>
                  <w:pPr>
                    <w:jc w:val="center"/>
                    <w:textAlignment w:val="baseline"/>
                    <w:rPr>
                      <w:rFonts w:hint="default" w:eastAsia="宋体"/>
                      <w:bCs/>
                      <w:color w:val="auto"/>
                      <w:lang w:val="en-US" w:eastAsia="zh-CN"/>
                    </w:rPr>
                  </w:pPr>
                  <w:r>
                    <w:rPr>
                      <w:rFonts w:hint="eastAsia"/>
                      <w:bCs/>
                      <w:color w:val="auto"/>
                      <w:lang w:val="en-US" w:eastAsia="zh-CN"/>
                    </w:rPr>
                    <w:t>52.5</w:t>
                  </w:r>
                </w:p>
              </w:tc>
              <w:tc>
                <w:tcPr>
                  <w:tcW w:w="468" w:type="pct"/>
                  <w:vAlign w:val="center"/>
                </w:tcPr>
                <w:p>
                  <w:pPr>
                    <w:jc w:val="center"/>
                    <w:textAlignment w:val="baseline"/>
                    <w:rPr>
                      <w:rFonts w:hint="default" w:eastAsia="宋体"/>
                      <w:bCs/>
                      <w:color w:val="auto"/>
                      <w:lang w:val="en-US" w:eastAsia="zh-CN"/>
                    </w:rPr>
                  </w:pPr>
                  <w:r>
                    <w:rPr>
                      <w:rFonts w:hint="eastAsia"/>
                      <w:bCs/>
                      <w:color w:val="auto"/>
                      <w:lang w:val="en-US" w:eastAsia="zh-CN"/>
                    </w:rPr>
                    <w:t>53.6</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42.2</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38.4</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41.6</w:t>
                  </w:r>
                </w:p>
              </w:tc>
              <w:tc>
                <w:tcPr>
                  <w:tcW w:w="468"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vAlign w:val="center"/>
                </w:tcPr>
                <w:p>
                  <w:pPr>
                    <w:jc w:val="center"/>
                    <w:rPr>
                      <w:color w:val="auto"/>
                    </w:rPr>
                  </w:pPr>
                  <w:r>
                    <w:rPr>
                      <w:rFonts w:hint="eastAsia"/>
                      <w:color w:val="auto"/>
                    </w:rPr>
                    <w:t>厂界</w:t>
                  </w:r>
                  <w:r>
                    <w:rPr>
                      <w:rFonts w:hint="eastAsia"/>
                      <w:color w:val="auto"/>
                      <w:lang w:val="en-US" w:eastAsia="zh-CN"/>
                    </w:rPr>
                    <w:t>南</w:t>
                  </w:r>
                  <w:r>
                    <w:rPr>
                      <w:rFonts w:hint="eastAsia"/>
                      <w:color w:val="auto"/>
                    </w:rPr>
                    <w:t>3#</w:t>
                  </w:r>
                </w:p>
              </w:tc>
              <w:tc>
                <w:tcPr>
                  <w:tcW w:w="464" w:type="pct"/>
                  <w:vAlign w:val="center"/>
                </w:tcPr>
                <w:p>
                  <w:pPr>
                    <w:jc w:val="center"/>
                    <w:textAlignment w:val="baseline"/>
                    <w:rPr>
                      <w:rFonts w:hint="default" w:eastAsia="宋体"/>
                      <w:bCs/>
                      <w:color w:val="auto"/>
                      <w:lang w:val="en-US" w:eastAsia="zh-CN"/>
                    </w:rPr>
                  </w:pPr>
                  <w:r>
                    <w:rPr>
                      <w:rFonts w:hint="eastAsia"/>
                      <w:bCs/>
                      <w:color w:val="auto"/>
                      <w:lang w:val="en-US" w:eastAsia="zh-CN"/>
                    </w:rPr>
                    <w:t>53.0</w:t>
                  </w:r>
                </w:p>
              </w:tc>
              <w:tc>
                <w:tcPr>
                  <w:tcW w:w="465" w:type="pct"/>
                  <w:vAlign w:val="center"/>
                </w:tcPr>
                <w:p>
                  <w:pPr>
                    <w:jc w:val="center"/>
                    <w:textAlignment w:val="baseline"/>
                    <w:rPr>
                      <w:rFonts w:hint="default" w:eastAsia="宋体"/>
                      <w:bCs/>
                      <w:color w:val="auto"/>
                      <w:lang w:val="en-US" w:eastAsia="zh-CN"/>
                    </w:rPr>
                  </w:pPr>
                  <w:r>
                    <w:rPr>
                      <w:rFonts w:hint="eastAsia"/>
                      <w:bCs/>
                      <w:color w:val="auto"/>
                      <w:lang w:val="en-US" w:eastAsia="zh-CN"/>
                    </w:rPr>
                    <w:t>50.7</w:t>
                  </w:r>
                </w:p>
              </w:tc>
              <w:tc>
                <w:tcPr>
                  <w:tcW w:w="465" w:type="pct"/>
                  <w:vAlign w:val="center"/>
                </w:tcPr>
                <w:p>
                  <w:pPr>
                    <w:jc w:val="center"/>
                    <w:textAlignment w:val="baseline"/>
                    <w:rPr>
                      <w:rFonts w:hint="default" w:eastAsia="宋体"/>
                      <w:bCs/>
                      <w:color w:val="auto"/>
                      <w:lang w:val="en-US" w:eastAsia="zh-CN"/>
                    </w:rPr>
                  </w:pPr>
                  <w:r>
                    <w:rPr>
                      <w:rFonts w:hint="eastAsia"/>
                      <w:bCs/>
                      <w:color w:val="auto"/>
                      <w:lang w:val="en-US" w:eastAsia="zh-CN"/>
                    </w:rPr>
                    <w:t>52.7</w:t>
                  </w:r>
                </w:p>
              </w:tc>
              <w:tc>
                <w:tcPr>
                  <w:tcW w:w="468" w:type="pct"/>
                  <w:vAlign w:val="center"/>
                </w:tcPr>
                <w:p>
                  <w:pPr>
                    <w:jc w:val="center"/>
                    <w:textAlignment w:val="baseline"/>
                    <w:rPr>
                      <w:rFonts w:hint="default" w:eastAsia="宋体"/>
                      <w:bCs/>
                      <w:color w:val="auto"/>
                      <w:lang w:val="en-US" w:eastAsia="zh-CN"/>
                    </w:rPr>
                  </w:pPr>
                  <w:r>
                    <w:rPr>
                      <w:rFonts w:hint="eastAsia"/>
                      <w:bCs/>
                      <w:color w:val="auto"/>
                      <w:lang w:val="en-US" w:eastAsia="zh-CN"/>
                    </w:rPr>
                    <w:t>53.3</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43.1</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37.8</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42.8</w:t>
                  </w:r>
                </w:p>
              </w:tc>
              <w:tc>
                <w:tcPr>
                  <w:tcW w:w="468"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vAlign w:val="center"/>
                </w:tcPr>
                <w:p>
                  <w:pPr>
                    <w:jc w:val="center"/>
                    <w:rPr>
                      <w:color w:val="auto"/>
                    </w:rPr>
                  </w:pPr>
                  <w:r>
                    <w:rPr>
                      <w:rFonts w:hint="eastAsia"/>
                      <w:color w:val="auto"/>
                    </w:rPr>
                    <w:t>厂界</w:t>
                  </w:r>
                  <w:r>
                    <w:rPr>
                      <w:rFonts w:hint="eastAsia"/>
                      <w:color w:val="auto"/>
                      <w:lang w:val="en-US" w:eastAsia="zh-CN"/>
                    </w:rPr>
                    <w:t>西</w:t>
                  </w:r>
                  <w:r>
                    <w:rPr>
                      <w:rFonts w:hint="eastAsia"/>
                      <w:color w:val="auto"/>
                    </w:rPr>
                    <w:t>4#</w:t>
                  </w:r>
                </w:p>
              </w:tc>
              <w:tc>
                <w:tcPr>
                  <w:tcW w:w="464" w:type="pct"/>
                  <w:vAlign w:val="center"/>
                </w:tcPr>
                <w:p>
                  <w:pPr>
                    <w:jc w:val="center"/>
                    <w:textAlignment w:val="baseline"/>
                    <w:rPr>
                      <w:rFonts w:hint="default" w:eastAsia="宋体"/>
                      <w:bCs/>
                      <w:color w:val="auto"/>
                      <w:lang w:val="en-US" w:eastAsia="zh-CN"/>
                    </w:rPr>
                  </w:pPr>
                  <w:r>
                    <w:rPr>
                      <w:rFonts w:hint="eastAsia"/>
                      <w:bCs/>
                      <w:color w:val="auto"/>
                      <w:lang w:val="en-US" w:eastAsia="zh-CN"/>
                    </w:rPr>
                    <w:t>53.8</w:t>
                  </w:r>
                </w:p>
              </w:tc>
              <w:tc>
                <w:tcPr>
                  <w:tcW w:w="465" w:type="pct"/>
                  <w:vAlign w:val="center"/>
                </w:tcPr>
                <w:p>
                  <w:pPr>
                    <w:jc w:val="center"/>
                    <w:textAlignment w:val="baseline"/>
                    <w:rPr>
                      <w:rFonts w:hint="default" w:eastAsia="宋体"/>
                      <w:bCs/>
                      <w:color w:val="auto"/>
                      <w:lang w:val="en-US" w:eastAsia="zh-CN"/>
                    </w:rPr>
                  </w:pPr>
                  <w:r>
                    <w:rPr>
                      <w:rFonts w:hint="eastAsia"/>
                      <w:bCs/>
                      <w:color w:val="auto"/>
                      <w:lang w:val="en-US" w:eastAsia="zh-CN"/>
                    </w:rPr>
                    <w:t>50.4</w:t>
                  </w:r>
                </w:p>
              </w:tc>
              <w:tc>
                <w:tcPr>
                  <w:tcW w:w="465" w:type="pct"/>
                  <w:vAlign w:val="center"/>
                </w:tcPr>
                <w:p>
                  <w:pPr>
                    <w:jc w:val="center"/>
                    <w:textAlignment w:val="baseline"/>
                    <w:rPr>
                      <w:rFonts w:hint="default" w:eastAsia="宋体"/>
                      <w:bCs/>
                      <w:color w:val="auto"/>
                      <w:lang w:val="en-US" w:eastAsia="zh-CN"/>
                    </w:rPr>
                  </w:pPr>
                  <w:r>
                    <w:rPr>
                      <w:rFonts w:hint="eastAsia"/>
                      <w:bCs/>
                      <w:color w:val="auto"/>
                      <w:lang w:val="en-US" w:eastAsia="zh-CN"/>
                    </w:rPr>
                    <w:t>53.4</w:t>
                  </w:r>
                </w:p>
              </w:tc>
              <w:tc>
                <w:tcPr>
                  <w:tcW w:w="468" w:type="pct"/>
                  <w:vAlign w:val="center"/>
                </w:tcPr>
                <w:p>
                  <w:pPr>
                    <w:jc w:val="center"/>
                    <w:textAlignment w:val="baseline"/>
                    <w:rPr>
                      <w:rFonts w:hint="default" w:eastAsia="宋体"/>
                      <w:bCs/>
                      <w:color w:val="auto"/>
                      <w:lang w:val="en-US" w:eastAsia="zh-CN"/>
                    </w:rPr>
                  </w:pPr>
                  <w:r>
                    <w:rPr>
                      <w:rFonts w:hint="eastAsia"/>
                      <w:bCs/>
                      <w:color w:val="auto"/>
                      <w:lang w:val="en-US" w:eastAsia="zh-CN"/>
                    </w:rPr>
                    <w:t>56.0</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43.8</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40.5</w:t>
                  </w:r>
                </w:p>
              </w:tc>
              <w:tc>
                <w:tcPr>
                  <w:tcW w:w="465"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43.4</w:t>
                  </w:r>
                </w:p>
              </w:tc>
              <w:tc>
                <w:tcPr>
                  <w:tcW w:w="468" w:type="pct"/>
                  <w:vAlign w:val="center"/>
                </w:tcPr>
                <w:p>
                  <w:pPr>
                    <w:widowControl/>
                    <w:jc w:val="center"/>
                    <w:textAlignment w:val="center"/>
                    <w:rPr>
                      <w:rFonts w:hint="default" w:eastAsia="宋体"/>
                      <w:bCs/>
                      <w:color w:val="auto"/>
                      <w:lang w:val="en-US" w:eastAsia="zh-CN"/>
                    </w:rPr>
                  </w:pPr>
                  <w:r>
                    <w:rPr>
                      <w:rFonts w:hint="eastAsia"/>
                      <w:bCs/>
                      <w:color w:val="auto"/>
                      <w:lang w:val="en-US" w:eastAsia="zh-CN"/>
                    </w:rPr>
                    <w:t>46.0</w:t>
                  </w:r>
                </w:p>
              </w:tc>
            </w:tr>
          </w:tbl>
          <w:p>
            <w:pPr>
              <w:spacing w:line="480" w:lineRule="exact"/>
              <w:ind w:firstLine="480" w:firstLineChars="200"/>
              <w:rPr>
                <w:rFonts w:hint="default" w:eastAsia="宋体"/>
                <w:bCs/>
                <w:color w:val="auto"/>
                <w:sz w:val="24"/>
                <w:lang w:val="en-US" w:eastAsia="zh-CN"/>
              </w:rPr>
            </w:pPr>
            <w:r>
              <w:rPr>
                <w:rFonts w:hint="eastAsia"/>
                <w:color w:val="auto"/>
                <w:sz w:val="24"/>
                <w:szCs w:val="20"/>
              </w:rPr>
              <w:t>根据上表可知：厂界昼间噪声值在</w:t>
            </w:r>
            <w:r>
              <w:rPr>
                <w:rFonts w:hint="eastAsia"/>
                <w:color w:val="auto"/>
                <w:sz w:val="24"/>
                <w:szCs w:val="20"/>
                <w:lang w:val="en-US" w:eastAsia="zh-CN"/>
              </w:rPr>
              <w:t>52.8-53.8</w:t>
            </w:r>
            <w:r>
              <w:rPr>
                <w:rFonts w:hint="eastAsia"/>
                <w:color w:val="auto"/>
                <w:sz w:val="24"/>
                <w:szCs w:val="20"/>
              </w:rPr>
              <w:t>dB(A)，夜间噪声值在</w:t>
            </w:r>
            <w:r>
              <w:rPr>
                <w:rFonts w:hint="eastAsia"/>
                <w:color w:val="auto"/>
                <w:sz w:val="24"/>
                <w:szCs w:val="20"/>
                <w:lang w:val="en-US" w:eastAsia="zh-CN"/>
              </w:rPr>
              <w:t>42.2-43.8</w:t>
            </w:r>
            <w:r>
              <w:rPr>
                <w:rFonts w:hint="eastAsia"/>
                <w:color w:val="auto"/>
                <w:sz w:val="24"/>
                <w:szCs w:val="20"/>
              </w:rPr>
              <w:t>dB(A)</w:t>
            </w:r>
            <w:r>
              <w:rPr>
                <w:rFonts w:hint="eastAsia"/>
                <w:color w:val="auto"/>
                <w:sz w:val="24"/>
                <w:szCs w:val="20"/>
                <w:lang w:eastAsia="zh-CN"/>
              </w:rPr>
              <w:t>，</w:t>
            </w:r>
            <w:r>
              <w:rPr>
                <w:rFonts w:hint="eastAsia"/>
                <w:color w:val="auto"/>
                <w:sz w:val="24"/>
                <w:szCs w:val="20"/>
              </w:rPr>
              <w:t>均满足《声环境质量标准》(GB3096-2008)2类标准限值要求</w:t>
            </w:r>
            <w:r>
              <w:rPr>
                <w:rFonts w:hint="eastAsia"/>
                <w:color w:val="auto"/>
                <w:sz w:val="24"/>
                <w:szCs w:val="20"/>
                <w:lang w:val="en-US" w:eastAsia="zh-CN"/>
              </w:rPr>
              <w:t>。</w:t>
            </w:r>
          </w:p>
          <w:p>
            <w:pPr>
              <w:adjustRightInd w:val="0"/>
              <w:snapToGrid w:val="0"/>
              <w:spacing w:line="480" w:lineRule="exact"/>
              <w:ind w:firstLine="482" w:firstLineChars="200"/>
              <w:rPr>
                <w:b/>
                <w:bCs/>
                <w:color w:val="auto"/>
                <w:kern w:val="0"/>
                <w:sz w:val="24"/>
              </w:rPr>
            </w:pPr>
            <w:r>
              <w:rPr>
                <w:rFonts w:hint="eastAsia"/>
                <w:b/>
                <w:bCs/>
                <w:color w:val="auto"/>
                <w:kern w:val="0"/>
                <w:sz w:val="24"/>
              </w:rPr>
              <w:t>4、</w:t>
            </w:r>
            <w:r>
              <w:rPr>
                <w:rFonts w:hint="eastAsia" w:hAnsi="宋体"/>
                <w:b/>
                <w:color w:val="auto"/>
                <w:sz w:val="24"/>
                <w:szCs w:val="32"/>
              </w:rPr>
              <w:t>生态环境现状</w:t>
            </w:r>
          </w:p>
          <w:p>
            <w:pPr>
              <w:spacing w:line="480" w:lineRule="exact"/>
              <w:ind w:firstLine="480" w:firstLineChars="200"/>
              <w:rPr>
                <w:color w:val="auto"/>
                <w:sz w:val="24"/>
              </w:rPr>
            </w:pPr>
            <w:r>
              <w:rPr>
                <w:rFonts w:hint="eastAsia"/>
                <w:color w:val="auto"/>
                <w:sz w:val="24"/>
                <w:lang w:val="zh-CN"/>
              </w:rPr>
              <w:t>本项目评价区处于农村地区，不涉及自然保护区、风景名胜区等环境敏感保护目标。</w:t>
            </w:r>
            <w:r>
              <w:rPr>
                <w:rFonts w:hint="eastAsia"/>
                <w:color w:val="auto"/>
                <w:sz w:val="24"/>
              </w:rPr>
              <w:t>植物主要有绿化树木、草地及当地种植的农作物等，没有国家和省市重点保护及濒危动植物。</w:t>
            </w:r>
          </w:p>
          <w:p>
            <w:pPr>
              <w:adjustRightInd w:val="0"/>
              <w:snapToGrid w:val="0"/>
              <w:spacing w:line="480" w:lineRule="exact"/>
              <w:ind w:firstLine="482" w:firstLineChars="200"/>
              <w:rPr>
                <w:b/>
                <w:bCs/>
                <w:color w:val="auto"/>
                <w:kern w:val="0"/>
                <w:sz w:val="24"/>
              </w:rPr>
            </w:pPr>
            <w:r>
              <w:rPr>
                <w:rFonts w:hint="eastAsia"/>
                <w:b/>
                <w:bCs/>
                <w:color w:val="auto"/>
                <w:kern w:val="0"/>
                <w:sz w:val="24"/>
              </w:rPr>
              <w:t>5、土壤和地下水</w:t>
            </w:r>
          </w:p>
          <w:p>
            <w:pPr>
              <w:spacing w:line="480" w:lineRule="exact"/>
              <w:ind w:firstLine="480" w:firstLineChars="200"/>
              <w:rPr>
                <w:rFonts w:hint="eastAsia"/>
                <w:color w:val="auto"/>
                <w:sz w:val="24"/>
              </w:rPr>
            </w:pPr>
            <w:r>
              <w:rPr>
                <w:rFonts w:hint="eastAsia"/>
                <w:color w:val="000000"/>
                <w:sz w:val="24"/>
              </w:rPr>
              <w:t>本</w:t>
            </w:r>
            <w:r>
              <w:rPr>
                <w:color w:val="000000"/>
                <w:sz w:val="24"/>
              </w:rPr>
              <w:t>项目建成后，将对厂区地面进行硬化，且</w:t>
            </w:r>
            <w:r>
              <w:rPr>
                <w:rFonts w:hint="eastAsia"/>
                <w:color w:val="000000"/>
                <w:sz w:val="24"/>
              </w:rPr>
              <w:t>各池体等均</w:t>
            </w:r>
            <w:r>
              <w:rPr>
                <w:color w:val="000000"/>
                <w:sz w:val="24"/>
              </w:rPr>
              <w:t>进行重点防渗，采取措施后，不存在明显的土壤、地下水污染途径，根据《建设项目环境影响报告表编制技术指南（污染影响类）》（试行），未开展地下水、土壤环境现状调查</w:t>
            </w:r>
            <w:r>
              <w:rPr>
                <w:rFonts w:hint="eastAsia"/>
                <w:color w:val="000000"/>
                <w:sz w:val="24"/>
              </w:rPr>
              <w:t>。</w:t>
            </w:r>
          </w:p>
          <w:p>
            <w:pPr>
              <w:adjustRightInd w:val="0"/>
              <w:snapToGrid w:val="0"/>
              <w:spacing w:line="480" w:lineRule="exact"/>
              <w:ind w:firstLine="420" w:firstLineChars="200"/>
              <w:rPr>
                <w:rFonts w:ascii="宋体" w:hAnsi="宋体" w:cs="宋体"/>
                <w:color w:val="auto"/>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60" w:type="dxa"/>
            <w:vAlign w:val="center"/>
          </w:tcPr>
          <w:p>
            <w:pPr>
              <w:adjustRightInd w:val="0"/>
              <w:snapToGrid w:val="0"/>
              <w:jc w:val="center"/>
              <w:rPr>
                <w:rFonts w:ascii="宋体" w:hAnsi="宋体" w:cs="宋体"/>
                <w:color w:val="auto"/>
                <w:kern w:val="0"/>
              </w:rPr>
            </w:pPr>
            <w:r>
              <w:rPr>
                <w:rFonts w:hint="eastAsia" w:ascii="宋体" w:hAnsi="宋体" w:cs="宋体"/>
                <w:color w:val="auto"/>
                <w:kern w:val="0"/>
              </w:rPr>
              <w:t>环境</w:t>
            </w:r>
          </w:p>
          <w:p>
            <w:pPr>
              <w:adjustRightInd w:val="0"/>
              <w:snapToGrid w:val="0"/>
              <w:jc w:val="center"/>
              <w:rPr>
                <w:rFonts w:ascii="宋体" w:hAnsi="宋体" w:cs="宋体"/>
                <w:color w:val="auto"/>
                <w:kern w:val="0"/>
              </w:rPr>
            </w:pPr>
            <w:r>
              <w:rPr>
                <w:rFonts w:hint="eastAsia" w:ascii="宋体" w:hAnsi="宋体" w:cs="宋体"/>
                <w:color w:val="auto"/>
                <w:kern w:val="0"/>
              </w:rPr>
              <w:t>保护</w:t>
            </w:r>
          </w:p>
          <w:p>
            <w:pPr>
              <w:adjustRightInd w:val="0"/>
              <w:snapToGrid w:val="0"/>
              <w:jc w:val="center"/>
              <w:rPr>
                <w:rFonts w:ascii="宋体" w:hAnsi="宋体" w:cs="宋体"/>
                <w:color w:val="auto"/>
                <w:kern w:val="0"/>
              </w:rPr>
            </w:pPr>
            <w:r>
              <w:rPr>
                <w:rFonts w:hint="eastAsia" w:ascii="宋体" w:hAnsi="宋体" w:cs="宋体"/>
                <w:color w:val="auto"/>
                <w:kern w:val="0"/>
              </w:rPr>
              <w:t>目标</w:t>
            </w:r>
          </w:p>
        </w:tc>
        <w:tc>
          <w:tcPr>
            <w:tcW w:w="8682" w:type="dxa"/>
            <w:vAlign w:val="center"/>
          </w:tcPr>
          <w:p>
            <w:pPr>
              <w:adjustRightInd w:val="0"/>
              <w:snapToGrid w:val="0"/>
              <w:spacing w:line="480" w:lineRule="exact"/>
              <w:ind w:firstLine="482" w:firstLineChars="200"/>
              <w:rPr>
                <w:b/>
                <w:bCs/>
                <w:color w:val="auto"/>
                <w:sz w:val="24"/>
              </w:rPr>
            </w:pPr>
            <w:r>
              <w:rPr>
                <w:rFonts w:hint="eastAsia"/>
                <w:b/>
                <w:bCs/>
                <w:color w:val="auto"/>
                <w:sz w:val="24"/>
              </w:rPr>
              <w:t>1、大气环境</w:t>
            </w:r>
          </w:p>
          <w:p>
            <w:pPr>
              <w:adjustRightInd w:val="0"/>
              <w:snapToGrid w:val="0"/>
              <w:spacing w:line="480" w:lineRule="exact"/>
              <w:ind w:firstLine="480" w:firstLineChars="200"/>
              <w:rPr>
                <w:rFonts w:hint="default" w:eastAsia="宋体"/>
                <w:bCs/>
                <w:color w:val="auto"/>
                <w:sz w:val="24"/>
                <w:lang w:val="en-US" w:eastAsia="zh-CN"/>
              </w:rPr>
            </w:pPr>
            <w:r>
              <w:rPr>
                <w:rFonts w:hint="eastAsia"/>
                <w:bCs/>
                <w:color w:val="auto"/>
                <w:sz w:val="24"/>
              </w:rPr>
              <w:t>本项目拟建厂址位于山西省忻州市五台县建安镇张家庄村北440m处，厂界外500m范围内</w:t>
            </w:r>
            <w:r>
              <w:rPr>
                <w:rFonts w:hint="eastAsia"/>
                <w:bCs/>
                <w:color w:val="auto"/>
                <w:sz w:val="24"/>
                <w:lang w:val="en-US" w:eastAsia="zh-CN"/>
              </w:rPr>
              <w:t>存在张家庄村等保护目标</w:t>
            </w:r>
            <w:r>
              <w:rPr>
                <w:rFonts w:hint="eastAsia"/>
                <w:bCs/>
                <w:color w:val="auto"/>
                <w:sz w:val="24"/>
                <w:lang w:eastAsia="zh-CN"/>
              </w:rPr>
              <w:t>，</w:t>
            </w:r>
            <w:r>
              <w:rPr>
                <w:rFonts w:hint="eastAsia"/>
                <w:bCs/>
                <w:color w:val="auto"/>
                <w:sz w:val="24"/>
              </w:rPr>
              <w:t>不存在其他</w:t>
            </w:r>
            <w:r>
              <w:rPr>
                <w:rFonts w:hint="eastAsia"/>
                <w:color w:val="auto"/>
                <w:sz w:val="24"/>
                <w:szCs w:val="24"/>
                <w:lang w:bidi="ar"/>
              </w:rPr>
              <w:t>自然保护区、风景名胜区等保护目标</w:t>
            </w:r>
            <w:r>
              <w:rPr>
                <w:rFonts w:hint="eastAsia"/>
                <w:color w:val="auto"/>
                <w:sz w:val="24"/>
                <w:lang w:val="en-US" w:eastAsia="zh-CN"/>
              </w:rPr>
              <w:t>。</w:t>
            </w:r>
          </w:p>
          <w:p>
            <w:pPr>
              <w:adjustRightInd w:val="0"/>
              <w:snapToGrid w:val="0"/>
              <w:spacing w:line="480" w:lineRule="exact"/>
              <w:ind w:firstLine="482" w:firstLineChars="200"/>
              <w:rPr>
                <w:b/>
                <w:bCs/>
                <w:color w:val="auto"/>
                <w:sz w:val="24"/>
              </w:rPr>
            </w:pPr>
            <w:r>
              <w:rPr>
                <w:rFonts w:hint="eastAsia"/>
                <w:b/>
                <w:bCs/>
                <w:color w:val="auto"/>
                <w:sz w:val="24"/>
              </w:rPr>
              <w:t>2、声环境</w:t>
            </w:r>
          </w:p>
          <w:p>
            <w:pPr>
              <w:adjustRightInd w:val="0"/>
              <w:snapToGrid w:val="0"/>
              <w:spacing w:line="480" w:lineRule="exact"/>
              <w:ind w:firstLine="480" w:firstLineChars="200"/>
              <w:rPr>
                <w:rFonts w:hint="default" w:eastAsia="宋体"/>
                <w:color w:val="auto"/>
                <w:sz w:val="24"/>
                <w:lang w:val="en-US" w:eastAsia="zh-CN"/>
              </w:rPr>
            </w:pPr>
            <w:r>
              <w:rPr>
                <w:rFonts w:hint="eastAsia"/>
                <w:bCs/>
                <w:color w:val="auto"/>
                <w:sz w:val="24"/>
              </w:rPr>
              <w:t>本项目拟建厂址位于山西省忻州市五台县建安镇张家庄村北440m处，厂界外50m范围内</w:t>
            </w:r>
            <w:r>
              <w:rPr>
                <w:rFonts w:hint="eastAsia"/>
                <w:bCs/>
                <w:color w:val="auto"/>
                <w:sz w:val="24"/>
                <w:lang w:val="en-US" w:eastAsia="zh-CN"/>
              </w:rPr>
              <w:t>无居住区等声</w:t>
            </w:r>
            <w:r>
              <w:rPr>
                <w:rFonts w:hint="eastAsia"/>
                <w:bCs/>
                <w:color w:val="auto"/>
                <w:sz w:val="24"/>
              </w:rPr>
              <w:t>环境保护目标</w:t>
            </w:r>
            <w:r>
              <w:rPr>
                <w:rFonts w:hint="eastAsia"/>
                <w:bCs/>
                <w:color w:val="auto"/>
                <w:sz w:val="24"/>
                <w:lang w:val="en-US" w:eastAsia="zh-CN"/>
              </w:rPr>
              <w:t>。</w:t>
            </w:r>
          </w:p>
          <w:p>
            <w:pPr>
              <w:adjustRightInd w:val="0"/>
              <w:snapToGrid w:val="0"/>
              <w:spacing w:line="480" w:lineRule="exact"/>
              <w:ind w:firstLine="482" w:firstLineChars="200"/>
              <w:rPr>
                <w:b/>
                <w:bCs/>
                <w:color w:val="auto"/>
                <w:sz w:val="24"/>
              </w:rPr>
            </w:pPr>
            <w:r>
              <w:rPr>
                <w:rFonts w:hint="eastAsia"/>
                <w:b/>
                <w:bCs/>
                <w:color w:val="auto"/>
                <w:sz w:val="24"/>
              </w:rPr>
              <w:t>3、地下水环境</w:t>
            </w:r>
          </w:p>
          <w:p>
            <w:pPr>
              <w:adjustRightInd w:val="0"/>
              <w:snapToGrid w:val="0"/>
              <w:spacing w:line="480" w:lineRule="exact"/>
              <w:ind w:firstLine="480" w:firstLineChars="200"/>
              <w:rPr>
                <w:color w:val="auto"/>
                <w:sz w:val="24"/>
              </w:rPr>
            </w:pPr>
            <w:r>
              <w:rPr>
                <w:rFonts w:hint="eastAsia"/>
                <w:color w:val="auto"/>
                <w:sz w:val="24"/>
              </w:rPr>
              <w:t>本项目厂界外500米范围内无地下水集中式饮用水水源和热水、矿泉水、温泉等特殊地下水资源。</w:t>
            </w:r>
          </w:p>
          <w:p>
            <w:pPr>
              <w:adjustRightInd w:val="0"/>
              <w:snapToGrid w:val="0"/>
              <w:spacing w:line="480" w:lineRule="exact"/>
              <w:ind w:firstLine="482" w:firstLineChars="200"/>
              <w:rPr>
                <w:b/>
                <w:bCs/>
                <w:color w:val="auto"/>
                <w:sz w:val="24"/>
              </w:rPr>
            </w:pPr>
            <w:r>
              <w:rPr>
                <w:rFonts w:hint="eastAsia"/>
                <w:b/>
                <w:bCs/>
                <w:color w:val="auto"/>
                <w:sz w:val="24"/>
              </w:rPr>
              <w:t>4、生态环境</w:t>
            </w:r>
          </w:p>
          <w:p>
            <w:pPr>
              <w:adjustRightInd w:val="0"/>
              <w:snapToGrid w:val="0"/>
              <w:spacing w:line="480" w:lineRule="exact"/>
              <w:ind w:firstLine="480" w:firstLineChars="200"/>
              <w:rPr>
                <w:color w:val="auto"/>
                <w:sz w:val="24"/>
              </w:rPr>
            </w:pPr>
            <w:r>
              <w:rPr>
                <w:rFonts w:hint="eastAsia"/>
                <w:color w:val="auto"/>
                <w:sz w:val="24"/>
              </w:rPr>
              <w:t>产业园区外建设项目新增用地的，应明确新增用地范围内生态环境保护目标。</w:t>
            </w:r>
            <w:r>
              <w:rPr>
                <w:rFonts w:hint="eastAsia"/>
                <w:bCs/>
                <w:color w:val="auto"/>
                <w:sz w:val="24"/>
              </w:rPr>
              <w:t>本项目拟建厂址位于山西省忻州市五台县建安镇张家庄村北440m处，</w:t>
            </w:r>
            <w:r>
              <w:rPr>
                <w:rFonts w:hint="eastAsia"/>
                <w:color w:val="auto"/>
                <w:sz w:val="24"/>
                <w:szCs w:val="24"/>
                <w:lang w:bidi="ar"/>
              </w:rPr>
              <w:t>本项目新增用地范围内无生态环境保护目标。</w:t>
            </w:r>
          </w:p>
          <w:p>
            <w:pPr>
              <w:adjustRightInd w:val="0"/>
              <w:snapToGrid w:val="0"/>
              <w:spacing w:line="480" w:lineRule="exact"/>
              <w:ind w:firstLine="480" w:firstLineChars="200"/>
              <w:rPr>
                <w:color w:val="auto"/>
                <w:sz w:val="24"/>
              </w:rPr>
            </w:pPr>
            <w:r>
              <w:rPr>
                <w:rFonts w:hint="eastAsia"/>
                <w:color w:val="auto"/>
                <w:sz w:val="24"/>
              </w:rPr>
              <w:t>本项目环境保护目标见下表，。</w:t>
            </w:r>
          </w:p>
          <w:p>
            <w:pPr>
              <w:spacing w:line="480" w:lineRule="exact"/>
              <w:jc w:val="center"/>
              <w:rPr>
                <w:rFonts w:hint="eastAsia" w:ascii="黑体" w:hAnsi="黑体" w:eastAsia="黑体"/>
                <w:bCs/>
                <w:color w:val="auto"/>
                <w:sz w:val="24"/>
              </w:rPr>
            </w:pPr>
          </w:p>
          <w:p>
            <w:pPr>
              <w:spacing w:line="480" w:lineRule="exact"/>
              <w:jc w:val="center"/>
              <w:rPr>
                <w:rFonts w:hint="eastAsia" w:ascii="黑体" w:hAnsi="黑体" w:eastAsia="黑体"/>
                <w:bCs/>
                <w:color w:val="auto"/>
                <w:sz w:val="24"/>
              </w:rPr>
            </w:pPr>
          </w:p>
          <w:p>
            <w:pPr>
              <w:spacing w:line="480" w:lineRule="exact"/>
              <w:jc w:val="center"/>
              <w:rPr>
                <w:rFonts w:hint="eastAsia" w:ascii="黑体" w:hAnsi="黑体" w:eastAsia="黑体"/>
                <w:bCs/>
                <w:color w:val="auto"/>
                <w:sz w:val="24"/>
              </w:rPr>
            </w:pPr>
          </w:p>
          <w:p>
            <w:pPr>
              <w:spacing w:line="480" w:lineRule="exact"/>
              <w:jc w:val="center"/>
              <w:rPr>
                <w:rFonts w:hint="eastAsia" w:ascii="黑体" w:hAnsi="黑体" w:eastAsia="黑体"/>
                <w:bCs/>
                <w:color w:val="auto"/>
                <w:sz w:val="24"/>
              </w:rPr>
            </w:pPr>
          </w:p>
          <w:p>
            <w:pPr>
              <w:spacing w:line="480" w:lineRule="exact"/>
              <w:jc w:val="center"/>
              <w:rPr>
                <w:rFonts w:hint="eastAsia" w:ascii="黑体" w:hAnsi="黑体" w:eastAsia="黑体"/>
                <w:bCs/>
                <w:color w:val="auto"/>
                <w:sz w:val="24"/>
              </w:rPr>
            </w:pPr>
          </w:p>
          <w:p>
            <w:pPr>
              <w:spacing w:line="480" w:lineRule="exact"/>
              <w:jc w:val="center"/>
              <w:rPr>
                <w:rFonts w:ascii="黑体" w:hAnsi="黑体" w:eastAsia="黑体"/>
                <w:bCs/>
                <w:color w:val="auto"/>
                <w:sz w:val="24"/>
              </w:rPr>
            </w:pPr>
            <w:r>
              <w:rPr>
                <w:rFonts w:hint="eastAsia" w:ascii="黑体" w:hAnsi="黑体" w:eastAsia="黑体"/>
                <w:bCs/>
                <w:color w:val="auto"/>
                <w:sz w:val="24"/>
              </w:rPr>
              <w:t>表3-1</w:t>
            </w:r>
            <w:r>
              <w:rPr>
                <w:rFonts w:hint="eastAsia" w:ascii="黑体" w:hAnsi="黑体" w:eastAsia="黑体"/>
                <w:bCs/>
                <w:color w:val="auto"/>
                <w:sz w:val="24"/>
                <w:lang w:val="en-US" w:eastAsia="zh-CN"/>
              </w:rPr>
              <w:t>6</w:t>
            </w:r>
            <w:r>
              <w:rPr>
                <w:rFonts w:hint="eastAsia" w:ascii="黑体" w:hAnsi="黑体" w:eastAsia="黑体"/>
                <w:bCs/>
                <w:color w:val="auto"/>
                <w:sz w:val="24"/>
              </w:rPr>
              <w:t xml:space="preserve">  环境保护目标一览表</w:t>
            </w:r>
          </w:p>
          <w:tbl>
            <w:tblPr>
              <w:tblStyle w:val="28"/>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468"/>
              <w:gridCol w:w="5"/>
              <w:gridCol w:w="1780"/>
              <w:gridCol w:w="1009"/>
              <w:gridCol w:w="779"/>
              <w:gridCol w:w="5"/>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类别</w:t>
                  </w:r>
                </w:p>
              </w:tc>
              <w:tc>
                <w:tcPr>
                  <w:tcW w:w="1468" w:type="dxa"/>
                  <w:vAlign w:val="center"/>
                </w:tcPr>
                <w:p>
                  <w:pPr>
                    <w:adjustRightInd w:val="0"/>
                    <w:snapToGrid w:val="0"/>
                    <w:jc w:val="center"/>
                    <w:rPr>
                      <w:color w:val="auto"/>
                    </w:rPr>
                  </w:pPr>
                  <w:r>
                    <w:rPr>
                      <w:rFonts w:hint="eastAsia"/>
                      <w:color w:val="auto"/>
                    </w:rPr>
                    <w:t>保护目标</w:t>
                  </w:r>
                </w:p>
              </w:tc>
              <w:tc>
                <w:tcPr>
                  <w:tcW w:w="1785" w:type="dxa"/>
                  <w:gridSpan w:val="2"/>
                  <w:vAlign w:val="center"/>
                </w:tcPr>
                <w:p>
                  <w:pPr>
                    <w:adjustRightInd w:val="0"/>
                    <w:snapToGrid w:val="0"/>
                    <w:jc w:val="center"/>
                    <w:rPr>
                      <w:color w:val="auto"/>
                    </w:rPr>
                  </w:pPr>
                  <w:r>
                    <w:rPr>
                      <w:rFonts w:hint="eastAsia"/>
                      <w:color w:val="auto"/>
                    </w:rPr>
                    <w:t>坐标</w:t>
                  </w:r>
                </w:p>
              </w:tc>
              <w:tc>
                <w:tcPr>
                  <w:tcW w:w="1009" w:type="dxa"/>
                  <w:vAlign w:val="center"/>
                </w:tcPr>
                <w:p>
                  <w:pPr>
                    <w:adjustRightInd w:val="0"/>
                    <w:snapToGrid w:val="0"/>
                    <w:jc w:val="center"/>
                    <w:rPr>
                      <w:color w:val="auto"/>
                    </w:rPr>
                  </w:pPr>
                  <w:r>
                    <w:rPr>
                      <w:rFonts w:hint="eastAsia"/>
                      <w:color w:val="auto"/>
                    </w:rPr>
                    <w:t>相对厂址方位</w:t>
                  </w:r>
                </w:p>
              </w:tc>
              <w:tc>
                <w:tcPr>
                  <w:tcW w:w="779" w:type="dxa"/>
                  <w:vAlign w:val="center"/>
                </w:tcPr>
                <w:p>
                  <w:pPr>
                    <w:adjustRightInd w:val="0"/>
                    <w:snapToGrid w:val="0"/>
                    <w:jc w:val="center"/>
                    <w:rPr>
                      <w:color w:val="auto"/>
                    </w:rPr>
                  </w:pPr>
                  <w:r>
                    <w:rPr>
                      <w:rFonts w:hint="eastAsia"/>
                      <w:color w:val="auto"/>
                    </w:rPr>
                    <w:t>距离</w:t>
                  </w:r>
                </w:p>
              </w:tc>
              <w:tc>
                <w:tcPr>
                  <w:tcW w:w="2637" w:type="dxa"/>
                  <w:gridSpan w:val="2"/>
                  <w:vAlign w:val="center"/>
                </w:tcPr>
                <w:p>
                  <w:pPr>
                    <w:adjustRightInd w:val="0"/>
                    <w:snapToGrid w:val="0"/>
                    <w:jc w:val="center"/>
                    <w:rPr>
                      <w:color w:val="auto"/>
                    </w:rPr>
                  </w:pPr>
                  <w:r>
                    <w:rPr>
                      <w:rFonts w:hint="eastAsia"/>
                      <w:color w:val="auto"/>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环境空气</w:t>
                  </w:r>
                </w:p>
              </w:tc>
              <w:tc>
                <w:tcPr>
                  <w:tcW w:w="1473" w:type="dxa"/>
                  <w:gridSpan w:val="2"/>
                  <w:vAlign w:val="center"/>
                </w:tcPr>
                <w:p>
                  <w:pPr>
                    <w:adjustRightInd w:val="0"/>
                    <w:snapToGrid w:val="0"/>
                    <w:jc w:val="center"/>
                    <w:rPr>
                      <w:rFonts w:hint="default" w:eastAsia="宋体"/>
                      <w:color w:val="auto"/>
                      <w:lang w:val="en-US" w:eastAsia="zh-CN"/>
                    </w:rPr>
                  </w:pPr>
                  <w:r>
                    <w:rPr>
                      <w:rFonts w:hint="eastAsia"/>
                      <w:color w:val="auto"/>
                      <w:lang w:val="en-US" w:eastAsia="zh-CN"/>
                    </w:rPr>
                    <w:t>张家庄村</w:t>
                  </w:r>
                </w:p>
              </w:tc>
              <w:tc>
                <w:tcPr>
                  <w:tcW w:w="1780" w:type="dxa"/>
                  <w:vAlign w:val="center"/>
                </w:tcPr>
                <w:p>
                  <w:pPr>
                    <w:adjustRightInd w:val="0"/>
                    <w:snapToGrid w:val="0"/>
                    <w:jc w:val="center"/>
                    <w:rPr>
                      <w:rFonts w:hint="eastAsia"/>
                      <w:color w:val="auto"/>
                      <w:lang w:val="en-US" w:eastAsia="zh-CN"/>
                    </w:rPr>
                  </w:pPr>
                  <w:r>
                    <w:rPr>
                      <w:rFonts w:hint="eastAsia"/>
                      <w:color w:val="auto"/>
                      <w:lang w:val="en-US" w:eastAsia="zh-CN"/>
                    </w:rPr>
                    <w:t>E</w:t>
                  </w:r>
                  <w:r>
                    <w:rPr>
                      <w:rFonts w:hint="default" w:ascii="Times New Roman" w:hAnsi="Times New Roman" w:cs="Times New Roman"/>
                      <w:color w:val="auto"/>
                      <w:lang w:val="en-US" w:eastAsia="zh-CN"/>
                    </w:rPr>
                    <w:t>113°</w:t>
                  </w:r>
                  <w:r>
                    <w:rPr>
                      <w:rFonts w:hint="eastAsia" w:cs="Times New Roman"/>
                      <w:color w:val="auto"/>
                      <w:lang w:val="en-US" w:eastAsia="zh-CN"/>
                    </w:rPr>
                    <w:t>9</w:t>
                  </w:r>
                  <w:r>
                    <w:rPr>
                      <w:rFonts w:hint="default" w:ascii="Times New Roman" w:hAnsi="Times New Roman" w:cs="Times New Roman"/>
                      <w:color w:val="auto"/>
                      <w:lang w:val="en-US" w:eastAsia="zh-CN"/>
                    </w:rPr>
                    <w:t>′</w:t>
                  </w:r>
                  <w:r>
                    <w:rPr>
                      <w:rFonts w:hint="eastAsia" w:cs="Times New Roman"/>
                      <w:color w:val="auto"/>
                      <w:lang w:val="en-US" w:eastAsia="zh-CN"/>
                    </w:rPr>
                    <w:t>29.48</w:t>
                  </w:r>
                  <w:r>
                    <w:rPr>
                      <w:rFonts w:hint="default" w:ascii="Times New Roman" w:hAnsi="Times New Roman" w:cs="Times New Roman"/>
                      <w:color w:val="auto"/>
                      <w:lang w:val="en-US" w:eastAsia="zh-CN"/>
                    </w:rPr>
                    <w:t>″</w:t>
                  </w:r>
                </w:p>
                <w:p>
                  <w:pPr>
                    <w:adjustRightInd w:val="0"/>
                    <w:snapToGrid w:val="0"/>
                    <w:jc w:val="center"/>
                    <w:rPr>
                      <w:rFonts w:hint="default"/>
                      <w:color w:val="auto"/>
                      <w:lang w:val="en-US" w:eastAsia="zh-CN"/>
                    </w:rPr>
                  </w:pPr>
                  <w:r>
                    <w:rPr>
                      <w:rFonts w:hint="eastAsia"/>
                      <w:color w:val="auto"/>
                      <w:lang w:val="en-US" w:eastAsia="zh-CN"/>
                    </w:rPr>
                    <w:t>N</w:t>
                  </w:r>
                  <w:r>
                    <w:rPr>
                      <w:rFonts w:hint="eastAsia" w:cs="Times New Roman"/>
                      <w:color w:val="auto"/>
                      <w:lang w:val="en-US" w:eastAsia="zh-CN"/>
                    </w:rPr>
                    <w:t>38</w:t>
                  </w:r>
                  <w:r>
                    <w:rPr>
                      <w:rFonts w:hint="default" w:ascii="Times New Roman" w:hAnsi="Times New Roman" w:cs="Times New Roman"/>
                      <w:color w:val="auto"/>
                      <w:lang w:val="en-US" w:eastAsia="zh-CN"/>
                    </w:rPr>
                    <w:t>°</w:t>
                  </w:r>
                  <w:r>
                    <w:rPr>
                      <w:rFonts w:hint="eastAsia" w:cs="Times New Roman"/>
                      <w:color w:val="auto"/>
                      <w:lang w:val="en-US" w:eastAsia="zh-CN"/>
                    </w:rPr>
                    <w:t>36</w:t>
                  </w:r>
                  <w:r>
                    <w:rPr>
                      <w:rFonts w:hint="default" w:ascii="Times New Roman" w:hAnsi="Times New Roman" w:cs="Times New Roman"/>
                      <w:color w:val="auto"/>
                      <w:lang w:val="en-US" w:eastAsia="zh-CN"/>
                    </w:rPr>
                    <w:t>′</w:t>
                  </w:r>
                  <w:r>
                    <w:rPr>
                      <w:rFonts w:hint="eastAsia" w:cs="Times New Roman"/>
                      <w:color w:val="auto"/>
                      <w:lang w:val="en-US" w:eastAsia="zh-CN"/>
                    </w:rPr>
                    <w:t>58.38</w:t>
                  </w:r>
                  <w:r>
                    <w:rPr>
                      <w:rFonts w:hint="default" w:ascii="Times New Roman" w:hAnsi="Times New Roman" w:cs="Times New Roman"/>
                      <w:color w:val="auto"/>
                      <w:lang w:val="en-US" w:eastAsia="zh-CN"/>
                    </w:rPr>
                    <w:t>″</w:t>
                  </w:r>
                </w:p>
              </w:tc>
              <w:tc>
                <w:tcPr>
                  <w:tcW w:w="1009" w:type="dxa"/>
                  <w:vAlign w:val="center"/>
                </w:tcPr>
                <w:p>
                  <w:pPr>
                    <w:adjustRightInd w:val="0"/>
                    <w:snapToGrid w:val="0"/>
                    <w:jc w:val="center"/>
                    <w:rPr>
                      <w:rFonts w:hint="eastAsia" w:eastAsia="宋体"/>
                      <w:color w:val="auto"/>
                      <w:lang w:val="en-US" w:eastAsia="zh-CN"/>
                    </w:rPr>
                  </w:pPr>
                  <w:r>
                    <w:rPr>
                      <w:rFonts w:hint="eastAsia"/>
                      <w:color w:val="auto"/>
                      <w:lang w:val="en-US" w:eastAsia="zh-CN"/>
                    </w:rPr>
                    <w:t>S</w:t>
                  </w:r>
                </w:p>
              </w:tc>
              <w:tc>
                <w:tcPr>
                  <w:tcW w:w="784" w:type="dxa"/>
                  <w:gridSpan w:val="2"/>
                  <w:vAlign w:val="center"/>
                </w:tcPr>
                <w:p>
                  <w:pPr>
                    <w:adjustRightInd w:val="0"/>
                    <w:snapToGrid w:val="0"/>
                    <w:jc w:val="center"/>
                    <w:rPr>
                      <w:rFonts w:hint="default" w:eastAsia="宋体"/>
                      <w:color w:val="auto"/>
                      <w:lang w:val="en-US" w:eastAsia="zh-CN"/>
                    </w:rPr>
                  </w:pPr>
                  <w:r>
                    <w:rPr>
                      <w:rFonts w:hint="eastAsia"/>
                      <w:color w:val="auto"/>
                      <w:lang w:val="en-US" w:eastAsia="zh-CN"/>
                    </w:rPr>
                    <w:t>440m</w:t>
                  </w:r>
                </w:p>
              </w:tc>
              <w:tc>
                <w:tcPr>
                  <w:tcW w:w="2632" w:type="dxa"/>
                  <w:vAlign w:val="center"/>
                </w:tcPr>
                <w:p>
                  <w:pPr>
                    <w:adjustRightInd w:val="0"/>
                    <w:snapToGrid w:val="0"/>
                    <w:jc w:val="center"/>
                    <w:rPr>
                      <w:rFonts w:hint="default" w:eastAsia="宋体"/>
                      <w:color w:val="auto"/>
                      <w:lang w:val="en-US" w:eastAsia="zh-CN"/>
                    </w:rPr>
                  </w:pPr>
                  <w:r>
                    <w:rPr>
                      <w:rFonts w:hint="eastAsia"/>
                      <w:color w:val="auto"/>
                    </w:rPr>
                    <w:t>《环境空气质量标准》(GB3095-2012)</w:t>
                  </w:r>
                  <w:r>
                    <w:rPr>
                      <w:rFonts w:hint="eastAsia"/>
                      <w:color w:val="auto"/>
                      <w:sz w:val="24"/>
                      <w:szCs w:val="32"/>
                    </w:rPr>
                    <w:t xml:space="preserve"> </w:t>
                  </w:r>
                  <w:r>
                    <w:rPr>
                      <w:rFonts w:hint="eastAsia"/>
                      <w:color w:val="auto"/>
                      <w:lang w:val="en-US" w:eastAsia="zh-CN"/>
                    </w:rPr>
                    <w:t>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声环境</w:t>
                  </w:r>
                </w:p>
              </w:tc>
              <w:tc>
                <w:tcPr>
                  <w:tcW w:w="7678" w:type="dxa"/>
                  <w:gridSpan w:val="7"/>
                  <w:vAlign w:val="center"/>
                </w:tcPr>
                <w:p>
                  <w:pPr>
                    <w:adjustRightInd w:val="0"/>
                    <w:snapToGrid w:val="0"/>
                    <w:jc w:val="both"/>
                    <w:rPr>
                      <w:rFonts w:hint="eastAsia" w:eastAsia="宋体"/>
                      <w:color w:val="auto"/>
                      <w:lang w:eastAsia="zh-CN"/>
                    </w:rPr>
                  </w:pPr>
                  <w:r>
                    <w:rPr>
                      <w:rFonts w:hint="eastAsia"/>
                      <w:color w:val="auto"/>
                    </w:rPr>
                    <w:t>厂界外50m范围内无居住区等声环境保护目标</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地下水</w:t>
                  </w:r>
                </w:p>
              </w:tc>
              <w:tc>
                <w:tcPr>
                  <w:tcW w:w="7678" w:type="dxa"/>
                  <w:gridSpan w:val="7"/>
                  <w:vAlign w:val="center"/>
                </w:tcPr>
                <w:p>
                  <w:pPr>
                    <w:adjustRightInd w:val="0"/>
                    <w:snapToGrid w:val="0"/>
                    <w:jc w:val="both"/>
                    <w:rPr>
                      <w:rFonts w:hint="eastAsia" w:eastAsia="宋体"/>
                      <w:color w:val="auto"/>
                      <w:lang w:val="en-US" w:eastAsia="zh-CN"/>
                    </w:rPr>
                  </w:pPr>
                  <w:r>
                    <w:rPr>
                      <w:rFonts w:hint="eastAsia"/>
                      <w:color w:val="auto"/>
                    </w:rPr>
                    <w:t>厂界外500米范围内无地下水集中式饮用水水源和热水、矿泉水、温泉等特殊地下水资源</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adjustRightInd w:val="0"/>
                    <w:snapToGrid w:val="0"/>
                    <w:jc w:val="center"/>
                    <w:rPr>
                      <w:color w:val="auto"/>
                    </w:rPr>
                  </w:pPr>
                  <w:r>
                    <w:rPr>
                      <w:rFonts w:hint="eastAsia"/>
                      <w:color w:val="auto"/>
                    </w:rPr>
                    <w:t>生态</w:t>
                  </w:r>
                </w:p>
              </w:tc>
              <w:tc>
                <w:tcPr>
                  <w:tcW w:w="7678" w:type="dxa"/>
                  <w:gridSpan w:val="7"/>
                  <w:vAlign w:val="center"/>
                </w:tcPr>
                <w:p>
                  <w:pPr>
                    <w:adjustRightInd w:val="0"/>
                    <w:snapToGrid w:val="0"/>
                    <w:jc w:val="both"/>
                    <w:rPr>
                      <w:rFonts w:hint="eastAsia" w:eastAsia="宋体"/>
                      <w:color w:val="auto"/>
                      <w:lang w:eastAsia="zh-CN"/>
                    </w:rPr>
                  </w:pPr>
                  <w:r>
                    <w:rPr>
                      <w:rFonts w:hint="eastAsia" w:eastAsia="宋体"/>
                      <w:color w:val="auto"/>
                      <w:lang w:eastAsia="zh-CN"/>
                    </w:rPr>
                    <w:t>本项目拟建厂址位于山西省忻州市五台县建安镇张家庄村北440m处，本项目新增用地范围内无生态环境保护目标。</w:t>
                  </w:r>
                </w:p>
              </w:tc>
            </w:tr>
          </w:tbl>
          <w:p>
            <w:pPr>
              <w:adjustRightInd w:val="0"/>
              <w:snapToGrid w:val="0"/>
              <w:spacing w:line="480" w:lineRule="exact"/>
              <w:ind w:firstLine="480" w:firstLineChars="200"/>
              <w:rPr>
                <w:rFonts w:hint="eastAsia"/>
                <w:color w:val="auto"/>
                <w:sz w:val="24"/>
                <w:szCs w:val="24"/>
                <w:lang w:bidi="ar"/>
              </w:rPr>
            </w:pPr>
            <w:r>
              <w:rPr>
                <w:rFonts w:hint="eastAsia"/>
                <w:color w:val="auto"/>
                <w:sz w:val="24"/>
                <w:szCs w:val="24"/>
                <w:lang w:bidi="ar"/>
              </w:rPr>
              <w:t>本项目环境保护目标图见附图</w:t>
            </w:r>
            <w:r>
              <w:rPr>
                <w:rFonts w:hint="eastAsia"/>
                <w:color w:val="auto"/>
                <w:sz w:val="24"/>
                <w:szCs w:val="24"/>
                <w:lang w:val="en-US" w:eastAsia="zh-CN" w:bidi="ar"/>
              </w:rPr>
              <w:t>10</w:t>
            </w:r>
            <w:r>
              <w:rPr>
                <w:rFonts w:hint="eastAsia"/>
                <w:color w:val="auto"/>
                <w:sz w:val="24"/>
                <w:szCs w:val="24"/>
                <w:lang w:bidi="ar"/>
              </w:rPr>
              <w:t>。</w:t>
            </w:r>
          </w:p>
          <w:p>
            <w:pPr>
              <w:adjustRightInd w:val="0"/>
              <w:snapToGrid w:val="0"/>
              <w:spacing w:line="480" w:lineRule="exact"/>
              <w:rPr>
                <w:rFonts w:ascii="宋体" w:hAnsi="宋体" w:cs="宋体"/>
                <w:color w:val="auto"/>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60" w:type="dxa"/>
            <w:tcMar>
              <w:left w:w="28" w:type="dxa"/>
              <w:right w:w="28" w:type="dxa"/>
            </w:tcMar>
            <w:vAlign w:val="center"/>
          </w:tcPr>
          <w:p>
            <w:pPr>
              <w:adjustRightInd w:val="0"/>
              <w:snapToGrid w:val="0"/>
              <w:jc w:val="center"/>
              <w:rPr>
                <w:rFonts w:ascii="宋体" w:hAnsi="宋体" w:cs="宋体"/>
                <w:color w:val="auto"/>
                <w:kern w:val="0"/>
              </w:rPr>
            </w:pPr>
            <w:r>
              <w:rPr>
                <w:rFonts w:hint="eastAsia" w:ascii="宋体" w:hAnsi="宋体" w:cs="宋体"/>
                <w:color w:val="auto"/>
                <w:kern w:val="0"/>
              </w:rPr>
              <w:t>污染</w:t>
            </w:r>
          </w:p>
          <w:p>
            <w:pPr>
              <w:adjustRightInd w:val="0"/>
              <w:snapToGrid w:val="0"/>
              <w:jc w:val="center"/>
              <w:rPr>
                <w:rFonts w:ascii="宋体" w:hAnsi="宋体" w:cs="宋体"/>
                <w:color w:val="auto"/>
                <w:kern w:val="0"/>
              </w:rPr>
            </w:pPr>
            <w:r>
              <w:rPr>
                <w:rFonts w:hint="eastAsia" w:ascii="宋体" w:hAnsi="宋体" w:cs="宋体"/>
                <w:color w:val="auto"/>
                <w:kern w:val="0"/>
              </w:rPr>
              <w:t>物排</w:t>
            </w:r>
          </w:p>
          <w:p>
            <w:pPr>
              <w:adjustRightInd w:val="0"/>
              <w:snapToGrid w:val="0"/>
              <w:jc w:val="center"/>
              <w:rPr>
                <w:rFonts w:ascii="宋体" w:hAnsi="宋体" w:cs="宋体"/>
                <w:color w:val="auto"/>
                <w:kern w:val="0"/>
              </w:rPr>
            </w:pPr>
            <w:r>
              <w:rPr>
                <w:rFonts w:hint="eastAsia" w:ascii="宋体" w:hAnsi="宋体" w:cs="宋体"/>
                <w:color w:val="auto"/>
                <w:kern w:val="0"/>
              </w:rPr>
              <w:t>放控</w:t>
            </w:r>
          </w:p>
          <w:p>
            <w:pPr>
              <w:adjustRightInd w:val="0"/>
              <w:snapToGrid w:val="0"/>
              <w:jc w:val="center"/>
              <w:rPr>
                <w:rFonts w:ascii="宋体" w:hAnsi="宋体" w:cs="宋体"/>
                <w:color w:val="auto"/>
                <w:kern w:val="0"/>
              </w:rPr>
            </w:pPr>
            <w:r>
              <w:rPr>
                <w:rFonts w:hint="eastAsia" w:ascii="宋体" w:hAnsi="宋体" w:cs="宋体"/>
                <w:color w:val="auto"/>
                <w:kern w:val="0"/>
              </w:rPr>
              <w:t>制标</w:t>
            </w:r>
          </w:p>
          <w:p>
            <w:pPr>
              <w:adjustRightInd w:val="0"/>
              <w:snapToGrid w:val="0"/>
              <w:jc w:val="center"/>
              <w:rPr>
                <w:rFonts w:ascii="宋体" w:hAnsi="宋体" w:cs="宋体"/>
                <w:color w:val="auto"/>
                <w:kern w:val="0"/>
              </w:rPr>
            </w:pPr>
            <w:r>
              <w:rPr>
                <w:rFonts w:hint="eastAsia" w:ascii="宋体" w:hAnsi="宋体" w:cs="宋体"/>
                <w:color w:val="auto"/>
                <w:kern w:val="0"/>
              </w:rPr>
              <w:t>准</w:t>
            </w:r>
          </w:p>
        </w:tc>
        <w:tc>
          <w:tcPr>
            <w:tcW w:w="8682" w:type="dxa"/>
            <w:vAlign w:val="center"/>
          </w:tcPr>
          <w:p>
            <w:pPr>
              <w:spacing w:line="480" w:lineRule="exact"/>
              <w:ind w:firstLine="482" w:firstLineChars="200"/>
              <w:rPr>
                <w:b/>
                <w:color w:val="auto"/>
                <w:sz w:val="24"/>
              </w:rPr>
            </w:pPr>
            <w:r>
              <w:rPr>
                <w:rFonts w:hint="eastAsia"/>
                <w:b/>
                <w:color w:val="auto"/>
                <w:sz w:val="24"/>
              </w:rPr>
              <w:t>1、大气污染物排放标准</w:t>
            </w:r>
          </w:p>
          <w:p>
            <w:pPr>
              <w:spacing w:line="480" w:lineRule="exact"/>
              <w:ind w:firstLine="464" w:firstLineChars="200"/>
              <w:rPr>
                <w:rFonts w:hint="eastAsia"/>
                <w:color w:val="auto"/>
                <w:spacing w:val="-4"/>
                <w:sz w:val="24"/>
                <w:lang w:val="en-US" w:eastAsia="zh-CN"/>
              </w:rPr>
            </w:pPr>
            <w:r>
              <w:rPr>
                <w:rFonts w:hint="eastAsia"/>
                <w:color w:val="auto"/>
                <w:spacing w:val="-4"/>
                <w:sz w:val="24"/>
                <w:lang w:val="en-US" w:eastAsia="zh-CN"/>
              </w:rPr>
              <w:t>污水厂生物滤池除臭系统排气筒废气执行《恶臭污染物排放标准》（GB14554-93）表2中标准，厂界执行</w:t>
            </w:r>
            <w:r>
              <w:rPr>
                <w:rFonts w:hint="eastAsia"/>
                <w:color w:val="auto"/>
                <w:sz w:val="24"/>
                <w:lang w:val="en-US" w:eastAsia="zh-CN"/>
              </w:rPr>
              <w:t>《城镇污水处理厂污染物排放标准》（GB18918-2002）表4</w:t>
            </w:r>
            <w:r>
              <w:rPr>
                <w:rFonts w:hint="eastAsia"/>
                <w:color w:val="auto"/>
                <w:spacing w:val="-4"/>
                <w:sz w:val="24"/>
                <w:lang w:val="en-US" w:eastAsia="zh-CN"/>
              </w:rPr>
              <w:t>中二级排放标准，执行标准限值见下表。</w:t>
            </w:r>
          </w:p>
          <w:p>
            <w:pPr>
              <w:spacing w:line="480" w:lineRule="exact"/>
              <w:jc w:val="center"/>
              <w:rPr>
                <w:rFonts w:hint="default" w:ascii="黑体" w:hAnsi="黑体" w:eastAsia="黑体"/>
                <w:bCs/>
                <w:color w:val="auto"/>
                <w:sz w:val="24"/>
                <w:lang w:val="en-US" w:eastAsia="zh-CN"/>
              </w:rPr>
            </w:pPr>
            <w:r>
              <w:rPr>
                <w:rFonts w:hint="eastAsia" w:ascii="黑体" w:hAnsi="黑体" w:eastAsia="黑体"/>
                <w:bCs/>
                <w:color w:val="auto"/>
                <w:sz w:val="24"/>
              </w:rPr>
              <w:t>表3-1</w:t>
            </w:r>
            <w:r>
              <w:rPr>
                <w:rFonts w:hint="eastAsia" w:ascii="黑体" w:hAnsi="黑体" w:eastAsia="黑体"/>
                <w:bCs/>
                <w:color w:val="auto"/>
                <w:sz w:val="24"/>
                <w:lang w:val="en-US" w:eastAsia="zh-CN"/>
              </w:rPr>
              <w:t>7</w:t>
            </w:r>
            <w:r>
              <w:rPr>
                <w:rFonts w:hint="eastAsia" w:ascii="黑体" w:hAnsi="黑体" w:eastAsia="黑体"/>
                <w:bCs/>
                <w:color w:val="auto"/>
                <w:sz w:val="24"/>
              </w:rPr>
              <w:t xml:space="preserve">  《恶臭污染物排放标准》（GB</w:t>
            </w:r>
            <w:r>
              <w:rPr>
                <w:rFonts w:hint="eastAsia" w:ascii="黑体" w:hAnsi="黑体" w:eastAsia="黑体"/>
                <w:bCs/>
                <w:color w:val="auto"/>
                <w:sz w:val="24"/>
                <w:lang w:val="en-US" w:eastAsia="zh-CN"/>
              </w:rPr>
              <w:t>14554-93</w:t>
            </w:r>
            <w:r>
              <w:rPr>
                <w:rFonts w:hint="eastAsia" w:ascii="黑体" w:hAnsi="黑体" w:eastAsia="黑体"/>
                <w:bCs/>
                <w:color w:val="auto"/>
                <w:sz w:val="24"/>
              </w:rPr>
              <w:t>）</w:t>
            </w:r>
            <w:r>
              <w:rPr>
                <w:rFonts w:hint="eastAsia" w:ascii="黑体" w:hAnsi="黑体" w:eastAsia="黑体"/>
                <w:bCs/>
                <w:color w:val="auto"/>
                <w:sz w:val="24"/>
                <w:lang w:val="en-US" w:eastAsia="zh-CN"/>
              </w:rPr>
              <w:t>排放标准值</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2449"/>
              <w:gridCol w:w="2449"/>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Cs/>
                      <w:kern w:val="0"/>
                      <w:szCs w:val="21"/>
                    </w:rPr>
                    <w:t>序号</w:t>
                  </w:r>
                </w:p>
              </w:tc>
              <w:tc>
                <w:tcPr>
                  <w:tcW w:w="1444"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Cs/>
                      <w:kern w:val="0"/>
                      <w:szCs w:val="21"/>
                    </w:rPr>
                    <w:t>项目</w:t>
                  </w:r>
                </w:p>
              </w:tc>
              <w:tc>
                <w:tcPr>
                  <w:tcW w:w="1444"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Cs/>
                      <w:kern w:val="0"/>
                      <w:szCs w:val="21"/>
                    </w:rPr>
                    <w:t>排气筒高度m</w:t>
                  </w:r>
                </w:p>
              </w:tc>
              <w:tc>
                <w:tcPr>
                  <w:tcW w:w="1675"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noWrap w:val="0"/>
                  <w:vAlign w:val="center"/>
                </w:tcPr>
                <w:p>
                  <w:pPr>
                    <w:widowControl/>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1</w:t>
                  </w:r>
                </w:p>
              </w:tc>
              <w:tc>
                <w:tcPr>
                  <w:tcW w:w="1444" w:type="pct"/>
                  <w:noWrap w:val="0"/>
                  <w:vAlign w:val="center"/>
                </w:tcPr>
                <w:p>
                  <w:pPr>
                    <w:widowControl/>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氨</w:t>
                  </w:r>
                </w:p>
              </w:tc>
              <w:tc>
                <w:tcPr>
                  <w:tcW w:w="1444"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Cs/>
                      <w:kern w:val="0"/>
                      <w:szCs w:val="21"/>
                    </w:rPr>
                    <w:t>15</w:t>
                  </w:r>
                </w:p>
              </w:tc>
              <w:tc>
                <w:tcPr>
                  <w:tcW w:w="1675"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Cs/>
                      <w:kern w:val="0"/>
                      <w:szCs w:val="21"/>
                    </w:rPr>
                    <w:t>4.9</w:t>
                  </w:r>
                  <w:r>
                    <w:rPr>
                      <w:rFonts w:hint="eastAsia" w:ascii="Times New Roman" w:hAnsi="Times New Roman" w:cs="Times New Roman"/>
                      <w:bCs/>
                      <w:kern w:val="0"/>
                      <w:szCs w:val="21"/>
                      <w:lang w:val="en-US" w:eastAsia="zh-CN"/>
                    </w:rPr>
                    <w:t xml:space="preserve"> </w:t>
                  </w:r>
                  <w:r>
                    <w:rPr>
                      <w:rFonts w:hint="default" w:ascii="Times New Roman" w:hAnsi="Times New Roman" w:cs="Times New Roman"/>
                      <w:bCs/>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noWrap w:val="0"/>
                  <w:vAlign w:val="center"/>
                </w:tcPr>
                <w:p>
                  <w:pPr>
                    <w:widowControl/>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2</w:t>
                  </w:r>
                </w:p>
              </w:tc>
              <w:tc>
                <w:tcPr>
                  <w:tcW w:w="1444"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Cs/>
                      <w:kern w:val="0"/>
                      <w:szCs w:val="21"/>
                    </w:rPr>
                    <w:t>硫化氢</w:t>
                  </w:r>
                </w:p>
              </w:tc>
              <w:tc>
                <w:tcPr>
                  <w:tcW w:w="1444"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Cs/>
                      <w:kern w:val="0"/>
                      <w:szCs w:val="21"/>
                    </w:rPr>
                    <w:t>15</w:t>
                  </w:r>
                </w:p>
              </w:tc>
              <w:tc>
                <w:tcPr>
                  <w:tcW w:w="1675" w:type="pct"/>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Cs/>
                      <w:kern w:val="0"/>
                      <w:szCs w:val="21"/>
                    </w:rPr>
                    <w:t>0.33 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noWrap w:val="0"/>
                  <w:vAlign w:val="center"/>
                </w:tcPr>
                <w:p>
                  <w:pPr>
                    <w:widowControl/>
                    <w:snapToGrid w:val="0"/>
                    <w:jc w:val="center"/>
                    <w:rPr>
                      <w:rFonts w:hint="eastAsia" w:ascii="Times New Roman" w:hAnsi="Times New Roman" w:eastAsia="宋体" w:cs="Times New Roman"/>
                      <w:bCs/>
                      <w:kern w:val="0"/>
                      <w:szCs w:val="21"/>
                      <w:lang w:val="en-US" w:eastAsia="zh-CN"/>
                    </w:rPr>
                  </w:pPr>
                  <w:r>
                    <w:rPr>
                      <w:rFonts w:hint="eastAsia" w:ascii="Times New Roman" w:hAnsi="Times New Roman" w:cs="Times New Roman"/>
                      <w:bCs/>
                      <w:kern w:val="0"/>
                      <w:szCs w:val="21"/>
                      <w:lang w:val="en-US" w:eastAsia="zh-CN"/>
                    </w:rPr>
                    <w:t>3</w:t>
                  </w:r>
                </w:p>
              </w:tc>
              <w:tc>
                <w:tcPr>
                  <w:tcW w:w="1444" w:type="pct"/>
                  <w:noWrap w:val="0"/>
                  <w:vAlign w:val="center"/>
                </w:tcPr>
                <w:p>
                  <w:pPr>
                    <w:widowControl/>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臭气浓度</w:t>
                  </w:r>
                </w:p>
              </w:tc>
              <w:tc>
                <w:tcPr>
                  <w:tcW w:w="1444" w:type="pct"/>
                  <w:noWrap w:val="0"/>
                  <w:vAlign w:val="center"/>
                </w:tcPr>
                <w:p>
                  <w:pPr>
                    <w:widowControl/>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15</w:t>
                  </w:r>
                </w:p>
              </w:tc>
              <w:tc>
                <w:tcPr>
                  <w:tcW w:w="1675" w:type="pct"/>
                  <w:noWrap w:val="0"/>
                  <w:vAlign w:val="center"/>
                </w:tcPr>
                <w:p>
                  <w:pPr>
                    <w:widowControl/>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2000（无量纲）</w:t>
                  </w:r>
                </w:p>
              </w:tc>
            </w:tr>
          </w:tbl>
          <w:p>
            <w:pPr>
              <w:spacing w:line="480" w:lineRule="exact"/>
              <w:jc w:val="center"/>
              <w:rPr>
                <w:rFonts w:hint="default" w:ascii="黑体" w:hAnsi="黑体" w:eastAsia="黑体"/>
                <w:bCs/>
                <w:color w:val="auto"/>
                <w:sz w:val="24"/>
                <w:lang w:val="en-US" w:eastAsia="zh-CN"/>
              </w:rPr>
            </w:pPr>
            <w:r>
              <w:rPr>
                <w:rFonts w:hint="eastAsia" w:ascii="黑体" w:hAnsi="黑体" w:eastAsia="黑体"/>
                <w:bCs/>
                <w:color w:val="auto"/>
                <w:sz w:val="24"/>
              </w:rPr>
              <w:t>表3-1</w:t>
            </w:r>
            <w:r>
              <w:rPr>
                <w:rFonts w:hint="eastAsia" w:ascii="黑体" w:hAnsi="黑体" w:eastAsia="黑体"/>
                <w:bCs/>
                <w:color w:val="auto"/>
                <w:sz w:val="24"/>
                <w:lang w:val="en-US" w:eastAsia="zh-CN"/>
              </w:rPr>
              <w:t>8</w:t>
            </w:r>
            <w:r>
              <w:rPr>
                <w:rFonts w:hint="eastAsia" w:ascii="黑体" w:hAnsi="黑体" w:eastAsia="黑体"/>
                <w:bCs/>
                <w:color w:val="auto"/>
                <w:sz w:val="24"/>
              </w:rPr>
              <w:t xml:space="preserve">  </w:t>
            </w:r>
            <w:r>
              <w:rPr>
                <w:rFonts w:hint="eastAsia" w:ascii="黑体" w:hAnsi="黑体" w:eastAsia="黑体"/>
                <w:bCs/>
                <w:color w:val="auto"/>
                <w:sz w:val="24"/>
                <w:lang w:val="en-US" w:eastAsia="zh-CN"/>
              </w:rPr>
              <w:t>《城镇污水处理厂污染物排放标准》（GB18918-2002）厂界标准值</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3455"/>
              <w:gridCol w:w="3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noWrap w:val="0"/>
                  <w:vAlign w:val="center"/>
                </w:tcPr>
                <w:p>
                  <w:pPr>
                    <w:widowControl/>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Cs/>
                      <w:kern w:val="0"/>
                      <w:sz w:val="21"/>
                      <w:szCs w:val="21"/>
                    </w:rPr>
                    <w:t>序号</w:t>
                  </w:r>
                </w:p>
              </w:tc>
              <w:tc>
                <w:tcPr>
                  <w:tcW w:w="2037" w:type="pct"/>
                  <w:noWrap w:val="0"/>
                  <w:vAlign w:val="center"/>
                </w:tcPr>
                <w:p>
                  <w:pPr>
                    <w:widowControl/>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Cs/>
                      <w:kern w:val="0"/>
                      <w:sz w:val="21"/>
                      <w:szCs w:val="21"/>
                    </w:rPr>
                    <w:t>控制项目</w:t>
                  </w:r>
                </w:p>
              </w:tc>
              <w:tc>
                <w:tcPr>
                  <w:tcW w:w="2336" w:type="pct"/>
                  <w:noWrap w:val="0"/>
                  <w:vAlign w:val="center"/>
                </w:tcPr>
                <w:p>
                  <w:pPr>
                    <w:widowControl/>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Cs/>
                      <w:kern w:val="0"/>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noWrap w:val="0"/>
                  <w:vAlign w:val="center"/>
                </w:tcPr>
                <w:p>
                  <w:pPr>
                    <w:widowControl/>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2037" w:type="pct"/>
                  <w:noWrap w:val="0"/>
                  <w:vAlign w:val="center"/>
                </w:tcPr>
                <w:p>
                  <w:pPr>
                    <w:widowControl/>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氨</w:t>
                  </w:r>
                </w:p>
              </w:tc>
              <w:tc>
                <w:tcPr>
                  <w:tcW w:w="2336" w:type="pct"/>
                  <w:noWrap w:val="0"/>
                  <w:vAlign w:val="center"/>
                </w:tcPr>
                <w:p>
                  <w:pPr>
                    <w:widowControl/>
                    <w:snapToGrid w:val="0"/>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Cs/>
                      <w:kern w:val="0"/>
                      <w:sz w:val="21"/>
                      <w:szCs w:val="21"/>
                    </w:rPr>
                    <w:t>1.5</w:t>
                  </w:r>
                  <w:r>
                    <w:rPr>
                      <w:rFonts w:hint="eastAsia" w:cs="Times New Roman"/>
                      <w:bCs/>
                      <w:kern w:val="0"/>
                      <w:sz w:val="21"/>
                      <w:szCs w:val="21"/>
                      <w:lang w:val="en-US" w:eastAsia="zh-CN"/>
                    </w:rPr>
                    <w:t xml:space="preserve"> mg/m</w:t>
                  </w:r>
                  <w:r>
                    <w:rPr>
                      <w:rFonts w:hint="eastAsia" w:cs="Times New Roman"/>
                      <w:bCs/>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noWrap w:val="0"/>
                  <w:vAlign w:val="center"/>
                </w:tcPr>
                <w:p>
                  <w:pPr>
                    <w:widowControl/>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2037" w:type="pct"/>
                  <w:noWrap w:val="0"/>
                  <w:vAlign w:val="center"/>
                </w:tcPr>
                <w:p>
                  <w:pPr>
                    <w:widowControl/>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Cs/>
                      <w:kern w:val="0"/>
                      <w:sz w:val="21"/>
                      <w:szCs w:val="21"/>
                    </w:rPr>
                    <w:t>硫化氢</w:t>
                  </w:r>
                </w:p>
              </w:tc>
              <w:tc>
                <w:tcPr>
                  <w:tcW w:w="2336" w:type="pct"/>
                  <w:noWrap w:val="0"/>
                  <w:vAlign w:val="center"/>
                </w:tcPr>
                <w:p>
                  <w:pPr>
                    <w:widowControl/>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Cs/>
                      <w:kern w:val="0"/>
                      <w:sz w:val="21"/>
                      <w:szCs w:val="21"/>
                    </w:rPr>
                    <w:t>0.06</w:t>
                  </w:r>
                  <w:r>
                    <w:rPr>
                      <w:rFonts w:hint="eastAsia" w:cs="Times New Roman"/>
                      <w:bCs/>
                      <w:kern w:val="0"/>
                      <w:sz w:val="21"/>
                      <w:szCs w:val="21"/>
                      <w:lang w:val="en-US" w:eastAsia="zh-CN"/>
                    </w:rPr>
                    <w:t xml:space="preserve"> mg/m</w:t>
                  </w:r>
                  <w:r>
                    <w:rPr>
                      <w:rFonts w:hint="eastAsia" w:cs="Times New Roman"/>
                      <w:bCs/>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noWrap w:val="0"/>
                  <w:vAlign w:val="center"/>
                </w:tcPr>
                <w:p>
                  <w:pPr>
                    <w:widowControl/>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w:t>
                  </w:r>
                </w:p>
              </w:tc>
              <w:tc>
                <w:tcPr>
                  <w:tcW w:w="2037" w:type="pct"/>
                  <w:noWrap w:val="0"/>
                  <w:vAlign w:val="center"/>
                </w:tcPr>
                <w:p>
                  <w:pPr>
                    <w:widowControl/>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Cs/>
                      <w:kern w:val="0"/>
                      <w:sz w:val="21"/>
                      <w:szCs w:val="21"/>
                    </w:rPr>
                    <w:t>臭气浓度（无量纲）</w:t>
                  </w:r>
                </w:p>
              </w:tc>
              <w:tc>
                <w:tcPr>
                  <w:tcW w:w="2336" w:type="pct"/>
                  <w:noWrap w:val="0"/>
                  <w:vAlign w:val="center"/>
                </w:tcPr>
                <w:p>
                  <w:pPr>
                    <w:widowControl/>
                    <w:snapToGrid w:val="0"/>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Cs/>
                      <w:kern w:val="0"/>
                      <w:sz w:val="21"/>
                      <w:szCs w:val="21"/>
                    </w:rPr>
                    <w:t>20</w:t>
                  </w:r>
                  <w:r>
                    <w:rPr>
                      <w:rFonts w:hint="eastAsia" w:cs="Times New Roman"/>
                      <w:bCs/>
                      <w:kern w:val="0"/>
                      <w:sz w:val="21"/>
                      <w:szCs w:val="21"/>
                      <w:lang w:val="en-US" w:eastAsia="zh-CN"/>
                    </w:rPr>
                    <w:t xml:space="preserve"> 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noWrap w:val="0"/>
                  <w:vAlign w:val="center"/>
                </w:tcPr>
                <w:p>
                  <w:pPr>
                    <w:widowControl/>
                    <w:snapToGrid w:val="0"/>
                    <w:jc w:val="center"/>
                    <w:rPr>
                      <w:rFonts w:hint="eastAsia"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4</w:t>
                  </w:r>
                </w:p>
              </w:tc>
              <w:tc>
                <w:tcPr>
                  <w:tcW w:w="2037" w:type="pct"/>
                  <w:noWrap w:val="0"/>
                  <w:vAlign w:val="center"/>
                </w:tcPr>
                <w:p>
                  <w:pPr>
                    <w:widowControl/>
                    <w:snapToGrid w:val="0"/>
                    <w:jc w:val="center"/>
                    <w:rPr>
                      <w:rFonts w:hint="eastAsia"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甲烷（厂区最高体积浓度）</w:t>
                  </w:r>
                </w:p>
              </w:tc>
              <w:tc>
                <w:tcPr>
                  <w:tcW w:w="2336" w:type="pct"/>
                  <w:noWrap w:val="0"/>
                  <w:vAlign w:val="center"/>
                </w:tcPr>
                <w:p>
                  <w:pPr>
                    <w:widowControl/>
                    <w:snapToGrid w:val="0"/>
                    <w:jc w:val="center"/>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1%</w:t>
                  </w:r>
                </w:p>
              </w:tc>
            </w:tr>
          </w:tbl>
          <w:p>
            <w:pPr>
              <w:spacing w:line="480" w:lineRule="exact"/>
              <w:ind w:firstLine="482" w:firstLineChars="200"/>
              <w:rPr>
                <w:b/>
                <w:color w:val="auto"/>
                <w:sz w:val="24"/>
              </w:rPr>
            </w:pPr>
            <w:r>
              <w:rPr>
                <w:rFonts w:hint="eastAsia"/>
                <w:b/>
                <w:color w:val="auto"/>
                <w:sz w:val="24"/>
              </w:rPr>
              <w:t>2、水污染物排放标准</w:t>
            </w:r>
          </w:p>
          <w:p>
            <w:pPr>
              <w:spacing w:line="480" w:lineRule="exact"/>
              <w:ind w:firstLine="480" w:firstLineChars="200"/>
              <w:rPr>
                <w:rFonts w:hint="default"/>
                <w:color w:val="auto"/>
                <w:sz w:val="24"/>
                <w:lang w:val="en-US"/>
              </w:rPr>
            </w:pPr>
            <w:r>
              <w:rPr>
                <w:rFonts w:hint="eastAsia"/>
                <w:color w:val="auto"/>
                <w:sz w:val="24"/>
                <w:lang w:val="en-US" w:eastAsia="zh-CN"/>
              </w:rPr>
              <w:t>根据山西省地方标准《污水综合排放标准》（DB14/1928-2019），生活污水排入Ⅱ~Ⅴ类水环境功能区，其水污染物排放执行表2中的限值；具体标准值见下表。</w:t>
            </w:r>
          </w:p>
          <w:p>
            <w:pPr>
              <w:adjustRightInd w:val="0"/>
              <w:snapToGrid w:val="0"/>
              <w:spacing w:line="480" w:lineRule="exact"/>
              <w:jc w:val="center"/>
              <w:rPr>
                <w:rFonts w:hint="eastAsia" w:ascii="黑体" w:hAnsi="黑体" w:eastAsia="黑体"/>
                <w:color w:val="auto"/>
                <w:sz w:val="24"/>
              </w:rPr>
            </w:pPr>
          </w:p>
          <w:p>
            <w:pPr>
              <w:adjustRightInd w:val="0"/>
              <w:snapToGrid w:val="0"/>
              <w:spacing w:line="480" w:lineRule="exact"/>
              <w:jc w:val="center"/>
              <w:rPr>
                <w:rFonts w:hint="default" w:ascii="黑体" w:hAnsi="黑体" w:eastAsia="黑体"/>
                <w:color w:val="auto"/>
                <w:sz w:val="24"/>
                <w:lang w:val="en-US"/>
              </w:rPr>
            </w:pPr>
            <w:r>
              <w:rPr>
                <w:rFonts w:hint="eastAsia" w:ascii="黑体" w:hAnsi="黑体" w:eastAsia="黑体"/>
                <w:color w:val="auto"/>
                <w:sz w:val="24"/>
              </w:rPr>
              <w:t>表3-1</w:t>
            </w:r>
            <w:r>
              <w:rPr>
                <w:rFonts w:hint="eastAsia" w:ascii="黑体" w:hAnsi="黑体" w:eastAsia="黑体"/>
                <w:color w:val="auto"/>
                <w:sz w:val="24"/>
                <w:lang w:val="en-US" w:eastAsia="zh-CN"/>
              </w:rPr>
              <w:t>9</w:t>
            </w:r>
            <w:r>
              <w:rPr>
                <w:rFonts w:hint="eastAsia" w:ascii="黑体" w:hAnsi="黑体" w:eastAsia="黑体"/>
                <w:color w:val="auto"/>
                <w:sz w:val="24"/>
              </w:rPr>
              <w:t xml:space="preserve">  </w:t>
            </w:r>
            <w:r>
              <w:rPr>
                <w:rFonts w:hint="eastAsia" w:ascii="黑体" w:hAnsi="黑体" w:eastAsia="黑体"/>
                <w:color w:val="auto"/>
                <w:sz w:val="24"/>
                <w:lang w:val="en-US" w:eastAsia="zh-CN"/>
              </w:rPr>
              <w:t>《污水综合排放标准》（DB14/1928-2019）表2</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3417"/>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序号</w:t>
                  </w: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控制指标</w:t>
                  </w:r>
                </w:p>
              </w:tc>
              <w:tc>
                <w:tcPr>
                  <w:tcW w:w="2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1</w:t>
                  </w: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化学需氧量（COD）</w:t>
                  </w:r>
                </w:p>
              </w:tc>
              <w:tc>
                <w:tcPr>
                  <w:tcW w:w="2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40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2</w:t>
                  </w: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氨氮（NH</w:t>
                  </w:r>
                  <w:r>
                    <w:rPr>
                      <w:rFonts w:hint="eastAsia"/>
                      <w:color w:val="auto"/>
                      <w:sz w:val="21"/>
                      <w:szCs w:val="18"/>
                      <w:vertAlign w:val="subscript"/>
                      <w:lang w:val="en-US" w:eastAsia="zh-CN"/>
                    </w:rPr>
                    <w:t>3</w:t>
                  </w:r>
                  <w:r>
                    <w:rPr>
                      <w:rFonts w:hint="eastAsia"/>
                      <w:color w:val="auto"/>
                      <w:sz w:val="21"/>
                      <w:szCs w:val="18"/>
                      <w:vertAlign w:val="baseline"/>
                      <w:lang w:val="en-US" w:eastAsia="zh-CN"/>
                    </w:rPr>
                    <w:t>-N）</w:t>
                  </w:r>
                </w:p>
              </w:tc>
              <w:tc>
                <w:tcPr>
                  <w:tcW w:w="2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2.0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3</w:t>
                  </w: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总磷（TP）</w:t>
                  </w:r>
                </w:p>
              </w:tc>
              <w:tc>
                <w:tcPr>
                  <w:tcW w:w="2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0.4 mg/L</w:t>
                  </w:r>
                </w:p>
              </w:tc>
            </w:tr>
          </w:tbl>
          <w:p>
            <w:pPr>
              <w:spacing w:line="480" w:lineRule="exact"/>
              <w:ind w:firstLine="480" w:firstLineChars="200"/>
              <w:rPr>
                <w:rFonts w:hint="default" w:eastAsia="宋体"/>
                <w:color w:val="auto"/>
                <w:sz w:val="24"/>
                <w:lang w:val="en-US" w:eastAsia="zh-CN"/>
              </w:rPr>
            </w:pPr>
            <w:r>
              <w:rPr>
                <w:rFonts w:hint="eastAsia"/>
                <w:color w:val="auto"/>
                <w:sz w:val="24"/>
                <w:lang w:val="en-US" w:eastAsia="zh-CN"/>
              </w:rPr>
              <w:t>生活污水中其余污染物排放执行《城镇污水处理厂污染物排放标准》（GB18918-2002）表1中的一级A标准限值；具体标准值见下表。</w:t>
            </w:r>
          </w:p>
          <w:p>
            <w:pPr>
              <w:adjustRightInd w:val="0"/>
              <w:snapToGrid w:val="0"/>
              <w:spacing w:line="480" w:lineRule="exact"/>
              <w:jc w:val="center"/>
              <w:rPr>
                <w:rFonts w:hint="default" w:ascii="黑体" w:hAnsi="黑体" w:eastAsia="黑体"/>
                <w:color w:val="auto"/>
                <w:sz w:val="24"/>
                <w:lang w:val="en-US"/>
              </w:rPr>
            </w:pPr>
            <w:r>
              <w:rPr>
                <w:rFonts w:hint="eastAsia" w:ascii="黑体" w:hAnsi="黑体" w:eastAsia="黑体"/>
                <w:color w:val="auto"/>
                <w:sz w:val="24"/>
              </w:rPr>
              <w:t>表3-</w:t>
            </w:r>
            <w:r>
              <w:rPr>
                <w:rFonts w:hint="eastAsia" w:ascii="黑体" w:hAnsi="黑体" w:eastAsia="黑体"/>
                <w:color w:val="auto"/>
                <w:sz w:val="24"/>
                <w:lang w:val="en-US" w:eastAsia="zh-CN"/>
              </w:rPr>
              <w:t>20</w:t>
            </w:r>
            <w:r>
              <w:rPr>
                <w:rFonts w:hint="eastAsia" w:ascii="黑体" w:hAnsi="黑体" w:eastAsia="黑体"/>
                <w:color w:val="auto"/>
                <w:sz w:val="24"/>
              </w:rPr>
              <w:t xml:space="preserve">  </w:t>
            </w:r>
            <w:r>
              <w:rPr>
                <w:rFonts w:hint="eastAsia" w:ascii="黑体" w:hAnsi="黑体" w:eastAsia="黑体"/>
                <w:color w:val="auto"/>
                <w:sz w:val="24"/>
                <w:lang w:val="en-US" w:eastAsia="zh-CN"/>
              </w:rPr>
              <w:t>《城镇污水处理厂污染物排放标准》（GB18918-2002）表1一级A标准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3423"/>
              <w:gridCol w:w="3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序号</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控制项目</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1</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生化需氧量（BOD</w:t>
                  </w:r>
                  <w:r>
                    <w:rPr>
                      <w:rFonts w:hint="eastAsia"/>
                      <w:color w:val="auto"/>
                      <w:sz w:val="21"/>
                      <w:szCs w:val="18"/>
                      <w:vertAlign w:val="subscript"/>
                      <w:lang w:val="en-US" w:eastAsia="zh-CN"/>
                    </w:rPr>
                    <w:t>5</w:t>
                  </w:r>
                  <w:r>
                    <w:rPr>
                      <w:rFonts w:hint="eastAsia"/>
                      <w:color w:val="auto"/>
                      <w:sz w:val="21"/>
                      <w:szCs w:val="18"/>
                      <w:vertAlign w:val="baseline"/>
                      <w:lang w:val="en-US" w:eastAsia="zh-CN"/>
                    </w:rPr>
                    <w:t>）</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2</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悬浮物（SS）</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3</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动植物油</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4</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石油类</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5</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阴离子表面活性剂</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6</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总氮</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7</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18"/>
                      <w:vertAlign w:val="baseline"/>
                      <w:lang w:val="en-US" w:eastAsia="zh-CN"/>
                    </w:rPr>
                  </w:pPr>
                  <w:r>
                    <w:rPr>
                      <w:rFonts w:hint="eastAsia"/>
                      <w:color w:val="auto"/>
                      <w:sz w:val="21"/>
                      <w:szCs w:val="18"/>
                      <w:vertAlign w:val="baseline"/>
                      <w:lang w:val="en-US" w:eastAsia="zh-CN"/>
                    </w:rPr>
                    <w:t>色度</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pH</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9</w:t>
                  </w:r>
                </w:p>
              </w:tc>
              <w:tc>
                <w:tcPr>
                  <w:tcW w:w="34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粪大肠菌群数（个/L）</w:t>
                  </w:r>
                </w:p>
              </w:tc>
              <w:tc>
                <w:tcPr>
                  <w:tcW w:w="3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18"/>
                      <w:vertAlign w:val="baseline"/>
                      <w:lang w:val="en-US" w:eastAsia="zh-CN"/>
                    </w:rPr>
                  </w:pPr>
                  <w:r>
                    <w:rPr>
                      <w:rFonts w:hint="eastAsia"/>
                      <w:color w:val="auto"/>
                      <w:sz w:val="21"/>
                      <w:szCs w:val="18"/>
                      <w:vertAlign w:val="baseline"/>
                      <w:lang w:val="en-US" w:eastAsia="zh-CN"/>
                    </w:rPr>
                    <w:t>10</w:t>
                  </w:r>
                  <w:r>
                    <w:rPr>
                      <w:rFonts w:hint="eastAsia"/>
                      <w:color w:val="auto"/>
                      <w:sz w:val="21"/>
                      <w:szCs w:val="18"/>
                      <w:vertAlign w:val="superscript"/>
                      <w:lang w:val="en-US" w:eastAsia="zh-CN"/>
                    </w:rPr>
                    <w:t>3</w:t>
                  </w:r>
                </w:p>
              </w:tc>
            </w:tr>
          </w:tbl>
          <w:p>
            <w:pPr>
              <w:adjustRightInd w:val="0"/>
              <w:snapToGrid w:val="0"/>
              <w:spacing w:line="480" w:lineRule="exact"/>
              <w:ind w:firstLine="482" w:firstLineChars="200"/>
              <w:rPr>
                <w:b/>
                <w:color w:val="auto"/>
                <w:sz w:val="24"/>
              </w:rPr>
            </w:pPr>
            <w:r>
              <w:rPr>
                <w:rFonts w:hint="eastAsia"/>
                <w:b/>
                <w:color w:val="auto"/>
                <w:sz w:val="24"/>
              </w:rPr>
              <w:t>3、噪声排放标准</w:t>
            </w:r>
          </w:p>
          <w:p>
            <w:pPr>
              <w:adjustRightInd w:val="0"/>
              <w:snapToGrid w:val="0"/>
              <w:spacing w:line="480" w:lineRule="exact"/>
              <w:ind w:firstLine="480" w:firstLineChars="200"/>
              <w:rPr>
                <w:color w:val="auto"/>
                <w:sz w:val="24"/>
              </w:rPr>
            </w:pPr>
            <w:r>
              <w:rPr>
                <w:rFonts w:hint="eastAsia"/>
                <w:color w:val="auto"/>
                <w:sz w:val="24"/>
              </w:rPr>
              <w:t>施工期厂界噪声执行《建筑施工厂界环境噪声排放标准》（GB12523-2011）排放限值要求；项目运营期执行《工业企业厂界环境噪声排放标准》（GB12348-2008）2类标准；</w:t>
            </w:r>
            <w:r>
              <w:rPr>
                <w:rFonts w:hint="eastAsia"/>
                <w:bCs/>
                <w:color w:val="auto"/>
                <w:sz w:val="24"/>
              </w:rPr>
              <w:t>具体标准值见下表</w:t>
            </w:r>
            <w:r>
              <w:rPr>
                <w:rFonts w:hint="eastAsia"/>
                <w:color w:val="auto"/>
                <w:sz w:val="24"/>
              </w:rPr>
              <w:t>。</w:t>
            </w:r>
          </w:p>
          <w:p>
            <w:pPr>
              <w:adjustRightInd w:val="0"/>
              <w:snapToGrid w:val="0"/>
              <w:spacing w:line="480" w:lineRule="exact"/>
              <w:jc w:val="center"/>
              <w:rPr>
                <w:rFonts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val="en-US" w:eastAsia="zh-CN"/>
              </w:rPr>
              <w:t>21</w:t>
            </w:r>
            <w:r>
              <w:rPr>
                <w:rFonts w:hint="eastAsia" w:ascii="黑体" w:hAnsi="黑体" w:eastAsia="黑体"/>
                <w:color w:val="auto"/>
                <w:sz w:val="24"/>
              </w:rPr>
              <w:t xml:space="preserve">  建筑施工厂界噪声限值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6"/>
              <w:gridCol w:w="4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74" w:type="pct"/>
                  <w:vAlign w:val="center"/>
                </w:tcPr>
                <w:p>
                  <w:pPr>
                    <w:pStyle w:val="77"/>
                    <w:rPr>
                      <w:color w:val="auto"/>
                      <w:sz w:val="21"/>
                      <w:szCs w:val="21"/>
                    </w:rPr>
                  </w:pPr>
                  <w:r>
                    <w:rPr>
                      <w:rFonts w:hint="eastAsia"/>
                      <w:color w:val="auto"/>
                      <w:sz w:val="21"/>
                      <w:szCs w:val="21"/>
                    </w:rPr>
                    <w:t>昼间</w:t>
                  </w:r>
                </w:p>
              </w:tc>
              <w:tc>
                <w:tcPr>
                  <w:tcW w:w="2526" w:type="pct"/>
                  <w:vAlign w:val="center"/>
                </w:tcPr>
                <w:p>
                  <w:pPr>
                    <w:pStyle w:val="77"/>
                    <w:rPr>
                      <w:color w:val="auto"/>
                      <w:sz w:val="21"/>
                      <w:szCs w:val="21"/>
                    </w:rPr>
                  </w:pPr>
                  <w:r>
                    <w:rPr>
                      <w:rFonts w:hint="eastAsia"/>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77"/>
                    <w:rPr>
                      <w:color w:val="auto"/>
                      <w:sz w:val="21"/>
                      <w:szCs w:val="21"/>
                    </w:rPr>
                  </w:pPr>
                  <w:r>
                    <w:rPr>
                      <w:rFonts w:hint="eastAsia"/>
                      <w:color w:val="auto"/>
                      <w:sz w:val="21"/>
                      <w:szCs w:val="21"/>
                    </w:rPr>
                    <w:t>70</w:t>
                  </w:r>
                </w:p>
              </w:tc>
              <w:tc>
                <w:tcPr>
                  <w:tcW w:w="2526" w:type="pct"/>
                  <w:vAlign w:val="center"/>
                </w:tcPr>
                <w:p>
                  <w:pPr>
                    <w:pStyle w:val="77"/>
                    <w:rPr>
                      <w:color w:val="auto"/>
                      <w:sz w:val="21"/>
                      <w:szCs w:val="21"/>
                    </w:rPr>
                  </w:pPr>
                  <w:r>
                    <w:rPr>
                      <w:rFonts w:hint="eastAsia"/>
                      <w:color w:val="auto"/>
                      <w:sz w:val="21"/>
                      <w:szCs w:val="21"/>
                    </w:rPr>
                    <w:t>55</w:t>
                  </w:r>
                </w:p>
              </w:tc>
            </w:tr>
          </w:tbl>
          <w:p>
            <w:pPr>
              <w:adjustRightInd w:val="0"/>
              <w:snapToGrid w:val="0"/>
              <w:spacing w:line="480" w:lineRule="exact"/>
              <w:jc w:val="center"/>
              <w:rPr>
                <w:rFonts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val="en-US" w:eastAsia="zh-CN"/>
              </w:rPr>
              <w:t>22</w:t>
            </w:r>
            <w:r>
              <w:rPr>
                <w:rFonts w:hint="eastAsia" w:ascii="黑体" w:hAnsi="黑体" w:eastAsia="黑体"/>
                <w:color w:val="auto"/>
                <w:sz w:val="24"/>
              </w:rPr>
              <w:t xml:space="preserve">  工业企业厂界环境噪声排放限值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6"/>
              <w:gridCol w:w="2827"/>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vAlign w:val="center"/>
                </w:tcPr>
                <w:p>
                  <w:pPr>
                    <w:pStyle w:val="77"/>
                    <w:rPr>
                      <w:color w:val="auto"/>
                      <w:sz w:val="21"/>
                      <w:szCs w:val="21"/>
                    </w:rPr>
                  </w:pPr>
                  <w:r>
                    <w:rPr>
                      <w:rFonts w:hint="eastAsia"/>
                      <w:color w:val="auto"/>
                      <w:sz w:val="21"/>
                      <w:szCs w:val="21"/>
                    </w:rPr>
                    <w:t>厂界外声环境功能区类别</w:t>
                  </w:r>
                </w:p>
              </w:tc>
              <w:tc>
                <w:tcPr>
                  <w:tcW w:w="3334" w:type="pct"/>
                  <w:gridSpan w:val="2"/>
                  <w:vAlign w:val="center"/>
                </w:tcPr>
                <w:p>
                  <w:pPr>
                    <w:pStyle w:val="77"/>
                    <w:rPr>
                      <w:color w:val="auto"/>
                      <w:sz w:val="21"/>
                      <w:szCs w:val="21"/>
                    </w:rPr>
                  </w:pPr>
                  <w:r>
                    <w:rPr>
                      <w:rFonts w:hint="eastAsia"/>
                      <w:color w:val="auto"/>
                      <w:sz w:val="21"/>
                      <w:szCs w:val="21"/>
                    </w:rPr>
                    <w:t>时    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vAlign w:val="center"/>
                </w:tcPr>
                <w:p>
                  <w:pPr>
                    <w:pStyle w:val="77"/>
                    <w:rPr>
                      <w:color w:val="auto"/>
                      <w:sz w:val="21"/>
                      <w:szCs w:val="21"/>
                    </w:rPr>
                  </w:pPr>
                </w:p>
              </w:tc>
              <w:tc>
                <w:tcPr>
                  <w:tcW w:w="1667" w:type="pct"/>
                  <w:vAlign w:val="center"/>
                </w:tcPr>
                <w:p>
                  <w:pPr>
                    <w:pStyle w:val="77"/>
                    <w:rPr>
                      <w:color w:val="auto"/>
                      <w:sz w:val="21"/>
                      <w:szCs w:val="21"/>
                    </w:rPr>
                  </w:pPr>
                  <w:r>
                    <w:rPr>
                      <w:rFonts w:hint="eastAsia"/>
                      <w:color w:val="auto"/>
                      <w:sz w:val="21"/>
                      <w:szCs w:val="21"/>
                    </w:rPr>
                    <w:t>昼间</w:t>
                  </w:r>
                </w:p>
              </w:tc>
              <w:tc>
                <w:tcPr>
                  <w:tcW w:w="1667" w:type="pct"/>
                  <w:vAlign w:val="center"/>
                </w:tcPr>
                <w:p>
                  <w:pPr>
                    <w:pStyle w:val="77"/>
                    <w:rPr>
                      <w:color w:val="auto"/>
                      <w:sz w:val="21"/>
                      <w:szCs w:val="21"/>
                    </w:rPr>
                  </w:pPr>
                  <w:r>
                    <w:rPr>
                      <w:rFonts w:hint="eastAsia"/>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77"/>
                    <w:rPr>
                      <w:color w:val="auto"/>
                      <w:sz w:val="21"/>
                      <w:szCs w:val="21"/>
                    </w:rPr>
                  </w:pPr>
                  <w:r>
                    <w:rPr>
                      <w:rFonts w:hint="eastAsia"/>
                      <w:color w:val="auto"/>
                      <w:sz w:val="21"/>
                      <w:szCs w:val="21"/>
                    </w:rPr>
                    <w:t>2</w:t>
                  </w:r>
                </w:p>
              </w:tc>
              <w:tc>
                <w:tcPr>
                  <w:tcW w:w="1667" w:type="pct"/>
                  <w:vAlign w:val="center"/>
                </w:tcPr>
                <w:p>
                  <w:pPr>
                    <w:pStyle w:val="77"/>
                    <w:rPr>
                      <w:color w:val="auto"/>
                      <w:sz w:val="21"/>
                      <w:szCs w:val="21"/>
                    </w:rPr>
                  </w:pPr>
                  <w:r>
                    <w:rPr>
                      <w:rFonts w:hint="eastAsia"/>
                      <w:color w:val="auto"/>
                      <w:sz w:val="21"/>
                      <w:szCs w:val="21"/>
                    </w:rPr>
                    <w:t>60</w:t>
                  </w:r>
                </w:p>
              </w:tc>
              <w:tc>
                <w:tcPr>
                  <w:tcW w:w="1667" w:type="pct"/>
                  <w:vAlign w:val="center"/>
                </w:tcPr>
                <w:p>
                  <w:pPr>
                    <w:pStyle w:val="77"/>
                    <w:rPr>
                      <w:color w:val="auto"/>
                      <w:sz w:val="21"/>
                      <w:szCs w:val="21"/>
                    </w:rPr>
                  </w:pPr>
                  <w:r>
                    <w:rPr>
                      <w:rFonts w:hint="eastAsia"/>
                      <w:color w:val="auto"/>
                      <w:sz w:val="21"/>
                      <w:szCs w:val="21"/>
                    </w:rPr>
                    <w:t>50</w:t>
                  </w:r>
                </w:p>
              </w:tc>
            </w:tr>
          </w:tbl>
          <w:p>
            <w:pPr>
              <w:adjustRightInd w:val="0"/>
              <w:snapToGrid w:val="0"/>
              <w:spacing w:line="480" w:lineRule="exact"/>
              <w:ind w:firstLine="482" w:firstLineChars="200"/>
              <w:rPr>
                <w:b/>
                <w:color w:val="auto"/>
                <w:sz w:val="24"/>
              </w:rPr>
            </w:pPr>
            <w:r>
              <w:rPr>
                <w:rFonts w:hint="eastAsia"/>
                <w:b/>
                <w:color w:val="auto"/>
                <w:sz w:val="24"/>
              </w:rPr>
              <w:t>4、固体废物标准</w:t>
            </w:r>
          </w:p>
          <w:p>
            <w:pPr>
              <w:adjustRightInd w:val="0"/>
              <w:snapToGrid w:val="0"/>
              <w:spacing w:line="480" w:lineRule="exact"/>
              <w:ind w:firstLine="480" w:firstLineChars="200"/>
              <w:rPr>
                <w:rFonts w:hint="eastAsia"/>
                <w:color w:val="auto"/>
                <w:sz w:val="24"/>
              </w:rPr>
            </w:pPr>
            <w:r>
              <w:rPr>
                <w:rFonts w:hint="eastAsia"/>
                <w:color w:val="auto"/>
                <w:sz w:val="24"/>
              </w:rPr>
              <w:t>一般固体废物执行贮存执行《一般工业固体废物贮存和填埋污染控制标准》(GB 18599-2020)，危险废物暂存参照执行《危险废物贮存污染控制标准》（GB18597-2001）及其2013年修改单。</w:t>
            </w: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eastAsia="宋体"/>
                <w:color w:val="auto"/>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60" w:type="dxa"/>
            <w:vAlign w:val="center"/>
          </w:tcPr>
          <w:p>
            <w:pPr>
              <w:adjustRightInd w:val="0"/>
              <w:snapToGrid w:val="0"/>
              <w:jc w:val="center"/>
              <w:rPr>
                <w:rFonts w:ascii="宋体" w:hAnsi="宋体" w:cs="宋体"/>
                <w:color w:val="auto"/>
                <w:kern w:val="0"/>
              </w:rPr>
            </w:pPr>
            <w:r>
              <w:rPr>
                <w:rFonts w:hint="eastAsia" w:ascii="宋体" w:hAnsi="宋体" w:cs="宋体"/>
                <w:color w:val="auto"/>
                <w:kern w:val="0"/>
              </w:rPr>
              <w:t>总量</w:t>
            </w:r>
          </w:p>
          <w:p>
            <w:pPr>
              <w:adjustRightInd w:val="0"/>
              <w:snapToGrid w:val="0"/>
              <w:jc w:val="center"/>
              <w:rPr>
                <w:rFonts w:ascii="宋体" w:hAnsi="宋体" w:cs="宋体"/>
                <w:color w:val="auto"/>
                <w:kern w:val="0"/>
              </w:rPr>
            </w:pPr>
            <w:r>
              <w:rPr>
                <w:rFonts w:hint="eastAsia" w:ascii="宋体" w:hAnsi="宋体" w:cs="宋体"/>
                <w:color w:val="auto"/>
                <w:kern w:val="0"/>
              </w:rPr>
              <w:t>控制</w:t>
            </w:r>
          </w:p>
          <w:p>
            <w:pPr>
              <w:adjustRightInd w:val="0"/>
              <w:snapToGrid w:val="0"/>
              <w:jc w:val="center"/>
              <w:rPr>
                <w:rFonts w:ascii="宋体" w:hAnsi="宋体" w:cs="宋体"/>
                <w:color w:val="auto"/>
                <w:kern w:val="0"/>
              </w:rPr>
            </w:pPr>
            <w:r>
              <w:rPr>
                <w:rFonts w:hint="eastAsia" w:ascii="宋体" w:hAnsi="宋体" w:cs="宋体"/>
                <w:color w:val="auto"/>
                <w:kern w:val="0"/>
              </w:rPr>
              <w:t>指标</w:t>
            </w:r>
          </w:p>
        </w:tc>
        <w:tc>
          <w:tcPr>
            <w:tcW w:w="8682" w:type="dxa"/>
            <w:vAlign w:val="center"/>
          </w:tcPr>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color w:val="auto"/>
                <w:sz w:val="24"/>
              </w:rPr>
            </w:pPr>
            <w:r>
              <w:rPr>
                <w:rFonts w:hint="eastAsia"/>
                <w:bCs/>
                <w:color w:val="auto"/>
                <w:sz w:val="24"/>
                <w:lang w:val="en-US" w:eastAsia="zh-CN"/>
              </w:rPr>
              <w:t>根据“关于印发《建设项目主要污染物排放总量指标核定暂行办法》的通知”（晋环规〔2023〕1号，山西省生态环境厅，2023年3月1日实施）的有关规定，山西省实施排放总量控制指标的污染物包括：颗粒物、二氧化硫、氮氧化物、挥发性有机物、化学需氧量、氨氮。</w:t>
            </w:r>
          </w:p>
          <w:p>
            <w:pPr>
              <w:adjustRightInd w:val="0"/>
              <w:snapToGrid w:val="0"/>
              <w:spacing w:line="480" w:lineRule="exact"/>
              <w:ind w:firstLine="480" w:firstLineChars="200"/>
              <w:rPr>
                <w:rFonts w:hint="default" w:eastAsia="宋体"/>
                <w:color w:val="auto"/>
                <w:sz w:val="24"/>
                <w:lang w:val="en-US" w:eastAsia="zh-CN"/>
              </w:rPr>
            </w:pPr>
            <w:r>
              <w:rPr>
                <w:rFonts w:hint="eastAsia"/>
                <w:color w:val="auto"/>
                <w:sz w:val="24"/>
                <w:lang w:val="en-US" w:eastAsia="zh-CN"/>
              </w:rPr>
              <w:t>本项目</w:t>
            </w:r>
            <w:r>
              <w:rPr>
                <w:rFonts w:hint="eastAsia" w:ascii="宋体" w:hAnsi="宋体"/>
                <w:sz w:val="24"/>
                <w:szCs w:val="21"/>
              </w:rPr>
              <w:t>属于城镇生活污水处理厂，</w:t>
            </w:r>
            <w:r>
              <w:rPr>
                <w:rFonts w:hint="eastAsia" w:ascii="宋体" w:hAnsi="宋体"/>
                <w:sz w:val="24"/>
                <w:szCs w:val="21"/>
                <w:lang w:val="en-US" w:eastAsia="zh-CN"/>
              </w:rPr>
              <w:t>本项目</w:t>
            </w:r>
            <w:r>
              <w:rPr>
                <w:rFonts w:hint="eastAsia" w:ascii="宋体" w:hAnsi="宋体"/>
                <w:sz w:val="24"/>
                <w:szCs w:val="21"/>
              </w:rPr>
              <w:t>污染物指标不纳入总量核定范围。</w:t>
            </w: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80" w:firstLineChars="200"/>
              <w:rPr>
                <w:rFonts w:hint="eastAsia"/>
                <w:bCs/>
                <w:color w:val="auto"/>
                <w:sz w:val="24"/>
                <w:lang w:val="en-US" w:eastAsia="zh-CN"/>
              </w:rPr>
            </w:pPr>
          </w:p>
          <w:p>
            <w:pPr>
              <w:adjustRightInd w:val="0"/>
              <w:snapToGrid w:val="0"/>
              <w:spacing w:line="480" w:lineRule="exact"/>
              <w:ind w:firstLine="420" w:firstLineChars="200"/>
              <w:rPr>
                <w:rFonts w:hint="eastAsia" w:ascii="宋体" w:hAnsi="宋体" w:cs="宋体"/>
                <w:color w:val="auto"/>
                <w:kern w:val="0"/>
                <w:lang w:val="en-US" w:eastAsia="zh-CN"/>
              </w:rPr>
            </w:pPr>
          </w:p>
          <w:p>
            <w:pPr>
              <w:adjustRightInd w:val="0"/>
              <w:snapToGrid w:val="0"/>
              <w:spacing w:line="480" w:lineRule="exact"/>
              <w:ind w:firstLine="420" w:firstLineChars="200"/>
              <w:rPr>
                <w:rFonts w:hint="eastAsia" w:ascii="宋体" w:hAnsi="宋体" w:eastAsia="宋体" w:cs="宋体"/>
                <w:color w:val="auto"/>
                <w:kern w:val="0"/>
                <w:lang w:val="en-US" w:eastAsia="zh-CN"/>
              </w:rPr>
            </w:pPr>
          </w:p>
        </w:tc>
      </w:tr>
    </w:tbl>
    <w:p>
      <w:pPr>
        <w:keepNext w:val="0"/>
        <w:keepLines w:val="0"/>
        <w:pageBreakBefore w:val="0"/>
        <w:widowControl w:val="0"/>
        <w:kinsoku/>
        <w:wordWrap/>
        <w:overflowPunct/>
        <w:topLinePunct w:val="0"/>
        <w:autoSpaceDE/>
        <w:autoSpaceDN/>
        <w:bidi w:val="0"/>
        <w:adjustRightInd/>
        <w:snapToGrid/>
        <w:spacing w:line="40" w:lineRule="exact"/>
        <w:textAlignment w:val="auto"/>
        <w:rPr>
          <w:color w:val="auto"/>
        </w:rPr>
      </w:pPr>
    </w:p>
    <w:p>
      <w:pPr>
        <w:keepNext w:val="0"/>
        <w:keepLines w:val="0"/>
        <w:pageBreakBefore w:val="0"/>
        <w:widowControl w:val="0"/>
        <w:kinsoku/>
        <w:wordWrap/>
        <w:overflowPunct/>
        <w:topLinePunct w:val="0"/>
        <w:autoSpaceDE/>
        <w:autoSpaceDN/>
        <w:bidi w:val="0"/>
        <w:adjustRightInd/>
        <w:snapToGrid/>
        <w:spacing w:line="40" w:lineRule="exact"/>
        <w:textAlignment w:val="auto"/>
        <w:rPr>
          <w:color w:val="auto"/>
        </w:rPr>
        <w:sectPr>
          <w:pgSz w:w="11906" w:h="16838"/>
          <w:pgMar w:top="1701" w:right="1531" w:bottom="1701" w:left="1531" w:header="1134" w:footer="992" w:gutter="0"/>
          <w:cols w:space="425" w:num="1"/>
          <w:docGrid w:type="lines" w:linePitch="312" w:charSpace="0"/>
        </w:sectPr>
      </w:pPr>
    </w:p>
    <w:p>
      <w:pPr>
        <w:pStyle w:val="23"/>
        <w:spacing w:before="0" w:beforeAutospacing="0" w:after="0" w:afterAutospacing="0"/>
        <w:jc w:val="center"/>
        <w:outlineLvl w:val="0"/>
        <w:rPr>
          <w:rFonts w:ascii="黑体" w:hAnsi="黑体" w:eastAsia="黑体"/>
          <w:color w:val="auto"/>
          <w:sz w:val="30"/>
          <w:szCs w:val="30"/>
        </w:rPr>
      </w:pPr>
      <w:bookmarkStart w:id="5" w:name="_Toc14914"/>
      <w:r>
        <w:rPr>
          <w:rFonts w:hint="eastAsia" w:ascii="黑体" w:hAnsi="黑体" w:eastAsia="黑体"/>
          <w:color w:val="auto"/>
          <w:sz w:val="30"/>
          <w:szCs w:val="30"/>
        </w:rPr>
        <w:t>四、</w:t>
      </w:r>
      <w:r>
        <w:rPr>
          <w:rFonts w:hint="eastAsia" w:ascii="黑体" w:hAnsi="黑体" w:eastAsia="黑体"/>
          <w:snapToGrid w:val="0"/>
          <w:color w:val="auto"/>
          <w:sz w:val="30"/>
          <w:szCs w:val="30"/>
        </w:rPr>
        <w:t>主要环境影响和保护措施</w:t>
      </w:r>
      <w:bookmarkEnd w:id="5"/>
    </w:p>
    <w:tbl>
      <w:tblPr>
        <w:tblStyle w:val="27"/>
        <w:tblW w:w="9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87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dxa"/>
            <w:tcMar>
              <w:left w:w="28" w:type="dxa"/>
              <w:right w:w="28" w:type="dxa"/>
            </w:tcMar>
            <w:vAlign w:val="center"/>
          </w:tcPr>
          <w:p>
            <w:pPr>
              <w:pStyle w:val="23"/>
              <w:adjustRightInd w:val="0"/>
              <w:snapToGrid w:val="0"/>
              <w:spacing w:before="0" w:beforeAutospacing="0" w:after="0" w:afterAutospacing="0"/>
              <w:jc w:val="center"/>
              <w:rPr>
                <w:color w:val="auto"/>
                <w:kern w:val="2"/>
                <w:sz w:val="21"/>
                <w:szCs w:val="21"/>
              </w:rPr>
            </w:pPr>
            <w:r>
              <w:rPr>
                <w:rFonts w:hint="eastAsia"/>
                <w:color w:val="auto"/>
                <w:kern w:val="2"/>
                <w:sz w:val="21"/>
                <w:szCs w:val="21"/>
              </w:rPr>
              <w:t>施工</w:t>
            </w:r>
          </w:p>
          <w:p>
            <w:pPr>
              <w:pStyle w:val="23"/>
              <w:adjustRightInd w:val="0"/>
              <w:snapToGrid w:val="0"/>
              <w:spacing w:before="0" w:beforeAutospacing="0" w:after="0" w:afterAutospacing="0"/>
              <w:jc w:val="center"/>
              <w:rPr>
                <w:color w:val="auto"/>
                <w:kern w:val="2"/>
                <w:sz w:val="21"/>
                <w:szCs w:val="21"/>
              </w:rPr>
            </w:pPr>
            <w:r>
              <w:rPr>
                <w:rFonts w:hint="eastAsia"/>
                <w:color w:val="auto"/>
                <w:kern w:val="2"/>
                <w:sz w:val="21"/>
                <w:szCs w:val="21"/>
              </w:rPr>
              <w:t>期环</w:t>
            </w:r>
          </w:p>
          <w:p>
            <w:pPr>
              <w:pStyle w:val="23"/>
              <w:adjustRightInd w:val="0"/>
              <w:snapToGrid w:val="0"/>
              <w:spacing w:before="0" w:beforeAutospacing="0" w:after="0" w:afterAutospacing="0"/>
              <w:jc w:val="center"/>
              <w:rPr>
                <w:color w:val="auto"/>
                <w:kern w:val="2"/>
                <w:sz w:val="21"/>
                <w:szCs w:val="21"/>
              </w:rPr>
            </w:pPr>
            <w:r>
              <w:rPr>
                <w:rFonts w:hint="eastAsia"/>
                <w:color w:val="auto"/>
                <w:kern w:val="2"/>
                <w:sz w:val="21"/>
                <w:szCs w:val="21"/>
              </w:rPr>
              <w:t>境保</w:t>
            </w:r>
          </w:p>
          <w:p>
            <w:pPr>
              <w:pStyle w:val="23"/>
              <w:adjustRightInd w:val="0"/>
              <w:snapToGrid w:val="0"/>
              <w:spacing w:before="0" w:beforeAutospacing="0" w:after="0" w:afterAutospacing="0"/>
              <w:jc w:val="center"/>
              <w:rPr>
                <w:color w:val="auto"/>
                <w:kern w:val="2"/>
                <w:sz w:val="21"/>
                <w:szCs w:val="21"/>
              </w:rPr>
            </w:pPr>
            <w:r>
              <w:rPr>
                <w:rFonts w:hint="eastAsia"/>
                <w:color w:val="auto"/>
                <w:kern w:val="2"/>
                <w:sz w:val="21"/>
                <w:szCs w:val="21"/>
              </w:rPr>
              <w:t>护措</w:t>
            </w:r>
          </w:p>
          <w:p>
            <w:pPr>
              <w:pStyle w:val="23"/>
              <w:adjustRightInd w:val="0"/>
              <w:snapToGrid w:val="0"/>
              <w:spacing w:before="0" w:beforeAutospacing="0" w:after="0" w:afterAutospacing="0"/>
              <w:jc w:val="center"/>
              <w:rPr>
                <w:bCs/>
                <w:color w:val="auto"/>
                <w:kern w:val="2"/>
                <w:sz w:val="21"/>
                <w:szCs w:val="21"/>
              </w:rPr>
            </w:pPr>
            <w:r>
              <w:rPr>
                <w:rFonts w:hint="eastAsia"/>
                <w:color w:val="auto"/>
                <w:kern w:val="2"/>
                <w:sz w:val="21"/>
                <w:szCs w:val="21"/>
              </w:rPr>
              <w:t>施</w:t>
            </w:r>
          </w:p>
        </w:tc>
        <w:tc>
          <w:tcPr>
            <w:tcW w:w="8798" w:type="dxa"/>
            <w:vAlign w:val="center"/>
          </w:tcPr>
          <w:p>
            <w:pPr>
              <w:adjustRightInd w:val="0"/>
              <w:snapToGrid w:val="0"/>
              <w:spacing w:line="480" w:lineRule="exact"/>
              <w:ind w:firstLine="480" w:firstLineChars="200"/>
              <w:rPr>
                <w:color w:val="auto"/>
                <w:sz w:val="24"/>
                <w:szCs w:val="32"/>
              </w:rPr>
            </w:pPr>
            <w:r>
              <w:rPr>
                <w:rFonts w:hint="eastAsia"/>
                <w:bCs/>
                <w:color w:val="auto"/>
                <w:sz w:val="24"/>
              </w:rPr>
              <w:t>本项目</w:t>
            </w:r>
            <w:r>
              <w:rPr>
                <w:rFonts w:hint="eastAsia"/>
                <w:bCs/>
                <w:color w:val="auto"/>
                <w:sz w:val="24"/>
                <w:lang w:val="en-US" w:eastAsia="zh-CN"/>
              </w:rPr>
              <w:t>尚未</w:t>
            </w:r>
            <w:r>
              <w:rPr>
                <w:rFonts w:hint="eastAsia"/>
                <w:bCs/>
                <w:color w:val="auto"/>
                <w:sz w:val="24"/>
              </w:rPr>
              <w:t>开工建设，</w:t>
            </w:r>
            <w:r>
              <w:rPr>
                <w:rFonts w:hint="eastAsia" w:hAnsi="宋体"/>
                <w:color w:val="auto"/>
                <w:sz w:val="24"/>
                <w:szCs w:val="32"/>
              </w:rPr>
              <w:t>项目施工阶段会对周围环境产生一定程度的不利影响，但是在施工结束后，这种影响也将随之消失，且本项目施工期较短，故这一阶段对环境的影响较小，为短期、可逆的影响。</w:t>
            </w:r>
            <w:r>
              <w:rPr>
                <w:rFonts w:hint="eastAsia"/>
                <w:color w:val="auto"/>
                <w:sz w:val="24"/>
                <w:szCs w:val="32"/>
              </w:rPr>
              <w:t>各污染要素的环境影响简要分析如下：</w:t>
            </w:r>
          </w:p>
          <w:p>
            <w:pPr>
              <w:adjustRightInd w:val="0"/>
              <w:snapToGrid w:val="0"/>
              <w:spacing w:line="480" w:lineRule="exact"/>
              <w:ind w:firstLine="482" w:firstLineChars="200"/>
              <w:rPr>
                <w:b/>
                <w:color w:val="auto"/>
                <w:sz w:val="24"/>
                <w:szCs w:val="32"/>
              </w:rPr>
            </w:pPr>
            <w:r>
              <w:rPr>
                <w:rFonts w:hint="eastAsia"/>
                <w:b/>
                <w:color w:val="auto"/>
                <w:sz w:val="24"/>
                <w:szCs w:val="32"/>
              </w:rPr>
              <w:t>1、施工期大气环境影响分析及防治措施</w:t>
            </w:r>
          </w:p>
          <w:p>
            <w:pPr>
              <w:adjustRightInd w:val="0"/>
              <w:snapToGrid w:val="0"/>
              <w:spacing w:line="480" w:lineRule="exact"/>
              <w:ind w:firstLine="480" w:firstLineChars="200"/>
              <w:rPr>
                <w:color w:val="auto"/>
                <w:sz w:val="24"/>
                <w:szCs w:val="32"/>
              </w:rPr>
            </w:pPr>
            <w:r>
              <w:rPr>
                <w:rFonts w:hint="eastAsia"/>
                <w:color w:val="auto"/>
                <w:sz w:val="24"/>
                <w:szCs w:val="32"/>
              </w:rPr>
              <w:t>本项目施工期间主要环境问题产生于施工过程中的土建施工、建筑材料的运输、堆存等过程中，产生的污染物主要有施工扬尘、噪声、生活废水和固体废物等。</w:t>
            </w:r>
          </w:p>
          <w:p>
            <w:pPr>
              <w:adjustRightInd w:val="0"/>
              <w:snapToGrid w:val="0"/>
              <w:spacing w:line="480" w:lineRule="exact"/>
              <w:ind w:firstLine="482" w:firstLineChars="200"/>
              <w:rPr>
                <w:b/>
                <w:color w:val="auto"/>
                <w:sz w:val="24"/>
                <w:szCs w:val="32"/>
              </w:rPr>
            </w:pPr>
            <w:r>
              <w:rPr>
                <w:rFonts w:hint="eastAsia"/>
                <w:b/>
                <w:color w:val="auto"/>
                <w:sz w:val="24"/>
                <w:szCs w:val="32"/>
              </w:rPr>
              <w:t>（1）施工大气污染源分析</w:t>
            </w:r>
          </w:p>
          <w:p>
            <w:pPr>
              <w:adjustRightInd w:val="0"/>
              <w:snapToGrid w:val="0"/>
              <w:spacing w:line="480" w:lineRule="exact"/>
              <w:ind w:firstLine="480" w:firstLineChars="200"/>
              <w:rPr>
                <w:color w:val="auto"/>
                <w:sz w:val="24"/>
                <w:szCs w:val="32"/>
              </w:rPr>
            </w:pPr>
            <w:r>
              <w:rPr>
                <w:rFonts w:hint="eastAsia"/>
                <w:color w:val="auto"/>
                <w:sz w:val="24"/>
                <w:szCs w:val="32"/>
              </w:rPr>
              <w:t>施工期间对环境空气影响最大的是施工扬尘，来源于各种无组织排放源。其中场地清理、土方挖掘、土方堆存、物料运输等工序产生量较大，原材料堆存、建筑结构施工、设备安装等产生量相对较小。由于污染源为间歇性源并且扬尘点低，因此只会在近距离内形成局部暂时污染影响。但施工现场的污染物未经扩散稀释就直接进入地表呼吸地带，会给现场施工人员的生活和健康带来一定影响，在大风情况下还会对施工地周围环境空气形成影响。扬尘的大小与现场施工条件、管理水平、机械化作业程度及天气、地表土等诸多因素有关。一般施工现场的大气环境中TSP浓度可达到1.5-30mg/m</w:t>
            </w:r>
            <w:r>
              <w:rPr>
                <w:rFonts w:hint="eastAsia"/>
                <w:color w:val="auto"/>
                <w:sz w:val="24"/>
                <w:szCs w:val="32"/>
                <w:vertAlign w:val="superscript"/>
              </w:rPr>
              <w:t>3</w:t>
            </w:r>
            <w:r>
              <w:rPr>
                <w:rFonts w:hint="eastAsia"/>
                <w:color w:val="auto"/>
                <w:sz w:val="24"/>
                <w:szCs w:val="32"/>
              </w:rPr>
              <w:t>。同时各类燃油动力机械在设备运输等施工作业时，会排出各类燃油废气，排放的主要污染物为CO、NO</w:t>
            </w:r>
            <w:r>
              <w:rPr>
                <w:rFonts w:hint="eastAsia"/>
                <w:color w:val="auto"/>
                <w:sz w:val="24"/>
                <w:szCs w:val="32"/>
                <w:vertAlign w:val="subscript"/>
              </w:rPr>
              <w:t>X</w:t>
            </w:r>
            <w:r>
              <w:rPr>
                <w:rFonts w:hint="eastAsia"/>
                <w:color w:val="auto"/>
                <w:sz w:val="24"/>
                <w:szCs w:val="32"/>
              </w:rPr>
              <w:t>、SO</w:t>
            </w:r>
            <w:r>
              <w:rPr>
                <w:rFonts w:hint="eastAsia"/>
                <w:color w:val="auto"/>
                <w:sz w:val="24"/>
                <w:szCs w:val="32"/>
                <w:vertAlign w:val="subscript"/>
              </w:rPr>
              <w:t>2</w:t>
            </w:r>
            <w:r>
              <w:rPr>
                <w:rFonts w:hint="eastAsia"/>
                <w:color w:val="auto"/>
                <w:sz w:val="24"/>
                <w:szCs w:val="32"/>
              </w:rPr>
              <w:t>、烟尘。</w:t>
            </w:r>
          </w:p>
          <w:p>
            <w:pPr>
              <w:adjustRightInd w:val="0"/>
              <w:snapToGrid w:val="0"/>
              <w:spacing w:line="480" w:lineRule="exact"/>
              <w:ind w:firstLine="482" w:firstLineChars="200"/>
              <w:rPr>
                <w:b/>
                <w:bCs/>
                <w:color w:val="auto"/>
                <w:sz w:val="24"/>
                <w:szCs w:val="32"/>
              </w:rPr>
            </w:pPr>
            <w:r>
              <w:rPr>
                <w:rFonts w:hint="eastAsia"/>
                <w:b/>
                <w:bCs/>
                <w:color w:val="auto"/>
                <w:sz w:val="24"/>
                <w:szCs w:val="32"/>
              </w:rPr>
              <w:t>（2）施工期大气污染防治措施</w:t>
            </w:r>
          </w:p>
          <w:p>
            <w:pPr>
              <w:adjustRightInd w:val="0"/>
              <w:snapToGrid w:val="0"/>
              <w:spacing w:line="480" w:lineRule="exact"/>
              <w:ind w:firstLine="480" w:firstLineChars="200"/>
              <w:rPr>
                <w:color w:val="auto"/>
                <w:sz w:val="24"/>
                <w:szCs w:val="32"/>
              </w:rPr>
            </w:pPr>
            <w:r>
              <w:rPr>
                <w:rFonts w:hint="eastAsia"/>
                <w:color w:val="auto"/>
                <w:sz w:val="24"/>
                <w:szCs w:val="32"/>
              </w:rPr>
              <w:t>据环评现场踏勘，该项目未开始建设。根据“6个100%”的具体要求，本次评价对施工期大气污染防治提如下措施：</w:t>
            </w:r>
          </w:p>
          <w:p>
            <w:pPr>
              <w:adjustRightInd w:val="0"/>
              <w:snapToGrid w:val="0"/>
              <w:spacing w:line="480" w:lineRule="exact"/>
              <w:ind w:firstLine="480" w:firstLineChars="200"/>
              <w:rPr>
                <w:color w:val="auto"/>
                <w:sz w:val="24"/>
                <w:szCs w:val="32"/>
              </w:rPr>
            </w:pPr>
            <w:r>
              <w:rPr>
                <w:rFonts w:hint="eastAsia"/>
                <w:color w:val="auto"/>
                <w:sz w:val="24"/>
                <w:szCs w:val="32"/>
              </w:rPr>
              <w:t>①施工单位应当合理安排工期，在风速达四级及以上的天气情况下，应当停止易产生扬尘污染的施工作业，并采取相应的防尘措施。施工现场堆放的土石方及易产生扬尘污染的灰土、灰浆等物料应以不透水的隔尘布完全覆盖或放置在顶部且四周均密封、遮蔽的设施内。同时在工地建筑结构脚手架外侧设置有效抑尘的密目防尘网。</w:t>
            </w:r>
          </w:p>
          <w:p>
            <w:pPr>
              <w:adjustRightInd w:val="0"/>
              <w:snapToGrid w:val="0"/>
              <w:spacing w:line="480" w:lineRule="exact"/>
              <w:ind w:firstLine="480" w:firstLineChars="200"/>
              <w:rPr>
                <w:color w:val="auto"/>
                <w:sz w:val="24"/>
                <w:szCs w:val="32"/>
              </w:rPr>
            </w:pPr>
            <w:r>
              <w:rPr>
                <w:rFonts w:hint="eastAsia"/>
                <w:color w:val="auto"/>
                <w:sz w:val="24"/>
                <w:szCs w:val="32"/>
              </w:rPr>
              <w:t>②施工现场裸露地面应采取覆盖或临时绿化措施；施工场所要定期喷洒水，保持地面湿润，不起尘。</w:t>
            </w:r>
          </w:p>
          <w:p>
            <w:pPr>
              <w:adjustRightInd w:val="0"/>
              <w:snapToGrid w:val="0"/>
              <w:spacing w:line="480" w:lineRule="exact"/>
              <w:ind w:firstLine="480" w:firstLineChars="200"/>
              <w:rPr>
                <w:color w:val="auto"/>
                <w:sz w:val="24"/>
                <w:szCs w:val="32"/>
              </w:rPr>
            </w:pPr>
            <w:r>
              <w:rPr>
                <w:rFonts w:hint="eastAsia"/>
                <w:color w:val="auto"/>
                <w:sz w:val="24"/>
                <w:szCs w:val="32"/>
              </w:rPr>
              <w:t>③施工工地出入口处必须建设车辆出入口喷淋、冲洗设施，并设置统一格式的环境保护监督牌，标明扬尘防治措施、责任人及环保监督电话等。</w:t>
            </w:r>
          </w:p>
          <w:p>
            <w:pPr>
              <w:adjustRightInd w:val="0"/>
              <w:snapToGrid w:val="0"/>
              <w:spacing w:line="480" w:lineRule="exact"/>
              <w:ind w:firstLine="480" w:firstLineChars="200"/>
              <w:rPr>
                <w:color w:val="auto"/>
                <w:sz w:val="24"/>
                <w:szCs w:val="32"/>
              </w:rPr>
            </w:pPr>
            <w:r>
              <w:rPr>
                <w:rFonts w:hint="eastAsia"/>
                <w:color w:val="auto"/>
                <w:sz w:val="24"/>
                <w:szCs w:val="32"/>
              </w:rPr>
              <w:t>④严禁抛洒建筑垃圾；建筑垃圾应及时清运至环卫部门指定场所，不能及时清运的要定点密闭堆存，并采取防尘措施。</w:t>
            </w:r>
          </w:p>
          <w:p>
            <w:pPr>
              <w:adjustRightInd w:val="0"/>
              <w:snapToGrid w:val="0"/>
              <w:spacing w:line="480" w:lineRule="exact"/>
              <w:ind w:firstLine="480" w:firstLineChars="200"/>
              <w:rPr>
                <w:color w:val="auto"/>
                <w:sz w:val="24"/>
                <w:szCs w:val="32"/>
              </w:rPr>
            </w:pPr>
            <w:r>
              <w:rPr>
                <w:rFonts w:hint="eastAsia"/>
                <w:color w:val="auto"/>
                <w:sz w:val="24"/>
                <w:szCs w:val="32"/>
              </w:rPr>
              <w:t>⑤为减少运输扬尘造成的二次污染，评价要求进出工地的物料、渣土、垃圾运输车辆，装载的物料、垃圾、渣土高度不得超过车辆槽帮上沿，车斗用苫布遮盖或者采用密闭车斗。若车斗用苫布遮盖，应当严实密闭，苫布边缘至少要遮住槽帮上沿以下15公分，保证物料、渣土、垃圾等不露出。车辆应当按照批准的路线和时间进行物料、渣土、垃圾的运输，同时设置一台洒水车进行道路洒水抑尘。</w:t>
            </w:r>
          </w:p>
          <w:p>
            <w:pPr>
              <w:adjustRightInd w:val="0"/>
              <w:snapToGrid w:val="0"/>
              <w:spacing w:line="480" w:lineRule="exact"/>
              <w:ind w:firstLine="480" w:firstLineChars="200"/>
              <w:rPr>
                <w:color w:val="auto"/>
                <w:sz w:val="24"/>
                <w:szCs w:val="32"/>
              </w:rPr>
            </w:pPr>
            <w:r>
              <w:rPr>
                <w:rFonts w:hint="eastAsia"/>
                <w:color w:val="auto"/>
                <w:sz w:val="24"/>
                <w:szCs w:val="32"/>
              </w:rPr>
              <w:t>⑥车辆运输过程中产生的汽车尾气，一般仅局限于施工区域以及施工通道，对施工区域以外的环境空气影响比较小。评价要求施工单位选用符合国家有关卫生标准的施工机械和运输工具，使其排放的废气符合国家有关标准。</w:t>
            </w:r>
          </w:p>
          <w:p>
            <w:pPr>
              <w:adjustRightInd w:val="0"/>
              <w:snapToGrid w:val="0"/>
              <w:spacing w:line="480" w:lineRule="exact"/>
              <w:ind w:firstLine="480" w:firstLineChars="200"/>
              <w:rPr>
                <w:color w:val="auto"/>
                <w:sz w:val="24"/>
                <w:szCs w:val="32"/>
              </w:rPr>
            </w:pPr>
            <w:r>
              <w:rPr>
                <w:rFonts w:hint="eastAsia"/>
                <w:color w:val="auto"/>
                <w:sz w:val="24"/>
                <w:szCs w:val="32"/>
              </w:rPr>
              <w:t>评价要求施工工地必须严格按照项目环境影响评价确定的施工全过程污染防治实施方案要求，组织落实各项污染防治措施，确保建筑工地扬尘污染控制达标，综上所述，按照以上措施进行防治后对施工场地周围环境空气影响较小。</w:t>
            </w:r>
          </w:p>
          <w:p>
            <w:pPr>
              <w:adjustRightInd w:val="0"/>
              <w:snapToGrid w:val="0"/>
              <w:spacing w:line="480" w:lineRule="exact"/>
              <w:ind w:firstLine="482" w:firstLineChars="200"/>
              <w:rPr>
                <w:b/>
                <w:color w:val="auto"/>
                <w:sz w:val="24"/>
                <w:szCs w:val="32"/>
              </w:rPr>
            </w:pPr>
            <w:r>
              <w:rPr>
                <w:rFonts w:hint="eastAsia"/>
                <w:b/>
                <w:color w:val="auto"/>
                <w:sz w:val="24"/>
                <w:szCs w:val="32"/>
              </w:rPr>
              <w:t>2、施工期水环境影响分析及防治措施</w:t>
            </w:r>
          </w:p>
          <w:p>
            <w:pPr>
              <w:adjustRightInd w:val="0"/>
              <w:snapToGrid w:val="0"/>
              <w:spacing w:line="480" w:lineRule="exact"/>
              <w:ind w:firstLine="480" w:firstLineChars="200"/>
              <w:rPr>
                <w:color w:val="auto"/>
                <w:sz w:val="24"/>
                <w:szCs w:val="32"/>
              </w:rPr>
            </w:pPr>
            <w:r>
              <w:rPr>
                <w:rFonts w:hint="eastAsia"/>
                <w:color w:val="auto"/>
                <w:sz w:val="24"/>
                <w:szCs w:val="32"/>
              </w:rPr>
              <w:t>施工期产生的废水主要为生活废水、食堂废水，以及机械冲洗废水。</w:t>
            </w:r>
          </w:p>
          <w:p>
            <w:pPr>
              <w:adjustRightInd w:val="0"/>
              <w:snapToGrid w:val="0"/>
              <w:spacing w:line="480" w:lineRule="exact"/>
              <w:ind w:firstLine="480" w:firstLineChars="200"/>
              <w:rPr>
                <w:color w:val="auto"/>
                <w:sz w:val="24"/>
                <w:szCs w:val="32"/>
              </w:rPr>
            </w:pPr>
            <w:r>
              <w:rPr>
                <w:rFonts w:hint="eastAsia"/>
                <w:color w:val="auto"/>
                <w:sz w:val="24"/>
                <w:szCs w:val="32"/>
              </w:rPr>
              <w:t>施工人员生活排水所含污染物主要为COD、BOD及SS等，但产生量较少。施工人员生活污水为盥洗废水，水质简单，可在厂区泼洒抑尘。施工人员食堂的餐饮污水要设置隔油、隔渣池，合格的隔油、隔渣池能去除大部分浮油和较大的悬浮物，减少了动植物油污染物的排放量。餐饮污水经隔油、隔渣池处理后与上述生活污水一同泼洒抑尘。</w:t>
            </w:r>
          </w:p>
          <w:p>
            <w:pPr>
              <w:adjustRightInd w:val="0"/>
              <w:snapToGrid w:val="0"/>
              <w:spacing w:line="480" w:lineRule="exact"/>
              <w:ind w:firstLine="480" w:firstLineChars="200"/>
              <w:rPr>
                <w:color w:val="auto"/>
                <w:sz w:val="24"/>
                <w:szCs w:val="32"/>
              </w:rPr>
            </w:pPr>
            <w:r>
              <w:rPr>
                <w:rFonts w:hint="eastAsia"/>
                <w:color w:val="auto"/>
                <w:sz w:val="24"/>
                <w:szCs w:val="32"/>
              </w:rPr>
              <w:t>施工机械定点冲洗，并在冲洗场地内设置集水沟和简易有效的除油池，将机械冲洗等含油废水进行收集，隔油池除油处理后用于厂区泼洒抑尘。凡在施工场地进行搅拌作业的，在扭拌机前台及运输车清洗处设置沉淀池。排放的废水排入沉淀池内，经沉淀处理后进行回收利用、用于洒水降尘。</w:t>
            </w:r>
          </w:p>
          <w:p>
            <w:pPr>
              <w:adjustRightInd w:val="0"/>
              <w:snapToGrid w:val="0"/>
              <w:spacing w:line="480" w:lineRule="exact"/>
              <w:ind w:firstLine="480" w:firstLineChars="200"/>
              <w:rPr>
                <w:color w:val="auto"/>
                <w:sz w:val="24"/>
                <w:szCs w:val="32"/>
              </w:rPr>
            </w:pPr>
            <w:r>
              <w:rPr>
                <w:rFonts w:hint="eastAsia"/>
                <w:color w:val="auto"/>
                <w:sz w:val="24"/>
                <w:szCs w:val="32"/>
              </w:rPr>
              <w:t>综上所述，按照以上措施进行防治后对施工场地及周边区域的水环境影响较小。</w:t>
            </w:r>
          </w:p>
          <w:p>
            <w:pPr>
              <w:adjustRightInd w:val="0"/>
              <w:snapToGrid w:val="0"/>
              <w:spacing w:line="480" w:lineRule="exact"/>
              <w:ind w:firstLine="482" w:firstLineChars="200"/>
              <w:rPr>
                <w:b/>
                <w:color w:val="auto"/>
                <w:sz w:val="24"/>
                <w:szCs w:val="32"/>
              </w:rPr>
            </w:pPr>
            <w:r>
              <w:rPr>
                <w:rFonts w:hint="eastAsia"/>
                <w:b/>
                <w:color w:val="auto"/>
                <w:sz w:val="24"/>
                <w:szCs w:val="32"/>
              </w:rPr>
              <w:t>3、施工期固体废弃物影响分析及防治措施</w:t>
            </w:r>
          </w:p>
          <w:p>
            <w:pPr>
              <w:adjustRightInd w:val="0"/>
              <w:snapToGrid w:val="0"/>
              <w:spacing w:line="480" w:lineRule="exact"/>
              <w:ind w:firstLine="480" w:firstLineChars="200"/>
              <w:rPr>
                <w:color w:val="auto"/>
                <w:sz w:val="24"/>
                <w:szCs w:val="32"/>
              </w:rPr>
            </w:pPr>
            <w:r>
              <w:rPr>
                <w:rFonts w:hint="eastAsia"/>
                <w:color w:val="auto"/>
                <w:sz w:val="24"/>
                <w:szCs w:val="32"/>
              </w:rPr>
              <w:t>施工阶段产生的固体废物主要为建筑弃土、建筑垃圾、生活垃圾。</w:t>
            </w:r>
          </w:p>
          <w:p>
            <w:pPr>
              <w:adjustRightInd w:val="0"/>
              <w:snapToGrid w:val="0"/>
              <w:spacing w:line="480" w:lineRule="exact"/>
              <w:ind w:firstLine="480" w:firstLineChars="200"/>
              <w:rPr>
                <w:color w:val="auto"/>
                <w:sz w:val="24"/>
                <w:szCs w:val="32"/>
              </w:rPr>
            </w:pPr>
            <w:r>
              <w:rPr>
                <w:rFonts w:hint="eastAsia"/>
                <w:color w:val="auto"/>
                <w:sz w:val="24"/>
                <w:szCs w:val="32"/>
              </w:rPr>
              <w:t>施工期间产生的建筑弃土主要为场地平整、基础开挖产生的土方，土方量约为</w:t>
            </w:r>
            <w:r>
              <w:rPr>
                <w:rFonts w:hint="eastAsia"/>
                <w:color w:val="auto"/>
                <w:sz w:val="24"/>
                <w:szCs w:val="32"/>
                <w:lang w:val="en-US" w:eastAsia="zh-CN"/>
              </w:rPr>
              <w:t>1</w:t>
            </w:r>
            <w:r>
              <w:rPr>
                <w:rFonts w:hint="eastAsia"/>
                <w:color w:val="auto"/>
                <w:sz w:val="24"/>
                <w:szCs w:val="32"/>
              </w:rPr>
              <w:t>万m</w:t>
            </w:r>
            <w:r>
              <w:rPr>
                <w:rFonts w:hint="eastAsia"/>
                <w:color w:val="auto"/>
                <w:sz w:val="24"/>
                <w:szCs w:val="32"/>
                <w:vertAlign w:val="superscript"/>
              </w:rPr>
              <w:t>3</w:t>
            </w:r>
            <w:r>
              <w:rPr>
                <w:rFonts w:hint="eastAsia"/>
                <w:color w:val="auto"/>
                <w:sz w:val="24"/>
                <w:szCs w:val="32"/>
              </w:rPr>
              <w:t>，本项目场地平整、基础开挖产生的土方</w:t>
            </w:r>
            <w:r>
              <w:rPr>
                <w:rFonts w:hint="eastAsia"/>
                <w:color w:val="auto"/>
                <w:sz w:val="24"/>
                <w:szCs w:val="24"/>
                <w:lang w:bidi="ar"/>
              </w:rPr>
              <w:t>可回填用于厂区平整，无弃方产生，填方量约为</w:t>
            </w:r>
            <w:r>
              <w:rPr>
                <w:rFonts w:hint="eastAsia"/>
                <w:color w:val="auto"/>
                <w:sz w:val="24"/>
                <w:szCs w:val="32"/>
                <w:lang w:val="en-US" w:eastAsia="zh-CN"/>
              </w:rPr>
              <w:t>1</w:t>
            </w:r>
            <w:r>
              <w:rPr>
                <w:rFonts w:hint="eastAsia"/>
                <w:color w:val="auto"/>
                <w:sz w:val="24"/>
                <w:szCs w:val="32"/>
              </w:rPr>
              <w:t>万m</w:t>
            </w:r>
            <w:r>
              <w:rPr>
                <w:rFonts w:hint="eastAsia"/>
                <w:color w:val="auto"/>
                <w:sz w:val="24"/>
                <w:szCs w:val="32"/>
                <w:vertAlign w:val="superscript"/>
              </w:rPr>
              <w:t>3</w:t>
            </w:r>
            <w:r>
              <w:rPr>
                <w:rFonts w:hint="eastAsia"/>
                <w:color w:val="auto"/>
                <w:sz w:val="24"/>
                <w:szCs w:val="32"/>
              </w:rPr>
              <w:t>。</w:t>
            </w:r>
          </w:p>
          <w:p>
            <w:pPr>
              <w:adjustRightInd w:val="0"/>
              <w:snapToGrid w:val="0"/>
              <w:spacing w:line="480" w:lineRule="exact"/>
              <w:ind w:firstLine="480" w:firstLineChars="200"/>
              <w:rPr>
                <w:color w:val="auto"/>
                <w:sz w:val="24"/>
                <w:szCs w:val="32"/>
              </w:rPr>
            </w:pPr>
            <w:r>
              <w:rPr>
                <w:rFonts w:hint="eastAsia"/>
                <w:color w:val="auto"/>
                <w:sz w:val="24"/>
                <w:szCs w:val="32"/>
              </w:rPr>
              <w:t>施工期间产生的建筑垃圾主要包括灰碴、砂、石、废砖等应首先考虑回收利用，不能回收利用的，按照当地主管部门的要求送至指定地点集中处置，严禁乱堆乱放；垃圾等运输过程中，车辆要装载均衡，货物不得超出车厢体，要采取密闭措施，不得撒漏。</w:t>
            </w:r>
          </w:p>
          <w:p>
            <w:pPr>
              <w:adjustRightInd w:val="0"/>
              <w:snapToGrid w:val="0"/>
              <w:spacing w:line="480" w:lineRule="exact"/>
              <w:ind w:firstLine="480" w:firstLineChars="200"/>
              <w:rPr>
                <w:color w:val="auto"/>
                <w:sz w:val="24"/>
                <w:szCs w:val="32"/>
              </w:rPr>
            </w:pPr>
            <w:r>
              <w:rPr>
                <w:rFonts w:hint="eastAsia"/>
                <w:color w:val="auto"/>
                <w:sz w:val="24"/>
                <w:szCs w:val="32"/>
              </w:rPr>
              <w:t>施工人员生活垃圾主要为生活中遗弃的废弃物，施工高峰期人员约30人，按0.5kg/人•d计，则生活垃圾产生量约15kg/d。在施工区域内设临时集中收集点，运至市政环卫部门指定的地点。</w:t>
            </w:r>
          </w:p>
          <w:p>
            <w:pPr>
              <w:adjustRightInd w:val="0"/>
              <w:snapToGrid w:val="0"/>
              <w:spacing w:line="480" w:lineRule="exact"/>
              <w:ind w:firstLine="482" w:firstLineChars="200"/>
              <w:rPr>
                <w:b/>
                <w:color w:val="auto"/>
                <w:sz w:val="24"/>
                <w:szCs w:val="32"/>
              </w:rPr>
            </w:pPr>
            <w:r>
              <w:rPr>
                <w:rFonts w:hint="eastAsia"/>
                <w:b/>
                <w:color w:val="auto"/>
                <w:sz w:val="24"/>
                <w:szCs w:val="32"/>
              </w:rPr>
              <w:t>4、施工期声环境影晌分析及防治措施</w:t>
            </w:r>
          </w:p>
          <w:p>
            <w:pPr>
              <w:adjustRightInd w:val="0"/>
              <w:snapToGrid w:val="0"/>
              <w:spacing w:line="480" w:lineRule="exact"/>
              <w:ind w:firstLine="480" w:firstLineChars="200"/>
              <w:rPr>
                <w:color w:val="auto"/>
                <w:sz w:val="24"/>
                <w:szCs w:val="32"/>
              </w:rPr>
            </w:pPr>
            <w:r>
              <w:rPr>
                <w:rFonts w:hint="eastAsia"/>
                <w:bCs/>
                <w:color w:val="auto"/>
                <w:sz w:val="24"/>
                <w:szCs w:val="32"/>
              </w:rPr>
              <w:t>施工噪声主要来源于施工机械设备产生的噪声，如装载机、吊车、载重汽车、电钻等，</w:t>
            </w:r>
            <w:r>
              <w:rPr>
                <w:rFonts w:hint="eastAsia"/>
                <w:color w:val="auto"/>
                <w:sz w:val="24"/>
                <w:szCs w:val="32"/>
              </w:rPr>
              <w:t>噪声值为70-110dB（A）。</w:t>
            </w:r>
          </w:p>
          <w:p>
            <w:pPr>
              <w:adjustRightInd w:val="0"/>
              <w:snapToGrid w:val="0"/>
              <w:spacing w:line="480" w:lineRule="exact"/>
              <w:ind w:firstLine="480" w:firstLineChars="200"/>
              <w:rPr>
                <w:color w:val="auto"/>
                <w:sz w:val="24"/>
                <w:szCs w:val="32"/>
              </w:rPr>
            </w:pPr>
            <w:r>
              <w:rPr>
                <w:rFonts w:hint="eastAsia"/>
                <w:color w:val="auto"/>
                <w:sz w:val="24"/>
                <w:szCs w:val="32"/>
              </w:rPr>
              <w:t>本项目施工期不同阶段噪声源及声压等级见下表。</w:t>
            </w:r>
          </w:p>
          <w:p>
            <w:pPr>
              <w:spacing w:line="480" w:lineRule="exact"/>
              <w:jc w:val="center"/>
              <w:rPr>
                <w:rFonts w:ascii="黑体" w:hAnsi="黑体" w:eastAsia="黑体"/>
                <w:color w:val="auto"/>
                <w:sz w:val="24"/>
                <w:szCs w:val="32"/>
              </w:rPr>
            </w:pPr>
            <w:r>
              <w:rPr>
                <w:rFonts w:hint="eastAsia" w:ascii="黑体" w:hAnsi="黑体" w:eastAsia="黑体"/>
                <w:color w:val="auto"/>
                <w:sz w:val="24"/>
                <w:szCs w:val="32"/>
              </w:rPr>
              <w:t>表4-1  施工期主要噪声源及声压等级</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3365"/>
              <w:gridCol w:w="224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color w:val="auto"/>
                    </w:rPr>
                  </w:pPr>
                  <w:r>
                    <w:rPr>
                      <w:rFonts w:hint="eastAsia"/>
                      <w:bCs/>
                      <w:color w:val="auto"/>
                    </w:rPr>
                    <w:t>施工阶段</w:t>
                  </w:r>
                </w:p>
              </w:tc>
              <w:tc>
                <w:tcPr>
                  <w:tcW w:w="1963" w:type="pct"/>
                  <w:vAlign w:val="center"/>
                </w:tcPr>
                <w:p>
                  <w:pPr>
                    <w:jc w:val="center"/>
                    <w:rPr>
                      <w:bCs/>
                      <w:color w:val="auto"/>
                    </w:rPr>
                  </w:pPr>
                  <w:r>
                    <w:rPr>
                      <w:rFonts w:hint="eastAsia"/>
                      <w:bCs/>
                      <w:color w:val="auto"/>
                    </w:rPr>
                    <w:t>主要噪声源</w:t>
                  </w:r>
                </w:p>
              </w:tc>
              <w:tc>
                <w:tcPr>
                  <w:tcW w:w="1312" w:type="pct"/>
                  <w:vAlign w:val="center"/>
                </w:tcPr>
                <w:p>
                  <w:pPr>
                    <w:jc w:val="center"/>
                    <w:rPr>
                      <w:bCs/>
                      <w:color w:val="auto"/>
                    </w:rPr>
                  </w:pPr>
                  <w:r>
                    <w:rPr>
                      <w:rFonts w:hint="eastAsia"/>
                      <w:bCs/>
                      <w:color w:val="auto"/>
                    </w:rPr>
                    <w:t>噪声级[dB(A)]</w:t>
                  </w:r>
                </w:p>
              </w:tc>
              <w:tc>
                <w:tcPr>
                  <w:tcW w:w="963" w:type="pct"/>
                  <w:vAlign w:val="center"/>
                </w:tcPr>
                <w:p>
                  <w:pPr>
                    <w:jc w:val="center"/>
                    <w:rPr>
                      <w:bCs/>
                      <w:color w:val="auto"/>
                    </w:rPr>
                  </w:pPr>
                  <w:r>
                    <w:rPr>
                      <w:rFonts w:hint="eastAsia"/>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color w:val="auto"/>
                    </w:rPr>
                  </w:pPr>
                  <w:r>
                    <w:rPr>
                      <w:rFonts w:hint="eastAsia"/>
                      <w:bCs/>
                      <w:color w:val="auto"/>
                    </w:rPr>
                    <w:t>基础阶段</w:t>
                  </w:r>
                </w:p>
              </w:tc>
              <w:tc>
                <w:tcPr>
                  <w:tcW w:w="1963" w:type="pct"/>
                  <w:vAlign w:val="center"/>
                </w:tcPr>
                <w:p>
                  <w:pPr>
                    <w:jc w:val="center"/>
                    <w:rPr>
                      <w:bCs/>
                      <w:color w:val="auto"/>
                    </w:rPr>
                  </w:pPr>
                  <w:r>
                    <w:rPr>
                      <w:rFonts w:hint="eastAsia"/>
                      <w:bCs/>
                      <w:color w:val="auto"/>
                    </w:rPr>
                    <w:t>装载机等</w:t>
                  </w:r>
                </w:p>
              </w:tc>
              <w:tc>
                <w:tcPr>
                  <w:tcW w:w="1312" w:type="pct"/>
                  <w:vAlign w:val="center"/>
                </w:tcPr>
                <w:p>
                  <w:pPr>
                    <w:jc w:val="center"/>
                    <w:rPr>
                      <w:bCs/>
                      <w:color w:val="auto"/>
                    </w:rPr>
                  </w:pPr>
                  <w:r>
                    <w:rPr>
                      <w:rFonts w:hint="eastAsia"/>
                      <w:bCs/>
                      <w:color w:val="auto"/>
                    </w:rPr>
                    <w:t>110</w:t>
                  </w:r>
                </w:p>
              </w:tc>
              <w:tc>
                <w:tcPr>
                  <w:tcW w:w="963" w:type="pct"/>
                  <w:vAlign w:val="center"/>
                </w:tcPr>
                <w:p>
                  <w:pPr>
                    <w:jc w:val="center"/>
                    <w:rPr>
                      <w:bCs/>
                      <w:color w:val="auto"/>
                    </w:rPr>
                  </w:pPr>
                  <w:r>
                    <w:rPr>
                      <w:rFonts w:hint="eastAsia"/>
                      <w:bCs/>
                      <w:color w:val="auto"/>
                    </w:rPr>
                    <w:t>距声源1.0m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color w:val="auto"/>
                    </w:rPr>
                  </w:pPr>
                  <w:r>
                    <w:rPr>
                      <w:rFonts w:hint="eastAsia"/>
                      <w:bCs/>
                      <w:color w:val="auto"/>
                    </w:rPr>
                    <w:t>结构阶段</w:t>
                  </w:r>
                </w:p>
              </w:tc>
              <w:tc>
                <w:tcPr>
                  <w:tcW w:w="1963" w:type="pct"/>
                  <w:vAlign w:val="center"/>
                </w:tcPr>
                <w:p>
                  <w:pPr>
                    <w:jc w:val="center"/>
                    <w:rPr>
                      <w:bCs/>
                      <w:color w:val="auto"/>
                    </w:rPr>
                  </w:pPr>
                  <w:r>
                    <w:rPr>
                      <w:rFonts w:hint="eastAsia"/>
                      <w:bCs/>
                      <w:color w:val="auto"/>
                    </w:rPr>
                    <w:t>吊车、载重汽车等</w:t>
                  </w:r>
                </w:p>
              </w:tc>
              <w:tc>
                <w:tcPr>
                  <w:tcW w:w="1312" w:type="pct"/>
                  <w:vAlign w:val="center"/>
                </w:tcPr>
                <w:p>
                  <w:pPr>
                    <w:jc w:val="center"/>
                    <w:rPr>
                      <w:bCs/>
                      <w:color w:val="auto"/>
                    </w:rPr>
                  </w:pPr>
                  <w:r>
                    <w:rPr>
                      <w:rFonts w:hint="eastAsia"/>
                      <w:bCs/>
                      <w:color w:val="auto"/>
                    </w:rPr>
                    <w:t>95~110</w:t>
                  </w:r>
                </w:p>
              </w:tc>
              <w:tc>
                <w:tcPr>
                  <w:tcW w:w="963" w:type="pct"/>
                  <w:vAlign w:val="center"/>
                </w:tcPr>
                <w:p>
                  <w:pPr>
                    <w:jc w:val="center"/>
                    <w:rPr>
                      <w:bCs/>
                      <w:color w:val="auto"/>
                    </w:rPr>
                  </w:pPr>
                  <w:r>
                    <w:rPr>
                      <w:rFonts w:hint="eastAsia"/>
                      <w:bCs/>
                      <w:color w:val="auto"/>
                    </w:rPr>
                    <w:t>距声源1.0m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color w:val="auto"/>
                    </w:rPr>
                  </w:pPr>
                  <w:r>
                    <w:rPr>
                      <w:rFonts w:hint="eastAsia"/>
                      <w:bCs/>
                      <w:color w:val="auto"/>
                    </w:rPr>
                    <w:t>安装阶段</w:t>
                  </w:r>
                </w:p>
              </w:tc>
              <w:tc>
                <w:tcPr>
                  <w:tcW w:w="1963" w:type="pct"/>
                  <w:vAlign w:val="center"/>
                </w:tcPr>
                <w:p>
                  <w:pPr>
                    <w:jc w:val="center"/>
                    <w:rPr>
                      <w:bCs/>
                      <w:color w:val="auto"/>
                    </w:rPr>
                  </w:pPr>
                  <w:r>
                    <w:rPr>
                      <w:rFonts w:hint="eastAsia"/>
                      <w:bCs/>
                      <w:color w:val="auto"/>
                    </w:rPr>
                    <w:t>无长时间操作的主要噪声源</w:t>
                  </w:r>
                </w:p>
              </w:tc>
              <w:tc>
                <w:tcPr>
                  <w:tcW w:w="1312" w:type="pct"/>
                  <w:vAlign w:val="center"/>
                </w:tcPr>
                <w:p>
                  <w:pPr>
                    <w:jc w:val="center"/>
                    <w:rPr>
                      <w:bCs/>
                      <w:color w:val="auto"/>
                    </w:rPr>
                  </w:pPr>
                  <w:r>
                    <w:rPr>
                      <w:rFonts w:hint="eastAsia"/>
                      <w:bCs/>
                      <w:color w:val="auto"/>
                    </w:rPr>
                    <w:t>85~90</w:t>
                  </w:r>
                </w:p>
              </w:tc>
              <w:tc>
                <w:tcPr>
                  <w:tcW w:w="963" w:type="pct"/>
                  <w:vAlign w:val="center"/>
                </w:tcPr>
                <w:p>
                  <w:pPr>
                    <w:jc w:val="center"/>
                    <w:rPr>
                      <w:bCs/>
                      <w:color w:val="auto"/>
                    </w:rPr>
                  </w:pPr>
                  <w:r>
                    <w:rPr>
                      <w:rFonts w:hint="eastAsia"/>
                      <w:bCs/>
                      <w:color w:val="auto"/>
                    </w:rPr>
                    <w:t>距声源1.5m</w:t>
                  </w:r>
                </w:p>
              </w:tc>
            </w:tr>
          </w:tbl>
          <w:p>
            <w:pPr>
              <w:adjustRightInd w:val="0"/>
              <w:snapToGrid w:val="0"/>
              <w:spacing w:line="480" w:lineRule="exact"/>
              <w:ind w:firstLine="480" w:firstLineChars="200"/>
              <w:rPr>
                <w:color w:val="auto"/>
                <w:sz w:val="24"/>
                <w:szCs w:val="32"/>
              </w:rPr>
            </w:pPr>
            <w:r>
              <w:rPr>
                <w:rFonts w:hint="eastAsia"/>
                <w:color w:val="auto"/>
                <w:sz w:val="24"/>
                <w:szCs w:val="32"/>
              </w:rPr>
              <w:t>评价要求采取以下措施减轻噪声影响：</w:t>
            </w:r>
          </w:p>
          <w:p>
            <w:pPr>
              <w:adjustRightInd w:val="0"/>
              <w:snapToGrid w:val="0"/>
              <w:spacing w:line="480" w:lineRule="exact"/>
              <w:ind w:firstLine="480" w:firstLineChars="200"/>
              <w:rPr>
                <w:color w:val="auto"/>
                <w:sz w:val="24"/>
                <w:szCs w:val="32"/>
              </w:rPr>
            </w:pPr>
            <w:r>
              <w:rPr>
                <w:rFonts w:hint="eastAsia"/>
                <w:color w:val="auto"/>
                <w:sz w:val="24"/>
                <w:szCs w:val="32"/>
              </w:rPr>
              <w:t>①企业在施工过程要合理安排施工时间，所有产噪设备施工时间应尽量安排在日间，严格控制夜间施工，在22时至次日6时不得施工，高噪声设备禁止夜间施工；</w:t>
            </w:r>
          </w:p>
          <w:p>
            <w:pPr>
              <w:adjustRightInd w:val="0"/>
              <w:snapToGrid w:val="0"/>
              <w:spacing w:line="480" w:lineRule="exact"/>
              <w:ind w:firstLine="480" w:firstLineChars="200"/>
              <w:rPr>
                <w:color w:val="auto"/>
                <w:sz w:val="24"/>
                <w:szCs w:val="32"/>
              </w:rPr>
            </w:pPr>
            <w:r>
              <w:rPr>
                <w:rFonts w:hint="eastAsia"/>
                <w:color w:val="auto"/>
                <w:sz w:val="24"/>
                <w:szCs w:val="32"/>
              </w:rPr>
              <w:t>②由于工艺或工程进度要求需在夜间施工时，需事先征得相关部门的同意，并树立公告牌向周边居民说明情况；</w:t>
            </w:r>
          </w:p>
          <w:p>
            <w:pPr>
              <w:adjustRightInd w:val="0"/>
              <w:snapToGrid w:val="0"/>
              <w:spacing w:line="480" w:lineRule="exact"/>
              <w:ind w:firstLine="480" w:firstLineChars="200"/>
              <w:rPr>
                <w:color w:val="auto"/>
                <w:sz w:val="24"/>
                <w:szCs w:val="32"/>
              </w:rPr>
            </w:pPr>
            <w:r>
              <w:rPr>
                <w:rFonts w:hint="eastAsia"/>
                <w:color w:val="auto"/>
                <w:sz w:val="24"/>
                <w:szCs w:val="32"/>
              </w:rPr>
              <w:t>③采用低噪声设备，对动力机械设备进行定期维修、养护，避免因设备松动部件的震动或消声器破坏而加大其工作时的声级；</w:t>
            </w:r>
          </w:p>
          <w:p>
            <w:pPr>
              <w:adjustRightInd w:val="0"/>
              <w:snapToGrid w:val="0"/>
              <w:spacing w:line="480" w:lineRule="exact"/>
              <w:ind w:firstLine="480" w:firstLineChars="200"/>
              <w:rPr>
                <w:color w:val="auto"/>
                <w:sz w:val="24"/>
                <w:szCs w:val="32"/>
              </w:rPr>
            </w:pPr>
            <w:r>
              <w:rPr>
                <w:rFonts w:hint="eastAsia"/>
                <w:color w:val="auto"/>
                <w:sz w:val="24"/>
                <w:szCs w:val="32"/>
              </w:rPr>
              <w:t>④在</w:t>
            </w:r>
            <w:r>
              <w:rPr>
                <w:rFonts w:hint="eastAsia"/>
                <w:color w:val="auto"/>
                <w:sz w:val="24"/>
                <w:szCs w:val="32"/>
                <w:lang w:val="en-US" w:eastAsia="zh-CN"/>
              </w:rPr>
              <w:t>构建筑物</w:t>
            </w:r>
            <w:r>
              <w:rPr>
                <w:rFonts w:hint="eastAsia"/>
                <w:color w:val="auto"/>
                <w:sz w:val="24"/>
                <w:szCs w:val="32"/>
              </w:rPr>
              <w:t>搭建过程中使用的模板、支架的拆卸过程中应遵守作业规定，减少碰撞噪声；</w:t>
            </w:r>
          </w:p>
          <w:p>
            <w:pPr>
              <w:adjustRightInd w:val="0"/>
              <w:snapToGrid w:val="0"/>
              <w:spacing w:line="480" w:lineRule="exact"/>
              <w:ind w:firstLine="480" w:firstLineChars="200"/>
              <w:rPr>
                <w:color w:val="auto"/>
                <w:sz w:val="24"/>
                <w:szCs w:val="32"/>
              </w:rPr>
            </w:pPr>
            <w:r>
              <w:rPr>
                <w:rFonts w:hint="eastAsia"/>
                <w:color w:val="auto"/>
                <w:sz w:val="24"/>
                <w:szCs w:val="32"/>
              </w:rPr>
              <w:t>⑤合理布局，避免在同一地点安排大量动力机械设备，以避免局部声级过高；</w:t>
            </w:r>
          </w:p>
          <w:p>
            <w:pPr>
              <w:adjustRightInd w:val="0"/>
              <w:snapToGrid w:val="0"/>
              <w:spacing w:line="480" w:lineRule="exact"/>
              <w:ind w:firstLine="480" w:firstLineChars="200"/>
              <w:rPr>
                <w:rFonts w:hint="eastAsia"/>
                <w:color w:val="auto"/>
                <w:sz w:val="24"/>
                <w:szCs w:val="32"/>
              </w:rPr>
            </w:pPr>
            <w:r>
              <w:rPr>
                <w:rFonts w:hint="eastAsia"/>
                <w:color w:val="auto"/>
                <w:sz w:val="24"/>
                <w:szCs w:val="32"/>
              </w:rPr>
              <w:t>⑥为避免设备噪声对施工人员造成影响，评价建议项目施工时要合理安排工作人员，轮流操作机械，减少工人接触高噪音时间；对声源附近工作时间较长的工人，应采取分发防护耳塞保护措施，使工人自身防护得到保障。</w:t>
            </w:r>
          </w:p>
          <w:p>
            <w:pPr>
              <w:adjustRightInd w:val="0"/>
              <w:snapToGrid w:val="0"/>
              <w:spacing w:line="480" w:lineRule="exact"/>
              <w:ind w:firstLine="482" w:firstLineChars="200"/>
              <w:rPr>
                <w:b/>
                <w:color w:val="auto"/>
                <w:sz w:val="24"/>
                <w:szCs w:val="32"/>
              </w:rPr>
            </w:pPr>
            <w:r>
              <w:rPr>
                <w:rFonts w:hint="eastAsia"/>
                <w:b/>
                <w:color w:val="auto"/>
                <w:sz w:val="24"/>
                <w:szCs w:val="32"/>
                <w:lang w:val="en-US" w:eastAsia="zh-CN"/>
              </w:rPr>
              <w:t>5</w:t>
            </w:r>
            <w:r>
              <w:rPr>
                <w:rFonts w:hint="eastAsia"/>
                <w:b/>
                <w:color w:val="auto"/>
                <w:sz w:val="24"/>
                <w:szCs w:val="32"/>
              </w:rPr>
              <w:t>、施工期</w:t>
            </w:r>
            <w:r>
              <w:rPr>
                <w:rFonts w:hint="eastAsia"/>
                <w:b/>
                <w:color w:val="auto"/>
                <w:sz w:val="24"/>
                <w:szCs w:val="32"/>
                <w:lang w:val="en-US" w:eastAsia="zh-CN"/>
              </w:rPr>
              <w:t>生态</w:t>
            </w:r>
            <w:r>
              <w:rPr>
                <w:rFonts w:hint="eastAsia"/>
                <w:b/>
                <w:color w:val="auto"/>
                <w:sz w:val="24"/>
                <w:szCs w:val="32"/>
              </w:rPr>
              <w:t>环境影晌分析及防治措施</w:t>
            </w:r>
          </w:p>
          <w:p>
            <w:pPr>
              <w:spacing w:line="480" w:lineRule="exact"/>
              <w:ind w:firstLine="480" w:firstLineChars="200"/>
              <w:rPr>
                <w:color w:val="auto"/>
                <w:sz w:val="24"/>
              </w:rPr>
            </w:pPr>
            <w:r>
              <w:rPr>
                <w:rFonts w:hint="eastAsia"/>
                <w:b w:val="0"/>
                <w:bCs/>
                <w:color w:val="auto"/>
                <w:sz w:val="24"/>
                <w:lang w:val="en-US" w:eastAsia="zh-CN"/>
              </w:rPr>
              <w:t>本项目</w:t>
            </w:r>
            <w:r>
              <w:rPr>
                <w:rFonts w:hint="eastAsia"/>
                <w:color w:val="auto"/>
                <w:kern w:val="0"/>
                <w:sz w:val="24"/>
              </w:rPr>
              <w:t>拟建厂址位于</w:t>
            </w:r>
            <w:r>
              <w:rPr>
                <w:rFonts w:hint="eastAsia"/>
                <w:b w:val="0"/>
                <w:bCs/>
                <w:color w:val="auto"/>
                <w:sz w:val="24"/>
              </w:rPr>
              <w:t>山西省忻州市五台县建安镇张家庄村北440m处</w:t>
            </w:r>
            <w:r>
              <w:rPr>
                <w:rFonts w:hint="eastAsia"/>
                <w:color w:val="auto"/>
                <w:kern w:val="0"/>
                <w:sz w:val="24"/>
              </w:rPr>
              <w:t>，</w:t>
            </w:r>
            <w:r>
              <w:rPr>
                <w:rFonts w:hint="eastAsia"/>
                <w:color w:val="auto"/>
                <w:kern w:val="0"/>
                <w:sz w:val="24"/>
                <w:lang w:val="en-US" w:eastAsia="zh-CN"/>
              </w:rPr>
              <w:t>用地属类为农用地（一般耕地）。施工期对拟建厂址内的植被将造成一定影响，</w:t>
            </w:r>
            <w:r>
              <w:rPr>
                <w:color w:val="auto"/>
                <w:sz w:val="24"/>
              </w:rPr>
              <w:t>工程占用土地完全损毁了原有的植被类型，其上生活着的植物全部被清除。</w:t>
            </w:r>
          </w:p>
          <w:p>
            <w:pPr>
              <w:adjustRightInd w:val="0"/>
              <w:snapToGrid w:val="0"/>
              <w:spacing w:line="480" w:lineRule="exact"/>
              <w:ind w:firstLine="480" w:firstLineChars="200"/>
              <w:rPr>
                <w:color w:val="auto"/>
                <w:sz w:val="24"/>
              </w:rPr>
            </w:pPr>
            <w:r>
              <w:rPr>
                <w:rFonts w:hint="eastAsia"/>
                <w:color w:val="auto"/>
                <w:sz w:val="24"/>
                <w:lang w:val="en-US" w:eastAsia="zh-CN"/>
              </w:rPr>
              <w:t>本项目占地类型为农用地（一般耕地）</w:t>
            </w:r>
            <w:r>
              <w:rPr>
                <w:color w:val="auto"/>
                <w:sz w:val="24"/>
              </w:rPr>
              <w:t>，本工程实施后，不会造成生物多样性的显著降低和物种消失，仅会对局部的植物数量和生长环境产生不利影响。预计在施工期，本区的野生动物都将产生规避反应，远离这一地区，特别是鸟类，其栖息环境需要相对安静，因此本区的鸟类将受较大影响，而本区内无大型野生动物，主要有野鸡、野兔和鼠类等小型动物，施工期间，动物受施工影响，将迁往附近同类环境，动物迁徙能力强，且同类生境易于在附近找寻，故物种种群与数量不会受到明显影响。施工场地相对于该区域面积较小，项目的建设只是在小范围内暂时改变了部分动物的栖息环境，不会引起物种消失和生物多样性的减少。</w:t>
            </w:r>
          </w:p>
          <w:p>
            <w:pPr>
              <w:adjustRightInd w:val="0"/>
              <w:snapToGrid w:val="0"/>
              <w:spacing w:line="480" w:lineRule="exact"/>
              <w:ind w:firstLine="480" w:firstLineChars="200"/>
              <w:rPr>
                <w:rFonts w:hint="eastAsia"/>
                <w:color w:val="auto"/>
                <w:sz w:val="24"/>
                <w:szCs w:val="32"/>
              </w:rPr>
            </w:pPr>
            <w:r>
              <w:rPr>
                <w:rFonts w:hint="eastAsia"/>
                <w:color w:val="auto"/>
                <w:sz w:val="24"/>
                <w:szCs w:val="32"/>
              </w:rPr>
              <w:t>本工程采取的主要防治措施包括施工临时防护措施等。</w:t>
            </w:r>
            <w:r>
              <w:rPr>
                <w:bCs/>
                <w:color w:val="auto"/>
                <w:sz w:val="24"/>
              </w:rPr>
              <w:t>表土剥离：施工</w:t>
            </w:r>
            <w:r>
              <w:rPr>
                <w:rFonts w:hint="eastAsia"/>
                <w:bCs/>
                <w:color w:val="auto"/>
                <w:sz w:val="24"/>
                <w:lang w:val="en-US" w:eastAsia="zh-CN"/>
              </w:rPr>
              <w:t>时</w:t>
            </w:r>
            <w:r>
              <w:rPr>
                <w:bCs/>
                <w:color w:val="auto"/>
                <w:sz w:val="24"/>
              </w:rPr>
              <w:t>对该区域进行表土剥离，剥离厚度30cm，呈棱台形堆放；</w:t>
            </w:r>
            <w:r>
              <w:rPr>
                <w:rFonts w:hint="eastAsia"/>
                <w:bCs/>
                <w:color w:val="auto"/>
                <w:sz w:val="24"/>
                <w:lang w:val="en-US" w:eastAsia="zh-CN"/>
              </w:rPr>
              <w:t>施工期结束</w:t>
            </w:r>
            <w:r>
              <w:rPr>
                <w:bCs/>
                <w:color w:val="auto"/>
                <w:sz w:val="24"/>
              </w:rPr>
              <w:t>后将底土回填平整，上覆表土</w:t>
            </w:r>
            <w:r>
              <w:rPr>
                <w:rFonts w:hint="eastAsia"/>
                <w:bCs/>
                <w:color w:val="auto"/>
                <w:sz w:val="24"/>
                <w:lang w:eastAsia="zh-CN"/>
              </w:rPr>
              <w:t>，</w:t>
            </w:r>
            <w:r>
              <w:rPr>
                <w:rFonts w:hint="eastAsia"/>
                <w:bCs/>
                <w:color w:val="auto"/>
                <w:sz w:val="24"/>
                <w:lang w:val="en-US" w:eastAsia="zh-CN"/>
              </w:rPr>
              <w:t>用于厂区绿化</w:t>
            </w:r>
            <w:r>
              <w:rPr>
                <w:bCs/>
                <w:color w:val="auto"/>
                <w:sz w:val="24"/>
              </w:rPr>
              <w:t>。临时措施：基础开挖产生的表土和底层土方须分类就近堆存，土方临时堆场采取表面拍实处理并在表面遮盖防尘网，四周设编织袋挡土堰挡护。</w:t>
            </w:r>
          </w:p>
          <w:p>
            <w:pPr>
              <w:adjustRightInd w:val="0"/>
              <w:snapToGrid w:val="0"/>
              <w:spacing w:line="480" w:lineRule="exact"/>
              <w:ind w:firstLine="480" w:firstLineChars="200"/>
              <w:rPr>
                <w:rFonts w:hint="eastAsia"/>
                <w:color w:val="auto"/>
                <w:sz w:val="24"/>
                <w:szCs w:val="32"/>
              </w:rPr>
            </w:pPr>
          </w:p>
          <w:p>
            <w:pPr>
              <w:adjustRightInd w:val="0"/>
              <w:snapToGrid w:val="0"/>
              <w:spacing w:line="480" w:lineRule="exact"/>
              <w:ind w:firstLine="480" w:firstLineChars="200"/>
              <w:rPr>
                <w:rFonts w:hint="eastAsia"/>
                <w:color w:val="auto"/>
                <w:sz w:val="24"/>
                <w:szCs w:val="3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06" w:type="dxa"/>
            <w:tcMar>
              <w:left w:w="28" w:type="dxa"/>
              <w:right w:w="28" w:type="dxa"/>
            </w:tcMar>
            <w:vAlign w:val="center"/>
          </w:tcPr>
          <w:p>
            <w:pPr>
              <w:adjustRightInd w:val="0"/>
              <w:snapToGrid w:val="0"/>
              <w:jc w:val="center"/>
              <w:rPr>
                <w:rFonts w:ascii="宋体" w:hAnsi="宋体" w:cs="宋体"/>
                <w:bCs/>
                <w:color w:val="auto"/>
              </w:rPr>
            </w:pPr>
            <w:r>
              <w:rPr>
                <w:rFonts w:hint="eastAsia" w:ascii="宋体" w:hAnsi="宋体" w:cs="宋体"/>
                <w:bCs/>
                <w:color w:val="auto"/>
              </w:rPr>
              <w:t>运营</w:t>
            </w:r>
          </w:p>
          <w:p>
            <w:pPr>
              <w:adjustRightInd w:val="0"/>
              <w:snapToGrid w:val="0"/>
              <w:jc w:val="center"/>
              <w:rPr>
                <w:rFonts w:ascii="宋体" w:hAnsi="宋体" w:cs="宋体"/>
                <w:bCs/>
                <w:color w:val="auto"/>
              </w:rPr>
            </w:pPr>
            <w:r>
              <w:rPr>
                <w:rFonts w:hint="eastAsia" w:ascii="宋体" w:hAnsi="宋体" w:cs="宋体"/>
                <w:bCs/>
                <w:color w:val="auto"/>
              </w:rPr>
              <w:t>期环</w:t>
            </w:r>
          </w:p>
          <w:p>
            <w:pPr>
              <w:adjustRightInd w:val="0"/>
              <w:snapToGrid w:val="0"/>
              <w:jc w:val="center"/>
              <w:rPr>
                <w:rFonts w:ascii="宋体" w:hAnsi="宋体" w:cs="宋体"/>
                <w:bCs/>
                <w:color w:val="auto"/>
              </w:rPr>
            </w:pPr>
            <w:r>
              <w:rPr>
                <w:rFonts w:hint="eastAsia" w:ascii="宋体" w:hAnsi="宋体" w:cs="宋体"/>
                <w:bCs/>
                <w:color w:val="auto"/>
              </w:rPr>
              <w:t>境影</w:t>
            </w:r>
          </w:p>
          <w:p>
            <w:pPr>
              <w:adjustRightInd w:val="0"/>
              <w:snapToGrid w:val="0"/>
              <w:jc w:val="center"/>
              <w:rPr>
                <w:rFonts w:ascii="宋体" w:hAnsi="宋体" w:cs="宋体"/>
                <w:bCs/>
                <w:color w:val="auto"/>
              </w:rPr>
            </w:pPr>
            <w:r>
              <w:rPr>
                <w:rFonts w:hint="eastAsia" w:ascii="宋体" w:hAnsi="宋体" w:cs="宋体"/>
                <w:bCs/>
                <w:color w:val="auto"/>
              </w:rPr>
              <w:t>响和</w:t>
            </w:r>
          </w:p>
          <w:p>
            <w:pPr>
              <w:adjustRightInd w:val="0"/>
              <w:snapToGrid w:val="0"/>
              <w:jc w:val="center"/>
              <w:rPr>
                <w:rFonts w:ascii="宋体" w:hAnsi="宋体" w:cs="宋体"/>
                <w:bCs/>
                <w:color w:val="auto"/>
              </w:rPr>
            </w:pPr>
            <w:r>
              <w:rPr>
                <w:rFonts w:hint="eastAsia" w:ascii="宋体" w:hAnsi="宋体" w:cs="宋体"/>
                <w:bCs/>
                <w:color w:val="auto"/>
              </w:rPr>
              <w:t>保护</w:t>
            </w:r>
          </w:p>
          <w:p>
            <w:pPr>
              <w:adjustRightInd w:val="0"/>
              <w:snapToGrid w:val="0"/>
              <w:jc w:val="center"/>
              <w:rPr>
                <w:rFonts w:ascii="宋体" w:hAnsi="宋体" w:cs="宋体"/>
                <w:bCs/>
                <w:color w:val="auto"/>
              </w:rPr>
            </w:pPr>
            <w:r>
              <w:rPr>
                <w:rFonts w:hint="eastAsia" w:ascii="宋体" w:hAnsi="宋体" w:cs="宋体"/>
                <w:bCs/>
                <w:color w:val="auto"/>
              </w:rPr>
              <w:t>措施</w:t>
            </w:r>
          </w:p>
        </w:tc>
        <w:tc>
          <w:tcPr>
            <w:tcW w:w="8798" w:type="dxa"/>
            <w:vAlign w:val="center"/>
          </w:tcPr>
          <w:p>
            <w:pPr>
              <w:adjustRightInd w:val="0"/>
              <w:snapToGrid w:val="0"/>
              <w:spacing w:line="480" w:lineRule="exact"/>
              <w:ind w:firstLine="482" w:firstLineChars="200"/>
              <w:rPr>
                <w:b/>
                <w:color w:val="auto"/>
                <w:sz w:val="24"/>
              </w:rPr>
            </w:pPr>
            <w:r>
              <w:rPr>
                <w:rFonts w:hint="eastAsia"/>
                <w:b/>
                <w:color w:val="auto"/>
                <w:sz w:val="24"/>
              </w:rPr>
              <w:t>1、运营期大气污染源强及污染防治措施</w:t>
            </w:r>
          </w:p>
          <w:p>
            <w:pPr>
              <w:adjustRightInd w:val="0"/>
              <w:snapToGrid w:val="0"/>
              <w:spacing w:line="480" w:lineRule="exact"/>
              <w:ind w:firstLine="482" w:firstLineChars="200"/>
              <w:rPr>
                <w:b/>
                <w:bCs/>
                <w:color w:val="auto"/>
                <w:sz w:val="24"/>
              </w:rPr>
            </w:pPr>
            <w:r>
              <w:rPr>
                <w:rFonts w:hint="eastAsia"/>
                <w:b/>
                <w:bCs/>
                <w:color w:val="auto"/>
                <w:sz w:val="24"/>
              </w:rPr>
              <w:t>（1）</w:t>
            </w:r>
            <w:r>
              <w:rPr>
                <w:rFonts w:hint="eastAsia"/>
                <w:b/>
                <w:color w:val="auto"/>
                <w:sz w:val="24"/>
              </w:rPr>
              <w:t>运营期大气</w:t>
            </w:r>
            <w:r>
              <w:rPr>
                <w:rFonts w:hint="eastAsia"/>
                <w:b/>
                <w:bCs/>
                <w:color w:val="auto"/>
                <w:sz w:val="24"/>
              </w:rPr>
              <w:t>污染物源强</w:t>
            </w:r>
          </w:p>
          <w:p>
            <w:pPr>
              <w:adjustRightInd w:val="0"/>
              <w:snapToGrid w:val="0"/>
              <w:spacing w:line="480" w:lineRule="exact"/>
              <w:ind w:firstLine="482" w:firstLineChars="200"/>
              <w:rPr>
                <w:bCs/>
                <w:color w:val="auto"/>
                <w:sz w:val="24"/>
              </w:rPr>
            </w:pPr>
            <w:r>
              <w:rPr>
                <w:rFonts w:hint="eastAsia"/>
                <w:b/>
                <w:color w:val="auto"/>
                <w:sz w:val="24"/>
                <w:szCs w:val="32"/>
              </w:rPr>
              <w:t>本项目大气污染物产排量汇总情况见下表。</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表4-2  本项目大气污染物产排量汇总情况表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720"/>
              <w:gridCol w:w="819"/>
              <w:gridCol w:w="899"/>
              <w:gridCol w:w="2147"/>
              <w:gridCol w:w="610"/>
              <w:gridCol w:w="795"/>
              <w:gridCol w:w="79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污染源</w:t>
                  </w:r>
                </w:p>
              </w:tc>
              <w:tc>
                <w:tcPr>
                  <w:tcW w:w="429" w:type="pct"/>
                  <w:vAlign w:val="center"/>
                </w:tcPr>
                <w:p>
                  <w:pPr>
                    <w:pStyle w:val="73"/>
                    <w:spacing w:before="0"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w:t>
                  </w:r>
                </w:p>
              </w:tc>
              <w:tc>
                <w:tcPr>
                  <w:tcW w:w="487" w:type="pc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产生量</w:t>
                  </w:r>
                </w:p>
                <w:p>
                  <w:pPr>
                    <w:pStyle w:val="73"/>
                    <w:spacing w:before="0" w:after="0"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t/a</w:t>
                  </w:r>
                </w:p>
              </w:tc>
              <w:tc>
                <w:tcPr>
                  <w:tcW w:w="524" w:type="pc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产生</w:t>
                  </w:r>
                </w:p>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浓度mg/m</w:t>
                  </w:r>
                  <w:r>
                    <w:rPr>
                      <w:rFonts w:hint="eastAsia" w:ascii="Times New Roman" w:hAnsi="Times New Roman" w:eastAsia="宋体" w:cs="Times New Roman"/>
                      <w:color w:val="auto"/>
                      <w:sz w:val="21"/>
                      <w:szCs w:val="21"/>
                      <w:vertAlign w:val="superscript"/>
                    </w:rPr>
                    <w:t>3</w:t>
                  </w:r>
                </w:p>
              </w:tc>
              <w:tc>
                <w:tcPr>
                  <w:tcW w:w="1262" w:type="pc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处理方式</w:t>
                  </w:r>
                </w:p>
              </w:tc>
              <w:tc>
                <w:tcPr>
                  <w:tcW w:w="365" w:type="pc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排放量</w:t>
                  </w:r>
                </w:p>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t/a</w:t>
                  </w:r>
                </w:p>
              </w:tc>
              <w:tc>
                <w:tcPr>
                  <w:tcW w:w="467" w:type="pc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w:t>
                  </w:r>
                </w:p>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浓度mg/m</w:t>
                  </w:r>
                  <w:r>
                    <w:rPr>
                      <w:rFonts w:hint="eastAsia" w:ascii="Times New Roman" w:hAnsi="Times New Roman" w:eastAsia="宋体" w:cs="Times New Roman"/>
                      <w:color w:val="auto"/>
                      <w:sz w:val="21"/>
                      <w:szCs w:val="21"/>
                      <w:vertAlign w:val="superscript"/>
                    </w:rPr>
                    <w:t>3</w:t>
                  </w:r>
                </w:p>
              </w:tc>
              <w:tc>
                <w:tcPr>
                  <w:tcW w:w="404" w:type="pc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排放强度kg/h</w:t>
                  </w:r>
                </w:p>
              </w:tc>
              <w:tc>
                <w:tcPr>
                  <w:tcW w:w="551" w:type="pc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Merge w:val="restar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污水处理厂构建筑物</w:t>
                  </w:r>
                </w:p>
              </w:tc>
              <w:tc>
                <w:tcPr>
                  <w:tcW w:w="429"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硫化氢</w:t>
                  </w:r>
                </w:p>
              </w:tc>
              <w:tc>
                <w:tcPr>
                  <w:tcW w:w="487"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24"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13.75</w:t>
                  </w:r>
                </w:p>
              </w:tc>
              <w:tc>
                <w:tcPr>
                  <w:tcW w:w="1262" w:type="pct"/>
                  <w:vMerge w:val="restart"/>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GB"/>
                    </w:rPr>
                    <w:t>粗格栅及提升井、细格栅、沉砂池、初沉池、厌氧池、缺氧池、储泥池及污水脱水机</w:t>
                  </w:r>
                  <w:r>
                    <w:rPr>
                      <w:rFonts w:hint="default" w:ascii="Times New Roman" w:hAnsi="Times New Roman" w:eastAsia="宋体" w:cs="Times New Roman"/>
                      <w:color w:val="auto"/>
                      <w:sz w:val="21"/>
                      <w:szCs w:val="21"/>
                    </w:rPr>
                    <w:t>产臭点全部封闭，</w:t>
                  </w:r>
                  <w:r>
                    <w:rPr>
                      <w:rFonts w:hint="default" w:ascii="Times New Roman" w:hAnsi="Times New Roman" w:eastAsia="宋体" w:cs="Times New Roman"/>
                      <w:color w:val="auto"/>
                      <w:sz w:val="21"/>
                      <w:szCs w:val="21"/>
                      <w:lang w:val="en-GB"/>
                    </w:rPr>
                    <w:t>臭气通过管道引至1套生物滤池除臭装置进行处理，处理后经15m高排气筒排放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GB"/>
                    </w:rPr>
                    <w:t>生物滤池除臭装置</w:t>
                  </w:r>
                  <w:r>
                    <w:rPr>
                      <w:rFonts w:hint="default" w:ascii="Times New Roman" w:hAnsi="Times New Roman" w:eastAsia="宋体" w:cs="Times New Roman"/>
                      <w:color w:val="auto"/>
                      <w:sz w:val="21"/>
                      <w:szCs w:val="21"/>
                    </w:rPr>
                    <w:t>处理规模为</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GB"/>
                    </w:rPr>
                    <w:t>硫化氢和氨的去除率可以达到90%以上</w:t>
                  </w:r>
                </w:p>
              </w:tc>
              <w:tc>
                <w:tcPr>
                  <w:tcW w:w="365"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w:t>
                  </w:r>
                </w:p>
              </w:tc>
              <w:tc>
                <w:tcPr>
                  <w:tcW w:w="467"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404"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c>
                <w:tcPr>
                  <w:tcW w:w="551" w:type="pct"/>
                  <w:vMerge w:val="restart"/>
                  <w:vAlign w:val="center"/>
                </w:tcPr>
                <w:p>
                  <w:pPr>
                    <w:pStyle w:val="73"/>
                    <w:spacing w:before="0"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H=15m</w:t>
                  </w:r>
                </w:p>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Φ=0.6m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Merge w:val="continue"/>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p>
              </w:tc>
              <w:tc>
                <w:tcPr>
                  <w:tcW w:w="429"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氨</w:t>
                  </w:r>
                </w:p>
              </w:tc>
              <w:tc>
                <w:tcPr>
                  <w:tcW w:w="487"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24"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5.61</w:t>
                  </w:r>
                </w:p>
              </w:tc>
              <w:tc>
                <w:tcPr>
                  <w:tcW w:w="1262" w:type="pct"/>
                  <w:vMerge w:val="continue"/>
                  <w:vAlign w:val="center"/>
                </w:tcPr>
                <w:p>
                  <w:pPr>
                    <w:pStyle w:val="73"/>
                    <w:spacing w:before="0" w:after="0" w:line="240" w:lineRule="auto"/>
                    <w:ind w:firstLine="0" w:firstLineChars="0"/>
                    <w:jc w:val="center"/>
                    <w:rPr>
                      <w:rFonts w:ascii="Times New Roman" w:hAnsi="Times New Roman" w:eastAsia="宋体" w:cs="Times New Roman"/>
                      <w:bCs/>
                      <w:color w:val="auto"/>
                      <w:sz w:val="21"/>
                      <w:szCs w:val="21"/>
                    </w:rPr>
                  </w:pPr>
                </w:p>
              </w:tc>
              <w:tc>
                <w:tcPr>
                  <w:tcW w:w="365"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467"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0.56</w:t>
                  </w:r>
                </w:p>
              </w:tc>
              <w:tc>
                <w:tcPr>
                  <w:tcW w:w="404"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0.0056</w:t>
                  </w:r>
                </w:p>
              </w:tc>
              <w:tc>
                <w:tcPr>
                  <w:tcW w:w="551" w:type="pct"/>
                  <w:vMerge w:val="continue"/>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Merge w:val="continue"/>
                  <w:vAlign w:val="center"/>
                </w:tcPr>
                <w:p>
                  <w:pPr>
                    <w:pStyle w:val="73"/>
                    <w:spacing w:before="0" w:after="0" w:line="240" w:lineRule="auto"/>
                    <w:ind w:firstLine="0" w:firstLineChars="0"/>
                    <w:jc w:val="center"/>
                    <w:rPr>
                      <w:rFonts w:hint="eastAsia" w:ascii="Times New Roman" w:hAnsi="Times New Roman" w:eastAsia="宋体" w:cs="Times New Roman"/>
                      <w:color w:val="auto"/>
                      <w:sz w:val="21"/>
                      <w:szCs w:val="21"/>
                    </w:rPr>
                  </w:pPr>
                </w:p>
              </w:tc>
              <w:tc>
                <w:tcPr>
                  <w:tcW w:w="429"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臭气浓度</w:t>
                  </w:r>
                </w:p>
              </w:tc>
              <w:tc>
                <w:tcPr>
                  <w:tcW w:w="487"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24"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28294.8</w:t>
                  </w:r>
                </w:p>
              </w:tc>
              <w:tc>
                <w:tcPr>
                  <w:tcW w:w="1262" w:type="pct"/>
                  <w:vMerge w:val="continue"/>
                  <w:vAlign w:val="center"/>
                </w:tcPr>
                <w:p>
                  <w:pPr>
                    <w:pStyle w:val="73"/>
                    <w:spacing w:before="0" w:after="0" w:line="240" w:lineRule="auto"/>
                    <w:ind w:firstLine="0" w:firstLineChars="0"/>
                    <w:jc w:val="center"/>
                    <w:rPr>
                      <w:rFonts w:ascii="Times New Roman" w:hAnsi="Times New Roman" w:eastAsia="宋体" w:cs="Times New Roman"/>
                      <w:color w:val="auto"/>
                      <w:sz w:val="21"/>
                      <w:szCs w:val="21"/>
                    </w:rPr>
                  </w:pPr>
                </w:p>
              </w:tc>
              <w:tc>
                <w:tcPr>
                  <w:tcW w:w="365"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67"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1414.7</w:t>
                  </w:r>
                </w:p>
              </w:tc>
              <w:tc>
                <w:tcPr>
                  <w:tcW w:w="404" w:type="pct"/>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pPr>
                    <w:pStyle w:val="73"/>
                    <w:spacing w:before="0" w:after="0" w:line="240" w:lineRule="auto"/>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9"/>
                  <w:vAlign w:val="center"/>
                </w:tcPr>
                <w:p>
                  <w:pPr>
                    <w:pStyle w:val="73"/>
                    <w:spacing w:before="0" w:after="0" w:line="240" w:lineRule="auto"/>
                    <w:ind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注：臭气浓度单位为无量纲。</w:t>
                  </w:r>
                </w:p>
              </w:tc>
            </w:tr>
          </w:tbl>
          <w:p>
            <w:pPr>
              <w:adjustRightInd w:val="0"/>
              <w:snapToGrid w:val="0"/>
              <w:spacing w:line="480" w:lineRule="exact"/>
              <w:ind w:firstLine="482" w:firstLineChars="200"/>
              <w:rPr>
                <w:b/>
                <w:bCs/>
                <w:color w:val="auto"/>
                <w:sz w:val="24"/>
              </w:rPr>
            </w:pPr>
            <w:r>
              <w:rPr>
                <w:rFonts w:hint="eastAsia"/>
                <w:b/>
                <w:bCs/>
                <w:color w:val="auto"/>
                <w:sz w:val="24"/>
              </w:rPr>
              <w:t>源强核算过程如下：</w:t>
            </w:r>
          </w:p>
          <w:p>
            <w:pPr>
              <w:adjustRightInd w:val="0"/>
              <w:snapToGrid w:val="0"/>
              <w:spacing w:line="480" w:lineRule="exact"/>
              <w:ind w:firstLine="482" w:firstLineChars="200"/>
              <w:rPr>
                <w:b/>
                <w:bCs/>
                <w:color w:val="auto"/>
                <w:sz w:val="24"/>
              </w:rPr>
            </w:pPr>
            <w:r>
              <w:rPr>
                <w:rFonts w:hint="eastAsia"/>
                <w:b/>
                <w:bCs/>
                <w:color w:val="auto"/>
                <w:sz w:val="24"/>
              </w:rPr>
              <w:t>G</w:t>
            </w:r>
            <w:r>
              <w:rPr>
                <w:rFonts w:hint="eastAsia"/>
                <w:b/>
                <w:bCs/>
                <w:color w:val="auto"/>
                <w:sz w:val="24"/>
                <w:vertAlign w:val="subscript"/>
              </w:rPr>
              <w:t>1</w:t>
            </w:r>
            <w:r>
              <w:rPr>
                <w:rFonts w:hint="eastAsia"/>
                <w:b/>
                <w:bCs/>
                <w:color w:val="auto"/>
                <w:sz w:val="24"/>
              </w:rPr>
              <w:t>：粗格栅提升泵房、细格栅间旋流沉砂池、初沉池、生化池、二沉池、污泥脱水机房</w:t>
            </w:r>
            <w:r>
              <w:rPr>
                <w:rFonts w:hint="eastAsia"/>
                <w:b/>
                <w:bCs/>
                <w:color w:val="auto"/>
                <w:sz w:val="24"/>
                <w:lang w:val="en-US" w:eastAsia="zh-CN"/>
              </w:rPr>
              <w:t>产生的恶臭气体，主要污染物为氨、硫化氢、臭气浓度</w:t>
            </w:r>
            <w:r>
              <w:rPr>
                <w:rFonts w:hint="eastAsia"/>
                <w:b/>
                <w:bCs/>
                <w:color w:val="auto"/>
                <w:sz w:val="24"/>
              </w:rPr>
              <w:t>；</w:t>
            </w:r>
          </w:p>
          <w:p>
            <w:pPr>
              <w:adjustRightInd w:val="0"/>
              <w:snapToGrid w:val="0"/>
              <w:spacing w:line="480" w:lineRule="exact"/>
              <w:ind w:firstLine="480" w:firstLineChars="200"/>
              <w:rPr>
                <w:rFonts w:hint="eastAsia"/>
                <w:color w:val="auto"/>
                <w:sz w:val="24"/>
                <w:szCs w:val="20"/>
              </w:rPr>
            </w:pPr>
            <w:r>
              <w:rPr>
                <w:rFonts w:hint="eastAsia"/>
                <w:color w:val="auto"/>
                <w:sz w:val="24"/>
                <w:szCs w:val="20"/>
                <w:lang w:val="en-GB"/>
              </w:rPr>
              <w:t>本项目运营期废气仅为污水处理过程中的臭气，主要是粗格栅及提升井、细格栅、曝气沉砂池、初沉池、膜格栅池、厌氧池、缺氧池、储泥池及污水脱水机产生的臭气，臭气主要污染物是氨和硫化氢；要求对上述建构筑物进行封闭，将建构物内的臭气通过管道引至1套生物滤池除臭装置进行处理，处理后经15m高排气筒排放，生物滤池除臭装置设计处理规模为</w:t>
            </w:r>
            <w:r>
              <w:rPr>
                <w:rFonts w:hint="eastAsia"/>
                <w:color w:val="auto"/>
                <w:sz w:val="24"/>
                <w:szCs w:val="20"/>
                <w:lang w:val="en-US" w:eastAsia="zh-CN"/>
              </w:rPr>
              <w:t>1</w:t>
            </w:r>
            <w:r>
              <w:rPr>
                <w:rFonts w:hint="eastAsia"/>
                <w:color w:val="auto"/>
                <w:sz w:val="24"/>
                <w:szCs w:val="20"/>
                <w:lang w:val="en-GB"/>
              </w:rPr>
              <w:t>万m</w:t>
            </w:r>
            <w:r>
              <w:rPr>
                <w:rFonts w:hint="eastAsia"/>
                <w:color w:val="auto"/>
                <w:sz w:val="24"/>
                <w:szCs w:val="20"/>
                <w:vertAlign w:val="superscript"/>
                <w:lang w:val="en-GB"/>
              </w:rPr>
              <w:t>3</w:t>
            </w:r>
            <w:r>
              <w:rPr>
                <w:rFonts w:hint="eastAsia"/>
                <w:color w:val="auto"/>
                <w:sz w:val="24"/>
                <w:szCs w:val="20"/>
                <w:lang w:val="en-GB"/>
              </w:rPr>
              <w:t>/h，采用变频风机，对硫化氢和氨的去除率可以达到90%以上，该除臭工艺是生物过滤法的一种，生物过滤法是将恶臭吹进增湿器进行润湿，去除颗粒物并增加湿度，然后进入生物滤池，在生物细胞内生理代谢分解成简单的、无害的代谢产物；生物过滤法是《排污许可证申请与核发技术规范 水处理（试行）》（HJ978-2018）中臭气治理可行技术。</w:t>
            </w:r>
          </w:p>
          <w:p>
            <w:pPr>
              <w:adjustRightInd w:val="0"/>
              <w:snapToGrid w:val="0"/>
              <w:spacing w:line="480" w:lineRule="exact"/>
              <w:ind w:firstLine="482" w:firstLineChars="200"/>
              <w:rPr>
                <w:rFonts w:hint="eastAsia" w:eastAsia="宋体"/>
                <w:b/>
                <w:bCs/>
                <w:color w:val="auto"/>
                <w:sz w:val="24"/>
                <w:szCs w:val="20"/>
                <w:lang w:val="en-US" w:eastAsia="zh-CN"/>
              </w:rPr>
            </w:pPr>
            <w:r>
              <w:rPr>
                <w:rFonts w:hint="eastAsia"/>
                <w:b/>
                <w:bCs/>
                <w:color w:val="auto"/>
                <w:sz w:val="24"/>
                <w:szCs w:val="20"/>
                <w:lang w:val="en-US" w:eastAsia="zh-CN"/>
              </w:rPr>
              <w:t>①臭气量及通风量计算</w:t>
            </w:r>
          </w:p>
          <w:p>
            <w:pPr>
              <w:adjustRightInd w:val="0"/>
              <w:snapToGrid w:val="0"/>
              <w:spacing w:line="480" w:lineRule="exact"/>
              <w:ind w:firstLine="480" w:firstLineChars="200"/>
              <w:rPr>
                <w:rFonts w:hint="eastAsia" w:eastAsia="宋体"/>
                <w:color w:val="auto"/>
                <w:sz w:val="24"/>
                <w:szCs w:val="20"/>
                <w:lang w:eastAsia="zh-CN"/>
              </w:rPr>
            </w:pPr>
            <w:r>
              <w:rPr>
                <w:rFonts w:hint="eastAsia"/>
                <w:color w:val="auto"/>
                <w:sz w:val="24"/>
                <w:szCs w:val="20"/>
                <w:lang w:val="en-GB"/>
              </w:rPr>
              <w:t>臭气产生量根据臭气产生环节封闭空间体积、空间换气次数，并考虑封闭设施漏风情况（漏风率按10%计）确定，各臭气产生环节臭气量</w:t>
            </w:r>
            <w:r>
              <w:rPr>
                <w:rFonts w:hint="eastAsia"/>
                <w:color w:val="auto"/>
                <w:sz w:val="24"/>
                <w:szCs w:val="20"/>
                <w:lang w:val="en-US" w:eastAsia="zh-CN"/>
              </w:rPr>
              <w:t>如下</w:t>
            </w:r>
            <w:r>
              <w:rPr>
                <w:rFonts w:hint="eastAsia"/>
                <w:color w:val="auto"/>
                <w:sz w:val="24"/>
                <w:szCs w:val="20"/>
                <w:lang w:val="en-GB" w:eastAsia="zh-CN"/>
              </w:rPr>
              <w:t>：</w:t>
            </w:r>
          </w:p>
          <w:p>
            <w:pPr>
              <w:adjustRightInd w:val="0"/>
              <w:snapToGrid w:val="0"/>
              <w:spacing w:line="480" w:lineRule="exact"/>
              <w:ind w:firstLine="482" w:firstLineChars="200"/>
              <w:rPr>
                <w:rFonts w:hint="eastAsia"/>
                <w:color w:val="auto"/>
                <w:sz w:val="24"/>
                <w:szCs w:val="20"/>
              </w:rPr>
            </w:pPr>
            <w:r>
              <w:rPr>
                <w:rFonts w:hint="eastAsia"/>
                <w:b/>
                <w:bCs/>
                <w:color w:val="auto"/>
                <w:sz w:val="24"/>
                <w:szCs w:val="20"/>
              </w:rPr>
              <w:t>粗格栅密闭罩：</w:t>
            </w:r>
            <w:r>
              <w:rPr>
                <w:rFonts w:hint="eastAsia"/>
                <w:color w:val="auto"/>
                <w:sz w:val="24"/>
                <w:szCs w:val="20"/>
              </w:rPr>
              <w:t>尺寸4.5×3.3×3.6m，换气量按照7次/h计算，则臭气量为374.22m</w:t>
            </w:r>
            <w:r>
              <w:rPr>
                <w:rFonts w:hint="eastAsia"/>
                <w:color w:val="auto"/>
                <w:sz w:val="24"/>
                <w:szCs w:val="20"/>
                <w:vertAlign w:val="superscript"/>
              </w:rPr>
              <w:t>3</w:t>
            </w:r>
            <w:r>
              <w:rPr>
                <w:rFonts w:hint="eastAsia"/>
                <w:color w:val="auto"/>
                <w:sz w:val="24"/>
                <w:szCs w:val="20"/>
              </w:rPr>
              <w:t>/h。</w:t>
            </w:r>
          </w:p>
          <w:p>
            <w:pPr>
              <w:adjustRightInd w:val="0"/>
              <w:snapToGrid w:val="0"/>
              <w:spacing w:line="480" w:lineRule="exact"/>
              <w:ind w:firstLine="482" w:firstLineChars="200"/>
              <w:rPr>
                <w:rFonts w:hint="eastAsia"/>
                <w:color w:val="auto"/>
                <w:sz w:val="24"/>
                <w:szCs w:val="20"/>
              </w:rPr>
            </w:pPr>
            <w:r>
              <w:rPr>
                <w:rFonts w:hint="eastAsia"/>
                <w:b/>
                <w:bCs/>
                <w:color w:val="auto"/>
                <w:sz w:val="24"/>
                <w:szCs w:val="20"/>
              </w:rPr>
              <w:t>细格栅密闭罩：</w:t>
            </w:r>
            <w:r>
              <w:rPr>
                <w:rFonts w:hint="eastAsia"/>
                <w:color w:val="auto"/>
                <w:sz w:val="24"/>
                <w:szCs w:val="20"/>
              </w:rPr>
              <w:t>尺寸4.5×3.3×3.6m，换气量按照7次/h计算，则臭气量为374.22m</w:t>
            </w:r>
            <w:r>
              <w:rPr>
                <w:rFonts w:hint="eastAsia"/>
                <w:color w:val="auto"/>
                <w:sz w:val="24"/>
                <w:szCs w:val="20"/>
                <w:vertAlign w:val="superscript"/>
              </w:rPr>
              <w:t>3</w:t>
            </w:r>
            <w:r>
              <w:rPr>
                <w:rFonts w:hint="eastAsia"/>
                <w:color w:val="auto"/>
                <w:sz w:val="24"/>
                <w:szCs w:val="20"/>
              </w:rPr>
              <w:t>/h。</w:t>
            </w:r>
          </w:p>
          <w:p>
            <w:pPr>
              <w:adjustRightInd w:val="0"/>
              <w:snapToGrid w:val="0"/>
              <w:spacing w:line="480" w:lineRule="exact"/>
              <w:ind w:firstLine="482" w:firstLineChars="200"/>
              <w:rPr>
                <w:rFonts w:hint="eastAsia"/>
                <w:color w:val="auto"/>
                <w:sz w:val="24"/>
                <w:szCs w:val="20"/>
              </w:rPr>
            </w:pPr>
            <w:r>
              <w:rPr>
                <w:rFonts w:hint="eastAsia"/>
                <w:b/>
                <w:bCs/>
                <w:color w:val="auto"/>
                <w:sz w:val="24"/>
                <w:szCs w:val="20"/>
              </w:rPr>
              <w:t>初沉池：</w:t>
            </w:r>
            <w:r>
              <w:rPr>
                <w:rFonts w:hint="eastAsia"/>
                <w:color w:val="auto"/>
                <w:sz w:val="24"/>
                <w:szCs w:val="20"/>
              </w:rPr>
              <w:t>尺寸16×8.3m×3.0m，臭气风量按照单位水面积3m</w:t>
            </w:r>
            <w:r>
              <w:rPr>
                <w:rFonts w:hint="eastAsia"/>
                <w:color w:val="auto"/>
                <w:sz w:val="24"/>
                <w:szCs w:val="20"/>
                <w:vertAlign w:val="superscript"/>
              </w:rPr>
              <w:t>3</w:t>
            </w:r>
            <w:r>
              <w:rPr>
                <w:rFonts w:hint="eastAsia"/>
                <w:color w:val="auto"/>
                <w:sz w:val="24"/>
                <w:szCs w:val="20"/>
              </w:rPr>
              <w:t>/（m</w:t>
            </w:r>
            <w:r>
              <w:rPr>
                <w:rFonts w:hint="eastAsia"/>
                <w:color w:val="auto"/>
                <w:sz w:val="24"/>
                <w:szCs w:val="20"/>
                <w:vertAlign w:val="superscript"/>
              </w:rPr>
              <w:t>2</w:t>
            </w:r>
            <w:r>
              <w:rPr>
                <w:rFonts w:hint="eastAsia"/>
                <w:color w:val="auto"/>
                <w:sz w:val="24"/>
                <w:szCs w:val="20"/>
                <w:lang w:val="en-US" w:eastAsia="zh-CN"/>
              </w:rPr>
              <w:t>·</w:t>
            </w:r>
            <w:r>
              <w:rPr>
                <w:rFonts w:hint="eastAsia"/>
                <w:color w:val="auto"/>
                <w:sz w:val="24"/>
                <w:szCs w:val="20"/>
              </w:rPr>
              <w:t>h）计算，增加1~2次换风量，则污泥池臭气总量为1195.2</w:t>
            </w:r>
            <w:r>
              <w:rPr>
                <w:rFonts w:hint="eastAsia"/>
                <w:color w:val="auto"/>
                <w:sz w:val="24"/>
                <w:szCs w:val="20"/>
                <w:lang w:val="en-US" w:eastAsia="zh-CN"/>
              </w:rPr>
              <w:t xml:space="preserve"> </w:t>
            </w:r>
            <w:r>
              <w:rPr>
                <w:rFonts w:hint="eastAsia"/>
                <w:color w:val="auto"/>
                <w:sz w:val="24"/>
                <w:szCs w:val="20"/>
              </w:rPr>
              <w:t>m</w:t>
            </w:r>
            <w:r>
              <w:rPr>
                <w:rFonts w:hint="eastAsia"/>
                <w:color w:val="auto"/>
                <w:sz w:val="24"/>
                <w:szCs w:val="20"/>
                <w:vertAlign w:val="superscript"/>
              </w:rPr>
              <w:t>3</w:t>
            </w:r>
            <w:r>
              <w:rPr>
                <w:rFonts w:hint="eastAsia"/>
                <w:color w:val="auto"/>
                <w:sz w:val="24"/>
                <w:szCs w:val="20"/>
              </w:rPr>
              <w:t>/h。</w:t>
            </w:r>
          </w:p>
          <w:p>
            <w:pPr>
              <w:adjustRightInd w:val="0"/>
              <w:snapToGrid w:val="0"/>
              <w:spacing w:line="480" w:lineRule="exact"/>
              <w:ind w:firstLine="482" w:firstLineChars="200"/>
              <w:rPr>
                <w:rFonts w:hint="eastAsia"/>
                <w:color w:val="auto"/>
                <w:sz w:val="24"/>
                <w:szCs w:val="20"/>
              </w:rPr>
            </w:pPr>
            <w:r>
              <w:rPr>
                <w:rFonts w:hint="eastAsia"/>
                <w:b/>
                <w:bCs/>
                <w:color w:val="auto"/>
                <w:sz w:val="24"/>
                <w:szCs w:val="20"/>
              </w:rPr>
              <w:t>生化池：</w:t>
            </w:r>
            <w:r>
              <w:rPr>
                <w:rFonts w:hint="eastAsia"/>
                <w:color w:val="auto"/>
                <w:sz w:val="24"/>
                <w:szCs w:val="20"/>
              </w:rPr>
              <w:t>尺寸24.7×19. 1×6.0m，臭气风量按照单位水面积3m</w:t>
            </w:r>
            <w:r>
              <w:rPr>
                <w:rFonts w:hint="eastAsia"/>
                <w:color w:val="auto"/>
                <w:sz w:val="24"/>
                <w:szCs w:val="20"/>
                <w:vertAlign w:val="superscript"/>
              </w:rPr>
              <w:t>3</w:t>
            </w:r>
            <w:r>
              <w:rPr>
                <w:rFonts w:hint="eastAsia"/>
                <w:color w:val="auto"/>
                <w:sz w:val="24"/>
                <w:szCs w:val="20"/>
              </w:rPr>
              <w:t>/（m</w:t>
            </w:r>
            <w:r>
              <w:rPr>
                <w:rFonts w:hint="eastAsia"/>
                <w:color w:val="auto"/>
                <w:sz w:val="24"/>
                <w:szCs w:val="20"/>
                <w:vertAlign w:val="superscript"/>
              </w:rPr>
              <w:t>2</w:t>
            </w:r>
            <w:r>
              <w:rPr>
                <w:rFonts w:hint="eastAsia"/>
                <w:color w:val="auto"/>
                <w:sz w:val="24"/>
                <w:szCs w:val="20"/>
                <w:lang w:val="en-US" w:eastAsia="zh-CN"/>
              </w:rPr>
              <w:t>·</w:t>
            </w:r>
            <w:r>
              <w:rPr>
                <w:rFonts w:hint="eastAsia"/>
                <w:color w:val="auto"/>
                <w:sz w:val="24"/>
                <w:szCs w:val="20"/>
              </w:rPr>
              <w:t>h）计算，增加1~2次换风量，则污泥池臭气总量为4245.93m</w:t>
            </w:r>
            <w:r>
              <w:rPr>
                <w:rFonts w:hint="eastAsia"/>
                <w:color w:val="auto"/>
                <w:sz w:val="24"/>
                <w:szCs w:val="20"/>
                <w:vertAlign w:val="superscript"/>
              </w:rPr>
              <w:t>3</w:t>
            </w:r>
            <w:r>
              <w:rPr>
                <w:rFonts w:hint="eastAsia"/>
                <w:color w:val="auto"/>
                <w:sz w:val="24"/>
                <w:szCs w:val="20"/>
              </w:rPr>
              <w:t>/h。</w:t>
            </w:r>
          </w:p>
          <w:p>
            <w:pPr>
              <w:adjustRightInd w:val="0"/>
              <w:snapToGrid w:val="0"/>
              <w:spacing w:line="480" w:lineRule="exact"/>
              <w:ind w:firstLine="482" w:firstLineChars="200"/>
              <w:rPr>
                <w:rFonts w:hint="eastAsia"/>
                <w:color w:val="auto"/>
                <w:sz w:val="24"/>
                <w:szCs w:val="20"/>
              </w:rPr>
            </w:pPr>
            <w:r>
              <w:rPr>
                <w:rFonts w:hint="eastAsia"/>
                <w:b/>
                <w:bCs/>
                <w:color w:val="auto"/>
                <w:sz w:val="24"/>
                <w:szCs w:val="20"/>
              </w:rPr>
              <w:t>污泥脱水机密闭罩：</w:t>
            </w:r>
            <w:r>
              <w:rPr>
                <w:rFonts w:hint="eastAsia"/>
                <w:color w:val="auto"/>
                <w:sz w:val="24"/>
                <w:szCs w:val="20"/>
              </w:rPr>
              <w:t>尺寸为12×6×5m，换气量按照7次/h计算，则臭气量为2520m</w:t>
            </w:r>
            <w:r>
              <w:rPr>
                <w:rFonts w:hint="eastAsia"/>
                <w:color w:val="auto"/>
                <w:sz w:val="24"/>
                <w:szCs w:val="20"/>
                <w:vertAlign w:val="superscript"/>
              </w:rPr>
              <w:t>3</w:t>
            </w:r>
            <w:r>
              <w:rPr>
                <w:rFonts w:hint="eastAsia"/>
                <w:color w:val="auto"/>
                <w:sz w:val="24"/>
                <w:szCs w:val="20"/>
              </w:rPr>
              <w:t>/h。</w:t>
            </w:r>
          </w:p>
          <w:p>
            <w:pPr>
              <w:adjustRightInd w:val="0"/>
              <w:snapToGrid w:val="0"/>
              <w:spacing w:line="480" w:lineRule="exact"/>
              <w:ind w:firstLine="480" w:firstLineChars="200"/>
              <w:rPr>
                <w:rFonts w:hint="eastAsia"/>
                <w:color w:val="auto"/>
                <w:sz w:val="24"/>
                <w:szCs w:val="20"/>
              </w:rPr>
            </w:pPr>
            <w:r>
              <w:rPr>
                <w:rFonts w:hint="eastAsia"/>
                <w:color w:val="auto"/>
                <w:sz w:val="24"/>
                <w:szCs w:val="20"/>
              </w:rPr>
              <w:t>漏失风量系数取10%，则处理风量为9580.53m</w:t>
            </w:r>
            <w:r>
              <w:rPr>
                <w:rFonts w:hint="eastAsia"/>
                <w:color w:val="auto"/>
                <w:sz w:val="24"/>
                <w:szCs w:val="20"/>
                <w:vertAlign w:val="superscript"/>
              </w:rPr>
              <w:t>3</w:t>
            </w:r>
            <w:r>
              <w:rPr>
                <w:rFonts w:hint="eastAsia"/>
                <w:color w:val="auto"/>
                <w:sz w:val="24"/>
                <w:szCs w:val="20"/>
              </w:rPr>
              <w:t>/h。</w:t>
            </w:r>
          </w:p>
          <w:p>
            <w:pPr>
              <w:adjustRightInd w:val="0"/>
              <w:snapToGrid w:val="0"/>
              <w:spacing w:line="480" w:lineRule="exact"/>
              <w:ind w:firstLine="480" w:firstLineChars="200"/>
              <w:rPr>
                <w:rFonts w:hint="eastAsia"/>
                <w:color w:val="auto"/>
                <w:sz w:val="24"/>
                <w:szCs w:val="20"/>
              </w:rPr>
            </w:pPr>
            <w:r>
              <w:rPr>
                <w:rFonts w:hint="eastAsia"/>
                <w:color w:val="auto"/>
                <w:sz w:val="24"/>
                <w:szCs w:val="20"/>
              </w:rPr>
              <w:t>考虑一定的富裕系数，本次除臭系统设计处理气量为10000m</w:t>
            </w:r>
            <w:r>
              <w:rPr>
                <w:rFonts w:hint="eastAsia"/>
                <w:color w:val="auto"/>
                <w:sz w:val="24"/>
                <w:szCs w:val="20"/>
                <w:vertAlign w:val="superscript"/>
              </w:rPr>
              <w:t>3</w:t>
            </w:r>
            <w:r>
              <w:rPr>
                <w:rFonts w:hint="eastAsia"/>
                <w:color w:val="auto"/>
                <w:sz w:val="24"/>
                <w:szCs w:val="20"/>
              </w:rPr>
              <w:t>/d。</w:t>
            </w:r>
          </w:p>
          <w:p>
            <w:pPr>
              <w:keepNext w:val="0"/>
              <w:keepLines w:val="0"/>
              <w:suppressLineNumbers w:val="0"/>
              <w:adjustRightInd w:val="0"/>
              <w:snapToGrid w:val="0"/>
              <w:spacing w:before="0" w:beforeAutospacing="0" w:after="0" w:afterAutospacing="0" w:line="480" w:lineRule="exact"/>
              <w:ind w:left="0" w:right="0" w:firstLine="482" w:firstLineChars="200"/>
              <w:rPr>
                <w:rFonts w:hint="default" w:eastAsia="宋体"/>
                <w:b/>
                <w:color w:val="auto"/>
                <w:sz w:val="24"/>
                <w:lang w:val="en-US" w:eastAsia="zh-CN"/>
              </w:rPr>
            </w:pPr>
            <w:r>
              <w:rPr>
                <w:rFonts w:hint="eastAsia"/>
                <w:b/>
                <w:color w:val="auto"/>
                <w:sz w:val="24"/>
                <w:lang w:val="en-US" w:eastAsia="zh-CN"/>
              </w:rPr>
              <w:t>②污染物产排量计算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lang w:val="en-GB" w:eastAsia="zh-CN"/>
              </w:rPr>
            </w:pPr>
            <w:r>
              <w:rPr>
                <w:rFonts w:hint="default" w:ascii="Times New Roman" w:hAnsi="Times New Roman" w:eastAsia="宋体" w:cs="Times New Roman"/>
                <w:color w:val="auto"/>
                <w:sz w:val="24"/>
                <w:szCs w:val="24"/>
                <w:lang w:val="en-GB"/>
              </w:rPr>
              <w:t>臭气中污染物浓度参照《城镇污水处理厂臭气处理技术规程》（CJJ/T243-2016）中的污水处理厂臭气污染物产生浓度，污水预处理和污水处理区域硫化氢1～10mg/m</w:t>
            </w:r>
            <w:r>
              <w:rPr>
                <w:rFonts w:hint="default" w:ascii="Times New Roman" w:hAnsi="Times New Roman" w:eastAsia="宋体" w:cs="Times New Roman"/>
                <w:color w:val="auto"/>
                <w:sz w:val="24"/>
                <w:szCs w:val="24"/>
                <w:vertAlign w:val="superscript"/>
                <w:lang w:val="en-GB"/>
              </w:rPr>
              <w:t>3</w:t>
            </w:r>
            <w:r>
              <w:rPr>
                <w:rFonts w:hint="default" w:ascii="Times New Roman" w:hAnsi="Times New Roman" w:eastAsia="宋体" w:cs="Times New Roman"/>
                <w:color w:val="auto"/>
                <w:sz w:val="24"/>
                <w:szCs w:val="24"/>
                <w:lang w:val="en-GB"/>
              </w:rPr>
              <w:t>，氨0.5～5.0mg/m</w:t>
            </w:r>
            <w:r>
              <w:rPr>
                <w:rFonts w:hint="default" w:ascii="Times New Roman" w:hAnsi="Times New Roman" w:eastAsia="宋体" w:cs="Times New Roman"/>
                <w:color w:val="auto"/>
                <w:sz w:val="24"/>
                <w:szCs w:val="24"/>
                <w:vertAlign w:val="superscript"/>
                <w:lang w:val="en-GB"/>
              </w:rPr>
              <w:t>3</w:t>
            </w:r>
            <w:r>
              <w:rPr>
                <w:rFonts w:hint="default" w:ascii="Times New Roman" w:hAnsi="Times New Roman" w:eastAsia="宋体" w:cs="Times New Roman"/>
                <w:color w:val="auto"/>
                <w:sz w:val="24"/>
                <w:szCs w:val="24"/>
                <w:lang w:val="en-GB"/>
              </w:rPr>
              <w:t>，臭气浓度1000～5000，污泥处理区域硫化氢5～30mg/m</w:t>
            </w:r>
            <w:r>
              <w:rPr>
                <w:rFonts w:hint="default" w:ascii="Times New Roman" w:hAnsi="Times New Roman" w:eastAsia="宋体" w:cs="Times New Roman"/>
                <w:color w:val="auto"/>
                <w:sz w:val="24"/>
                <w:szCs w:val="24"/>
                <w:vertAlign w:val="superscript"/>
                <w:lang w:val="en-GB"/>
              </w:rPr>
              <w:t>3</w:t>
            </w:r>
            <w:r>
              <w:rPr>
                <w:rFonts w:hint="default" w:ascii="Times New Roman" w:hAnsi="Times New Roman" w:eastAsia="宋体" w:cs="Times New Roman"/>
                <w:color w:val="auto"/>
                <w:sz w:val="24"/>
                <w:szCs w:val="24"/>
                <w:lang w:val="en-GB"/>
              </w:rPr>
              <w:t>，氨1～10mg/m</w:t>
            </w:r>
            <w:r>
              <w:rPr>
                <w:rFonts w:hint="default" w:ascii="Times New Roman" w:hAnsi="Times New Roman" w:eastAsia="宋体" w:cs="Times New Roman"/>
                <w:color w:val="auto"/>
                <w:sz w:val="24"/>
                <w:szCs w:val="24"/>
                <w:vertAlign w:val="superscript"/>
                <w:lang w:val="en-GB"/>
              </w:rPr>
              <w:t>3</w:t>
            </w:r>
            <w:r>
              <w:rPr>
                <w:rFonts w:hint="default" w:ascii="Times New Roman" w:hAnsi="Times New Roman" w:eastAsia="宋体" w:cs="Times New Roman"/>
                <w:color w:val="auto"/>
                <w:sz w:val="24"/>
                <w:szCs w:val="24"/>
                <w:lang w:val="en-GB"/>
              </w:rPr>
              <w:t>，臭气浓度5000～100000</w:t>
            </w:r>
            <w:r>
              <w:rPr>
                <w:rFonts w:hint="eastAsia" w:ascii="Times New Roman" w:hAnsi="Times New Roman" w:eastAsia="宋体" w:cs="Times New Roman"/>
                <w:color w:val="auto"/>
                <w:sz w:val="24"/>
                <w:szCs w:val="24"/>
                <w:lang w:val="en-GB"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GB"/>
              </w:rPr>
              <w:t>本次评价污水预处理、污水处理区域、污泥处理区域各污染物均按</w:t>
            </w:r>
            <w:r>
              <w:rPr>
                <w:rFonts w:hint="eastAsia" w:ascii="Times New Roman" w:hAnsi="Times New Roman" w:eastAsia="宋体" w:cs="Times New Roman"/>
                <w:color w:val="auto"/>
                <w:sz w:val="24"/>
                <w:szCs w:val="24"/>
                <w:lang w:val="en-US" w:eastAsia="zh-CN"/>
              </w:rPr>
              <w:t>平均值</w:t>
            </w:r>
            <w:r>
              <w:rPr>
                <w:rFonts w:hint="default" w:ascii="Times New Roman" w:hAnsi="Times New Roman" w:eastAsia="宋体" w:cs="Times New Roman"/>
                <w:color w:val="auto"/>
                <w:sz w:val="24"/>
                <w:szCs w:val="24"/>
                <w:lang w:val="en-GB"/>
              </w:rPr>
              <w:t>计，经核算污水处理厂运行时，臭气处理装置生物滤池进口各污染物浓度为硫化氢</w:t>
            </w:r>
            <w:r>
              <w:rPr>
                <w:rFonts w:hint="eastAsia" w:ascii="Times New Roman" w:hAnsi="Times New Roman" w:eastAsia="宋体" w:cs="Times New Roman"/>
                <w:color w:val="auto"/>
                <w:sz w:val="24"/>
                <w:szCs w:val="24"/>
                <w:lang w:val="en-US" w:eastAsia="zh-CN"/>
              </w:rPr>
              <w:t>13.75</w:t>
            </w:r>
            <w:r>
              <w:rPr>
                <w:rFonts w:hint="default" w:ascii="Times New Roman" w:hAnsi="Times New Roman" w:eastAsia="宋体" w:cs="Times New Roman"/>
                <w:color w:val="auto"/>
                <w:sz w:val="24"/>
                <w:szCs w:val="24"/>
                <w:lang w:val="en-GB"/>
              </w:rPr>
              <w:t>mg/m</w:t>
            </w:r>
            <w:r>
              <w:rPr>
                <w:rFonts w:hint="default" w:ascii="Times New Roman" w:hAnsi="Times New Roman" w:eastAsia="宋体" w:cs="Times New Roman"/>
                <w:color w:val="auto"/>
                <w:sz w:val="24"/>
                <w:szCs w:val="24"/>
                <w:vertAlign w:val="superscript"/>
                <w:lang w:val="en-GB"/>
              </w:rPr>
              <w:t>3</w:t>
            </w:r>
            <w:r>
              <w:rPr>
                <w:rFonts w:hint="default" w:ascii="Times New Roman" w:hAnsi="Times New Roman" w:eastAsia="宋体" w:cs="Times New Roman"/>
                <w:color w:val="auto"/>
                <w:sz w:val="24"/>
                <w:szCs w:val="24"/>
                <w:lang w:val="en-GB"/>
              </w:rPr>
              <w:t>，氨5.</w:t>
            </w:r>
            <w:r>
              <w:rPr>
                <w:rFonts w:hint="eastAsia" w:ascii="Times New Roman" w:hAnsi="Times New Roman" w:eastAsia="宋体" w:cs="Times New Roman"/>
                <w:color w:val="auto"/>
                <w:sz w:val="24"/>
                <w:szCs w:val="24"/>
                <w:lang w:val="en-US" w:eastAsia="zh-CN"/>
              </w:rPr>
              <w:t>61</w:t>
            </w:r>
            <w:r>
              <w:rPr>
                <w:rFonts w:hint="default" w:ascii="Times New Roman" w:hAnsi="Times New Roman" w:eastAsia="宋体" w:cs="Times New Roman"/>
                <w:color w:val="auto"/>
                <w:sz w:val="24"/>
                <w:szCs w:val="24"/>
                <w:lang w:val="en-GB"/>
              </w:rPr>
              <w:t>mg/m</w:t>
            </w:r>
            <w:r>
              <w:rPr>
                <w:rFonts w:hint="default" w:ascii="Times New Roman" w:hAnsi="Times New Roman" w:eastAsia="宋体" w:cs="Times New Roman"/>
                <w:color w:val="auto"/>
                <w:sz w:val="24"/>
                <w:szCs w:val="24"/>
                <w:vertAlign w:val="superscript"/>
                <w:lang w:val="en-GB"/>
              </w:rPr>
              <w:t>3</w:t>
            </w:r>
            <w:r>
              <w:rPr>
                <w:rFonts w:hint="default" w:ascii="Times New Roman" w:hAnsi="Times New Roman" w:eastAsia="宋体" w:cs="Times New Roman"/>
                <w:color w:val="auto"/>
                <w:sz w:val="24"/>
                <w:szCs w:val="24"/>
                <w:lang w:val="en-GB"/>
              </w:rPr>
              <w:t>，臭气浓度</w:t>
            </w:r>
            <w:r>
              <w:rPr>
                <w:rFonts w:hint="eastAsia" w:ascii="Times New Roman" w:hAnsi="Times New Roman" w:eastAsia="宋体" w:cs="Times New Roman"/>
                <w:color w:val="auto"/>
                <w:sz w:val="24"/>
                <w:szCs w:val="24"/>
                <w:lang w:val="en-US" w:eastAsia="zh-CN"/>
              </w:rPr>
              <w:t>28294.8</w:t>
            </w:r>
            <w:r>
              <w:rPr>
                <w:rFonts w:hint="default" w:ascii="Times New Roman" w:hAnsi="Times New Roman" w:eastAsia="宋体" w:cs="Times New Roman"/>
                <w:color w:val="auto"/>
                <w:sz w:val="24"/>
                <w:szCs w:val="24"/>
                <w:lang w:val="en-GB"/>
              </w:rPr>
              <w:t>，臭气中的硫化氢、氨去除率按9</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GB"/>
              </w:rPr>
              <w:t>%计，</w:t>
            </w:r>
            <w:r>
              <w:rPr>
                <w:rFonts w:hint="eastAsia" w:ascii="Times New Roman" w:hAnsi="Times New Roman" w:eastAsia="宋体" w:cs="Times New Roman"/>
                <w:color w:val="auto"/>
                <w:sz w:val="24"/>
                <w:szCs w:val="24"/>
                <w:lang w:val="en-US" w:eastAsia="zh-CN"/>
              </w:rPr>
              <w:t>臭气浓度去除率按95%计，</w:t>
            </w:r>
            <w:r>
              <w:rPr>
                <w:rFonts w:hint="default" w:ascii="Times New Roman" w:hAnsi="Times New Roman" w:eastAsia="宋体" w:cs="Times New Roman"/>
                <w:color w:val="auto"/>
                <w:sz w:val="24"/>
                <w:szCs w:val="24"/>
                <w:lang w:val="en-GB"/>
              </w:rPr>
              <w:t>则生物滤池出口各污染物排放浓度及排放量分别为硫化氢</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val="en-GB"/>
              </w:rPr>
              <w:t>mg/m</w:t>
            </w:r>
            <w:r>
              <w:rPr>
                <w:rFonts w:hint="default" w:ascii="Times New Roman" w:hAnsi="Times New Roman" w:eastAsia="宋体" w:cs="Times New Roman"/>
                <w:color w:val="auto"/>
                <w:sz w:val="24"/>
                <w:szCs w:val="24"/>
                <w:vertAlign w:val="superscript"/>
                <w:lang w:val="en-GB"/>
              </w:rPr>
              <w:t>3</w:t>
            </w:r>
            <w:r>
              <w:rPr>
                <w:rFonts w:hint="default" w:ascii="Times New Roman" w:hAnsi="Times New Roman" w:eastAsia="宋体" w:cs="Times New Roman"/>
                <w:color w:val="auto"/>
                <w:sz w:val="24"/>
                <w:szCs w:val="24"/>
                <w:lang w:val="en-GB"/>
              </w:rPr>
              <w:t>（0.0</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val="en-GB"/>
              </w:rPr>
              <w:t>kg/h、0.</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GB"/>
              </w:rPr>
              <w:t>t/a），氨0.5</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GB"/>
              </w:rPr>
              <w:t>mg/m</w:t>
            </w:r>
            <w:r>
              <w:rPr>
                <w:rFonts w:hint="default" w:ascii="Times New Roman" w:hAnsi="Times New Roman" w:eastAsia="宋体" w:cs="Times New Roman"/>
                <w:color w:val="auto"/>
                <w:sz w:val="24"/>
                <w:szCs w:val="24"/>
                <w:vertAlign w:val="superscript"/>
                <w:lang w:val="en-GB"/>
              </w:rPr>
              <w:t>3</w:t>
            </w:r>
            <w:r>
              <w:rPr>
                <w:rFonts w:hint="default" w:ascii="Times New Roman" w:hAnsi="Times New Roman" w:eastAsia="宋体" w:cs="Times New Roman"/>
                <w:color w:val="auto"/>
                <w:sz w:val="24"/>
                <w:szCs w:val="24"/>
                <w:lang w:val="en-GB"/>
              </w:rPr>
              <w:t>（0.0</w:t>
            </w:r>
            <w:r>
              <w:rPr>
                <w:rFonts w:hint="eastAsia" w:ascii="Times New Roman" w:hAnsi="Times New Roman" w:eastAsia="宋体" w:cs="Times New Roman"/>
                <w:color w:val="auto"/>
                <w:sz w:val="24"/>
                <w:szCs w:val="24"/>
                <w:lang w:val="en-US" w:eastAsia="zh-CN"/>
              </w:rPr>
              <w:t>056</w:t>
            </w:r>
            <w:r>
              <w:rPr>
                <w:rFonts w:hint="default" w:ascii="Times New Roman" w:hAnsi="Times New Roman" w:eastAsia="宋体" w:cs="Times New Roman"/>
                <w:color w:val="auto"/>
                <w:sz w:val="24"/>
                <w:szCs w:val="24"/>
                <w:lang w:val="en-GB"/>
              </w:rPr>
              <w:t>kg/h、0.</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val="en-GB"/>
              </w:rPr>
              <w:t>t/a），臭气浓度</w:t>
            </w:r>
            <w:r>
              <w:rPr>
                <w:rFonts w:hint="eastAsia" w:ascii="Times New Roman" w:hAnsi="Times New Roman" w:eastAsia="宋体" w:cs="Times New Roman"/>
                <w:color w:val="auto"/>
                <w:sz w:val="24"/>
                <w:szCs w:val="24"/>
                <w:lang w:val="en-US" w:eastAsia="zh-CN"/>
              </w:rPr>
              <w:t>1414.7</w:t>
            </w:r>
            <w:r>
              <w:rPr>
                <w:rFonts w:hint="default" w:ascii="Times New Roman" w:hAnsi="Times New Roman" w:eastAsia="宋体" w:cs="Times New Roman"/>
                <w:color w:val="auto"/>
                <w:sz w:val="24"/>
                <w:szCs w:val="24"/>
                <w:lang w:val="en-GB"/>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S的排放速率均能够满足《恶臭污染物排放标准》（GB14554-93）表2中15m高排气筒时NH</w:t>
            </w:r>
            <w:r>
              <w:rPr>
                <w:rFonts w:hint="default" w:ascii="Times New Roman" w:hAnsi="Times New Roman" w:eastAsia="宋体" w:cs="Times New Roman"/>
                <w:color w:val="auto"/>
                <w:sz w:val="24"/>
                <w:szCs w:val="24"/>
                <w:vertAlign w:val="subscript"/>
              </w:rPr>
              <w:t xml:space="preserve">3 </w:t>
            </w:r>
            <w:r>
              <w:rPr>
                <w:rFonts w:hint="default" w:ascii="Times New Roman" w:hAnsi="Times New Roman" w:eastAsia="宋体" w:cs="Times New Roman"/>
                <w:color w:val="auto"/>
                <w:sz w:val="24"/>
                <w:szCs w:val="24"/>
              </w:rPr>
              <w:t>4.9kg/h和H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 0.33kg/h排放速率要求、臭气浓度2000的限值要求，满足达标排放的要求。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除臭系统主要设备见下表。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lang w:val="en-US" w:eastAsia="zh-CN"/>
              </w:rPr>
            </w:pPr>
            <w:r>
              <w:rPr>
                <w:rFonts w:hint="eastAsia" w:ascii="黑体" w:hAnsi="黑体" w:eastAsia="黑体"/>
                <w:bCs/>
                <w:color w:val="auto"/>
                <w:sz w:val="24"/>
              </w:rPr>
              <w:t>表4-</w:t>
            </w:r>
            <w:r>
              <w:rPr>
                <w:rFonts w:hint="eastAsia" w:ascii="黑体" w:hAnsi="黑体" w:eastAsia="黑体"/>
                <w:bCs/>
                <w:color w:val="auto"/>
                <w:sz w:val="24"/>
                <w:lang w:val="en-US" w:eastAsia="zh-CN"/>
              </w:rPr>
              <w:t>3</w:t>
            </w:r>
            <w:r>
              <w:rPr>
                <w:rFonts w:hint="eastAsia" w:ascii="黑体" w:hAnsi="黑体" w:eastAsia="黑体"/>
                <w:bCs/>
                <w:color w:val="auto"/>
                <w:sz w:val="24"/>
              </w:rPr>
              <w:t xml:space="preserve">  除臭系统主要设备</w:t>
            </w:r>
            <w:r>
              <w:rPr>
                <w:rFonts w:hint="eastAsia" w:ascii="黑体" w:hAnsi="黑体" w:eastAsia="黑体"/>
                <w:bCs/>
                <w:color w:val="auto"/>
                <w:sz w:val="24"/>
                <w:lang w:val="en-US" w:eastAsia="zh-CN"/>
              </w:rPr>
              <w:t>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13"/>
              <w:gridCol w:w="3387"/>
              <w:gridCol w:w="2075"/>
              <w:gridCol w:w="75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名称</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规格型号</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材质</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数量</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生物除臭系统</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处理风量：10000m³/h</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尺寸：15000×3500×3500mm</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有效停留时间：16s，含调料及喷管网</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玻璃钢厚度：6mm，碳钢骨架+保温材料+外层不锈钢饰面</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离心风机</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风量：10000m³/h</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风压：2000pa</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功率11.0kw</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含隔音箱减震垫</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玻璃钢</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循环水泵</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流量：25m³/h</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功率：3.0kw</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扬程：23m</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SS316</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补充水泵</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流量：25m³/h</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功率：3.0kw</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扬程：23m</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SS304</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循环水箱</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1000</w:t>
                  </w:r>
                  <w:r>
                    <w:rPr>
                      <w:rFonts w:hint="default" w:ascii="Times New Roman" w:hAnsi="Times New Roman" w:eastAsia="宋体" w:cs="Times New Roman"/>
                      <w:color w:val="auto"/>
                      <w:sz w:val="21"/>
                      <w:szCs w:val="21"/>
                      <w:vertAlign w:val="baseline"/>
                    </w:rPr>
                    <w:t>×</w:t>
                  </w:r>
                  <w:r>
                    <w:rPr>
                      <w:rFonts w:hint="eastAsia" w:cs="Times New Roman"/>
                      <w:color w:val="auto"/>
                      <w:sz w:val="21"/>
                      <w:szCs w:val="21"/>
                      <w:vertAlign w:val="baseline"/>
                      <w:lang w:val="en-US" w:eastAsia="zh-CN"/>
                    </w:rPr>
                    <w:t>1000mm</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玻璃钢</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补充水箱</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1000</w:t>
                  </w:r>
                  <w:r>
                    <w:rPr>
                      <w:rFonts w:hint="default" w:ascii="Times New Roman" w:hAnsi="Times New Roman" w:eastAsia="宋体" w:cs="Times New Roman"/>
                      <w:color w:val="auto"/>
                      <w:sz w:val="21"/>
                      <w:szCs w:val="21"/>
                      <w:vertAlign w:val="baseline"/>
                    </w:rPr>
                    <w:t>×</w:t>
                  </w:r>
                  <w:r>
                    <w:rPr>
                      <w:rFonts w:hint="eastAsia" w:cs="Times New Roman"/>
                      <w:color w:val="auto"/>
                      <w:sz w:val="21"/>
                      <w:szCs w:val="21"/>
                      <w:vertAlign w:val="baseline"/>
                      <w:lang w:val="en-US" w:eastAsia="zh-CN"/>
                    </w:rPr>
                    <w:t>1000mm</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玻璃钢</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排气筒</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DN600，配套12m碳钢防护塔</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玻璃钢</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电控柜</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含PLC</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SS304</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给水管路</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DN32含电动阀、球阀、支架等</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UPVC为主</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排水管路</w:t>
                  </w:r>
                </w:p>
              </w:tc>
              <w:tc>
                <w:tcPr>
                  <w:tcW w:w="33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DN</w:t>
                  </w:r>
                  <w:r>
                    <w:rPr>
                      <w:rFonts w:hint="eastAsia" w:cs="Times New Roman"/>
                      <w:color w:val="auto"/>
                      <w:sz w:val="21"/>
                      <w:szCs w:val="21"/>
                      <w:vertAlign w:val="baseline"/>
                      <w:lang w:val="en-US" w:eastAsia="zh-CN"/>
                    </w:rPr>
                    <w:t>50</w:t>
                  </w:r>
                  <w:r>
                    <w:rPr>
                      <w:rFonts w:hint="eastAsia" w:ascii="Times New Roman" w:hAnsi="Times New Roman" w:eastAsia="宋体" w:cs="Times New Roman"/>
                      <w:color w:val="auto"/>
                      <w:sz w:val="21"/>
                      <w:szCs w:val="21"/>
                      <w:vertAlign w:val="baseline"/>
                      <w:lang w:val="en-US" w:eastAsia="zh-CN"/>
                    </w:rPr>
                    <w:t>含电动阀、球阀、支架等</w:t>
                  </w:r>
                </w:p>
              </w:tc>
              <w:tc>
                <w:tcPr>
                  <w:tcW w:w="207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UPVC为主</w:t>
                  </w:r>
                </w:p>
              </w:tc>
              <w:tc>
                <w:tcPr>
                  <w:tcW w:w="7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1</w:t>
                  </w:r>
                </w:p>
              </w:tc>
              <w:tc>
                <w:tcPr>
                  <w:tcW w:w="70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套</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w:t>
            </w:r>
            <w:r>
              <w:rPr>
                <w:rFonts w:hint="eastAsia"/>
                <w:b/>
                <w:color w:val="auto"/>
                <w:sz w:val="24"/>
                <w:lang w:val="en-US" w:eastAsia="zh-CN"/>
              </w:rPr>
              <w:t>2</w:t>
            </w:r>
            <w:r>
              <w:rPr>
                <w:rFonts w:hint="eastAsia"/>
                <w:b/>
                <w:color w:val="auto"/>
                <w:sz w:val="24"/>
              </w:rPr>
              <w:t>）非正常情况污染物排放情况分析</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非正常排放指生产过程中开停车（工、炉）、设备检修、工艺设备运转异常等非正常工况下的污染物排放，以及污染物排放控制措施达不到应有效率等情况下的排放。</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本项目生物滤池除臭装置</w:t>
            </w:r>
            <w:r>
              <w:rPr>
                <w:rFonts w:hint="eastAsia"/>
                <w:bCs/>
                <w:color w:val="auto"/>
                <w:sz w:val="24"/>
                <w:lang w:val="en-US" w:eastAsia="zh-CN"/>
              </w:rPr>
              <w:t>会一直运行</w:t>
            </w:r>
            <w:r>
              <w:rPr>
                <w:rFonts w:hint="eastAsia"/>
                <w:bCs/>
                <w:color w:val="auto"/>
                <w:sz w:val="24"/>
              </w:rPr>
              <w:t>，因此生产系统开停车、设备检修时污染物排放情况较正常运行时不会发生变化。项目在生物滤池除臭装置</w:t>
            </w:r>
            <w:r>
              <w:rPr>
                <w:rFonts w:hint="eastAsia"/>
                <w:bCs/>
                <w:color w:val="auto"/>
                <w:sz w:val="24"/>
                <w:lang w:val="en-US" w:eastAsia="zh-CN"/>
              </w:rPr>
              <w:t>处理效率下降情况下恶臭气体可能</w:t>
            </w:r>
            <w:r>
              <w:rPr>
                <w:rFonts w:hint="eastAsia"/>
                <w:bCs/>
                <w:color w:val="auto"/>
                <w:sz w:val="24"/>
              </w:rPr>
              <w:t>超标排放。</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lang w:val="zh-CN"/>
              </w:rPr>
            </w:pPr>
            <w:r>
              <w:rPr>
                <w:rFonts w:hint="eastAsia"/>
                <w:bCs/>
                <w:color w:val="auto"/>
                <w:sz w:val="24"/>
                <w:lang w:val="zh-CN"/>
              </w:rPr>
              <w:t>本项目</w:t>
            </w:r>
            <w:r>
              <w:rPr>
                <w:rFonts w:hint="eastAsia"/>
                <w:bCs/>
                <w:color w:val="auto"/>
                <w:sz w:val="24"/>
              </w:rPr>
              <w:t>生物滤池除臭装置</w:t>
            </w:r>
            <w:r>
              <w:rPr>
                <w:rFonts w:hint="eastAsia"/>
                <w:bCs/>
                <w:color w:val="auto"/>
                <w:sz w:val="24"/>
                <w:lang w:val="en-US" w:eastAsia="zh-CN"/>
              </w:rPr>
              <w:t>处理效率下降情况下恶臭气体</w:t>
            </w:r>
            <w:r>
              <w:rPr>
                <w:rFonts w:hint="eastAsia"/>
                <w:bCs/>
                <w:color w:val="auto"/>
                <w:sz w:val="24"/>
                <w:lang w:val="zh-CN"/>
              </w:rPr>
              <w:t>排放情况见下表。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w:t>
            </w:r>
            <w:r>
              <w:rPr>
                <w:rFonts w:hint="eastAsia" w:ascii="黑体" w:hAnsi="黑体" w:eastAsia="黑体"/>
                <w:bCs/>
                <w:color w:val="auto"/>
                <w:sz w:val="24"/>
                <w:lang w:val="en-US" w:eastAsia="zh-CN"/>
              </w:rPr>
              <w:t>4</w:t>
            </w:r>
            <w:r>
              <w:rPr>
                <w:rFonts w:hint="eastAsia" w:ascii="黑体" w:hAnsi="黑体" w:eastAsia="黑体"/>
                <w:bCs/>
                <w:color w:val="auto"/>
                <w:sz w:val="24"/>
              </w:rPr>
              <w:t xml:space="preserve">  本工程废气污染物非正常排污情况表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883"/>
              <w:gridCol w:w="842"/>
              <w:gridCol w:w="2237"/>
              <w:gridCol w:w="1168"/>
              <w:gridCol w:w="855"/>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42" w:type="pc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污染源</w:t>
                  </w:r>
                </w:p>
              </w:tc>
              <w:tc>
                <w:tcPr>
                  <w:tcW w:w="515" w:type="pc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排气量Nm</w:t>
                  </w:r>
                  <w:r>
                    <w:rPr>
                      <w:rFonts w:hint="eastAsia" w:ascii="Times New Roman" w:hAnsi="Times New Roman" w:cs="Times New Roman"/>
                      <w:color w:val="auto"/>
                      <w:vertAlign w:val="superscript"/>
                    </w:rPr>
                    <w:t>3</w:t>
                  </w:r>
                  <w:r>
                    <w:rPr>
                      <w:rFonts w:hint="eastAsia" w:ascii="Times New Roman" w:hAnsi="Times New Roman" w:cs="Times New Roman"/>
                      <w:color w:val="auto"/>
                    </w:rPr>
                    <w:t>/h</w:t>
                  </w:r>
                </w:p>
              </w:tc>
              <w:tc>
                <w:tcPr>
                  <w:tcW w:w="491" w:type="pc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spacing w:val="-20"/>
                    </w:rPr>
                  </w:pPr>
                  <w:r>
                    <w:rPr>
                      <w:rFonts w:hint="eastAsia" w:ascii="Times New Roman" w:hAnsi="Times New Roman" w:cs="Times New Roman"/>
                      <w:color w:val="auto"/>
                      <w:spacing w:val="-20"/>
                    </w:rPr>
                    <w:t>污染物</w:t>
                  </w:r>
                </w:p>
              </w:tc>
              <w:tc>
                <w:tcPr>
                  <w:tcW w:w="1304" w:type="pc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处理设施故障</w:t>
                  </w:r>
                </w:p>
              </w:tc>
              <w:tc>
                <w:tcPr>
                  <w:tcW w:w="681" w:type="pc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排放筒</w:t>
                  </w:r>
                </w:p>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参数</w:t>
                  </w:r>
                </w:p>
              </w:tc>
              <w:tc>
                <w:tcPr>
                  <w:tcW w:w="498" w:type="pc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排放浓度mg/m</w:t>
                  </w:r>
                  <w:r>
                    <w:rPr>
                      <w:rFonts w:hint="eastAsia" w:ascii="Times New Roman" w:hAnsi="Times New Roman" w:cs="Times New Roman"/>
                      <w:color w:val="auto"/>
                      <w:vertAlign w:val="superscript"/>
                    </w:rPr>
                    <w:t>3</w:t>
                  </w:r>
                </w:p>
              </w:tc>
              <w:tc>
                <w:tcPr>
                  <w:tcW w:w="466" w:type="pc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42" w:type="pct"/>
                  <w:vMerge w:val="restart"/>
                  <w:vAlign w:val="center"/>
                </w:tcPr>
                <w:p>
                  <w:pPr>
                    <w:pStyle w:val="25"/>
                    <w:keepNext w:val="0"/>
                    <w:keepLines w:val="0"/>
                    <w:suppressLineNumbers w:val="0"/>
                    <w:snapToGrid w:val="0"/>
                    <w:spacing w:beforeAutospacing="0" w:after="0" w:afterAutospacing="0" w:line="240" w:lineRule="exact"/>
                    <w:ind w:left="0" w:firstLine="0" w:firstLineChars="0"/>
                    <w:jc w:val="center"/>
                    <w:rPr>
                      <w:rFonts w:hint="eastAsia"/>
                      <w:color w:val="auto"/>
                      <w:szCs w:val="21"/>
                    </w:rPr>
                  </w:pPr>
                  <w:r>
                    <w:rPr>
                      <w:rFonts w:hint="eastAsia"/>
                      <w:color w:val="auto"/>
                      <w:szCs w:val="21"/>
                    </w:rPr>
                    <w:t>DA001生物滤池除臭排气筒</w:t>
                  </w:r>
                </w:p>
              </w:tc>
              <w:tc>
                <w:tcPr>
                  <w:tcW w:w="515" w:type="pct"/>
                  <w:vMerge w:val="restar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bCs/>
                      <w:color w:val="auto"/>
                      <w:lang w:val="en-US" w:eastAsia="zh-CN"/>
                    </w:rPr>
                    <w:t>10</w:t>
                  </w:r>
                  <w:r>
                    <w:rPr>
                      <w:rFonts w:hint="eastAsia" w:ascii="Times New Roman" w:hAnsi="Times New Roman" w:cs="Times New Roman"/>
                      <w:bCs/>
                      <w:color w:val="auto"/>
                    </w:rPr>
                    <w:t>000</w:t>
                  </w:r>
                </w:p>
              </w:tc>
              <w:tc>
                <w:tcPr>
                  <w:tcW w:w="491" w:type="pct"/>
                  <w:vAlign w:val="center"/>
                </w:tcPr>
                <w:p>
                  <w:pPr>
                    <w:keepNext w:val="0"/>
                    <w:keepLines w:val="0"/>
                    <w:suppressLineNumbers w:val="0"/>
                    <w:snapToGrid w:val="0"/>
                    <w:spacing w:before="0" w:beforeAutospacing="0" w:after="0" w:afterAutospacing="0" w:line="240" w:lineRule="exact"/>
                    <w:ind w:left="0" w:right="0"/>
                    <w:jc w:val="center"/>
                    <w:rPr>
                      <w:rFonts w:hint="eastAsia" w:eastAsia="宋体"/>
                      <w:color w:val="auto"/>
                      <w:lang w:eastAsia="zh-CN"/>
                    </w:rPr>
                  </w:pPr>
                  <w:r>
                    <w:rPr>
                      <w:rFonts w:hint="eastAsia"/>
                      <w:color w:val="auto"/>
                      <w:lang w:val="en-US" w:eastAsia="zh-CN"/>
                    </w:rPr>
                    <w:t>硫化氢</w:t>
                  </w:r>
                </w:p>
              </w:tc>
              <w:tc>
                <w:tcPr>
                  <w:tcW w:w="1304" w:type="pct"/>
                  <w:vMerge w:val="restart"/>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生物滤池除臭装置</w:t>
                  </w:r>
                  <w:r>
                    <w:rPr>
                      <w:rFonts w:hint="eastAsia" w:ascii="Times New Roman" w:hAnsi="Times New Roman" w:cs="Times New Roman"/>
                      <w:color w:val="auto"/>
                      <w:lang w:val="en-US" w:eastAsia="zh-CN"/>
                    </w:rPr>
                    <w:t>处理效率下降，硫化氢、氨去除率下降至60%计，臭气浓度去除率下降至70%</w:t>
                  </w:r>
                </w:p>
              </w:tc>
              <w:tc>
                <w:tcPr>
                  <w:tcW w:w="681" w:type="pct"/>
                  <w:vMerge w:val="restart"/>
                  <w:vAlign w:val="center"/>
                </w:tcPr>
                <w:p>
                  <w:pPr>
                    <w:keepNext w:val="0"/>
                    <w:keepLines w:val="0"/>
                    <w:suppressLineNumbers w:val="0"/>
                    <w:spacing w:before="0" w:beforeAutospacing="0" w:after="0" w:afterAutospacing="0" w:line="240" w:lineRule="exact"/>
                    <w:ind w:left="0" w:right="0"/>
                    <w:jc w:val="center"/>
                    <w:rPr>
                      <w:rFonts w:hint="eastAsia"/>
                      <w:color w:val="auto"/>
                    </w:rPr>
                  </w:pPr>
                  <w:r>
                    <w:rPr>
                      <w:rFonts w:hint="eastAsia"/>
                      <w:color w:val="auto"/>
                    </w:rPr>
                    <w:t>H=15m</w:t>
                  </w:r>
                </w:p>
                <w:p>
                  <w:pPr>
                    <w:keepNext w:val="0"/>
                    <w:keepLines w:val="0"/>
                    <w:suppressLineNumbers w:val="0"/>
                    <w:spacing w:before="0" w:beforeAutospacing="0" w:after="0" w:afterAutospacing="0" w:line="240" w:lineRule="exact"/>
                    <w:ind w:left="0" w:right="0"/>
                    <w:jc w:val="center"/>
                    <w:rPr>
                      <w:rFonts w:hint="eastAsia"/>
                      <w:color w:val="auto"/>
                    </w:rPr>
                  </w:pPr>
                  <w:r>
                    <w:rPr>
                      <w:rFonts w:hint="eastAsia"/>
                      <w:color w:val="auto"/>
                    </w:rPr>
                    <w:t>Φ=0.</w:t>
                  </w:r>
                  <w:r>
                    <w:rPr>
                      <w:rFonts w:hint="eastAsia"/>
                      <w:color w:val="auto"/>
                      <w:lang w:val="en-US" w:eastAsia="zh-CN"/>
                    </w:rPr>
                    <w:t>6</w:t>
                  </w:r>
                  <w:r>
                    <w:rPr>
                      <w:rFonts w:hint="eastAsia"/>
                      <w:color w:val="auto"/>
                    </w:rPr>
                    <w:t>m</w:t>
                  </w:r>
                </w:p>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r>
                    <w:rPr>
                      <w:rFonts w:hint="eastAsia" w:ascii="Times New Roman" w:hAnsi="Times New Roman" w:cs="Times New Roman"/>
                      <w:color w:val="auto"/>
                    </w:rPr>
                    <w:t>常温</w:t>
                  </w:r>
                </w:p>
              </w:tc>
              <w:tc>
                <w:tcPr>
                  <w:tcW w:w="498" w:type="pct"/>
                  <w:vAlign w:val="center"/>
                </w:tcPr>
                <w:p>
                  <w:pPr>
                    <w:keepNext w:val="0"/>
                    <w:keepLines w:val="0"/>
                    <w:suppressLineNumbers w:val="0"/>
                    <w:snapToGrid w:val="0"/>
                    <w:spacing w:before="0" w:beforeAutospacing="0" w:after="0" w:afterAutospacing="0" w:line="240" w:lineRule="exact"/>
                    <w:ind w:left="0" w:right="0"/>
                    <w:jc w:val="center"/>
                    <w:rPr>
                      <w:rFonts w:hint="default" w:eastAsia="宋体"/>
                      <w:color w:val="auto"/>
                      <w:lang w:val="en-US" w:eastAsia="zh-CN"/>
                    </w:rPr>
                  </w:pPr>
                  <w:r>
                    <w:rPr>
                      <w:rFonts w:hint="eastAsia"/>
                      <w:color w:val="auto"/>
                      <w:lang w:val="en-US" w:eastAsia="zh-CN"/>
                    </w:rPr>
                    <w:t>5.5</w:t>
                  </w:r>
                </w:p>
              </w:tc>
              <w:tc>
                <w:tcPr>
                  <w:tcW w:w="466" w:type="pct"/>
                  <w:vAlign w:val="center"/>
                </w:tcPr>
                <w:p>
                  <w:pPr>
                    <w:keepNext w:val="0"/>
                    <w:keepLines w:val="0"/>
                    <w:suppressLineNumbers w:val="0"/>
                    <w:snapToGrid w:val="0"/>
                    <w:spacing w:before="0" w:beforeAutospacing="0" w:after="0" w:afterAutospacing="0" w:line="240" w:lineRule="exact"/>
                    <w:ind w:left="0" w:right="0"/>
                    <w:jc w:val="center"/>
                    <w:rPr>
                      <w:rFonts w:hint="default" w:eastAsia="宋体"/>
                      <w:color w:val="auto"/>
                      <w:lang w:val="en-US" w:eastAsia="zh-CN"/>
                    </w:rPr>
                  </w:pPr>
                  <w:r>
                    <w:rPr>
                      <w:rFonts w:hint="eastAsia"/>
                      <w:color w:val="auto"/>
                      <w:lang w:val="en-US" w:eastAsia="zh-CN"/>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42" w:type="pct"/>
                  <w:vMerge w:val="continue"/>
                  <w:vAlign w:val="center"/>
                </w:tcPr>
                <w:p>
                  <w:pPr>
                    <w:pStyle w:val="25"/>
                    <w:keepNext w:val="0"/>
                    <w:keepLines w:val="0"/>
                    <w:suppressLineNumbers w:val="0"/>
                    <w:snapToGrid w:val="0"/>
                    <w:spacing w:beforeAutospacing="0" w:after="0" w:afterAutospacing="0" w:line="240" w:lineRule="exact"/>
                    <w:ind w:left="0" w:firstLine="0" w:firstLineChars="0"/>
                    <w:jc w:val="center"/>
                    <w:rPr>
                      <w:rFonts w:hint="eastAsia"/>
                      <w:color w:val="auto"/>
                      <w:szCs w:val="21"/>
                    </w:rPr>
                  </w:pPr>
                </w:p>
              </w:tc>
              <w:tc>
                <w:tcPr>
                  <w:tcW w:w="515" w:type="pct"/>
                  <w:vMerge w:val="continue"/>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bCs/>
                      <w:color w:val="auto"/>
                      <w:lang w:val="en-US" w:eastAsia="zh-CN"/>
                    </w:rPr>
                  </w:pPr>
                </w:p>
              </w:tc>
              <w:tc>
                <w:tcPr>
                  <w:tcW w:w="491" w:type="pct"/>
                  <w:vAlign w:val="center"/>
                </w:tcPr>
                <w:p>
                  <w:pPr>
                    <w:keepNext w:val="0"/>
                    <w:keepLines w:val="0"/>
                    <w:suppressLineNumbers w:val="0"/>
                    <w:snapToGrid w:val="0"/>
                    <w:spacing w:before="0" w:beforeAutospacing="0" w:after="0" w:afterAutospacing="0" w:line="240" w:lineRule="exact"/>
                    <w:ind w:left="0" w:right="0"/>
                    <w:jc w:val="center"/>
                    <w:rPr>
                      <w:rFonts w:hint="default" w:eastAsia="宋体"/>
                      <w:color w:val="auto"/>
                      <w:lang w:val="en-US" w:eastAsia="zh-CN"/>
                    </w:rPr>
                  </w:pPr>
                  <w:r>
                    <w:rPr>
                      <w:rFonts w:hint="eastAsia"/>
                      <w:color w:val="auto"/>
                      <w:lang w:val="en-US" w:eastAsia="zh-CN"/>
                    </w:rPr>
                    <w:t>氨</w:t>
                  </w:r>
                </w:p>
              </w:tc>
              <w:tc>
                <w:tcPr>
                  <w:tcW w:w="1304" w:type="pct"/>
                  <w:vMerge w:val="continue"/>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bCs/>
                      <w:color w:val="auto"/>
                    </w:rPr>
                  </w:pPr>
                </w:p>
              </w:tc>
              <w:tc>
                <w:tcPr>
                  <w:tcW w:w="681" w:type="pct"/>
                  <w:vMerge w:val="continue"/>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p>
              </w:tc>
              <w:tc>
                <w:tcPr>
                  <w:tcW w:w="498" w:type="pct"/>
                  <w:vAlign w:val="center"/>
                </w:tcPr>
                <w:p>
                  <w:pPr>
                    <w:keepNext w:val="0"/>
                    <w:keepLines w:val="0"/>
                    <w:suppressLineNumbers w:val="0"/>
                    <w:snapToGrid w:val="0"/>
                    <w:spacing w:before="0" w:beforeAutospacing="0" w:after="0" w:afterAutospacing="0" w:line="240" w:lineRule="exact"/>
                    <w:ind w:left="0" w:right="0"/>
                    <w:jc w:val="center"/>
                    <w:rPr>
                      <w:rFonts w:hint="default"/>
                      <w:color w:val="auto"/>
                      <w:lang w:val="en-US" w:eastAsia="zh-CN"/>
                    </w:rPr>
                  </w:pPr>
                  <w:r>
                    <w:rPr>
                      <w:rFonts w:hint="eastAsia"/>
                      <w:color w:val="auto"/>
                      <w:lang w:val="en-US" w:eastAsia="zh-CN"/>
                    </w:rPr>
                    <w:t>2.24</w:t>
                  </w:r>
                </w:p>
              </w:tc>
              <w:tc>
                <w:tcPr>
                  <w:tcW w:w="466" w:type="pct"/>
                  <w:vAlign w:val="center"/>
                </w:tcPr>
                <w:p>
                  <w:pPr>
                    <w:keepNext w:val="0"/>
                    <w:keepLines w:val="0"/>
                    <w:suppressLineNumbers w:val="0"/>
                    <w:snapToGrid w:val="0"/>
                    <w:spacing w:before="0" w:beforeAutospacing="0" w:after="0" w:afterAutospacing="0" w:line="240" w:lineRule="exact"/>
                    <w:ind w:left="0" w:right="0"/>
                    <w:jc w:val="center"/>
                    <w:rPr>
                      <w:rFonts w:hint="default"/>
                      <w:color w:val="auto"/>
                      <w:lang w:val="en-US" w:eastAsia="zh-CN"/>
                    </w:rPr>
                  </w:pPr>
                  <w:r>
                    <w:rPr>
                      <w:rFonts w:hint="eastAsia"/>
                      <w:color w:val="auto"/>
                      <w:lang w:val="en-US" w:eastAsia="zh-CN"/>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42" w:type="pct"/>
                  <w:vMerge w:val="continue"/>
                  <w:vAlign w:val="center"/>
                </w:tcPr>
                <w:p>
                  <w:pPr>
                    <w:pStyle w:val="25"/>
                    <w:keepNext w:val="0"/>
                    <w:keepLines w:val="0"/>
                    <w:suppressLineNumbers w:val="0"/>
                    <w:snapToGrid w:val="0"/>
                    <w:spacing w:beforeAutospacing="0" w:after="0" w:afterAutospacing="0" w:line="240" w:lineRule="exact"/>
                    <w:ind w:left="0" w:firstLine="0" w:firstLineChars="0"/>
                    <w:jc w:val="center"/>
                    <w:rPr>
                      <w:rFonts w:hint="eastAsia"/>
                      <w:color w:val="auto"/>
                      <w:szCs w:val="21"/>
                    </w:rPr>
                  </w:pPr>
                </w:p>
              </w:tc>
              <w:tc>
                <w:tcPr>
                  <w:tcW w:w="515" w:type="pct"/>
                  <w:vMerge w:val="continue"/>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bCs/>
                      <w:color w:val="auto"/>
                      <w:lang w:val="en-US" w:eastAsia="zh-CN"/>
                    </w:rPr>
                  </w:pPr>
                </w:p>
              </w:tc>
              <w:tc>
                <w:tcPr>
                  <w:tcW w:w="491" w:type="pct"/>
                  <w:vAlign w:val="center"/>
                </w:tcPr>
                <w:p>
                  <w:pPr>
                    <w:keepNext w:val="0"/>
                    <w:keepLines w:val="0"/>
                    <w:suppressLineNumbers w:val="0"/>
                    <w:snapToGrid w:val="0"/>
                    <w:spacing w:before="0" w:beforeAutospacing="0" w:after="0" w:afterAutospacing="0" w:line="240" w:lineRule="exact"/>
                    <w:ind w:left="0" w:right="0"/>
                    <w:jc w:val="center"/>
                    <w:rPr>
                      <w:rFonts w:hint="default" w:eastAsia="宋体"/>
                      <w:color w:val="auto"/>
                      <w:lang w:val="en-US" w:eastAsia="zh-CN"/>
                    </w:rPr>
                  </w:pPr>
                  <w:r>
                    <w:rPr>
                      <w:rFonts w:hint="eastAsia"/>
                      <w:color w:val="auto"/>
                      <w:lang w:val="en-US" w:eastAsia="zh-CN"/>
                    </w:rPr>
                    <w:t>臭气浓度</w:t>
                  </w:r>
                </w:p>
              </w:tc>
              <w:tc>
                <w:tcPr>
                  <w:tcW w:w="1304" w:type="pct"/>
                  <w:vMerge w:val="continue"/>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bCs/>
                      <w:color w:val="auto"/>
                    </w:rPr>
                  </w:pPr>
                </w:p>
              </w:tc>
              <w:tc>
                <w:tcPr>
                  <w:tcW w:w="681" w:type="pct"/>
                  <w:vMerge w:val="continue"/>
                  <w:vAlign w:val="center"/>
                </w:tcPr>
                <w:p>
                  <w:pPr>
                    <w:pStyle w:val="16"/>
                    <w:keepNext w:val="0"/>
                    <w:keepLines w:val="0"/>
                    <w:suppressLineNumbers w:val="0"/>
                    <w:snapToGrid w:val="0"/>
                    <w:spacing w:before="0" w:beforeAutospacing="0" w:after="0" w:afterAutospacing="0" w:line="240" w:lineRule="exact"/>
                    <w:ind w:left="0" w:right="0" w:firstLine="0" w:firstLineChars="0"/>
                    <w:jc w:val="center"/>
                    <w:rPr>
                      <w:rFonts w:hint="eastAsia" w:ascii="Times New Roman" w:hAnsi="Times New Roman" w:cs="Times New Roman"/>
                      <w:color w:val="auto"/>
                    </w:rPr>
                  </w:pPr>
                </w:p>
              </w:tc>
              <w:tc>
                <w:tcPr>
                  <w:tcW w:w="498" w:type="pct"/>
                  <w:vAlign w:val="center"/>
                </w:tcPr>
                <w:p>
                  <w:pPr>
                    <w:keepNext w:val="0"/>
                    <w:keepLines w:val="0"/>
                    <w:suppressLineNumbers w:val="0"/>
                    <w:snapToGrid w:val="0"/>
                    <w:spacing w:before="0" w:beforeAutospacing="0" w:after="0" w:afterAutospacing="0" w:line="240" w:lineRule="exact"/>
                    <w:ind w:left="0" w:right="0"/>
                    <w:jc w:val="center"/>
                    <w:rPr>
                      <w:rFonts w:hint="default"/>
                      <w:color w:val="auto"/>
                      <w:lang w:val="en-US" w:eastAsia="zh-CN"/>
                    </w:rPr>
                  </w:pPr>
                  <w:r>
                    <w:rPr>
                      <w:rFonts w:hint="eastAsia"/>
                      <w:color w:val="auto"/>
                      <w:lang w:val="en-US" w:eastAsia="zh-CN"/>
                    </w:rPr>
                    <w:t>8488</w:t>
                  </w:r>
                </w:p>
              </w:tc>
              <w:tc>
                <w:tcPr>
                  <w:tcW w:w="466" w:type="pct"/>
                  <w:vAlign w:val="center"/>
                </w:tcPr>
                <w:p>
                  <w:pPr>
                    <w:keepNext w:val="0"/>
                    <w:keepLines w:val="0"/>
                    <w:suppressLineNumbers w:val="0"/>
                    <w:snapToGrid w:val="0"/>
                    <w:spacing w:before="0" w:beforeAutospacing="0" w:after="0" w:afterAutospacing="0" w:line="240" w:lineRule="exact"/>
                    <w:ind w:left="0" w:right="0"/>
                    <w:jc w:val="center"/>
                    <w:rPr>
                      <w:rFonts w:hint="default"/>
                      <w:color w:val="auto"/>
                      <w:lang w:val="en-US" w:eastAsia="zh-CN"/>
                    </w:rPr>
                  </w:pPr>
                  <w:r>
                    <w:rPr>
                      <w:rFonts w:hint="eastAsia"/>
                      <w:color w:val="auto"/>
                      <w:lang w:val="en-US" w:eastAsia="zh-CN"/>
                    </w:rPr>
                    <w:t>/</w:t>
                  </w:r>
                </w:p>
              </w:tc>
            </w:tr>
          </w:tbl>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eastAsia="宋体"/>
                <w:b w:val="0"/>
                <w:bCs/>
                <w:color w:val="auto"/>
                <w:sz w:val="24"/>
                <w:lang w:val="en-US" w:eastAsia="zh-CN"/>
              </w:rPr>
            </w:pPr>
            <w:r>
              <w:rPr>
                <w:rFonts w:hint="eastAsia"/>
                <w:b w:val="0"/>
                <w:bCs/>
                <w:color w:val="auto"/>
                <w:sz w:val="24"/>
                <w:lang w:val="en-US" w:eastAsia="zh-CN"/>
              </w:rPr>
              <w:t>由上表可知，本项目生物滤池除臭装置处理效率下降情况下，臭气浓度降超标排放。</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b/>
                <w:color w:val="auto"/>
                <w:sz w:val="24"/>
                <w:lang w:val="zh-CN"/>
              </w:rPr>
            </w:pPr>
            <w:r>
              <w:rPr>
                <w:rFonts w:hint="eastAsia"/>
                <w:b/>
                <w:color w:val="auto"/>
                <w:sz w:val="24"/>
                <w:lang w:val="zh-CN"/>
              </w:rPr>
              <w:t>防止非正常生产污染物排放发生的措施：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auto"/>
                <w:sz w:val="24"/>
                <w:lang w:val="zh-CN"/>
              </w:rPr>
            </w:pPr>
            <w:r>
              <w:rPr>
                <w:rFonts w:hint="eastAsia" w:ascii="宋体" w:hAnsi="宋体" w:cs="宋体"/>
                <w:bCs/>
                <w:color w:val="auto"/>
                <w:sz w:val="24"/>
                <w:lang w:val="zh-CN"/>
              </w:rPr>
              <w:t>①</w:t>
            </w:r>
            <w:r>
              <w:rPr>
                <w:rFonts w:hint="eastAsia"/>
                <w:bCs/>
                <w:color w:val="auto"/>
                <w:sz w:val="24"/>
                <w:lang w:val="zh-CN"/>
              </w:rPr>
              <w:t>设计方面</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auto"/>
                <w:sz w:val="24"/>
                <w:lang w:val="zh-CN"/>
              </w:rPr>
            </w:pPr>
            <w:r>
              <w:rPr>
                <w:rFonts w:hint="eastAsia"/>
                <w:bCs/>
                <w:color w:val="auto"/>
                <w:sz w:val="24"/>
                <w:lang w:val="zh-CN"/>
              </w:rPr>
              <w:t>要选用较先进的生产工艺技术，尽可能采用新设备、新材料，在整个生产装置设计上要充分考虑到各种可能诱发非正常生产发生的因素，并使生产设备和管道对这些因素有一定的抗击能力。</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auto"/>
                <w:sz w:val="24"/>
                <w:lang w:val="zh-CN"/>
              </w:rPr>
            </w:pPr>
            <w:r>
              <w:rPr>
                <w:rFonts w:hint="eastAsia" w:ascii="宋体" w:hAnsi="宋体" w:cs="宋体"/>
                <w:bCs/>
                <w:color w:val="auto"/>
                <w:sz w:val="24"/>
                <w:lang w:val="zh-CN"/>
              </w:rPr>
              <w:t>②</w:t>
            </w:r>
            <w:r>
              <w:rPr>
                <w:rFonts w:hint="eastAsia"/>
                <w:bCs/>
                <w:color w:val="auto"/>
                <w:sz w:val="24"/>
                <w:lang w:val="zh-CN"/>
              </w:rPr>
              <w:t>施工方面</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auto"/>
                <w:sz w:val="24"/>
                <w:lang w:val="zh-CN"/>
              </w:rPr>
            </w:pPr>
            <w:r>
              <w:rPr>
                <w:rFonts w:hint="eastAsia"/>
                <w:bCs/>
                <w:color w:val="auto"/>
                <w:sz w:val="24"/>
                <w:lang w:val="zh-CN"/>
              </w:rPr>
              <w:t>要严格按国家有关规定进行施工，并加强各方面的质量监督，尤其是生产装置设备、管道及管件，必须符合国家的有关质量标准，施工完毕后要进行严格的竣工验收，合格后才能正式投入运行。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auto"/>
                <w:sz w:val="24"/>
                <w:lang w:val="zh-CN"/>
              </w:rPr>
            </w:pPr>
            <w:r>
              <w:rPr>
                <w:rFonts w:hint="eastAsia" w:ascii="宋体" w:hAnsi="宋体" w:cs="宋体"/>
                <w:bCs/>
                <w:color w:val="auto"/>
                <w:sz w:val="24"/>
                <w:lang w:val="zh-CN"/>
              </w:rPr>
              <w:t>③</w:t>
            </w:r>
            <w:r>
              <w:rPr>
                <w:rFonts w:hint="eastAsia"/>
                <w:bCs/>
                <w:color w:val="auto"/>
                <w:sz w:val="24"/>
                <w:lang w:val="zh-CN"/>
              </w:rPr>
              <w:t>操作运行管理方面</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auto"/>
                <w:sz w:val="24"/>
              </w:rPr>
            </w:pPr>
            <w:r>
              <w:rPr>
                <w:rFonts w:hint="eastAsia"/>
                <w:bCs/>
                <w:color w:val="auto"/>
                <w:sz w:val="24"/>
              </w:rPr>
              <w:t>查阅有关资料，各类非正常及事故的发生大多数与操作运行管理不当有直接关系，因此必须建立健全一整套严格的管理制度，操作人员持证上岗并严格按操作规程进行精心操作，并且加强对设备、管道及管件维护和检修。对污染物治理设施的管理、建设单位应当更加重视，才能更好地发挥其治理效果。</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b w:val="0"/>
                <w:bCs/>
                <w:color w:val="auto"/>
                <w:sz w:val="24"/>
                <w:szCs w:val="32"/>
              </w:rPr>
            </w:pPr>
            <w:r>
              <w:rPr>
                <w:rFonts w:hint="eastAsia"/>
                <w:bCs/>
                <w:color w:val="auto"/>
                <w:sz w:val="24"/>
              </w:rPr>
              <w:t>本项目</w:t>
            </w:r>
            <w:r>
              <w:rPr>
                <w:rFonts w:hint="eastAsia"/>
                <w:bCs/>
                <w:color w:val="auto"/>
                <w:sz w:val="24"/>
                <w:lang w:val="en-US" w:eastAsia="zh-CN"/>
              </w:rPr>
              <w:t>应</w:t>
            </w:r>
            <w:r>
              <w:rPr>
                <w:rFonts w:hint="eastAsia"/>
                <w:bCs/>
                <w:color w:val="auto"/>
                <w:sz w:val="24"/>
              </w:rPr>
              <w:t>定期对废气排放口进行监测，当发现大气污染超标排放，建设单位应立即查找问题，采取措施解决超标问题，尽快恢复正常排放。</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color w:val="auto"/>
                <w:sz w:val="24"/>
                <w:szCs w:val="32"/>
              </w:rPr>
              <w:t>（</w:t>
            </w:r>
            <w:r>
              <w:rPr>
                <w:rFonts w:hint="eastAsia"/>
                <w:b/>
                <w:color w:val="auto"/>
                <w:sz w:val="24"/>
                <w:szCs w:val="32"/>
                <w:lang w:val="en-US" w:eastAsia="zh-CN"/>
              </w:rPr>
              <w:t>3</w:t>
            </w:r>
            <w:r>
              <w:rPr>
                <w:rFonts w:hint="eastAsia"/>
                <w:b/>
                <w:color w:val="auto"/>
                <w:sz w:val="24"/>
                <w:szCs w:val="32"/>
              </w:rPr>
              <w:t>）</w:t>
            </w:r>
            <w:r>
              <w:rPr>
                <w:rFonts w:hint="eastAsia"/>
                <w:b/>
                <w:bCs/>
                <w:color w:val="auto"/>
                <w:sz w:val="24"/>
              </w:rPr>
              <w:t>大气监测计划</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color w:val="auto"/>
                <w:sz w:val="24"/>
              </w:rPr>
              <w:t>根据《排污单位自行监测技术指南 总则》（HJ819-2017）</w:t>
            </w:r>
            <w:r>
              <w:rPr>
                <w:rFonts w:hint="eastAsia"/>
                <w:color w:val="auto"/>
                <w:sz w:val="24"/>
                <w:lang w:eastAsia="zh-CN"/>
              </w:rPr>
              <w:t>、《排污单位自行监测技术指南 水处理》（HJ1083-2020）</w:t>
            </w:r>
            <w:r>
              <w:rPr>
                <w:rFonts w:hint="eastAsia"/>
                <w:color w:val="auto"/>
                <w:sz w:val="24"/>
              </w:rPr>
              <w:t>以及本项目具体情况，确定本项目</w:t>
            </w:r>
            <w:r>
              <w:rPr>
                <w:rFonts w:hint="eastAsia"/>
                <w:bCs/>
                <w:color w:val="auto"/>
                <w:sz w:val="24"/>
              </w:rPr>
              <w:t>废气监测内容见下表。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w:t>
            </w:r>
            <w:r>
              <w:rPr>
                <w:rFonts w:hint="eastAsia" w:ascii="黑体" w:hAnsi="黑体" w:eastAsia="黑体"/>
                <w:bCs/>
                <w:color w:val="auto"/>
                <w:sz w:val="24"/>
                <w:lang w:val="en-US" w:eastAsia="zh-CN"/>
              </w:rPr>
              <w:t>5</w:t>
            </w:r>
            <w:r>
              <w:rPr>
                <w:rFonts w:hint="eastAsia" w:ascii="黑体" w:hAnsi="黑体" w:eastAsia="黑体"/>
                <w:bCs/>
                <w:color w:val="auto"/>
                <w:sz w:val="24"/>
              </w:rPr>
              <w:t xml:space="preserve">  大气环境污染源监测计划一览表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7"/>
              <w:gridCol w:w="1688"/>
              <w:gridCol w:w="1449"/>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65"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监测点位</w:t>
                  </w:r>
                </w:p>
              </w:tc>
              <w:tc>
                <w:tcPr>
                  <w:tcW w:w="984"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监测指标</w:t>
                  </w:r>
                </w:p>
              </w:tc>
              <w:tc>
                <w:tcPr>
                  <w:tcW w:w="845"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监测频次</w:t>
                  </w:r>
                </w:p>
              </w:tc>
              <w:tc>
                <w:tcPr>
                  <w:tcW w:w="1404"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65"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DA001生物滤池除臭排气筒</w:t>
                  </w:r>
                </w:p>
              </w:tc>
              <w:tc>
                <w:tcPr>
                  <w:tcW w:w="984"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氨、硫化氢、臭气浓度</w:t>
                  </w:r>
                </w:p>
              </w:tc>
              <w:tc>
                <w:tcPr>
                  <w:tcW w:w="845"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1次/</w:t>
                  </w:r>
                  <w:r>
                    <w:rPr>
                      <w:rFonts w:hint="eastAsia" w:ascii="Times New Roman" w:hAnsi="Times New Roman" w:eastAsia="宋体"/>
                      <w:color w:val="auto"/>
                      <w:sz w:val="21"/>
                      <w:szCs w:val="21"/>
                      <w:lang w:val="en-US" w:eastAsia="zh-CN"/>
                    </w:rPr>
                    <w:t>半</w:t>
                  </w:r>
                  <w:r>
                    <w:rPr>
                      <w:rFonts w:hint="eastAsia" w:ascii="Times New Roman" w:hAnsi="Times New Roman" w:eastAsia="宋体"/>
                      <w:color w:val="auto"/>
                      <w:sz w:val="21"/>
                      <w:szCs w:val="21"/>
                    </w:rPr>
                    <w:t>年</w:t>
                  </w:r>
                </w:p>
              </w:tc>
              <w:tc>
                <w:tcPr>
                  <w:tcW w:w="1404"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65" w:type="pct"/>
                  <w:vAlign w:val="center"/>
                </w:tcPr>
                <w:p>
                  <w:pPr>
                    <w:keepNext w:val="0"/>
                    <w:keepLines w:val="0"/>
                    <w:widowControl/>
                    <w:suppressLineNumbers w:val="0"/>
                    <w:spacing w:before="0" w:beforeAutospacing="0" w:after="0" w:afterAutospacing="0"/>
                    <w:ind w:left="0" w:right="0"/>
                    <w:jc w:val="center"/>
                    <w:rPr>
                      <w:rFonts w:hint="eastAsia"/>
                      <w:bCs/>
                      <w:color w:val="auto"/>
                    </w:rPr>
                  </w:pPr>
                  <w:r>
                    <w:rPr>
                      <w:rFonts w:hint="eastAsia"/>
                      <w:bCs/>
                      <w:color w:val="auto"/>
                    </w:rPr>
                    <w:t>厂界下风向设置4个监测点</w:t>
                  </w:r>
                </w:p>
              </w:tc>
              <w:tc>
                <w:tcPr>
                  <w:tcW w:w="984"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default" w:ascii="Times New Roman" w:hAnsi="Times New Roman" w:eastAsia="宋体"/>
                      <w:bCs/>
                      <w:color w:val="auto"/>
                      <w:sz w:val="21"/>
                      <w:szCs w:val="21"/>
                      <w:lang w:val="en-US" w:eastAsia="zh-CN"/>
                    </w:rPr>
                  </w:pPr>
                  <w:r>
                    <w:rPr>
                      <w:rFonts w:hint="eastAsia" w:ascii="Times New Roman" w:hAnsi="Times New Roman" w:eastAsia="宋体"/>
                      <w:color w:val="auto"/>
                      <w:sz w:val="21"/>
                      <w:szCs w:val="21"/>
                    </w:rPr>
                    <w:t>氨、硫化氢、臭气浓度</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甲烷</w:t>
                  </w:r>
                </w:p>
              </w:tc>
              <w:tc>
                <w:tcPr>
                  <w:tcW w:w="845"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1次/</w:t>
                  </w:r>
                  <w:r>
                    <w:rPr>
                      <w:rFonts w:hint="eastAsia" w:ascii="Times New Roman" w:hAnsi="Times New Roman" w:eastAsia="宋体"/>
                      <w:color w:val="auto"/>
                      <w:sz w:val="21"/>
                      <w:szCs w:val="21"/>
                      <w:lang w:val="en-US" w:eastAsia="zh-CN"/>
                    </w:rPr>
                    <w:t>半</w:t>
                  </w:r>
                  <w:r>
                    <w:rPr>
                      <w:rFonts w:hint="eastAsia" w:ascii="Times New Roman" w:hAnsi="Times New Roman" w:eastAsia="宋体"/>
                      <w:color w:val="auto"/>
                      <w:sz w:val="21"/>
                      <w:szCs w:val="21"/>
                    </w:rPr>
                    <w:t>年</w:t>
                  </w:r>
                </w:p>
              </w:tc>
              <w:tc>
                <w:tcPr>
                  <w:tcW w:w="1404" w:type="pct"/>
                  <w:vAlign w:val="center"/>
                </w:tcPr>
                <w:p>
                  <w:pPr>
                    <w:pStyle w:val="82"/>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《城镇污水处理厂污染物排放标准》（GB18918-2002）</w:t>
                  </w:r>
                </w:p>
              </w:tc>
            </w:tr>
          </w:tbl>
          <w:p>
            <w:pPr>
              <w:adjustRightInd w:val="0"/>
              <w:snapToGrid w:val="0"/>
              <w:spacing w:line="480" w:lineRule="exact"/>
              <w:ind w:firstLine="482" w:firstLineChars="200"/>
              <w:rPr>
                <w:b/>
                <w:color w:val="auto"/>
                <w:sz w:val="24"/>
              </w:rPr>
            </w:pPr>
            <w:r>
              <w:rPr>
                <w:rFonts w:hint="eastAsia"/>
                <w:b/>
                <w:color w:val="auto"/>
                <w:sz w:val="24"/>
              </w:rPr>
              <w:t>（</w:t>
            </w:r>
            <w:r>
              <w:rPr>
                <w:rFonts w:hint="eastAsia"/>
                <w:b/>
                <w:color w:val="auto"/>
                <w:sz w:val="24"/>
                <w:lang w:val="en-US" w:eastAsia="zh-CN"/>
              </w:rPr>
              <w:t>7</w:t>
            </w:r>
            <w:r>
              <w:rPr>
                <w:rFonts w:hint="eastAsia"/>
                <w:b/>
                <w:color w:val="auto"/>
                <w:sz w:val="24"/>
              </w:rPr>
              <w:t>）大气环境影响分析</w:t>
            </w:r>
          </w:p>
          <w:p>
            <w:pPr>
              <w:adjustRightInd w:val="0"/>
              <w:snapToGrid w:val="0"/>
              <w:spacing w:line="480" w:lineRule="exact"/>
              <w:ind w:firstLine="480" w:firstLineChars="200"/>
              <w:rPr>
                <w:bCs/>
                <w:color w:val="auto"/>
                <w:sz w:val="24"/>
              </w:rPr>
            </w:pPr>
            <w:r>
              <w:rPr>
                <w:rFonts w:hint="eastAsia"/>
                <w:color w:val="auto"/>
                <w:sz w:val="24"/>
              </w:rPr>
              <w:t>根据</w:t>
            </w:r>
            <w:r>
              <w:rPr>
                <w:rFonts w:hint="eastAsia"/>
                <w:bCs/>
                <w:color w:val="auto"/>
                <w:sz w:val="24"/>
              </w:rPr>
              <w:t>忻州</w:t>
            </w:r>
            <w:r>
              <w:rPr>
                <w:rFonts w:hint="eastAsia"/>
                <w:bCs/>
                <w:color w:val="auto"/>
                <w:sz w:val="24"/>
                <w:lang w:val="en-US" w:eastAsia="zh-CN"/>
              </w:rPr>
              <w:t>五台县</w:t>
            </w:r>
            <w:r>
              <w:rPr>
                <w:rFonts w:hint="eastAsia"/>
                <w:bCs/>
                <w:color w:val="auto"/>
                <w:sz w:val="24"/>
              </w:rPr>
              <w:t>2021年环境空气质量例行监测资料，</w:t>
            </w:r>
            <w:r>
              <w:rPr>
                <w:rFonts w:hint="eastAsia"/>
                <w:bCs/>
                <w:color w:val="auto"/>
                <w:sz w:val="24"/>
                <w:lang w:val="en-US" w:eastAsia="zh-CN"/>
              </w:rPr>
              <w:t>五台县</w:t>
            </w:r>
            <w:r>
              <w:rPr>
                <w:rFonts w:hint="eastAsia"/>
                <w:color w:val="auto"/>
                <w:sz w:val="24"/>
              </w:rPr>
              <w:t>为不达标区；</w:t>
            </w:r>
            <w:r>
              <w:rPr>
                <w:rFonts w:hint="eastAsia"/>
                <w:bCs/>
                <w:color w:val="auto"/>
                <w:sz w:val="24"/>
              </w:rPr>
              <w:t>本项目拟建厂址位于山西省忻州市五台县建安镇张家庄村北440m处，厂界外500m范围内</w:t>
            </w:r>
            <w:r>
              <w:rPr>
                <w:rFonts w:hint="eastAsia"/>
                <w:bCs/>
                <w:color w:val="auto"/>
                <w:sz w:val="24"/>
                <w:lang w:val="en-US" w:eastAsia="zh-CN"/>
              </w:rPr>
              <w:t>存在张家庄村等保护目标</w:t>
            </w:r>
            <w:r>
              <w:rPr>
                <w:rFonts w:hint="eastAsia"/>
                <w:bCs/>
                <w:color w:val="auto"/>
                <w:sz w:val="24"/>
                <w:lang w:eastAsia="zh-CN"/>
              </w:rPr>
              <w:t>，</w:t>
            </w:r>
            <w:r>
              <w:rPr>
                <w:rFonts w:hint="eastAsia"/>
                <w:bCs/>
                <w:color w:val="auto"/>
                <w:sz w:val="24"/>
                <w:lang w:val="en-US" w:eastAsia="zh-CN"/>
              </w:rPr>
              <w:t>且</w:t>
            </w:r>
            <w:r>
              <w:rPr>
                <w:rFonts w:hint="eastAsia"/>
                <w:bCs/>
                <w:color w:val="auto"/>
                <w:sz w:val="24"/>
              </w:rPr>
              <w:t>不存在其他</w:t>
            </w:r>
            <w:r>
              <w:rPr>
                <w:rFonts w:hint="eastAsia"/>
                <w:color w:val="auto"/>
                <w:sz w:val="24"/>
                <w:szCs w:val="24"/>
                <w:lang w:bidi="ar"/>
              </w:rPr>
              <w:t>自然保护区、风景名胜区等保护目标</w:t>
            </w:r>
            <w:r>
              <w:rPr>
                <w:rFonts w:hint="eastAsia"/>
                <w:bCs/>
                <w:color w:val="auto"/>
                <w:sz w:val="24"/>
                <w:lang w:eastAsia="zh-CN"/>
              </w:rPr>
              <w:t>。</w:t>
            </w:r>
          </w:p>
          <w:p>
            <w:pPr>
              <w:adjustRightInd w:val="0"/>
              <w:snapToGrid w:val="0"/>
              <w:spacing w:line="480" w:lineRule="exact"/>
              <w:ind w:firstLine="480" w:firstLineChars="200"/>
              <w:rPr>
                <w:bCs/>
                <w:color w:val="auto"/>
                <w:sz w:val="24"/>
              </w:rPr>
            </w:pPr>
            <w:r>
              <w:rPr>
                <w:rFonts w:hint="eastAsia"/>
                <w:color w:val="auto"/>
                <w:sz w:val="24"/>
                <w:szCs w:val="20"/>
                <w:lang w:val="en-GB"/>
              </w:rPr>
              <w:t>本项目运营期废气仅为污水处理过程中的臭气，主要是粗格栅及提升井、细格栅、曝气沉砂池、初沉池、膜格栅池、厌氧池、缺氧池、储泥池及污水脱水机产生的臭气，臭气主要污染物是氨和硫化氢；要求对上述建构筑物进行封闭，将建构物内的臭气通过管道引至1套生物滤池除臭装置进行处理，处理后经15m高排气筒排放，生物滤池除臭装置设计处理规模为</w:t>
            </w:r>
            <w:r>
              <w:rPr>
                <w:rFonts w:hint="eastAsia"/>
                <w:color w:val="auto"/>
                <w:sz w:val="24"/>
                <w:szCs w:val="20"/>
                <w:lang w:val="en-US" w:eastAsia="zh-CN"/>
              </w:rPr>
              <w:t>1</w:t>
            </w:r>
            <w:r>
              <w:rPr>
                <w:rFonts w:hint="eastAsia"/>
                <w:color w:val="auto"/>
                <w:sz w:val="24"/>
                <w:szCs w:val="20"/>
                <w:lang w:val="en-GB"/>
              </w:rPr>
              <w:t>万m</w:t>
            </w:r>
            <w:r>
              <w:rPr>
                <w:rFonts w:hint="eastAsia"/>
                <w:color w:val="auto"/>
                <w:sz w:val="24"/>
                <w:szCs w:val="20"/>
                <w:vertAlign w:val="superscript"/>
                <w:lang w:val="en-GB"/>
              </w:rPr>
              <w:t>3</w:t>
            </w:r>
            <w:r>
              <w:rPr>
                <w:rFonts w:hint="eastAsia"/>
                <w:color w:val="auto"/>
                <w:sz w:val="24"/>
                <w:szCs w:val="20"/>
                <w:lang w:val="en-GB"/>
              </w:rPr>
              <w:t>/h，采用变频风机，对硫化氢和氨的去除率可以达到90%以上，该除臭工艺是生物过滤法的一种，生物过滤法是将恶臭吹进增湿器进行润湿，去除颗粒物并增加湿度，然后进入生物滤池，在生物细胞内生理代谢分解成简单的、无害的代谢产物；生物过滤法是《排污许可证申请与核发技术规范 水处理（试行）》（HJ978-2018）中臭气治理可行技术。</w:t>
            </w:r>
            <w:r>
              <w:rPr>
                <w:rFonts w:hint="default" w:ascii="Times New Roman" w:hAnsi="Times New Roman" w:cs="Times New Roman"/>
                <w:bCs/>
                <w:color w:val="auto"/>
                <w:sz w:val="24"/>
              </w:rPr>
              <w:t>采取以上措施后，对区域大气环境影响较小。</w:t>
            </w:r>
          </w:p>
          <w:p>
            <w:pPr>
              <w:adjustRightInd w:val="0"/>
              <w:snapToGrid w:val="0"/>
              <w:spacing w:line="480" w:lineRule="exact"/>
              <w:ind w:firstLine="482" w:firstLineChars="200"/>
              <w:rPr>
                <w:color w:val="auto"/>
                <w:sz w:val="24"/>
              </w:rPr>
            </w:pPr>
            <w:r>
              <w:rPr>
                <w:rFonts w:hint="eastAsia"/>
                <w:b/>
                <w:bCs/>
                <w:color w:val="auto"/>
                <w:sz w:val="24"/>
              </w:rPr>
              <w:t>2、运营期</w:t>
            </w:r>
            <w:r>
              <w:rPr>
                <w:rFonts w:hint="eastAsia"/>
                <w:b/>
                <w:color w:val="auto"/>
                <w:sz w:val="24"/>
              </w:rPr>
              <w:t>水污染源强及污染防治措施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z w:val="24"/>
                <w:lang w:val="en-GB"/>
              </w:rPr>
            </w:pPr>
            <w:r>
              <w:rPr>
                <w:rFonts w:hint="default" w:ascii="Times New Roman" w:hAnsi="Times New Roman" w:cs="Times New Roman"/>
                <w:sz w:val="24"/>
                <w:lang w:val="en-GB"/>
              </w:rPr>
              <w:t>本项目设地表水环境影响专项评价，地表水环境影响评价的主要结论如下：</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sz w:val="24"/>
                <w:lang w:val="en-GB"/>
              </w:rPr>
            </w:pPr>
            <w:r>
              <w:rPr>
                <w:rFonts w:hint="default" w:ascii="Times New Roman" w:hAnsi="Times New Roman" w:cs="Times New Roman"/>
                <w:b/>
                <w:bCs/>
                <w:sz w:val="24"/>
                <w:lang w:val="en-GB"/>
              </w:rPr>
              <w:t>（1）废水污染源及防治措施</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sz w:val="24"/>
                <w:lang w:val="en-GB"/>
              </w:rPr>
            </w:pPr>
            <w:r>
              <w:rPr>
                <w:rFonts w:hint="default" w:ascii="Times New Roman" w:hAnsi="Times New Roman" w:cs="Times New Roman"/>
                <w:sz w:val="24"/>
                <w:lang w:val="en-GB"/>
              </w:rPr>
              <w:t>本项目运营期废水为污泥脱水间滤液</w:t>
            </w:r>
            <w:r>
              <w:rPr>
                <w:rFonts w:hint="eastAsia" w:ascii="Times New Roman" w:hAnsi="Times New Roman" w:cs="Times New Roman"/>
                <w:sz w:val="24"/>
                <w:lang w:val="en-GB" w:eastAsia="zh-CN"/>
              </w:rPr>
              <w:t>、</w:t>
            </w:r>
            <w:r>
              <w:rPr>
                <w:rFonts w:hint="default" w:ascii="Times New Roman" w:hAnsi="Times New Roman" w:cs="Times New Roman"/>
                <w:sz w:val="24"/>
                <w:lang w:val="en-GB"/>
              </w:rPr>
              <w:t>生物滤池除臭装置排水和职工生活污水。</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color w:val="auto"/>
                <w:sz w:val="24"/>
                <w:lang w:val="en-GB"/>
              </w:rPr>
            </w:pPr>
            <w:r>
              <w:rPr>
                <w:rFonts w:hint="default" w:ascii="Times New Roman" w:hAnsi="Times New Roman" w:cs="Times New Roman"/>
                <w:color w:val="auto"/>
                <w:sz w:val="24"/>
                <w:lang w:val="en-GB"/>
              </w:rPr>
              <w:t>①污泥浓缩机房进泥口含水率为9</w:t>
            </w:r>
            <w:r>
              <w:rPr>
                <w:rFonts w:hint="eastAsia" w:ascii="Times New Roman" w:hAnsi="Times New Roman" w:cs="Times New Roman"/>
                <w:color w:val="auto"/>
                <w:sz w:val="24"/>
                <w:lang w:val="en-US" w:eastAsia="zh-CN"/>
              </w:rPr>
              <w:t>9.7</w:t>
            </w:r>
            <w:r>
              <w:rPr>
                <w:rFonts w:hint="default" w:ascii="Times New Roman" w:hAnsi="Times New Roman" w:cs="Times New Roman"/>
                <w:color w:val="auto"/>
                <w:sz w:val="24"/>
                <w:lang w:val="en-GB"/>
              </w:rPr>
              <w:t>%，出泥口污泥含水率按</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lang w:val="en-GB"/>
              </w:rPr>
              <w:t>0%计，污水处理厂干泥最大产生量</w:t>
            </w:r>
            <w:r>
              <w:rPr>
                <w:rFonts w:hint="eastAsia" w:ascii="Times New Roman" w:hAnsi="Times New Roman" w:cs="Times New Roman"/>
                <w:color w:val="auto"/>
                <w:sz w:val="24"/>
                <w:lang w:val="en-US" w:eastAsia="zh-CN"/>
              </w:rPr>
              <w:t>1.04</w:t>
            </w:r>
            <w:r>
              <w:rPr>
                <w:rFonts w:hint="default" w:ascii="Times New Roman" w:hAnsi="Times New Roman" w:cs="Times New Roman"/>
                <w:color w:val="auto"/>
                <w:sz w:val="24"/>
                <w:lang w:val="en-GB"/>
              </w:rPr>
              <w:t>t/d，滤液最大产生量为</w:t>
            </w:r>
            <w:r>
              <w:rPr>
                <w:rFonts w:hint="eastAsia" w:ascii="Times New Roman" w:hAnsi="Times New Roman" w:cs="Times New Roman"/>
                <w:color w:val="auto"/>
                <w:sz w:val="24"/>
                <w:lang w:val="en-US" w:eastAsia="zh-CN"/>
              </w:rPr>
              <w:t>50.96</w:t>
            </w:r>
            <w:r>
              <w:rPr>
                <w:rFonts w:hint="default" w:ascii="Times New Roman" w:hAnsi="Times New Roman" w:cs="Times New Roman"/>
                <w:color w:val="auto"/>
                <w:sz w:val="24"/>
                <w:lang w:val="en-GB"/>
              </w:rPr>
              <w:t>m</w:t>
            </w:r>
            <w:r>
              <w:rPr>
                <w:rFonts w:hint="default" w:ascii="Times New Roman" w:hAnsi="Times New Roman" w:cs="Times New Roman"/>
                <w:color w:val="auto"/>
                <w:sz w:val="24"/>
                <w:vertAlign w:val="superscript"/>
                <w:lang w:val="en-GB"/>
              </w:rPr>
              <w:t>3</w:t>
            </w:r>
            <w:r>
              <w:rPr>
                <w:rFonts w:hint="default" w:ascii="Times New Roman" w:hAnsi="Times New Roman" w:cs="Times New Roman"/>
                <w:color w:val="auto"/>
                <w:sz w:val="24"/>
                <w:lang w:val="en-GB"/>
              </w:rPr>
              <w:t>/d，污泥脱水间滤液经管道返回厂内粗格栅进入污水处理系统，不外排。</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sz w:val="24"/>
                <w:lang w:val="en-GB"/>
              </w:rPr>
            </w:pPr>
            <w:r>
              <w:rPr>
                <w:rFonts w:hint="eastAsia" w:ascii="Times New Roman" w:hAnsi="Times New Roman" w:cs="Times New Roman"/>
                <w:sz w:val="24"/>
                <w:lang w:val="en-US" w:eastAsia="zh-CN"/>
              </w:rPr>
              <w:t>②</w:t>
            </w:r>
            <w:r>
              <w:rPr>
                <w:rFonts w:hint="default" w:ascii="Times New Roman" w:hAnsi="Times New Roman" w:cs="Times New Roman"/>
                <w:sz w:val="24"/>
                <w:lang w:val="en-GB"/>
              </w:rPr>
              <w:t>生物滤池除臭装置定期排水，每月排放1次，排水量约为10m</w:t>
            </w:r>
            <w:r>
              <w:rPr>
                <w:rFonts w:hint="default" w:ascii="Times New Roman" w:hAnsi="Times New Roman" w:cs="Times New Roman"/>
                <w:sz w:val="24"/>
                <w:vertAlign w:val="superscript"/>
                <w:lang w:val="en-GB"/>
              </w:rPr>
              <w:t>3</w:t>
            </w:r>
            <w:r>
              <w:rPr>
                <w:rFonts w:hint="default" w:ascii="Times New Roman" w:hAnsi="Times New Roman" w:cs="Times New Roman"/>
                <w:sz w:val="24"/>
                <w:lang w:val="en-GB"/>
              </w:rPr>
              <w:t>/次，根据设备厂家提供资料氨氮浓度约为100mg/L左右，经测算10m</w:t>
            </w:r>
            <w:r>
              <w:rPr>
                <w:rFonts w:hint="default" w:ascii="Times New Roman" w:hAnsi="Times New Roman" w:cs="Times New Roman"/>
                <w:sz w:val="24"/>
                <w:vertAlign w:val="superscript"/>
                <w:lang w:val="en-GB"/>
              </w:rPr>
              <w:t>3</w:t>
            </w:r>
            <w:r>
              <w:rPr>
                <w:rFonts w:hint="default" w:ascii="Times New Roman" w:hAnsi="Times New Roman" w:cs="Times New Roman"/>
                <w:sz w:val="24"/>
                <w:lang w:val="en-GB"/>
              </w:rPr>
              <w:t>的排水量进入粗格栅池后，混合后的污水中氨氮浓度约为42.1mg/L，满足《污水排入城镇下水道水质标准》（GB/T31962-2015）中A级标准45mg/L限值要求，因此生物滤池除臭装置排水进入污水处理系统不会影响污水处理厂的正常运行；为防止对污水处理系统产生冲击，要求生物滤池除臭装置排水进入粗格栅池后，要求池体内污水进行短时混匀后再由提升泵提升至后续污水处理工序。</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sz w:val="24"/>
                <w:lang w:val="en-GB"/>
              </w:rPr>
            </w:pPr>
            <w:r>
              <w:rPr>
                <w:rFonts w:hint="eastAsia" w:ascii="Times New Roman" w:hAnsi="Times New Roman" w:cs="Times New Roman"/>
                <w:sz w:val="24"/>
                <w:lang w:val="en-US" w:eastAsia="zh-CN"/>
              </w:rPr>
              <w:t>③</w:t>
            </w:r>
            <w:r>
              <w:rPr>
                <w:rFonts w:hint="default" w:ascii="Times New Roman" w:hAnsi="Times New Roman" w:cs="Times New Roman"/>
                <w:sz w:val="24"/>
                <w:lang w:val="en-GB"/>
              </w:rPr>
              <w:t>污水厂职工生活污水产生量约为</w:t>
            </w:r>
            <w:r>
              <w:rPr>
                <w:rFonts w:hint="eastAsia" w:ascii="Times New Roman" w:hAnsi="Times New Roman" w:cs="Times New Roman"/>
                <w:sz w:val="24"/>
                <w:lang w:val="en-US" w:eastAsia="zh-CN"/>
              </w:rPr>
              <w:t>0.672</w:t>
            </w:r>
            <w:r>
              <w:rPr>
                <w:rFonts w:hint="default" w:ascii="Times New Roman" w:hAnsi="Times New Roman" w:cs="Times New Roman"/>
                <w:sz w:val="24"/>
                <w:lang w:val="en-GB"/>
              </w:rPr>
              <w:t>m</w:t>
            </w:r>
            <w:r>
              <w:rPr>
                <w:rFonts w:hint="default" w:ascii="Times New Roman" w:hAnsi="Times New Roman" w:cs="Times New Roman"/>
                <w:sz w:val="24"/>
                <w:vertAlign w:val="superscript"/>
                <w:lang w:val="en-GB"/>
              </w:rPr>
              <w:t>3</w:t>
            </w:r>
            <w:r>
              <w:rPr>
                <w:rFonts w:hint="default" w:ascii="Times New Roman" w:hAnsi="Times New Roman" w:cs="Times New Roman"/>
                <w:sz w:val="24"/>
                <w:lang w:val="en-GB"/>
              </w:rPr>
              <w:t>/d，生活污水经化粪池处理后排入厂内粗格栅进入污水处理系统，不外排。</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2" w:firstLineChars="200"/>
              <w:textAlignment w:val="auto"/>
              <w:rPr>
                <w:rFonts w:hint="default" w:ascii="Times New Roman" w:hAnsi="Times New Roman" w:cs="Times New Roman"/>
                <w:b/>
                <w:bCs/>
                <w:sz w:val="24"/>
                <w:lang w:val="en-GB"/>
              </w:rPr>
            </w:pPr>
            <w:r>
              <w:rPr>
                <w:rFonts w:hint="default" w:ascii="Times New Roman" w:hAnsi="Times New Roman" w:cs="Times New Roman"/>
                <w:b/>
                <w:bCs/>
                <w:sz w:val="24"/>
                <w:lang w:val="en-GB"/>
              </w:rPr>
              <w:t>（2）污水厂尾水排放方案</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val="en-GB"/>
              </w:rPr>
              <w:t>污水处理厂运行时，尾水排放量约为</w:t>
            </w:r>
            <w:r>
              <w:rPr>
                <w:rFonts w:hint="eastAsia" w:ascii="Times New Roman" w:hAnsi="Times New Roman" w:cs="Times New Roman"/>
                <w:sz w:val="24"/>
                <w:lang w:val="en-US" w:eastAsia="zh-CN"/>
              </w:rPr>
              <w:t>2000</w:t>
            </w:r>
            <w:r>
              <w:rPr>
                <w:rFonts w:hint="default" w:ascii="Times New Roman" w:hAnsi="Times New Roman" w:cs="Times New Roman"/>
                <w:sz w:val="24"/>
                <w:lang w:val="en-GB"/>
              </w:rPr>
              <w:t>m</w:t>
            </w:r>
            <w:r>
              <w:rPr>
                <w:rFonts w:hint="default" w:ascii="Times New Roman" w:hAnsi="Times New Roman" w:cs="Times New Roman"/>
                <w:sz w:val="24"/>
                <w:vertAlign w:val="superscript"/>
                <w:lang w:val="en-GB"/>
              </w:rPr>
              <w:t>3</w:t>
            </w:r>
            <w:r>
              <w:rPr>
                <w:rFonts w:hint="default" w:ascii="Times New Roman" w:hAnsi="Times New Roman" w:cs="Times New Roman"/>
                <w:sz w:val="24"/>
                <w:lang w:val="en-GB"/>
              </w:rPr>
              <w:t>/d，尾水中</w:t>
            </w:r>
            <w:r>
              <w:rPr>
                <w:rFonts w:hint="default" w:ascii="Times New Roman" w:hAnsi="Times New Roman" w:cs="Times New Roman"/>
                <w:sz w:val="24"/>
              </w:rPr>
              <w:t>COD、氨氮、总磷满足</w:t>
            </w:r>
            <w:r>
              <w:rPr>
                <w:rFonts w:hint="eastAsia"/>
                <w:color w:val="auto"/>
                <w:sz w:val="24"/>
                <w:lang w:val="en-US" w:eastAsia="zh-CN"/>
              </w:rPr>
              <w:t>山西省地方标准《污水综合排放标准》（DB14/1928-2019）</w:t>
            </w:r>
            <w:r>
              <w:rPr>
                <w:rFonts w:hint="default" w:ascii="Times New Roman" w:hAnsi="Times New Roman" w:cs="Times New Roman"/>
                <w:sz w:val="24"/>
              </w:rPr>
              <w:t>中</w:t>
            </w:r>
            <w:r>
              <w:rPr>
                <w:rFonts w:hint="eastAsia"/>
                <w:color w:val="auto"/>
                <w:sz w:val="24"/>
                <w:lang w:val="en-US" w:eastAsia="zh-CN"/>
              </w:rPr>
              <w:t>表2中的限值</w:t>
            </w:r>
            <w:r>
              <w:rPr>
                <w:rFonts w:hint="default" w:ascii="Times New Roman" w:hAnsi="Times New Roman" w:cs="Times New Roman"/>
                <w:sz w:val="24"/>
              </w:rPr>
              <w:t>，</w:t>
            </w:r>
            <w:r>
              <w:rPr>
                <w:rFonts w:hint="eastAsia" w:ascii="Times New Roman" w:hAnsi="Times New Roman" w:cs="Times New Roman"/>
                <w:sz w:val="24"/>
                <w:lang w:val="en-US" w:eastAsia="zh-CN"/>
              </w:rPr>
              <w:t>BOD、</w:t>
            </w:r>
            <w:r>
              <w:rPr>
                <w:rFonts w:hint="default" w:ascii="Times New Roman" w:hAnsi="Times New Roman" w:cs="Times New Roman"/>
                <w:sz w:val="24"/>
              </w:rPr>
              <w:t>SS、</w:t>
            </w:r>
            <w:r>
              <w:rPr>
                <w:rFonts w:hint="eastAsia" w:ascii="Times New Roman" w:hAnsi="Times New Roman" w:cs="Times New Roman"/>
                <w:sz w:val="24"/>
                <w:lang w:val="en-US" w:eastAsia="zh-CN"/>
              </w:rPr>
              <w:t>动植物油、石油类、阴离子表面活性剂、总氮、色度、pH、粪大肠菌群数满</w:t>
            </w:r>
            <w:r>
              <w:rPr>
                <w:rFonts w:hint="default" w:ascii="Times New Roman" w:hAnsi="Times New Roman" w:cs="Times New Roman"/>
                <w:sz w:val="24"/>
              </w:rPr>
              <w:t>足《城镇污水处理厂污染物排放标准》（GB18918-2002）及修改单中的一级A标准限值，</w:t>
            </w:r>
            <w:r>
              <w:rPr>
                <w:rFonts w:hint="eastAsia" w:ascii="Times New Roman" w:hAnsi="Times New Roman" w:cs="Times New Roman"/>
                <w:sz w:val="24"/>
                <w:lang w:val="en-US" w:eastAsia="zh-CN"/>
              </w:rPr>
              <w:t>首先用于市政绿化、道路浇洒、农田灌溉等，剩余尾水排入滹沱河</w:t>
            </w:r>
            <w:r>
              <w:rPr>
                <w:rFonts w:hint="default" w:ascii="Times New Roman" w:hAnsi="Times New Roman" w:cs="Times New Roman"/>
                <w:sz w:val="24"/>
              </w:rPr>
              <w:t>。</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（3）项目运行对周围地表水体的影响</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污水厂工程建成投运后，污水处理规模为</w:t>
            </w:r>
            <w:r>
              <w:rPr>
                <w:rFonts w:hint="eastAsia" w:ascii="Times New Roman" w:hAnsi="Times New Roman" w:cs="Times New Roman"/>
                <w:sz w:val="24"/>
                <w:lang w:val="en-US" w:eastAsia="zh-CN"/>
              </w:rPr>
              <w:t>2</w:t>
            </w:r>
            <w:r>
              <w:rPr>
                <w:rFonts w:hint="default" w:ascii="Times New Roman" w:hAnsi="Times New Roman" w:cs="Times New Roman"/>
                <w:sz w:val="24"/>
              </w:rPr>
              <w:t>000m</w:t>
            </w:r>
            <w:r>
              <w:rPr>
                <w:rFonts w:hint="default" w:ascii="Times New Roman" w:hAnsi="Times New Roman" w:cs="Times New Roman"/>
                <w:sz w:val="24"/>
                <w:vertAlign w:val="superscript"/>
              </w:rPr>
              <w:t>3</w:t>
            </w:r>
            <w:r>
              <w:rPr>
                <w:rFonts w:hint="default" w:ascii="Times New Roman" w:hAnsi="Times New Roman" w:cs="Times New Roman"/>
                <w:sz w:val="24"/>
              </w:rPr>
              <w:t>/d，尾水排放量为</w:t>
            </w:r>
            <w:r>
              <w:rPr>
                <w:rFonts w:hint="eastAsia" w:ascii="Times New Roman" w:hAnsi="Times New Roman" w:cs="Times New Roman"/>
                <w:sz w:val="24"/>
                <w:lang w:val="en-US" w:eastAsia="zh-CN"/>
              </w:rPr>
              <w:t>2</w:t>
            </w:r>
            <w:r>
              <w:rPr>
                <w:rFonts w:hint="default" w:ascii="Times New Roman" w:hAnsi="Times New Roman" w:cs="Times New Roman"/>
                <w:sz w:val="24"/>
              </w:rPr>
              <w:t>000m</w:t>
            </w:r>
            <w:r>
              <w:rPr>
                <w:rFonts w:hint="default" w:ascii="Times New Roman" w:hAnsi="Times New Roman" w:cs="Times New Roman"/>
                <w:sz w:val="24"/>
                <w:vertAlign w:val="superscript"/>
              </w:rPr>
              <w:t>3</w:t>
            </w:r>
            <w:r>
              <w:rPr>
                <w:rFonts w:hint="default" w:ascii="Times New Roman" w:hAnsi="Times New Roman" w:cs="Times New Roman"/>
                <w:sz w:val="24"/>
              </w:rPr>
              <w:t>/d，污染物排放量及消减量见下表。</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0" w:firstLineChars="0"/>
              <w:jc w:val="center"/>
              <w:textAlignment w:val="auto"/>
              <w:rPr>
                <w:rFonts w:ascii="黑体" w:hAnsi="黑体" w:eastAsia="黑体" w:cs="宋体"/>
                <w:kern w:val="0"/>
                <w:sz w:val="24"/>
                <w:szCs w:val="24"/>
              </w:rPr>
            </w:pPr>
            <w:r>
              <w:rPr>
                <w:rFonts w:hint="eastAsia" w:ascii="黑体" w:hAnsi="黑体" w:eastAsia="黑体" w:cs="宋体"/>
                <w:kern w:val="0"/>
                <w:sz w:val="24"/>
                <w:szCs w:val="24"/>
              </w:rPr>
              <w:t>表</w:t>
            </w:r>
            <w:r>
              <w:rPr>
                <w:rFonts w:hint="eastAsia" w:ascii="黑体" w:hAnsi="黑体" w:eastAsia="黑体" w:cs="宋体"/>
                <w:kern w:val="0"/>
                <w:sz w:val="24"/>
                <w:szCs w:val="24"/>
                <w:lang w:val="en-US" w:eastAsia="zh-CN"/>
              </w:rPr>
              <w:t>4-6</w:t>
            </w:r>
            <w:r>
              <w:rPr>
                <w:rFonts w:hint="eastAsia" w:ascii="黑体" w:hAnsi="黑体" w:eastAsia="黑体" w:cs="宋体"/>
                <w:kern w:val="0"/>
                <w:sz w:val="24"/>
                <w:szCs w:val="24"/>
              </w:rPr>
              <w:t xml:space="preserve"> </w:t>
            </w:r>
            <w:r>
              <w:rPr>
                <w:rFonts w:ascii="黑体" w:hAnsi="黑体" w:eastAsia="黑体" w:cs="宋体"/>
                <w:kern w:val="0"/>
                <w:sz w:val="24"/>
                <w:szCs w:val="24"/>
              </w:rPr>
              <w:t xml:space="preserve"> </w:t>
            </w:r>
            <w:r>
              <w:rPr>
                <w:rFonts w:hint="eastAsia" w:ascii="黑体" w:hAnsi="黑体" w:eastAsia="黑体" w:cs="宋体"/>
                <w:kern w:val="0"/>
                <w:sz w:val="24"/>
                <w:szCs w:val="24"/>
              </w:rPr>
              <w:t>污水厂工程运行后污水厂污染物排放量及减排量一览表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179"/>
              <w:gridCol w:w="1686"/>
              <w:gridCol w:w="1184"/>
              <w:gridCol w:w="1653"/>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污染物</w:t>
                  </w:r>
                </w:p>
              </w:tc>
              <w:tc>
                <w:tcPr>
                  <w:tcW w:w="3107"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进水</w:t>
                  </w:r>
                </w:p>
              </w:tc>
              <w:tc>
                <w:tcPr>
                  <w:tcW w:w="3075"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出水</w:t>
                  </w:r>
                </w:p>
              </w:tc>
              <w:tc>
                <w:tcPr>
                  <w:tcW w:w="178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sq-AL"/>
                    </w:rPr>
                    <w:t>削减量</w:t>
                  </w:r>
                  <w:r>
                    <w:rPr>
                      <w:rFonts w:hint="eastAsia"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水质mg/L</w:t>
                  </w:r>
                </w:p>
              </w:tc>
              <w:tc>
                <w:tcPr>
                  <w:tcW w:w="185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污染物产生量t/a</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水质mg/L</w:t>
                  </w:r>
                </w:p>
              </w:tc>
              <w:tc>
                <w:tcPr>
                  <w:tcW w:w="1812"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污染物排放量t/a</w:t>
                  </w:r>
                </w:p>
              </w:tc>
              <w:tc>
                <w:tcPr>
                  <w:tcW w:w="178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sq-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废水量</w:t>
                  </w:r>
                </w:p>
              </w:tc>
              <w:tc>
                <w:tcPr>
                  <w:tcW w:w="3107"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eastAsia" w:cs="Times New Roman"/>
                      <w:color w:val="auto"/>
                      <w:sz w:val="21"/>
                      <w:szCs w:val="21"/>
                      <w:lang w:val="en-US" w:eastAsia="zh-CN"/>
                    </w:rPr>
                    <w:t>730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sq-AL"/>
                    </w:rPr>
                    <w:t>00 m</w:t>
                  </w:r>
                  <w:r>
                    <w:rPr>
                      <w:rFonts w:hint="default" w:ascii="Times New Roman" w:hAnsi="Times New Roman" w:eastAsia="宋体" w:cs="Times New Roman"/>
                      <w:color w:val="auto"/>
                      <w:sz w:val="21"/>
                      <w:szCs w:val="21"/>
                      <w:vertAlign w:val="superscript"/>
                      <w:lang w:val="sq-AL"/>
                    </w:rPr>
                    <w:t>3</w:t>
                  </w:r>
                  <w:r>
                    <w:rPr>
                      <w:rFonts w:hint="default" w:ascii="Times New Roman" w:hAnsi="Times New Roman" w:eastAsia="宋体" w:cs="Times New Roman"/>
                      <w:color w:val="auto"/>
                      <w:sz w:val="21"/>
                      <w:szCs w:val="21"/>
                      <w:lang w:val="sq-AL"/>
                    </w:rPr>
                    <w:t>/a（</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sq-AL"/>
                    </w:rPr>
                    <w:t>00m</w:t>
                  </w:r>
                  <w:r>
                    <w:rPr>
                      <w:rFonts w:hint="default" w:ascii="Times New Roman" w:hAnsi="Times New Roman" w:eastAsia="宋体" w:cs="Times New Roman"/>
                      <w:color w:val="auto"/>
                      <w:sz w:val="21"/>
                      <w:szCs w:val="21"/>
                      <w:vertAlign w:val="superscript"/>
                      <w:lang w:val="sq-AL"/>
                    </w:rPr>
                    <w:t>3</w:t>
                  </w:r>
                  <w:r>
                    <w:rPr>
                      <w:rFonts w:hint="default" w:ascii="Times New Roman" w:hAnsi="Times New Roman" w:eastAsia="宋体" w:cs="Times New Roman"/>
                      <w:color w:val="auto"/>
                      <w:sz w:val="21"/>
                      <w:szCs w:val="21"/>
                      <w:lang w:val="sq-AL"/>
                    </w:rPr>
                    <w:t>/d）</w:t>
                  </w:r>
                </w:p>
              </w:tc>
              <w:tc>
                <w:tcPr>
                  <w:tcW w:w="3075"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eastAsia" w:cs="Times New Roman"/>
                      <w:color w:val="auto"/>
                      <w:sz w:val="21"/>
                      <w:szCs w:val="21"/>
                      <w:lang w:val="en-US" w:eastAsia="zh-CN"/>
                    </w:rPr>
                    <w:t>730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sq-AL"/>
                    </w:rPr>
                    <w:t>00 m</w:t>
                  </w:r>
                  <w:r>
                    <w:rPr>
                      <w:rFonts w:hint="default" w:ascii="Times New Roman" w:hAnsi="Times New Roman" w:eastAsia="宋体" w:cs="Times New Roman"/>
                      <w:color w:val="auto"/>
                      <w:sz w:val="21"/>
                      <w:szCs w:val="21"/>
                      <w:vertAlign w:val="superscript"/>
                      <w:lang w:val="sq-AL"/>
                    </w:rPr>
                    <w:t>3</w:t>
                  </w:r>
                  <w:r>
                    <w:rPr>
                      <w:rFonts w:hint="default" w:ascii="Times New Roman" w:hAnsi="Times New Roman" w:eastAsia="宋体" w:cs="Times New Roman"/>
                      <w:color w:val="auto"/>
                      <w:sz w:val="21"/>
                      <w:szCs w:val="21"/>
                      <w:lang w:val="sq-AL"/>
                    </w:rPr>
                    <w:t>/a（</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sq-AL"/>
                    </w:rPr>
                    <w:t>00m</w:t>
                  </w:r>
                  <w:r>
                    <w:rPr>
                      <w:rFonts w:hint="default" w:ascii="Times New Roman" w:hAnsi="Times New Roman" w:eastAsia="宋体" w:cs="Times New Roman"/>
                      <w:color w:val="auto"/>
                      <w:sz w:val="21"/>
                      <w:szCs w:val="21"/>
                      <w:vertAlign w:val="superscript"/>
                      <w:lang w:val="sq-AL"/>
                    </w:rPr>
                    <w:t>3</w:t>
                  </w:r>
                  <w:r>
                    <w:rPr>
                      <w:rFonts w:hint="default" w:ascii="Times New Roman" w:hAnsi="Times New Roman" w:eastAsia="宋体" w:cs="Times New Roman"/>
                      <w:color w:val="auto"/>
                      <w:sz w:val="21"/>
                      <w:szCs w:val="21"/>
                      <w:lang w:val="sq-AL"/>
                    </w:rPr>
                    <w:t>/d）</w:t>
                  </w:r>
                </w:p>
              </w:tc>
              <w:tc>
                <w:tcPr>
                  <w:tcW w:w="178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COD</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lang w:val="en-US"/>
                    </w:rPr>
                  </w:pPr>
                  <w:r>
                    <w:rPr>
                      <w:rFonts w:hint="eastAsia" w:cs="Times New Roman"/>
                      <w:color w:val="auto"/>
                      <w:sz w:val="21"/>
                      <w:szCs w:val="21"/>
                      <w:lang w:val="en-US" w:eastAsia="zh-CN"/>
                    </w:rPr>
                    <w:t>500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40</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29.2</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BOD</w:t>
                  </w:r>
                  <w:r>
                    <w:rPr>
                      <w:rFonts w:hint="default" w:ascii="Times New Roman" w:hAnsi="Times New Roman" w:eastAsia="宋体" w:cs="Times New Roman"/>
                      <w:color w:val="auto"/>
                      <w:sz w:val="21"/>
                      <w:szCs w:val="21"/>
                      <w:vertAlign w:val="subscript"/>
                      <w:lang w:val="sq-AL"/>
                    </w:rPr>
                    <w:t>5</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lang w:val="en-US"/>
                    </w:rPr>
                  </w:pPr>
                  <w:r>
                    <w:rPr>
                      <w:rFonts w:hint="eastAsia" w:cs="Times New Roman"/>
                      <w:color w:val="auto"/>
                      <w:sz w:val="21"/>
                      <w:szCs w:val="21"/>
                      <w:lang w:val="en-US" w:eastAsia="zh-CN"/>
                    </w:rPr>
                    <w:t>160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116.8</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10</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SS</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lang w:val="en-US"/>
                    </w:rPr>
                  </w:pPr>
                  <w:r>
                    <w:rPr>
                      <w:rFonts w:hint="eastAsia" w:cs="Times New Roman"/>
                      <w:color w:val="auto"/>
                      <w:sz w:val="21"/>
                      <w:szCs w:val="21"/>
                      <w:lang w:val="en-US" w:eastAsia="zh-CN"/>
                    </w:rPr>
                    <w:t>200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10</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NH</w:t>
                  </w:r>
                  <w:r>
                    <w:rPr>
                      <w:rFonts w:hint="default" w:ascii="Times New Roman" w:hAnsi="Times New Roman" w:eastAsia="宋体" w:cs="Times New Roman"/>
                      <w:color w:val="auto"/>
                      <w:sz w:val="21"/>
                      <w:szCs w:val="21"/>
                      <w:vertAlign w:val="subscript"/>
                      <w:lang w:val="sq-AL"/>
                    </w:rPr>
                    <w:t>3</w:t>
                  </w:r>
                  <w:r>
                    <w:rPr>
                      <w:rFonts w:hint="default" w:ascii="Times New Roman" w:hAnsi="Times New Roman" w:eastAsia="宋体" w:cs="Times New Roman"/>
                      <w:color w:val="auto"/>
                      <w:sz w:val="21"/>
                      <w:szCs w:val="21"/>
                      <w:lang w:val="sq-AL"/>
                    </w:rPr>
                    <w:t>-N</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45</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32.85</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2</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TN</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60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43.8</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15</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10.95</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TP</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6.0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4.38</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0.4</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0.292</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4.088</w:t>
                  </w:r>
                </w:p>
              </w:tc>
            </w:tr>
          </w:tbl>
          <w:p>
            <w:pPr>
              <w:spacing w:line="460" w:lineRule="exact"/>
              <w:ind w:firstLine="496" w:firstLineChars="200"/>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rPr>
              <w:t>由表3.5-2可看出，</w:t>
            </w:r>
            <w:r>
              <w:rPr>
                <w:rFonts w:hint="default" w:ascii="Times New Roman" w:hAnsi="Times New Roman" w:cs="Times New Roman"/>
                <w:color w:val="auto"/>
                <w:spacing w:val="4"/>
                <w:sz w:val="24"/>
                <w:szCs w:val="24"/>
                <w:lang w:val="sq-AL"/>
              </w:rPr>
              <w:t>本项目建成投产后，污水中的主要污染物CODcr、BOD</w:t>
            </w:r>
            <w:r>
              <w:rPr>
                <w:rFonts w:hint="default" w:ascii="Times New Roman" w:hAnsi="Times New Roman" w:cs="Times New Roman"/>
                <w:color w:val="auto"/>
                <w:spacing w:val="4"/>
                <w:sz w:val="24"/>
                <w:szCs w:val="24"/>
                <w:vertAlign w:val="subscript"/>
                <w:lang w:val="sq-AL"/>
              </w:rPr>
              <w:t>5</w:t>
            </w:r>
            <w:r>
              <w:rPr>
                <w:rFonts w:hint="default" w:ascii="Times New Roman" w:hAnsi="Times New Roman" w:cs="Times New Roman"/>
                <w:color w:val="auto"/>
                <w:spacing w:val="4"/>
                <w:sz w:val="24"/>
                <w:szCs w:val="24"/>
                <w:lang w:val="sq-AL"/>
              </w:rPr>
              <w:t>、SS、NH</w:t>
            </w:r>
            <w:r>
              <w:rPr>
                <w:rFonts w:hint="default" w:ascii="Times New Roman" w:hAnsi="Times New Roman" w:cs="Times New Roman"/>
                <w:color w:val="auto"/>
                <w:spacing w:val="4"/>
                <w:sz w:val="24"/>
                <w:szCs w:val="24"/>
                <w:vertAlign w:val="subscript"/>
                <w:lang w:val="sq-AL"/>
              </w:rPr>
              <w:t>3</w:t>
            </w:r>
            <w:r>
              <w:rPr>
                <w:rFonts w:hint="default" w:ascii="Times New Roman" w:hAnsi="Times New Roman" w:cs="Times New Roman"/>
                <w:color w:val="auto"/>
                <w:spacing w:val="4"/>
                <w:sz w:val="24"/>
                <w:szCs w:val="24"/>
                <w:lang w:val="sq-AL"/>
              </w:rPr>
              <w:t>-N、TN、TP的削减量分别为</w:t>
            </w:r>
            <w:r>
              <w:rPr>
                <w:rFonts w:hint="eastAsia" w:cs="Times New Roman"/>
                <w:color w:val="auto"/>
                <w:spacing w:val="4"/>
                <w:sz w:val="24"/>
                <w:szCs w:val="24"/>
                <w:lang w:val="en-US" w:eastAsia="zh-CN"/>
              </w:rPr>
              <w:t>335.8</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109.5</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138.7</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31.39</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32.85</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4.088</w:t>
            </w:r>
            <w:r>
              <w:rPr>
                <w:rFonts w:hint="default" w:ascii="Times New Roman" w:hAnsi="Times New Roman" w:cs="Times New Roman"/>
                <w:color w:val="auto"/>
                <w:spacing w:val="4"/>
                <w:sz w:val="24"/>
                <w:szCs w:val="24"/>
                <w:lang w:val="sq-AL"/>
              </w:rPr>
              <w:t>t/a，由此可见本项目污水处理站的建设环境</w:t>
            </w:r>
            <w:r>
              <w:rPr>
                <w:rFonts w:hint="default" w:ascii="Times New Roman" w:hAnsi="Times New Roman" w:cs="Times New Roman"/>
                <w:color w:val="auto"/>
                <w:spacing w:val="4"/>
                <w:sz w:val="24"/>
                <w:szCs w:val="24"/>
                <w:lang w:val="en-US" w:eastAsia="zh-CN"/>
              </w:rPr>
              <w:t>正</w:t>
            </w:r>
            <w:r>
              <w:rPr>
                <w:rFonts w:hint="default" w:ascii="Times New Roman" w:hAnsi="Times New Roman" w:cs="Times New Roman"/>
                <w:color w:val="auto"/>
                <w:spacing w:val="4"/>
                <w:sz w:val="24"/>
                <w:szCs w:val="24"/>
                <w:lang w:val="sq-AL"/>
              </w:rPr>
              <w:t>效益是非常明显的</w:t>
            </w:r>
            <w:r>
              <w:rPr>
                <w:rFonts w:hint="default" w:ascii="Times New Roman" w:hAnsi="Times New Roman" w:cs="Times New Roman"/>
                <w:color w:val="auto"/>
                <w:spacing w:val="4"/>
                <w:sz w:val="24"/>
                <w:szCs w:val="24"/>
              </w:rPr>
              <w:t>。</w:t>
            </w:r>
          </w:p>
          <w:p>
            <w:pPr>
              <w:pStyle w:val="112"/>
              <w:ind w:firstLine="480"/>
              <w:jc w:val="both"/>
              <w:rPr>
                <w:color w:val="auto"/>
                <w:sz w:val="24"/>
                <w:szCs w:val="24"/>
              </w:rPr>
            </w:pPr>
            <w:r>
              <w:rPr>
                <w:color w:val="auto"/>
                <w:sz w:val="24"/>
                <w:szCs w:val="24"/>
              </w:rPr>
              <w:t>另外，本项目污水处理站处理后的生活污水，可优先用于附近村庄农田灌溉及</w:t>
            </w:r>
            <w:r>
              <w:rPr>
                <w:rFonts w:hint="eastAsia"/>
                <w:color w:val="auto"/>
                <w:sz w:val="24"/>
                <w:szCs w:val="24"/>
                <w:lang w:val="en-US" w:eastAsia="zh-CN"/>
              </w:rPr>
              <w:t>市政</w:t>
            </w:r>
            <w:r>
              <w:rPr>
                <w:color w:val="auto"/>
                <w:sz w:val="24"/>
                <w:szCs w:val="24"/>
              </w:rPr>
              <w:t>绿化用水</w:t>
            </w:r>
            <w:r>
              <w:rPr>
                <w:rFonts w:hint="eastAsia"/>
                <w:color w:val="auto"/>
                <w:sz w:val="24"/>
                <w:szCs w:val="24"/>
                <w:lang w:eastAsia="zh-CN"/>
              </w:rPr>
              <w:t>、</w:t>
            </w:r>
            <w:r>
              <w:rPr>
                <w:rFonts w:hint="eastAsia"/>
                <w:color w:val="auto"/>
                <w:sz w:val="24"/>
                <w:szCs w:val="24"/>
                <w:lang w:val="en-US" w:eastAsia="zh-CN"/>
              </w:rPr>
              <w:t>道路浇洒</w:t>
            </w:r>
            <w:r>
              <w:rPr>
                <w:color w:val="auto"/>
                <w:sz w:val="24"/>
                <w:szCs w:val="24"/>
              </w:rPr>
              <w:t>。</w:t>
            </w:r>
          </w:p>
          <w:p>
            <w:pPr>
              <w:spacing w:line="460" w:lineRule="exact"/>
              <w:ind w:firstLine="496" w:firstLineChars="200"/>
              <w:rPr>
                <w:rFonts w:ascii="Times New Roman" w:hAnsi="Times New Roman"/>
                <w:bCs/>
                <w:color w:val="auto"/>
                <w:spacing w:val="4"/>
                <w:sz w:val="24"/>
                <w:szCs w:val="24"/>
              </w:rPr>
            </w:pPr>
            <w:r>
              <w:rPr>
                <w:rFonts w:ascii="Times New Roman" w:hAnsi="Times New Roman"/>
                <w:bCs/>
                <w:color w:val="auto"/>
                <w:spacing w:val="4"/>
                <w:sz w:val="24"/>
                <w:szCs w:val="24"/>
              </w:rPr>
              <w:t>针对污水处理工程特点本次评价提出以下水污染防治措施与对策：</w:t>
            </w:r>
          </w:p>
          <w:p>
            <w:pPr>
              <w:spacing w:line="480" w:lineRule="exact"/>
              <w:ind w:firstLine="496" w:firstLineChars="200"/>
              <w:rPr>
                <w:rFonts w:ascii="Times New Roman" w:hAnsi="Times New Roman"/>
                <w:bCs/>
                <w:color w:val="auto"/>
                <w:spacing w:val="4"/>
                <w:sz w:val="24"/>
                <w:szCs w:val="24"/>
              </w:rPr>
            </w:pPr>
            <w:r>
              <w:rPr>
                <w:rFonts w:hint="eastAsia" w:ascii="宋体" w:hAnsi="宋体" w:cs="宋体"/>
                <w:bCs/>
                <w:color w:val="auto"/>
                <w:spacing w:val="4"/>
                <w:sz w:val="24"/>
                <w:szCs w:val="24"/>
              </w:rPr>
              <w:t>①</w:t>
            </w:r>
            <w:r>
              <w:rPr>
                <w:rFonts w:ascii="Times New Roman" w:hAnsi="Times New Roman"/>
                <w:bCs/>
                <w:color w:val="auto"/>
                <w:spacing w:val="4"/>
                <w:sz w:val="24"/>
                <w:szCs w:val="24"/>
              </w:rPr>
              <w:t>注意污水处理站厂区内各管道的管理，防止堵塞管道造成废水外溢。</w:t>
            </w:r>
          </w:p>
          <w:p>
            <w:pPr>
              <w:spacing w:line="480" w:lineRule="exact"/>
              <w:ind w:firstLine="496" w:firstLineChars="200"/>
              <w:rPr>
                <w:rFonts w:ascii="Times New Roman" w:hAnsi="Times New Roman"/>
                <w:bCs/>
                <w:color w:val="auto"/>
                <w:spacing w:val="4"/>
                <w:sz w:val="24"/>
                <w:szCs w:val="24"/>
              </w:rPr>
            </w:pPr>
            <w:r>
              <w:rPr>
                <w:rFonts w:hint="eastAsia" w:ascii="宋体" w:hAnsi="宋体" w:cs="宋体"/>
                <w:bCs/>
                <w:color w:val="auto"/>
                <w:spacing w:val="4"/>
                <w:sz w:val="24"/>
                <w:szCs w:val="24"/>
              </w:rPr>
              <w:t>②</w:t>
            </w:r>
            <w:r>
              <w:rPr>
                <w:rFonts w:ascii="Times New Roman" w:hAnsi="Times New Roman"/>
                <w:bCs/>
                <w:color w:val="auto"/>
                <w:spacing w:val="4"/>
                <w:sz w:val="24"/>
                <w:szCs w:val="24"/>
              </w:rPr>
              <w:t>对各功能水池进行防渗处理，防止废水下渗污染地下水资源。</w:t>
            </w:r>
          </w:p>
          <w:p>
            <w:pPr>
              <w:spacing w:line="480" w:lineRule="exact"/>
              <w:ind w:firstLine="480" w:firstLineChars="200"/>
              <w:rPr>
                <w:rFonts w:ascii="Times New Roman" w:hAnsi="Times New Roman"/>
                <w:color w:val="auto"/>
                <w:sz w:val="24"/>
                <w:szCs w:val="24"/>
              </w:rPr>
            </w:pPr>
            <w:r>
              <w:rPr>
                <w:rFonts w:ascii="Times New Roman" w:hAnsi="Times New Roman"/>
                <w:color w:val="auto"/>
                <w:sz w:val="24"/>
                <w:szCs w:val="24"/>
              </w:rPr>
              <w:t>做好厂内构筑物的防渗工作，各构筑物的抗渗等级为S6，污水处理构筑物的混凝土等级采用C30，污水处理厂所有构筑物的设计应满足《给水排水工程构筑物结构设计规范》（GB50069-2002）的要求，防渗设计及施工应严格按照《地下工程防水技术规范》（GB50108-2001）来实施。</w:t>
            </w:r>
          </w:p>
          <w:p>
            <w:pPr>
              <w:spacing w:line="480" w:lineRule="exact"/>
              <w:ind w:firstLine="480" w:firstLineChars="200"/>
              <w:rPr>
                <w:rFonts w:ascii="Times New Roman" w:hAnsi="Times New Roman"/>
                <w:color w:val="auto"/>
                <w:sz w:val="24"/>
                <w:szCs w:val="24"/>
              </w:rPr>
            </w:pPr>
            <w:r>
              <w:rPr>
                <w:rFonts w:ascii="Times New Roman" w:hAnsi="Times New Roman"/>
                <w:color w:val="auto"/>
                <w:sz w:val="24"/>
                <w:szCs w:val="24"/>
              </w:rPr>
              <w:t>具体防渗措施如下：各处理构筑物均采用刚性防渗结构，水泥基渗透结晶型抗渗混凝土（厚度不小于250mm）＋水泥基渗透结晶型抗防渗涂层（厚度不小于1.0mm）结构形式，渗透系数不应大于1.0×10</w:t>
            </w:r>
            <w:r>
              <w:rPr>
                <w:rFonts w:ascii="Times New Roman" w:hAnsi="Times New Roman"/>
                <w:color w:val="auto"/>
                <w:sz w:val="24"/>
                <w:szCs w:val="24"/>
                <w:vertAlign w:val="superscript"/>
              </w:rPr>
              <w:t>-12</w:t>
            </w:r>
            <w:r>
              <w:rPr>
                <w:rFonts w:ascii="Times New Roman" w:hAnsi="Times New Roman"/>
                <w:color w:val="auto"/>
                <w:sz w:val="24"/>
                <w:szCs w:val="24"/>
              </w:rPr>
              <w:t>cm/s；</w:t>
            </w:r>
          </w:p>
          <w:p>
            <w:pPr>
              <w:spacing w:line="480" w:lineRule="exact"/>
              <w:ind w:firstLine="480" w:firstLineChars="200"/>
              <w:rPr>
                <w:rFonts w:ascii="Times New Roman" w:hAnsi="Times New Roman"/>
                <w:color w:val="auto"/>
                <w:sz w:val="24"/>
                <w:szCs w:val="24"/>
              </w:rPr>
            </w:pPr>
            <w:r>
              <w:rPr>
                <w:rFonts w:ascii="Times New Roman" w:hAnsi="Times New Roman"/>
                <w:color w:val="auto"/>
                <w:sz w:val="24"/>
                <w:szCs w:val="24"/>
              </w:rPr>
              <w:t>污泥池采取的防渗措施如下：采用刚性防渗结构，水泥基渗透结晶型抗渗混凝土（厚度不小于150mm）＋水泥基渗透结晶型抗防渗涂层（厚度不小于0.8mm）结构形式，渗透系数不应大于1.0×10</w:t>
            </w:r>
            <w:r>
              <w:rPr>
                <w:rFonts w:ascii="Times New Roman" w:hAnsi="Times New Roman"/>
                <w:color w:val="auto"/>
                <w:sz w:val="24"/>
                <w:szCs w:val="24"/>
                <w:vertAlign w:val="superscript"/>
              </w:rPr>
              <w:t>-10</w:t>
            </w:r>
            <w:r>
              <w:rPr>
                <w:rFonts w:ascii="Times New Roman" w:hAnsi="Times New Roman"/>
                <w:color w:val="auto"/>
                <w:sz w:val="24"/>
                <w:szCs w:val="24"/>
              </w:rPr>
              <w:t>cm/s；</w:t>
            </w:r>
          </w:p>
          <w:p>
            <w:pPr>
              <w:spacing w:line="480" w:lineRule="exact"/>
              <w:ind w:firstLine="480" w:firstLineChars="200"/>
              <w:rPr>
                <w:rFonts w:ascii="Times New Roman" w:hAnsi="Times New Roman"/>
                <w:color w:val="auto"/>
                <w:sz w:val="24"/>
                <w:szCs w:val="24"/>
              </w:rPr>
            </w:pPr>
            <w:r>
              <w:rPr>
                <w:rFonts w:ascii="Times New Roman" w:hAnsi="Times New Roman"/>
                <w:color w:val="auto"/>
                <w:sz w:val="24"/>
                <w:szCs w:val="24"/>
              </w:rPr>
              <w:t>采取以上措施后，可有效防止废水下渗污染地下水资源。</w:t>
            </w:r>
          </w:p>
          <w:p>
            <w:pPr>
              <w:spacing w:line="480" w:lineRule="exact"/>
              <w:ind w:firstLine="496" w:firstLineChars="200"/>
              <w:rPr>
                <w:rFonts w:ascii="Times New Roman" w:hAnsi="Times New Roman"/>
                <w:bCs/>
                <w:color w:val="auto"/>
                <w:spacing w:val="4"/>
                <w:sz w:val="24"/>
                <w:szCs w:val="24"/>
              </w:rPr>
            </w:pPr>
            <w:r>
              <w:rPr>
                <w:rFonts w:hint="eastAsia" w:ascii="宋体" w:hAnsi="宋体" w:cs="宋体"/>
                <w:bCs/>
                <w:color w:val="auto"/>
                <w:spacing w:val="4"/>
                <w:sz w:val="24"/>
                <w:szCs w:val="24"/>
              </w:rPr>
              <w:t>③</w:t>
            </w:r>
            <w:r>
              <w:rPr>
                <w:rFonts w:ascii="Times New Roman" w:hAnsi="Times New Roman"/>
                <w:bCs/>
                <w:color w:val="auto"/>
                <w:spacing w:val="4"/>
                <w:sz w:val="24"/>
                <w:szCs w:val="24"/>
              </w:rPr>
              <w:t>污泥脱水后的滤液、冲洗水须返回中间水池处理达标后方可排放。本工程对污泥处</w:t>
            </w:r>
            <w:r>
              <w:rPr>
                <w:rFonts w:hint="eastAsia" w:ascii="Times New Roman" w:hAnsi="Times New Roman"/>
                <w:bCs/>
                <w:color w:val="auto"/>
                <w:spacing w:val="4"/>
                <w:sz w:val="24"/>
                <w:szCs w:val="24"/>
              </w:rPr>
              <w:t>池</w:t>
            </w:r>
            <w:r>
              <w:rPr>
                <w:rFonts w:ascii="Times New Roman" w:hAnsi="Times New Roman"/>
                <w:bCs/>
                <w:color w:val="auto"/>
                <w:spacing w:val="4"/>
                <w:sz w:val="24"/>
                <w:szCs w:val="24"/>
              </w:rPr>
              <w:t>占用场地要求实施硬化，并配套建设脱泥水及污泥渗出水的收集系统，收集后返回反应池处理达标后方可排放。</w:t>
            </w:r>
          </w:p>
          <w:p>
            <w:pPr>
              <w:pStyle w:val="25"/>
              <w:spacing w:after="0" w:line="460" w:lineRule="exact"/>
              <w:ind w:firstLine="496" w:firstLineChars="200"/>
              <w:rPr>
                <w:rFonts w:ascii="Times New Roman" w:hAnsi="Times New Roman"/>
                <w:bCs/>
                <w:color w:val="auto"/>
                <w:spacing w:val="4"/>
                <w:sz w:val="24"/>
                <w:szCs w:val="24"/>
              </w:rPr>
            </w:pPr>
            <w:r>
              <w:rPr>
                <w:rFonts w:hint="eastAsia" w:ascii="宋体" w:hAnsi="宋体" w:cs="宋体"/>
                <w:bCs/>
                <w:color w:val="auto"/>
                <w:spacing w:val="4"/>
                <w:sz w:val="24"/>
                <w:szCs w:val="24"/>
              </w:rPr>
              <w:t>④</w:t>
            </w:r>
            <w:r>
              <w:rPr>
                <w:rFonts w:ascii="Times New Roman" w:hAnsi="Times New Roman"/>
                <w:bCs/>
                <w:color w:val="auto"/>
                <w:spacing w:val="4"/>
                <w:sz w:val="24"/>
                <w:szCs w:val="24"/>
              </w:rPr>
              <w:t>对于污泥脱水间产生的废水主要为污泥渗滤液，污染较大。因此，更应注重污泥脱水间废水的管理。不仅要做好防渗工作，同时还应对废水回中间水池的管道做好日常管理防止出现跑冒滴漏等现象。</w:t>
            </w:r>
          </w:p>
          <w:p>
            <w:pPr>
              <w:pStyle w:val="25"/>
              <w:spacing w:after="0" w:line="460" w:lineRule="exact"/>
              <w:ind w:firstLine="498" w:firstLineChars="200"/>
              <w:rPr>
                <w:rFonts w:hint="default" w:ascii="Times New Roman" w:hAnsi="Times New Roman" w:eastAsia="宋体"/>
                <w:b/>
                <w:bCs w:val="0"/>
                <w:color w:val="auto"/>
                <w:spacing w:val="4"/>
                <w:sz w:val="24"/>
                <w:szCs w:val="24"/>
                <w:lang w:val="en-US" w:eastAsia="zh-CN"/>
              </w:rPr>
            </w:pPr>
            <w:r>
              <w:rPr>
                <w:rFonts w:hint="eastAsia"/>
                <w:b/>
                <w:bCs w:val="0"/>
                <w:color w:val="auto"/>
                <w:spacing w:val="4"/>
                <w:sz w:val="24"/>
                <w:szCs w:val="24"/>
                <w:lang w:eastAsia="zh-CN"/>
              </w:rPr>
              <w:t>（</w:t>
            </w:r>
            <w:r>
              <w:rPr>
                <w:rFonts w:hint="eastAsia"/>
                <w:b/>
                <w:bCs w:val="0"/>
                <w:color w:val="auto"/>
                <w:spacing w:val="4"/>
                <w:sz w:val="24"/>
                <w:szCs w:val="24"/>
                <w:lang w:val="en-US" w:eastAsia="zh-CN"/>
              </w:rPr>
              <w:t>4</w:t>
            </w:r>
            <w:r>
              <w:rPr>
                <w:rFonts w:hint="eastAsia"/>
                <w:b/>
                <w:bCs w:val="0"/>
                <w:color w:val="auto"/>
                <w:spacing w:val="4"/>
                <w:sz w:val="24"/>
                <w:szCs w:val="24"/>
                <w:lang w:eastAsia="zh-CN"/>
              </w:rPr>
              <w:t>）</w:t>
            </w:r>
            <w:r>
              <w:rPr>
                <w:rFonts w:hint="eastAsia"/>
                <w:b/>
                <w:bCs w:val="0"/>
                <w:color w:val="auto"/>
                <w:spacing w:val="4"/>
                <w:sz w:val="24"/>
                <w:szCs w:val="24"/>
                <w:lang w:val="en-US" w:eastAsia="zh-CN"/>
              </w:rPr>
              <w:t>入河排污口设置</w:t>
            </w:r>
          </w:p>
          <w:p>
            <w:pPr>
              <w:pStyle w:val="25"/>
              <w:spacing w:after="0" w:line="460" w:lineRule="exact"/>
              <w:ind w:firstLine="480" w:firstLineChars="200"/>
              <w:rPr>
                <w:rFonts w:hint="eastAsia" w:ascii="宋体" w:hAnsi="宋体"/>
                <w:bCs/>
                <w:color w:val="auto"/>
                <w:sz w:val="24"/>
                <w:lang w:val="en-US" w:eastAsia="zh-CN"/>
              </w:rPr>
            </w:pPr>
            <w:r>
              <w:rPr>
                <w:rFonts w:hint="default" w:ascii="Times New Roman" w:hAnsi="Times New Roman" w:cs="Times New Roman"/>
                <w:bCs/>
                <w:color w:val="auto"/>
                <w:sz w:val="24"/>
                <w:lang w:val="en-US" w:eastAsia="zh-CN"/>
              </w:rPr>
              <w:t>根据《入河排污口管理技术导则》(SL532-2011)要求，本次评价要求本项目污水处理站废水总排口进行入河排污的申请及通过相关部门的</w:t>
            </w:r>
            <w:r>
              <w:rPr>
                <w:rFonts w:hint="eastAsia" w:ascii="宋体" w:hAnsi="宋体"/>
                <w:bCs/>
                <w:color w:val="auto"/>
                <w:sz w:val="24"/>
                <w:lang w:val="en-US" w:eastAsia="zh-CN"/>
              </w:rPr>
              <w:t>审批，入河排污口规范化建设需包括统一规范入河排污口设置，竖立明显的建筑物标示牌、施行排污口的立标管理、标明水污染物限制排放总量及浓度情况，明确责任主体及监督单位等内容。</w:t>
            </w:r>
          </w:p>
          <w:p>
            <w:pPr>
              <w:pStyle w:val="25"/>
              <w:spacing w:after="0" w:line="460" w:lineRule="exact"/>
              <w:ind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本项目距滹沱河约100m，</w:t>
            </w:r>
            <w:r>
              <w:rPr>
                <w:rFonts w:hint="eastAsia" w:ascii="Times New Roman" w:hAnsi="Times New Roman" w:cs="Times New Roman"/>
                <w:bCs/>
                <w:color w:val="auto"/>
                <w:sz w:val="24"/>
                <w:lang w:val="en-US" w:eastAsia="zh-CN"/>
              </w:rPr>
              <w:t>排水拟经厂区北侧排口排入，向东约170m排入滹沱河。</w:t>
            </w:r>
          </w:p>
          <w:p>
            <w:pPr>
              <w:pStyle w:val="25"/>
              <w:spacing w:after="0" w:line="460" w:lineRule="exact"/>
              <w:ind w:firstLine="482" w:firstLineChars="200"/>
              <w:rPr>
                <w:rFonts w:hint="eastAsia" w:ascii="宋体" w:hAnsi="宋体"/>
                <w:b/>
                <w:bCs/>
                <w:sz w:val="24"/>
              </w:rPr>
            </w:pPr>
            <w:r>
              <w:rPr>
                <w:rFonts w:hint="eastAsia" w:ascii="宋体" w:hAnsi="宋体"/>
                <w:b/>
                <w:bCs/>
                <w:sz w:val="24"/>
              </w:rPr>
              <w:t>（</w:t>
            </w:r>
            <w:r>
              <w:rPr>
                <w:rFonts w:hint="eastAsia" w:ascii="宋体" w:hAnsi="宋体"/>
                <w:b/>
                <w:bCs/>
                <w:sz w:val="24"/>
                <w:lang w:val="en-US" w:eastAsia="zh-CN"/>
              </w:rPr>
              <w:t>5</w:t>
            </w:r>
            <w:r>
              <w:rPr>
                <w:rFonts w:hint="eastAsia" w:ascii="宋体" w:hAnsi="宋体"/>
                <w:b/>
                <w:bCs/>
                <w:sz w:val="24"/>
              </w:rPr>
              <w:t>）环境监测计划</w:t>
            </w:r>
          </w:p>
          <w:p>
            <w:pPr>
              <w:pStyle w:val="25"/>
              <w:spacing w:after="0" w:line="460" w:lineRule="exact"/>
              <w:ind w:firstLine="480" w:firstLineChars="200"/>
              <w:rPr>
                <w:rFonts w:hint="default" w:ascii="Times New Roman" w:hAnsi="Times New Roman" w:eastAsia="宋体" w:cs="Times New Roman"/>
                <w:bCs/>
                <w:sz w:val="24"/>
              </w:rPr>
            </w:pPr>
            <w:r>
              <w:rPr>
                <w:rFonts w:hint="default" w:ascii="Times New Roman" w:hAnsi="Times New Roman" w:eastAsia="宋体" w:cs="Times New Roman"/>
                <w:sz w:val="24"/>
                <w:lang w:val="en-GB"/>
              </w:rPr>
              <w:t>为监控项目运营期的污染物排放情况，</w:t>
            </w:r>
            <w:r>
              <w:rPr>
                <w:rFonts w:hint="default" w:ascii="Times New Roman" w:hAnsi="Times New Roman" w:eastAsia="宋体" w:cs="Times New Roman"/>
                <w:bCs/>
                <w:sz w:val="24"/>
              </w:rPr>
              <w:t>根据《排污单位自行监测技术指南 水处理》（HJ1083-2020），提出水环境污染源监测计划，具体监测点位、监测项目、监测频次见</w:t>
            </w:r>
            <w:r>
              <w:rPr>
                <w:rFonts w:hint="eastAsia" w:ascii="Times New Roman" w:hAnsi="Times New Roman" w:eastAsia="宋体" w:cs="Times New Roman"/>
                <w:bCs/>
                <w:sz w:val="24"/>
                <w:lang w:val="en-US" w:eastAsia="zh-CN"/>
              </w:rPr>
              <w:t>下</w:t>
            </w:r>
            <w:r>
              <w:rPr>
                <w:rFonts w:hint="default" w:ascii="Times New Roman" w:hAnsi="Times New Roman" w:eastAsia="宋体" w:cs="Times New Roman"/>
                <w:bCs/>
                <w:sz w:val="24"/>
              </w:rPr>
              <w:t>表。</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0" w:firstLineChars="0"/>
              <w:jc w:val="center"/>
              <w:textAlignment w:val="auto"/>
              <w:rPr>
                <w:rFonts w:hint="eastAsia" w:ascii="黑体" w:hAnsi="黑体" w:eastAsia="黑体" w:cs="宋体"/>
                <w:kern w:val="0"/>
                <w:sz w:val="24"/>
                <w:szCs w:val="24"/>
              </w:rPr>
            </w:pPr>
            <w:r>
              <w:rPr>
                <w:rFonts w:hint="eastAsia" w:ascii="黑体" w:hAnsi="黑体" w:eastAsia="黑体" w:cs="宋体"/>
                <w:kern w:val="0"/>
                <w:sz w:val="24"/>
                <w:szCs w:val="24"/>
              </w:rPr>
              <w:t>表</w:t>
            </w:r>
            <w:r>
              <w:rPr>
                <w:rFonts w:hint="eastAsia" w:ascii="黑体" w:hAnsi="黑体" w:eastAsia="黑体" w:cs="宋体"/>
                <w:kern w:val="0"/>
                <w:sz w:val="24"/>
                <w:szCs w:val="24"/>
                <w:lang w:val="en-US" w:eastAsia="zh-CN"/>
              </w:rPr>
              <w:t>4-7</w:t>
            </w:r>
            <w:r>
              <w:rPr>
                <w:rFonts w:hint="eastAsia" w:ascii="黑体" w:hAnsi="黑体" w:eastAsia="黑体" w:cs="宋体"/>
                <w:kern w:val="0"/>
                <w:sz w:val="24"/>
                <w:szCs w:val="24"/>
              </w:rPr>
              <w:t xml:space="preserve">  水环境污染源监测计划一览表</w:t>
            </w:r>
          </w:p>
          <w:tbl>
            <w:tblPr>
              <w:tblStyle w:val="27"/>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73"/>
              <w:gridCol w:w="1252"/>
              <w:gridCol w:w="2128"/>
              <w:gridCol w:w="1216"/>
              <w:gridCol w:w="32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 w:hRule="atLeast"/>
              </w:trPr>
              <w:tc>
                <w:tcPr>
                  <w:tcW w:w="451"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szCs w:val="21"/>
                    </w:rPr>
                    <w:t>序号</w:t>
                  </w:r>
                </w:p>
              </w:tc>
              <w:tc>
                <w:tcPr>
                  <w:tcW w:w="73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监测点位</w:t>
                  </w:r>
                </w:p>
              </w:tc>
              <w:tc>
                <w:tcPr>
                  <w:tcW w:w="12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监测项目</w:t>
                  </w:r>
                </w:p>
              </w:tc>
              <w:tc>
                <w:tcPr>
                  <w:tcW w:w="70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监测频次</w:t>
                  </w:r>
                </w:p>
              </w:tc>
              <w:tc>
                <w:tcPr>
                  <w:tcW w:w="186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执行标准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0" w:hRule="atLeast"/>
              </w:trPr>
              <w:tc>
                <w:tcPr>
                  <w:tcW w:w="451"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730"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污水厂进水总管</w:t>
                  </w:r>
                </w:p>
              </w:tc>
              <w:tc>
                <w:tcPr>
                  <w:tcW w:w="12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流量、化学需氧量、氨氮</w:t>
                  </w:r>
                </w:p>
              </w:tc>
              <w:tc>
                <w:tcPr>
                  <w:tcW w:w="70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自动监测</w:t>
                  </w:r>
                </w:p>
              </w:tc>
              <w:tc>
                <w:tcPr>
                  <w:tcW w:w="186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0" w:hRule="atLeast"/>
              </w:trPr>
              <w:tc>
                <w:tcPr>
                  <w:tcW w:w="451" w:type="pct"/>
                  <w:vMerge w:val="continue"/>
                  <w:noWrap w:val="0"/>
                  <w:vAlign w:val="center"/>
                </w:tcPr>
                <w:p>
                  <w:pPr>
                    <w:jc w:val="center"/>
                    <w:rPr>
                      <w:rFonts w:hint="default" w:ascii="Times New Roman" w:hAnsi="Times New Roman" w:eastAsia="宋体" w:cs="Times New Roman"/>
                      <w:szCs w:val="21"/>
                    </w:rPr>
                  </w:pPr>
                </w:p>
              </w:tc>
              <w:tc>
                <w:tcPr>
                  <w:tcW w:w="730" w:type="pct"/>
                  <w:vMerge w:val="continue"/>
                  <w:noWrap w:val="0"/>
                  <w:vAlign w:val="center"/>
                </w:tcPr>
                <w:p>
                  <w:pPr>
                    <w:jc w:val="center"/>
                    <w:rPr>
                      <w:rFonts w:hint="default" w:ascii="Times New Roman" w:hAnsi="Times New Roman" w:eastAsia="宋体" w:cs="Times New Roman"/>
                      <w:szCs w:val="21"/>
                    </w:rPr>
                  </w:pPr>
                </w:p>
              </w:tc>
              <w:tc>
                <w:tcPr>
                  <w:tcW w:w="12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总氮、总磷</w:t>
                  </w:r>
                </w:p>
              </w:tc>
              <w:tc>
                <w:tcPr>
                  <w:tcW w:w="70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1次/日</w:t>
                  </w:r>
                </w:p>
              </w:tc>
              <w:tc>
                <w:tcPr>
                  <w:tcW w:w="186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0" w:hRule="atLeast"/>
              </w:trPr>
              <w:tc>
                <w:tcPr>
                  <w:tcW w:w="451"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730"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废水总排放口</w:t>
                  </w:r>
                </w:p>
              </w:tc>
              <w:tc>
                <w:tcPr>
                  <w:tcW w:w="12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流量、水温</w:t>
                  </w:r>
                </w:p>
              </w:tc>
              <w:tc>
                <w:tcPr>
                  <w:tcW w:w="70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自动监测</w:t>
                  </w:r>
                </w:p>
              </w:tc>
              <w:tc>
                <w:tcPr>
                  <w:tcW w:w="186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 w:hRule="atLeast"/>
              </w:trPr>
              <w:tc>
                <w:tcPr>
                  <w:tcW w:w="451" w:type="pct"/>
                  <w:vMerge w:val="continue"/>
                  <w:noWrap w:val="0"/>
                  <w:vAlign w:val="center"/>
                </w:tcPr>
                <w:p>
                  <w:pPr>
                    <w:jc w:val="center"/>
                    <w:rPr>
                      <w:rFonts w:hint="default" w:ascii="Times New Roman" w:hAnsi="Times New Roman" w:eastAsia="宋体" w:cs="Times New Roman"/>
                      <w:szCs w:val="21"/>
                    </w:rPr>
                  </w:pPr>
                </w:p>
              </w:tc>
              <w:tc>
                <w:tcPr>
                  <w:tcW w:w="730" w:type="pct"/>
                  <w:vMerge w:val="continue"/>
                  <w:noWrap w:val="0"/>
                  <w:vAlign w:val="center"/>
                </w:tcPr>
                <w:p>
                  <w:pPr>
                    <w:jc w:val="center"/>
                    <w:rPr>
                      <w:rFonts w:hint="default" w:ascii="Times New Roman" w:hAnsi="Times New Roman" w:eastAsia="宋体" w:cs="Times New Roman"/>
                      <w:szCs w:val="21"/>
                    </w:rPr>
                  </w:pPr>
                </w:p>
              </w:tc>
              <w:tc>
                <w:tcPr>
                  <w:tcW w:w="12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pH值、总氮</w:t>
                  </w:r>
                </w:p>
              </w:tc>
              <w:tc>
                <w:tcPr>
                  <w:tcW w:w="70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自动监测</w:t>
                  </w:r>
                </w:p>
              </w:tc>
              <w:tc>
                <w:tcPr>
                  <w:tcW w:w="1866"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《城镇污水处理厂污染物排放标准》（GB18918-2002）及修改单中的一级A标准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 w:hRule="atLeast"/>
              </w:trPr>
              <w:tc>
                <w:tcPr>
                  <w:tcW w:w="451" w:type="pct"/>
                  <w:vMerge w:val="continue"/>
                  <w:noWrap w:val="0"/>
                  <w:vAlign w:val="center"/>
                </w:tcPr>
                <w:p>
                  <w:pPr>
                    <w:jc w:val="center"/>
                    <w:rPr>
                      <w:rFonts w:hint="default" w:ascii="Times New Roman" w:hAnsi="Times New Roman" w:eastAsia="宋体" w:cs="Times New Roman"/>
                      <w:szCs w:val="21"/>
                    </w:rPr>
                  </w:pPr>
                </w:p>
              </w:tc>
              <w:tc>
                <w:tcPr>
                  <w:tcW w:w="730" w:type="pct"/>
                  <w:vMerge w:val="continue"/>
                  <w:noWrap w:val="0"/>
                  <w:vAlign w:val="center"/>
                </w:tcPr>
                <w:p>
                  <w:pPr>
                    <w:jc w:val="center"/>
                    <w:rPr>
                      <w:rFonts w:hint="default" w:ascii="Times New Roman" w:hAnsi="Times New Roman" w:eastAsia="宋体" w:cs="Times New Roman"/>
                      <w:szCs w:val="21"/>
                    </w:rPr>
                  </w:pPr>
                </w:p>
              </w:tc>
              <w:tc>
                <w:tcPr>
                  <w:tcW w:w="12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悬浮物、五日生化需氧量</w:t>
                  </w:r>
                </w:p>
              </w:tc>
              <w:tc>
                <w:tcPr>
                  <w:tcW w:w="70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1次/月</w:t>
                  </w:r>
                </w:p>
              </w:tc>
              <w:tc>
                <w:tcPr>
                  <w:tcW w:w="1866"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 w:hRule="atLeast"/>
              </w:trPr>
              <w:tc>
                <w:tcPr>
                  <w:tcW w:w="451" w:type="pct"/>
                  <w:vMerge w:val="continue"/>
                  <w:noWrap w:val="0"/>
                  <w:vAlign w:val="center"/>
                </w:tcPr>
                <w:p>
                  <w:pPr>
                    <w:jc w:val="center"/>
                    <w:rPr>
                      <w:rFonts w:hint="default" w:ascii="Times New Roman" w:hAnsi="Times New Roman" w:eastAsia="宋体" w:cs="Times New Roman"/>
                      <w:szCs w:val="21"/>
                    </w:rPr>
                  </w:pPr>
                </w:p>
              </w:tc>
              <w:tc>
                <w:tcPr>
                  <w:tcW w:w="730" w:type="pct"/>
                  <w:vMerge w:val="continue"/>
                  <w:noWrap w:val="0"/>
                  <w:vAlign w:val="center"/>
                </w:tcPr>
                <w:p>
                  <w:pPr>
                    <w:jc w:val="center"/>
                    <w:rPr>
                      <w:rFonts w:hint="default" w:ascii="Times New Roman" w:hAnsi="Times New Roman" w:eastAsia="宋体" w:cs="Times New Roman"/>
                      <w:szCs w:val="21"/>
                    </w:rPr>
                  </w:pPr>
                </w:p>
              </w:tc>
              <w:tc>
                <w:tcPr>
                  <w:tcW w:w="12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化学需氧量、氨氮、总磷</w:t>
                  </w:r>
                </w:p>
              </w:tc>
              <w:tc>
                <w:tcPr>
                  <w:tcW w:w="70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自动监测</w:t>
                  </w:r>
                </w:p>
              </w:tc>
              <w:tc>
                <w:tcPr>
                  <w:tcW w:w="186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山西省地方标准《污水综合排放标准》（DB14/1928-2019）</w:t>
                  </w:r>
                  <w:r>
                    <w:rPr>
                      <w:rFonts w:hint="default" w:ascii="Times New Roman" w:hAnsi="Times New Roman" w:eastAsia="宋体" w:cs="Times New Roman"/>
                      <w:szCs w:val="21"/>
                    </w:rPr>
                    <w:t>中</w:t>
                  </w:r>
                  <w:r>
                    <w:rPr>
                      <w:rFonts w:hint="default" w:ascii="Times New Roman" w:hAnsi="Times New Roman" w:eastAsia="宋体" w:cs="Times New Roman"/>
                      <w:szCs w:val="21"/>
                      <w:lang w:val="en-US" w:eastAsia="zh-CN"/>
                    </w:rPr>
                    <w:t>表2中的限值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 w:hRule="atLeast"/>
              </w:trPr>
              <w:tc>
                <w:tcPr>
                  <w:tcW w:w="45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73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雨水排放口</w:t>
                  </w:r>
                </w:p>
              </w:tc>
              <w:tc>
                <w:tcPr>
                  <w:tcW w:w="12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pH值、化学需氧量、氨氮、悬浮物</w:t>
                  </w:r>
                </w:p>
              </w:tc>
              <w:tc>
                <w:tcPr>
                  <w:tcW w:w="709"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1次/月</w:t>
                  </w:r>
                </w:p>
              </w:tc>
              <w:tc>
                <w:tcPr>
                  <w:tcW w:w="186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 w:hRule="atLeast"/>
              </w:trPr>
              <w:tc>
                <w:tcPr>
                  <w:tcW w:w="5000" w:type="pct"/>
                  <w:gridSpan w:val="5"/>
                  <w:noWrap w:val="0"/>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备注：雨水排放口有流动水排放时按月监测，若监测1年无异常情况，可放宽至每季度开展1次监测。</w:t>
                  </w:r>
                </w:p>
              </w:tc>
            </w:tr>
          </w:tbl>
          <w:p>
            <w:pPr>
              <w:adjustRightInd w:val="0"/>
              <w:snapToGrid w:val="0"/>
              <w:spacing w:line="480" w:lineRule="exact"/>
              <w:ind w:firstLine="482" w:firstLineChars="200"/>
              <w:rPr>
                <w:color w:val="auto"/>
                <w:sz w:val="24"/>
              </w:rPr>
            </w:pPr>
            <w:r>
              <w:rPr>
                <w:rFonts w:hint="eastAsia"/>
                <w:b/>
                <w:bCs/>
                <w:color w:val="auto"/>
                <w:sz w:val="24"/>
              </w:rPr>
              <w:t>3、运营期</w:t>
            </w:r>
            <w:r>
              <w:rPr>
                <w:rFonts w:hint="eastAsia"/>
                <w:b/>
                <w:color w:val="auto"/>
                <w:sz w:val="24"/>
              </w:rPr>
              <w:t>固体废物源强及污染防治措施</w:t>
            </w:r>
          </w:p>
          <w:p>
            <w:pPr>
              <w:adjustRightInd w:val="0"/>
              <w:snapToGrid w:val="0"/>
              <w:spacing w:line="480" w:lineRule="exact"/>
              <w:ind w:firstLine="482" w:firstLineChars="200"/>
              <w:rPr>
                <w:b/>
                <w:bCs/>
                <w:color w:val="auto"/>
                <w:sz w:val="24"/>
              </w:rPr>
            </w:pPr>
            <w:r>
              <w:rPr>
                <w:rFonts w:hint="eastAsia"/>
                <w:b/>
                <w:bCs/>
                <w:color w:val="auto"/>
                <w:sz w:val="24"/>
              </w:rPr>
              <w:t>（1）</w:t>
            </w:r>
            <w:r>
              <w:rPr>
                <w:rFonts w:hint="eastAsia"/>
                <w:b/>
                <w:color w:val="auto"/>
                <w:sz w:val="24"/>
              </w:rPr>
              <w:t>运营期固体废物</w:t>
            </w:r>
            <w:r>
              <w:rPr>
                <w:rFonts w:hint="eastAsia"/>
                <w:b/>
                <w:bCs/>
                <w:color w:val="auto"/>
                <w:sz w:val="24"/>
              </w:rPr>
              <w:t>污染物源强</w:t>
            </w:r>
          </w:p>
          <w:p>
            <w:pPr>
              <w:adjustRightInd w:val="0"/>
              <w:snapToGrid w:val="0"/>
              <w:spacing w:line="480" w:lineRule="exact"/>
              <w:ind w:firstLine="480" w:firstLineChars="200"/>
              <w:rPr>
                <w:bCs/>
                <w:color w:val="auto"/>
                <w:sz w:val="24"/>
                <w:szCs w:val="32"/>
              </w:rPr>
            </w:pPr>
            <w:r>
              <w:rPr>
                <w:rFonts w:hint="eastAsia"/>
                <w:bCs/>
                <w:color w:val="auto"/>
                <w:sz w:val="24"/>
                <w:szCs w:val="32"/>
              </w:rPr>
              <w:t>本项目产生的固体废物主要包括：粗格栅和细格栅产生的栅渣</w:t>
            </w:r>
            <w:r>
              <w:rPr>
                <w:rFonts w:hint="eastAsia"/>
                <w:bCs/>
                <w:color w:val="auto"/>
                <w:sz w:val="24"/>
                <w:szCs w:val="32"/>
                <w:lang w:val="en-US" w:eastAsia="zh-CN"/>
              </w:rPr>
              <w:t>，曝气沉砂池产生的沉砂</w:t>
            </w:r>
            <w:r>
              <w:rPr>
                <w:rFonts w:hint="eastAsia"/>
                <w:bCs/>
                <w:color w:val="auto"/>
                <w:sz w:val="24"/>
                <w:lang w:eastAsia="zh-CN" w:bidi="ar"/>
              </w:rPr>
              <w:t>，污泥浓缩脱水机产生的污泥，设备维修保养产生的废矿物油、废棉纱手套、废机油桶，员工生产生活中产生的生活垃圾</w:t>
            </w:r>
            <w:r>
              <w:rPr>
                <w:rFonts w:hint="eastAsia"/>
                <w:bCs/>
                <w:color w:val="auto"/>
                <w:sz w:val="24"/>
                <w:lang w:val="en-US" w:eastAsia="zh-CN" w:bidi="ar"/>
              </w:rPr>
              <w:t>；</w:t>
            </w:r>
            <w:r>
              <w:rPr>
                <w:rFonts w:hint="eastAsia"/>
                <w:bCs/>
                <w:color w:val="auto"/>
                <w:sz w:val="24"/>
                <w:szCs w:val="32"/>
              </w:rPr>
              <w:t>本项目所产生的固体废物均得到了综合利用或合理处置，对周围环境影响较小。</w:t>
            </w:r>
          </w:p>
          <w:p>
            <w:pPr>
              <w:adjustRightInd w:val="0"/>
              <w:snapToGrid w:val="0"/>
              <w:spacing w:line="480" w:lineRule="exact"/>
              <w:ind w:firstLine="482" w:firstLineChars="200"/>
              <w:rPr>
                <w:bCs/>
                <w:color w:val="auto"/>
                <w:sz w:val="24"/>
              </w:rPr>
            </w:pPr>
            <w:r>
              <w:rPr>
                <w:rFonts w:hint="eastAsia"/>
                <w:b/>
                <w:color w:val="auto"/>
                <w:sz w:val="24"/>
                <w:szCs w:val="32"/>
              </w:rPr>
              <w:t>本项目固废污染物产排量汇总情况见下表。</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w:t>
            </w:r>
            <w:r>
              <w:rPr>
                <w:rFonts w:hint="eastAsia" w:ascii="黑体" w:hAnsi="黑体" w:eastAsia="黑体"/>
                <w:bCs/>
                <w:color w:val="auto"/>
                <w:sz w:val="24"/>
                <w:lang w:val="en-US" w:eastAsia="zh-CN"/>
              </w:rPr>
              <w:t>8</w:t>
            </w:r>
            <w:r>
              <w:rPr>
                <w:rFonts w:hint="eastAsia" w:ascii="黑体" w:hAnsi="黑体" w:eastAsia="黑体"/>
                <w:bCs/>
                <w:color w:val="auto"/>
                <w:sz w:val="24"/>
              </w:rPr>
              <w:t xml:space="preserve">  本项目固废污染物产排量汇总情况表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379"/>
              <w:gridCol w:w="1036"/>
              <w:gridCol w:w="3360"/>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Align w:val="center"/>
                </w:tcPr>
                <w:p>
                  <w:pPr>
                    <w:autoSpaceDE w:val="0"/>
                    <w:autoSpaceDN w:val="0"/>
                    <w:adjustRightInd w:val="0"/>
                    <w:jc w:val="center"/>
                    <w:rPr>
                      <w:color w:val="auto"/>
                    </w:rPr>
                  </w:pPr>
                  <w:r>
                    <w:rPr>
                      <w:rFonts w:hint="eastAsia"/>
                      <w:color w:val="auto"/>
                    </w:rPr>
                    <w:t>类别</w:t>
                  </w:r>
                </w:p>
              </w:tc>
              <w:tc>
                <w:tcPr>
                  <w:tcW w:w="1387" w:type="pct"/>
                  <w:vAlign w:val="center"/>
                </w:tcPr>
                <w:p>
                  <w:pPr>
                    <w:autoSpaceDE w:val="0"/>
                    <w:autoSpaceDN w:val="0"/>
                    <w:adjustRightInd w:val="0"/>
                    <w:jc w:val="center"/>
                    <w:rPr>
                      <w:rFonts w:hAnsi="宋体"/>
                      <w:color w:val="auto"/>
                    </w:rPr>
                  </w:pPr>
                  <w:r>
                    <w:rPr>
                      <w:rFonts w:hint="eastAsia" w:hAnsi="宋体"/>
                      <w:color w:val="auto"/>
                    </w:rPr>
                    <w:t>项目</w:t>
                  </w:r>
                </w:p>
              </w:tc>
              <w:tc>
                <w:tcPr>
                  <w:tcW w:w="604" w:type="pct"/>
                  <w:vAlign w:val="center"/>
                </w:tcPr>
                <w:p>
                  <w:pPr>
                    <w:autoSpaceDE w:val="0"/>
                    <w:autoSpaceDN w:val="0"/>
                    <w:adjustRightInd w:val="0"/>
                    <w:jc w:val="center"/>
                    <w:rPr>
                      <w:color w:val="auto"/>
                    </w:rPr>
                  </w:pPr>
                  <w:r>
                    <w:rPr>
                      <w:rFonts w:hint="eastAsia" w:hAnsi="宋体"/>
                      <w:color w:val="auto"/>
                    </w:rPr>
                    <w:t>产生量</w:t>
                  </w:r>
                </w:p>
              </w:tc>
              <w:tc>
                <w:tcPr>
                  <w:tcW w:w="1959" w:type="pct"/>
                  <w:vAlign w:val="center"/>
                </w:tcPr>
                <w:p>
                  <w:pPr>
                    <w:autoSpaceDE w:val="0"/>
                    <w:autoSpaceDN w:val="0"/>
                    <w:adjustRightInd w:val="0"/>
                    <w:jc w:val="center"/>
                    <w:rPr>
                      <w:color w:val="auto"/>
                    </w:rPr>
                  </w:pPr>
                  <w:r>
                    <w:rPr>
                      <w:rFonts w:hint="eastAsia" w:hAnsi="宋体"/>
                      <w:color w:val="auto"/>
                    </w:rPr>
                    <w:t>处理方式</w:t>
                  </w:r>
                </w:p>
              </w:tc>
              <w:tc>
                <w:tcPr>
                  <w:tcW w:w="617" w:type="pct"/>
                  <w:vAlign w:val="center"/>
                </w:tcPr>
                <w:p>
                  <w:pPr>
                    <w:autoSpaceDE w:val="0"/>
                    <w:autoSpaceDN w:val="0"/>
                    <w:adjustRightInd w:val="0"/>
                    <w:jc w:val="center"/>
                    <w:rPr>
                      <w:color w:val="auto"/>
                    </w:rPr>
                  </w:pPr>
                  <w:r>
                    <w:rPr>
                      <w:rFonts w:hint="eastAsia" w:hAnsi="宋体"/>
                      <w:color w:val="auto"/>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Merge w:val="restart"/>
                  <w:vAlign w:val="center"/>
                </w:tcPr>
                <w:p>
                  <w:pPr>
                    <w:autoSpaceDE w:val="0"/>
                    <w:autoSpaceDN w:val="0"/>
                    <w:jc w:val="center"/>
                    <w:rPr>
                      <w:color w:val="auto"/>
                    </w:rPr>
                  </w:pPr>
                  <w:r>
                    <w:rPr>
                      <w:rFonts w:hint="eastAsia"/>
                      <w:color w:val="auto"/>
                    </w:rPr>
                    <w:t>一般固废</w:t>
                  </w:r>
                </w:p>
              </w:tc>
              <w:tc>
                <w:tcPr>
                  <w:tcW w:w="1387" w:type="pct"/>
                  <w:vAlign w:val="center"/>
                </w:tcPr>
                <w:p>
                  <w:pPr>
                    <w:autoSpaceDE w:val="0"/>
                    <w:autoSpaceDN w:val="0"/>
                    <w:adjustRightInd w:val="0"/>
                    <w:jc w:val="center"/>
                    <w:rPr>
                      <w:rFonts w:hint="default" w:hAnsi="宋体" w:eastAsia="宋体"/>
                      <w:color w:val="auto"/>
                      <w:lang w:val="en-US" w:eastAsia="zh-CN"/>
                    </w:rPr>
                  </w:pPr>
                  <w:r>
                    <w:rPr>
                      <w:rFonts w:hint="default" w:hAnsi="宋体" w:eastAsia="宋体"/>
                      <w:color w:val="auto"/>
                      <w:lang w:val="en-US" w:eastAsia="zh-CN"/>
                    </w:rPr>
                    <w:t>粗格栅和细格栅产生的栅渣</w:t>
                  </w:r>
                </w:p>
              </w:tc>
              <w:tc>
                <w:tcPr>
                  <w:tcW w:w="604" w:type="pct"/>
                  <w:vAlign w:val="center"/>
                </w:tcPr>
                <w:p>
                  <w:pPr>
                    <w:autoSpaceDE w:val="0"/>
                    <w:autoSpaceDN w:val="0"/>
                    <w:adjustRightInd w:val="0"/>
                    <w:jc w:val="center"/>
                    <w:rPr>
                      <w:rFonts w:hint="default" w:hAnsi="宋体" w:eastAsia="宋体"/>
                      <w:color w:val="auto"/>
                      <w:lang w:val="en-US" w:eastAsia="zh-CN"/>
                    </w:rPr>
                  </w:pPr>
                  <w:r>
                    <w:rPr>
                      <w:rFonts w:hint="eastAsia" w:hAnsi="宋体"/>
                      <w:color w:val="auto"/>
                      <w:lang w:val="en-US" w:eastAsia="zh-CN"/>
                    </w:rPr>
                    <w:t>48.18t/a</w:t>
                  </w:r>
                </w:p>
              </w:tc>
              <w:tc>
                <w:tcPr>
                  <w:tcW w:w="1959" w:type="pct"/>
                  <w:vMerge w:val="restart"/>
                  <w:vAlign w:val="center"/>
                </w:tcPr>
                <w:p>
                  <w:pPr>
                    <w:autoSpaceDE w:val="0"/>
                    <w:autoSpaceDN w:val="0"/>
                    <w:adjustRightInd w:val="0"/>
                    <w:jc w:val="center"/>
                    <w:rPr>
                      <w:rFonts w:hint="default" w:hAnsi="宋体" w:eastAsia="宋体"/>
                      <w:color w:val="auto"/>
                      <w:lang w:val="en-US" w:eastAsia="zh-CN"/>
                    </w:rPr>
                  </w:pPr>
                  <w:r>
                    <w:rPr>
                      <w:rFonts w:hint="default" w:hAnsi="宋体" w:eastAsia="宋体"/>
                      <w:color w:val="auto"/>
                      <w:lang w:val="en-US" w:eastAsia="zh-CN"/>
                    </w:rPr>
                    <w:t>污水处理厂产生的栅渣和沉砂委托当地环卫部门统一清运处置，要求日产日清</w:t>
                  </w:r>
                </w:p>
              </w:tc>
              <w:tc>
                <w:tcPr>
                  <w:tcW w:w="617" w:type="pct"/>
                  <w:vAlign w:val="center"/>
                </w:tcPr>
                <w:p>
                  <w:pPr>
                    <w:autoSpaceDE w:val="0"/>
                    <w:autoSpaceDN w:val="0"/>
                    <w:adjustRightInd w:val="0"/>
                    <w:jc w:val="center"/>
                    <w:rPr>
                      <w:rFonts w:hint="eastAsia" w:hAnsi="宋体" w:eastAsia="宋体"/>
                      <w:color w:val="auto"/>
                      <w:lang w:val="en-US" w:eastAsia="zh-CN"/>
                    </w:rPr>
                  </w:pPr>
                  <w:r>
                    <w:rPr>
                      <w:rFonts w:hint="eastAsia" w:hAnsi="宋体"/>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Merge w:val="continue"/>
                  <w:vAlign w:val="center"/>
                </w:tcPr>
                <w:p>
                  <w:pPr>
                    <w:autoSpaceDE w:val="0"/>
                    <w:autoSpaceDN w:val="0"/>
                    <w:jc w:val="center"/>
                    <w:rPr>
                      <w:color w:val="auto"/>
                    </w:rPr>
                  </w:pPr>
                </w:p>
              </w:tc>
              <w:tc>
                <w:tcPr>
                  <w:tcW w:w="1387" w:type="pct"/>
                  <w:vAlign w:val="center"/>
                </w:tcPr>
                <w:p>
                  <w:pPr>
                    <w:autoSpaceDE w:val="0"/>
                    <w:autoSpaceDN w:val="0"/>
                    <w:jc w:val="center"/>
                    <w:rPr>
                      <w:color w:val="auto"/>
                    </w:rPr>
                  </w:pPr>
                  <w:r>
                    <w:rPr>
                      <w:rFonts w:hint="eastAsia"/>
                      <w:color w:val="auto"/>
                      <w:lang w:val="en-US" w:eastAsia="zh-CN"/>
                    </w:rPr>
                    <w:t>曝气沉砂池产生的沉砂</w:t>
                  </w:r>
                </w:p>
              </w:tc>
              <w:tc>
                <w:tcPr>
                  <w:tcW w:w="604" w:type="pct"/>
                  <w:vAlign w:val="center"/>
                </w:tcPr>
                <w:p>
                  <w:pPr>
                    <w:autoSpaceDE w:val="0"/>
                    <w:autoSpaceDN w:val="0"/>
                    <w:jc w:val="center"/>
                    <w:rPr>
                      <w:color w:val="auto"/>
                    </w:rPr>
                  </w:pPr>
                  <w:r>
                    <w:rPr>
                      <w:rFonts w:hint="eastAsia"/>
                      <w:color w:val="auto"/>
                      <w:lang w:val="en-US" w:eastAsia="zh-CN"/>
                    </w:rPr>
                    <w:t>18.25</w:t>
                  </w:r>
                  <w:r>
                    <w:rPr>
                      <w:rFonts w:hint="eastAsia"/>
                      <w:color w:val="auto"/>
                    </w:rPr>
                    <w:t xml:space="preserve"> t/a</w:t>
                  </w:r>
                </w:p>
              </w:tc>
              <w:tc>
                <w:tcPr>
                  <w:tcW w:w="1959" w:type="pct"/>
                  <w:vMerge w:val="continue"/>
                  <w:vAlign w:val="center"/>
                </w:tcPr>
                <w:p>
                  <w:pPr>
                    <w:jc w:val="center"/>
                    <w:rPr>
                      <w:color w:val="auto"/>
                    </w:rPr>
                  </w:pPr>
                </w:p>
              </w:tc>
              <w:tc>
                <w:tcPr>
                  <w:tcW w:w="617" w:type="pct"/>
                  <w:vAlign w:val="center"/>
                </w:tcPr>
                <w:p>
                  <w:pPr>
                    <w:autoSpaceDE w:val="0"/>
                    <w:autoSpaceDN w:val="0"/>
                    <w:jc w:val="center"/>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Merge w:val="continue"/>
                  <w:vAlign w:val="center"/>
                </w:tcPr>
                <w:p>
                  <w:pPr>
                    <w:autoSpaceDE w:val="0"/>
                    <w:autoSpaceDN w:val="0"/>
                    <w:jc w:val="center"/>
                    <w:rPr>
                      <w:rFonts w:hint="eastAsia"/>
                      <w:color w:val="auto"/>
                    </w:rPr>
                  </w:pPr>
                </w:p>
              </w:tc>
              <w:tc>
                <w:tcPr>
                  <w:tcW w:w="1387" w:type="pct"/>
                  <w:vAlign w:val="center"/>
                </w:tcPr>
                <w:p>
                  <w:pPr>
                    <w:autoSpaceDE w:val="0"/>
                    <w:autoSpaceDN w:val="0"/>
                    <w:jc w:val="center"/>
                    <w:rPr>
                      <w:rFonts w:hint="default" w:eastAsia="宋体"/>
                      <w:color w:val="auto"/>
                      <w:lang w:val="en-US" w:eastAsia="zh-CN"/>
                    </w:rPr>
                  </w:pPr>
                  <w:r>
                    <w:rPr>
                      <w:rFonts w:hint="default" w:eastAsia="宋体"/>
                      <w:color w:val="auto"/>
                      <w:lang w:val="en-US" w:eastAsia="zh-CN"/>
                    </w:rPr>
                    <w:t>污泥浓缩脱水机产生的污泥</w:t>
                  </w:r>
                </w:p>
              </w:tc>
              <w:tc>
                <w:tcPr>
                  <w:tcW w:w="604" w:type="pct"/>
                  <w:vAlign w:val="center"/>
                </w:tcPr>
                <w:p>
                  <w:pPr>
                    <w:autoSpaceDE w:val="0"/>
                    <w:autoSpaceDN w:val="0"/>
                    <w:jc w:val="center"/>
                    <w:rPr>
                      <w:rFonts w:hint="default"/>
                      <w:color w:val="auto"/>
                      <w:lang w:val="en-US" w:eastAsia="zh-CN"/>
                    </w:rPr>
                  </w:pPr>
                  <w:r>
                    <w:rPr>
                      <w:rFonts w:hint="eastAsia"/>
                      <w:color w:val="auto"/>
                      <w:lang w:val="en-US" w:eastAsia="zh-CN"/>
                    </w:rPr>
                    <w:t>379.6 t/a</w:t>
                  </w:r>
                </w:p>
              </w:tc>
              <w:tc>
                <w:tcPr>
                  <w:tcW w:w="1959" w:type="pct"/>
                  <w:vAlign w:val="center"/>
                </w:tcPr>
                <w:p>
                  <w:pPr>
                    <w:jc w:val="center"/>
                    <w:rPr>
                      <w:rFonts w:hint="eastAsia" w:eastAsia="宋体"/>
                      <w:color w:val="auto"/>
                      <w:lang w:val="en-US" w:eastAsia="zh-CN"/>
                    </w:rPr>
                  </w:pPr>
                  <w:r>
                    <w:rPr>
                      <w:rFonts w:hint="eastAsia" w:eastAsia="宋体"/>
                      <w:color w:val="auto"/>
                      <w:lang w:val="en-US" w:eastAsia="zh-CN"/>
                    </w:rPr>
                    <w:t>污泥脱水后运至五台县垃圾填埋场填埋处理</w:t>
                  </w:r>
                </w:p>
              </w:tc>
              <w:tc>
                <w:tcPr>
                  <w:tcW w:w="617" w:type="pct"/>
                  <w:vAlign w:val="center"/>
                </w:tcPr>
                <w:p>
                  <w:pPr>
                    <w:autoSpaceDE w:val="0"/>
                    <w:autoSpaceDN w:val="0"/>
                    <w:jc w:val="center"/>
                    <w:rPr>
                      <w:rFonts w:hint="eastAsia" w:eastAsia="宋体"/>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Merge w:val="restart"/>
                  <w:vAlign w:val="center"/>
                </w:tcPr>
                <w:p>
                  <w:pPr>
                    <w:autoSpaceDE w:val="0"/>
                    <w:autoSpaceDN w:val="0"/>
                    <w:jc w:val="center"/>
                    <w:rPr>
                      <w:rFonts w:hint="default" w:eastAsia="宋体"/>
                      <w:color w:val="auto"/>
                      <w:lang w:val="en-US" w:eastAsia="zh-CN"/>
                    </w:rPr>
                  </w:pPr>
                  <w:r>
                    <w:rPr>
                      <w:rFonts w:hint="eastAsia"/>
                      <w:color w:val="auto"/>
                      <w:lang w:val="en-US" w:eastAsia="zh-CN"/>
                    </w:rPr>
                    <w:t>危险废物</w:t>
                  </w:r>
                </w:p>
              </w:tc>
              <w:tc>
                <w:tcPr>
                  <w:tcW w:w="1387" w:type="pct"/>
                  <w:vAlign w:val="center"/>
                </w:tcPr>
                <w:p>
                  <w:pPr>
                    <w:autoSpaceDE w:val="0"/>
                    <w:autoSpaceDN w:val="0"/>
                    <w:jc w:val="center"/>
                    <w:rPr>
                      <w:rFonts w:hint="default" w:eastAsia="宋体"/>
                      <w:color w:val="auto"/>
                      <w:lang w:val="en-US" w:eastAsia="zh-CN"/>
                    </w:rPr>
                  </w:pPr>
                  <w:r>
                    <w:rPr>
                      <w:rFonts w:hint="eastAsia"/>
                      <w:color w:val="auto"/>
                    </w:rPr>
                    <w:t>设备维修、保养产生的废矿物油（HW08-900-214-08</w:t>
                  </w:r>
                  <w:r>
                    <w:rPr>
                      <w:rFonts w:hint="eastAsia"/>
                      <w:color w:val="auto"/>
                      <w:lang w:eastAsia="zh-CN"/>
                    </w:rPr>
                    <w:t>、</w:t>
                  </w:r>
                  <w:r>
                    <w:rPr>
                      <w:rFonts w:hint="eastAsia"/>
                      <w:color w:val="auto"/>
                      <w:lang w:val="en-US" w:eastAsia="zh-CN"/>
                    </w:rPr>
                    <w:t>HW08-900-220-08</w:t>
                  </w:r>
                  <w:r>
                    <w:rPr>
                      <w:rFonts w:hint="eastAsia"/>
                      <w:color w:val="auto"/>
                    </w:rPr>
                    <w:t>）</w:t>
                  </w:r>
                </w:p>
              </w:tc>
              <w:tc>
                <w:tcPr>
                  <w:tcW w:w="604" w:type="pct"/>
                  <w:vAlign w:val="center"/>
                </w:tcPr>
                <w:p>
                  <w:pPr>
                    <w:autoSpaceDE w:val="0"/>
                    <w:autoSpaceDN w:val="0"/>
                    <w:jc w:val="center"/>
                    <w:rPr>
                      <w:rFonts w:hint="eastAsia"/>
                      <w:color w:val="auto"/>
                      <w:lang w:val="en-US" w:eastAsia="zh-CN"/>
                    </w:rPr>
                  </w:pPr>
                  <w:r>
                    <w:rPr>
                      <w:rFonts w:hint="eastAsia"/>
                      <w:color w:val="auto"/>
                    </w:rPr>
                    <w:t>0.</w:t>
                  </w:r>
                  <w:r>
                    <w:rPr>
                      <w:rFonts w:hint="eastAsia"/>
                      <w:color w:val="auto"/>
                      <w:lang w:val="en-US" w:eastAsia="zh-CN"/>
                    </w:rPr>
                    <w:t>8</w:t>
                  </w:r>
                  <w:r>
                    <w:rPr>
                      <w:rFonts w:hint="eastAsia"/>
                      <w:color w:val="auto"/>
                    </w:rPr>
                    <w:t xml:space="preserve"> t/a</w:t>
                  </w:r>
                </w:p>
              </w:tc>
              <w:tc>
                <w:tcPr>
                  <w:tcW w:w="1959" w:type="pct"/>
                  <w:vMerge w:val="restart"/>
                  <w:vAlign w:val="center"/>
                </w:tcPr>
                <w:p>
                  <w:pPr>
                    <w:jc w:val="center"/>
                    <w:rPr>
                      <w:rFonts w:hint="eastAsia" w:eastAsia="宋体"/>
                      <w:color w:val="auto"/>
                      <w:lang w:val="en-US" w:eastAsia="zh-CN"/>
                    </w:rPr>
                  </w:pPr>
                  <w:r>
                    <w:rPr>
                      <w:rFonts w:hint="eastAsia" w:hAnsi="宋体"/>
                      <w:color w:val="auto"/>
                    </w:rPr>
                    <w:t>收集后在厂区内新建的危险废物暂存间进行暂存，最后由有资质的单位进行收集处置；设置1座</w:t>
                  </w:r>
                  <w:r>
                    <w:rPr>
                      <w:rFonts w:hint="eastAsia" w:hAnsi="宋体"/>
                      <w:color w:val="auto"/>
                      <w:lang w:val="en-US" w:eastAsia="zh-CN"/>
                    </w:rPr>
                    <w:t>20</w:t>
                  </w:r>
                  <w:r>
                    <w:rPr>
                      <w:rFonts w:hint="eastAsia" w:hAnsi="宋体"/>
                      <w:color w:val="auto"/>
                    </w:rPr>
                    <w:t>m</w:t>
                  </w:r>
                  <w:r>
                    <w:rPr>
                      <w:rFonts w:hint="eastAsia" w:hAnsi="宋体"/>
                      <w:color w:val="auto"/>
                      <w:vertAlign w:val="superscript"/>
                    </w:rPr>
                    <w:t>2</w:t>
                  </w:r>
                  <w:r>
                    <w:rPr>
                      <w:rFonts w:hint="eastAsia" w:hAnsi="宋体"/>
                      <w:color w:val="auto"/>
                    </w:rPr>
                    <w:t>危废暂存间</w:t>
                  </w:r>
                </w:p>
              </w:tc>
              <w:tc>
                <w:tcPr>
                  <w:tcW w:w="617" w:type="pct"/>
                  <w:vAlign w:val="center"/>
                </w:tcPr>
                <w:p>
                  <w:pPr>
                    <w:autoSpaceDE w:val="0"/>
                    <w:autoSpaceDN w:val="0"/>
                    <w:jc w:val="center"/>
                    <w:rPr>
                      <w:rFonts w:hint="default"/>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vMerge w:val="continue"/>
                  <w:vAlign w:val="center"/>
                </w:tcPr>
                <w:p>
                  <w:pPr>
                    <w:autoSpaceDE w:val="0"/>
                    <w:autoSpaceDN w:val="0"/>
                    <w:jc w:val="center"/>
                    <w:rPr>
                      <w:rFonts w:hint="eastAsia"/>
                      <w:color w:val="auto"/>
                      <w:lang w:val="en-US" w:eastAsia="zh-CN"/>
                    </w:rPr>
                  </w:pPr>
                </w:p>
              </w:tc>
              <w:tc>
                <w:tcPr>
                  <w:tcW w:w="1387" w:type="pct"/>
                  <w:vAlign w:val="center"/>
                </w:tcPr>
                <w:p>
                  <w:pPr>
                    <w:autoSpaceDE w:val="0"/>
                    <w:autoSpaceDN w:val="0"/>
                    <w:jc w:val="center"/>
                    <w:rPr>
                      <w:rFonts w:hint="default" w:eastAsia="宋体"/>
                      <w:color w:val="auto"/>
                      <w:lang w:val="en-US" w:eastAsia="zh-CN"/>
                    </w:rPr>
                  </w:pPr>
                  <w:r>
                    <w:rPr>
                      <w:rFonts w:hint="eastAsia"/>
                      <w:color w:val="auto"/>
                    </w:rPr>
                    <w:t>设备维修、保养产生的废棉纱、废手套、废机油桶（HW08-900-249-08）</w:t>
                  </w:r>
                </w:p>
              </w:tc>
              <w:tc>
                <w:tcPr>
                  <w:tcW w:w="604" w:type="pct"/>
                  <w:vAlign w:val="center"/>
                </w:tcPr>
                <w:p>
                  <w:pPr>
                    <w:autoSpaceDE w:val="0"/>
                    <w:autoSpaceDN w:val="0"/>
                    <w:jc w:val="center"/>
                    <w:rPr>
                      <w:rFonts w:hint="eastAsia"/>
                      <w:color w:val="auto"/>
                      <w:lang w:val="en-US" w:eastAsia="zh-CN"/>
                    </w:rPr>
                  </w:pPr>
                  <w:r>
                    <w:rPr>
                      <w:rFonts w:hint="eastAsia"/>
                      <w:color w:val="auto"/>
                    </w:rPr>
                    <w:t>0.05 t/a</w:t>
                  </w:r>
                </w:p>
              </w:tc>
              <w:tc>
                <w:tcPr>
                  <w:tcW w:w="1959" w:type="pct"/>
                  <w:vMerge w:val="continue"/>
                  <w:vAlign w:val="center"/>
                </w:tcPr>
                <w:p>
                  <w:pPr>
                    <w:jc w:val="center"/>
                    <w:rPr>
                      <w:rFonts w:hint="eastAsia" w:eastAsia="宋体"/>
                      <w:color w:val="auto"/>
                      <w:lang w:val="en-US" w:eastAsia="zh-CN"/>
                    </w:rPr>
                  </w:pPr>
                </w:p>
              </w:tc>
              <w:tc>
                <w:tcPr>
                  <w:tcW w:w="617" w:type="pct"/>
                  <w:vAlign w:val="center"/>
                </w:tcPr>
                <w:p>
                  <w:pPr>
                    <w:autoSpaceDE w:val="0"/>
                    <w:autoSpaceDN w:val="0"/>
                    <w:jc w:val="center"/>
                    <w:rPr>
                      <w:rFonts w:hint="default"/>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1" w:type="pct"/>
                  <w:vAlign w:val="center"/>
                </w:tcPr>
                <w:p>
                  <w:pPr>
                    <w:autoSpaceDE w:val="0"/>
                    <w:autoSpaceDN w:val="0"/>
                    <w:jc w:val="center"/>
                    <w:rPr>
                      <w:color w:val="auto"/>
                    </w:rPr>
                  </w:pPr>
                  <w:r>
                    <w:rPr>
                      <w:rFonts w:hint="eastAsia"/>
                      <w:color w:val="auto"/>
                    </w:rPr>
                    <w:t>生活垃圾</w:t>
                  </w:r>
                </w:p>
              </w:tc>
              <w:tc>
                <w:tcPr>
                  <w:tcW w:w="1387" w:type="pct"/>
                  <w:vAlign w:val="center"/>
                </w:tcPr>
                <w:p>
                  <w:pPr>
                    <w:autoSpaceDE w:val="0"/>
                    <w:autoSpaceDN w:val="0"/>
                    <w:jc w:val="center"/>
                    <w:rPr>
                      <w:color w:val="auto"/>
                    </w:rPr>
                  </w:pPr>
                  <w:r>
                    <w:rPr>
                      <w:rFonts w:hint="eastAsia"/>
                      <w:color w:val="auto"/>
                    </w:rPr>
                    <w:t>生活垃圾</w:t>
                  </w:r>
                </w:p>
              </w:tc>
              <w:tc>
                <w:tcPr>
                  <w:tcW w:w="604" w:type="pct"/>
                  <w:vAlign w:val="center"/>
                </w:tcPr>
                <w:p>
                  <w:pPr>
                    <w:autoSpaceDE w:val="0"/>
                    <w:autoSpaceDN w:val="0"/>
                    <w:jc w:val="center"/>
                    <w:rPr>
                      <w:color w:val="auto"/>
                    </w:rPr>
                  </w:pPr>
                  <w:r>
                    <w:rPr>
                      <w:rFonts w:hint="eastAsia"/>
                      <w:color w:val="auto"/>
                      <w:lang w:val="en-US" w:eastAsia="zh-CN"/>
                    </w:rPr>
                    <w:t>2.1</w:t>
                  </w:r>
                  <w:r>
                    <w:rPr>
                      <w:rFonts w:hint="eastAsia"/>
                      <w:color w:val="auto"/>
                    </w:rPr>
                    <w:t xml:space="preserve"> t/a</w:t>
                  </w:r>
                </w:p>
              </w:tc>
              <w:tc>
                <w:tcPr>
                  <w:tcW w:w="1959" w:type="pct"/>
                  <w:vAlign w:val="center"/>
                </w:tcPr>
                <w:p>
                  <w:pPr>
                    <w:jc w:val="center"/>
                    <w:rPr>
                      <w:color w:val="auto"/>
                    </w:rPr>
                  </w:pPr>
                  <w:r>
                    <w:rPr>
                      <w:color w:val="auto"/>
                      <w:lang w:bidi="ar"/>
                    </w:rPr>
                    <w:t>在厂区内设封闭式垃圾收集箱，收集后送当地环卫部门指定地点统一处理</w:t>
                  </w:r>
                  <w:r>
                    <w:rPr>
                      <w:rFonts w:hint="eastAsia"/>
                      <w:bCs/>
                      <w:color w:val="auto"/>
                    </w:rPr>
                    <w:t>。</w:t>
                  </w:r>
                </w:p>
              </w:tc>
              <w:tc>
                <w:tcPr>
                  <w:tcW w:w="617" w:type="pct"/>
                  <w:vAlign w:val="center"/>
                </w:tcPr>
                <w:p>
                  <w:pPr>
                    <w:autoSpaceDE w:val="0"/>
                    <w:autoSpaceDN w:val="0"/>
                    <w:jc w:val="center"/>
                    <w:rPr>
                      <w:color w:val="auto"/>
                    </w:rPr>
                  </w:pPr>
                  <w:r>
                    <w:rPr>
                      <w:rFonts w:hint="eastAsia"/>
                      <w:color w:val="auto"/>
                    </w:rPr>
                    <w:t>0</w:t>
                  </w:r>
                </w:p>
              </w:tc>
            </w:tr>
          </w:tbl>
          <w:p>
            <w:pPr>
              <w:adjustRightInd w:val="0"/>
              <w:snapToGrid w:val="0"/>
              <w:spacing w:line="480" w:lineRule="exact"/>
              <w:ind w:firstLine="482" w:firstLineChars="200"/>
              <w:rPr>
                <w:b/>
                <w:bCs/>
                <w:color w:val="auto"/>
                <w:sz w:val="24"/>
              </w:rPr>
            </w:pPr>
            <w:r>
              <w:rPr>
                <w:rFonts w:hint="eastAsia"/>
                <w:b/>
                <w:bCs/>
                <w:color w:val="auto"/>
                <w:sz w:val="24"/>
              </w:rPr>
              <w:t>源强核算过程如下：</w:t>
            </w:r>
          </w:p>
          <w:p>
            <w:pPr>
              <w:adjustRightInd w:val="0"/>
              <w:snapToGrid w:val="0"/>
              <w:spacing w:line="480" w:lineRule="exact"/>
              <w:ind w:firstLine="482" w:firstLineChars="200"/>
              <w:rPr>
                <w:b/>
                <w:bCs/>
                <w:color w:val="auto"/>
                <w:sz w:val="24"/>
              </w:rPr>
            </w:pPr>
            <w:r>
              <w:rPr>
                <w:rFonts w:hint="eastAsia"/>
                <w:b/>
                <w:bCs/>
                <w:color w:val="auto"/>
                <w:sz w:val="24"/>
              </w:rPr>
              <w:t>S</w:t>
            </w:r>
            <w:r>
              <w:rPr>
                <w:rFonts w:hint="eastAsia"/>
                <w:b/>
                <w:bCs/>
                <w:color w:val="auto"/>
                <w:sz w:val="24"/>
                <w:vertAlign w:val="subscript"/>
              </w:rPr>
              <w:t>1</w:t>
            </w:r>
            <w:r>
              <w:rPr>
                <w:rFonts w:hint="eastAsia"/>
                <w:b/>
                <w:bCs/>
                <w:color w:val="auto"/>
                <w:sz w:val="24"/>
              </w:rPr>
              <w:t>：粗格栅和细格栅产生的栅渣</w:t>
            </w:r>
            <w:r>
              <w:rPr>
                <w:rFonts w:hint="eastAsia"/>
                <w:b/>
                <w:bCs/>
                <w:color w:val="auto"/>
                <w:sz w:val="24"/>
                <w:lang w:eastAsia="zh-CN"/>
              </w:rPr>
              <w:t>；</w:t>
            </w:r>
            <w:r>
              <w:rPr>
                <w:rFonts w:hint="eastAsia"/>
                <w:b/>
                <w:bCs/>
                <w:color w:val="auto"/>
                <w:sz w:val="24"/>
              </w:rPr>
              <w:t>S</w:t>
            </w:r>
            <w:r>
              <w:rPr>
                <w:rFonts w:hint="eastAsia"/>
                <w:b/>
                <w:bCs/>
                <w:color w:val="auto"/>
                <w:sz w:val="24"/>
                <w:vertAlign w:val="subscript"/>
                <w:lang w:val="en-US" w:eastAsia="zh-CN"/>
              </w:rPr>
              <w:t>2</w:t>
            </w:r>
            <w:r>
              <w:rPr>
                <w:rFonts w:hint="eastAsia"/>
                <w:b/>
                <w:bCs/>
                <w:color w:val="auto"/>
                <w:sz w:val="24"/>
              </w:rPr>
              <w:t>：</w:t>
            </w:r>
            <w:r>
              <w:rPr>
                <w:rFonts w:hint="eastAsia"/>
                <w:b/>
                <w:bCs/>
                <w:color w:val="auto"/>
                <w:sz w:val="24"/>
                <w:lang w:val="en-US" w:eastAsia="zh-CN"/>
              </w:rPr>
              <w:t>曝气沉砂池产生的沉砂</w:t>
            </w:r>
          </w:p>
          <w:p>
            <w:pPr>
              <w:adjustRightInd w:val="0"/>
              <w:snapToGrid w:val="0"/>
              <w:spacing w:line="480" w:lineRule="exact"/>
              <w:ind w:firstLine="480" w:firstLineChars="200"/>
              <w:rPr>
                <w:rFonts w:hint="default"/>
                <w:bCs/>
                <w:color w:val="auto"/>
                <w:sz w:val="24"/>
                <w:lang w:val="en-US" w:eastAsia="zh-CN"/>
              </w:rPr>
            </w:pPr>
            <w:r>
              <w:rPr>
                <w:rFonts w:hint="default"/>
                <w:bCs/>
                <w:color w:val="auto"/>
                <w:sz w:val="24"/>
                <w:lang w:val="en-US" w:eastAsia="zh-CN"/>
              </w:rPr>
              <w:t>栅渣主要是粗格栅间和细格栅间产生的栅渣，主要成分是蔬菜、塑料、木块等飘浮物质，栅渣产生率约为0.066kg/m</w:t>
            </w:r>
            <w:r>
              <w:rPr>
                <w:rFonts w:hint="default"/>
                <w:bCs/>
                <w:color w:val="auto"/>
                <w:sz w:val="24"/>
                <w:vertAlign w:val="superscript"/>
                <w:lang w:val="en-US" w:eastAsia="zh-CN"/>
              </w:rPr>
              <w:t>3</w:t>
            </w:r>
            <w:r>
              <w:rPr>
                <w:rFonts w:hint="default"/>
                <w:bCs/>
                <w:color w:val="auto"/>
                <w:sz w:val="24"/>
                <w:lang w:val="en-US" w:eastAsia="zh-CN"/>
              </w:rPr>
              <w:t>，则本项目栅渣产生量约为</w:t>
            </w:r>
            <w:r>
              <w:rPr>
                <w:rFonts w:hint="eastAsia"/>
                <w:bCs/>
                <w:color w:val="auto"/>
                <w:sz w:val="24"/>
                <w:lang w:val="en-US" w:eastAsia="zh-CN"/>
              </w:rPr>
              <w:t>48.18</w:t>
            </w:r>
            <w:r>
              <w:rPr>
                <w:rFonts w:hint="default"/>
                <w:bCs/>
                <w:color w:val="auto"/>
                <w:sz w:val="24"/>
                <w:lang w:val="en-US" w:eastAsia="zh-CN"/>
              </w:rPr>
              <w:t>t/a。</w:t>
            </w:r>
          </w:p>
          <w:p>
            <w:pPr>
              <w:adjustRightInd w:val="0"/>
              <w:snapToGrid w:val="0"/>
              <w:spacing w:line="480" w:lineRule="exact"/>
              <w:ind w:firstLine="480" w:firstLineChars="200"/>
              <w:rPr>
                <w:rFonts w:hint="default"/>
                <w:bCs/>
                <w:color w:val="auto"/>
                <w:sz w:val="24"/>
                <w:lang w:val="en-US" w:eastAsia="zh-CN"/>
              </w:rPr>
            </w:pPr>
            <w:r>
              <w:rPr>
                <w:rFonts w:hint="default"/>
                <w:bCs/>
                <w:color w:val="auto"/>
                <w:sz w:val="24"/>
                <w:lang w:val="en-US" w:eastAsia="zh-CN"/>
              </w:rPr>
              <w:t>沉砂：主要是碎石块，泥沙等细小沉淀物，沉砂产生量约为0.025kg/m</w:t>
            </w:r>
            <w:r>
              <w:rPr>
                <w:rFonts w:hint="default"/>
                <w:bCs/>
                <w:color w:val="auto"/>
                <w:sz w:val="24"/>
                <w:vertAlign w:val="superscript"/>
                <w:lang w:val="en-US" w:eastAsia="zh-CN"/>
              </w:rPr>
              <w:t>3</w:t>
            </w:r>
            <w:r>
              <w:rPr>
                <w:rFonts w:hint="default"/>
                <w:bCs/>
                <w:color w:val="auto"/>
                <w:sz w:val="24"/>
                <w:lang w:val="en-US" w:eastAsia="zh-CN"/>
              </w:rPr>
              <w:t>，则本项目沉砂产生量约为</w:t>
            </w:r>
            <w:r>
              <w:rPr>
                <w:rFonts w:hint="eastAsia"/>
                <w:bCs/>
                <w:color w:val="auto"/>
                <w:sz w:val="24"/>
                <w:lang w:val="en-US" w:eastAsia="zh-CN"/>
              </w:rPr>
              <w:t>18.25</w:t>
            </w:r>
            <w:r>
              <w:rPr>
                <w:rFonts w:hint="default"/>
                <w:bCs/>
                <w:color w:val="auto"/>
                <w:sz w:val="24"/>
                <w:lang w:val="en-US" w:eastAsia="zh-CN"/>
              </w:rPr>
              <w:t>t/a。</w:t>
            </w:r>
          </w:p>
          <w:p>
            <w:pPr>
              <w:adjustRightInd w:val="0"/>
              <w:snapToGrid w:val="0"/>
              <w:spacing w:line="480" w:lineRule="exact"/>
              <w:ind w:firstLine="480" w:firstLineChars="200"/>
              <w:rPr>
                <w:rFonts w:hint="default"/>
                <w:bCs/>
                <w:color w:val="auto"/>
                <w:sz w:val="24"/>
                <w:lang w:val="en-US" w:eastAsia="zh-CN"/>
              </w:rPr>
            </w:pPr>
            <w:r>
              <w:rPr>
                <w:rFonts w:hint="default"/>
                <w:bCs/>
                <w:color w:val="auto"/>
                <w:sz w:val="24"/>
                <w:lang w:val="en-US" w:eastAsia="zh-CN"/>
              </w:rPr>
              <w:t>污水处理厂产生的栅渣和沉砂委托当地环卫部门统一清运处置，要求日产日清。</w:t>
            </w:r>
          </w:p>
          <w:p>
            <w:pPr>
              <w:adjustRightInd w:val="0"/>
              <w:snapToGrid w:val="0"/>
              <w:spacing w:line="480" w:lineRule="exact"/>
              <w:ind w:firstLine="482" w:firstLineChars="200"/>
              <w:rPr>
                <w:b/>
                <w:bCs/>
                <w:color w:val="auto"/>
                <w:sz w:val="24"/>
              </w:rPr>
            </w:pPr>
            <w:r>
              <w:rPr>
                <w:rFonts w:hint="eastAsia"/>
                <w:b/>
                <w:bCs/>
                <w:color w:val="auto"/>
                <w:sz w:val="24"/>
              </w:rPr>
              <w:t>S</w:t>
            </w:r>
            <w:r>
              <w:rPr>
                <w:rFonts w:hint="eastAsia"/>
                <w:b/>
                <w:bCs/>
                <w:color w:val="auto"/>
                <w:sz w:val="24"/>
                <w:vertAlign w:val="subscript"/>
                <w:lang w:val="en-US" w:eastAsia="zh-CN"/>
              </w:rPr>
              <w:t>3</w:t>
            </w:r>
            <w:r>
              <w:rPr>
                <w:rFonts w:hint="eastAsia"/>
                <w:b/>
                <w:bCs/>
                <w:color w:val="auto"/>
                <w:sz w:val="24"/>
              </w:rPr>
              <w:t>：</w:t>
            </w:r>
            <w:r>
              <w:rPr>
                <w:rFonts w:hint="eastAsia"/>
                <w:b/>
                <w:bCs/>
                <w:color w:val="auto"/>
                <w:sz w:val="24"/>
                <w:lang w:eastAsia="zh-CN"/>
              </w:rPr>
              <w:t>污泥浓缩脱水机产生的污泥</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根据可研设计资料，污泥总产量系数为Yt=0.6kgMLSS/kgBOD</w:t>
            </w:r>
            <w:r>
              <w:rPr>
                <w:rFonts w:hint="eastAsia"/>
                <w:bCs/>
                <w:color w:val="auto"/>
                <w:sz w:val="24"/>
                <w:vertAlign w:val="subscript"/>
                <w:lang w:val="en-US" w:eastAsia="zh-CN"/>
              </w:rPr>
              <w:t>5</w:t>
            </w:r>
            <w:r>
              <w:rPr>
                <w:rFonts w:hint="eastAsia"/>
                <w:bCs/>
                <w:color w:val="auto"/>
                <w:sz w:val="24"/>
                <w:lang w:val="en-US" w:eastAsia="zh-CN"/>
              </w:rPr>
              <w:t>，根据设计进水水质，SS为200mg/L，BOD</w:t>
            </w:r>
            <w:r>
              <w:rPr>
                <w:rFonts w:hint="eastAsia"/>
                <w:bCs/>
                <w:color w:val="auto"/>
                <w:sz w:val="24"/>
                <w:vertAlign w:val="subscript"/>
                <w:lang w:val="en-US" w:eastAsia="zh-CN"/>
              </w:rPr>
              <w:t>5</w:t>
            </w:r>
            <w:r>
              <w:rPr>
                <w:rFonts w:hint="eastAsia"/>
                <w:bCs/>
                <w:color w:val="auto"/>
                <w:sz w:val="24"/>
                <w:lang w:val="en-US" w:eastAsia="zh-CN"/>
              </w:rPr>
              <w:t>为160mg/L本项目湿污泥产生量约为52m</w:t>
            </w:r>
            <w:r>
              <w:rPr>
                <w:rFonts w:hint="eastAsia"/>
                <w:bCs/>
                <w:color w:val="auto"/>
                <w:sz w:val="24"/>
                <w:vertAlign w:val="superscript"/>
                <w:lang w:val="en-US" w:eastAsia="zh-CN"/>
              </w:rPr>
              <w:t>3</w:t>
            </w:r>
            <w:r>
              <w:rPr>
                <w:rFonts w:hint="eastAsia"/>
                <w:bCs/>
                <w:color w:val="auto"/>
                <w:sz w:val="24"/>
                <w:vertAlign w:val="baseline"/>
                <w:lang w:val="en-US" w:eastAsia="zh-CN"/>
              </w:rPr>
              <w:t>/d，含水率99.2%；湿污泥采用</w:t>
            </w:r>
            <w:r>
              <w:rPr>
                <w:rFonts w:hint="eastAsia"/>
                <w:bCs/>
                <w:color w:val="auto"/>
                <w:sz w:val="24"/>
                <w:lang w:val="en-US" w:eastAsia="zh-CN"/>
              </w:rPr>
              <w:t>高压板框压滤机脱水，脱水后含水率以60%计，则脱水后污泥量为1.04t/d，379.6t/a。污泥脱水后运至五台县垃圾填埋场填埋处理。</w:t>
            </w:r>
          </w:p>
          <w:p>
            <w:pPr>
              <w:adjustRightInd w:val="0"/>
              <w:snapToGrid w:val="0"/>
              <w:spacing w:line="480" w:lineRule="exact"/>
              <w:ind w:firstLine="482" w:firstLineChars="200"/>
              <w:rPr>
                <w:b/>
                <w:bCs/>
                <w:color w:val="auto"/>
                <w:sz w:val="24"/>
              </w:rPr>
            </w:pPr>
            <w:r>
              <w:rPr>
                <w:rFonts w:hint="eastAsia"/>
                <w:b/>
                <w:bCs/>
                <w:color w:val="auto"/>
                <w:sz w:val="24"/>
              </w:rPr>
              <w:t>S</w:t>
            </w:r>
            <w:r>
              <w:rPr>
                <w:rFonts w:hint="eastAsia"/>
                <w:b/>
                <w:bCs/>
                <w:color w:val="auto"/>
                <w:sz w:val="24"/>
                <w:vertAlign w:val="subscript"/>
                <w:lang w:val="en-US" w:eastAsia="zh-CN"/>
              </w:rPr>
              <w:t>4</w:t>
            </w:r>
            <w:r>
              <w:rPr>
                <w:rFonts w:hint="eastAsia"/>
                <w:b/>
                <w:bCs/>
                <w:color w:val="auto"/>
                <w:sz w:val="24"/>
              </w:rPr>
              <w:t>：设备维修保养产生的废矿物油、废棉纱手套、废机油桶</w:t>
            </w:r>
          </w:p>
          <w:p>
            <w:pPr>
              <w:adjustRightInd w:val="0"/>
              <w:snapToGrid w:val="0"/>
              <w:spacing w:line="480" w:lineRule="exact"/>
              <w:ind w:firstLine="480" w:firstLineChars="200"/>
              <w:rPr>
                <w:rFonts w:hint="eastAsia"/>
                <w:color w:val="auto"/>
                <w:sz w:val="24"/>
              </w:rPr>
            </w:pPr>
            <w:r>
              <w:rPr>
                <w:rFonts w:hint="eastAsia"/>
                <w:color w:val="auto"/>
                <w:sz w:val="24"/>
              </w:rPr>
              <w:t>本项目生产设备检修、保养过程会产生的废机油、废棉纱、废手套、废机油桶，按照《国家危险废物名录》（2021年版），废机油属于危险废物（编号：HW08，废物代码：900-214-08，车辆、轮船及其他机械维修过程中产生的废发动机油、制动器油、自动变速器油、齿轮油等废润滑油），废棉纱、废手套、废机油桶属于危险废物（编号HW08，900-249-08，其他生产、销售、使用过程中产生的废矿油油及沾染矿物油的废弃包装物）；废机油产生量约为0.</w:t>
            </w:r>
            <w:r>
              <w:rPr>
                <w:rFonts w:hint="eastAsia"/>
                <w:color w:val="auto"/>
                <w:sz w:val="24"/>
                <w:lang w:val="en-US" w:eastAsia="zh-CN"/>
              </w:rPr>
              <w:t>8</w:t>
            </w:r>
            <w:r>
              <w:rPr>
                <w:rFonts w:hint="eastAsia"/>
                <w:color w:val="auto"/>
                <w:sz w:val="24"/>
              </w:rPr>
              <w:t>t/a，废棉纱、废手套、废机油桶产生量约为0.05t/a。废机油、废棉纱、废手套、废机油桶收集后在厂区内新建的危险废物暂存间进行暂存，最后由有资质的单位进行收集处置。</w:t>
            </w:r>
          </w:p>
          <w:p>
            <w:pPr>
              <w:pStyle w:val="82"/>
              <w:jc w:val="both"/>
              <w:rPr>
                <w:rFonts w:ascii="Times New Roman" w:hAnsi="宋体" w:eastAsia="宋体"/>
                <w:color w:val="auto"/>
              </w:rPr>
            </w:pPr>
            <w:r>
              <w:rPr>
                <w:rFonts w:hint="eastAsia" w:ascii="Times New Roman" w:hAnsi="宋体" w:eastAsia="宋体"/>
                <w:color w:val="auto"/>
                <w:szCs w:val="20"/>
              </w:rPr>
              <w:t>本项目危险废物产生情况见下表。</w:t>
            </w:r>
          </w:p>
          <w:p>
            <w:pPr>
              <w:spacing w:line="480" w:lineRule="exact"/>
              <w:jc w:val="center"/>
              <w:rPr>
                <w:rFonts w:ascii="黑体" w:hAnsi="黑体" w:eastAsia="黑体"/>
                <w:color w:val="auto"/>
                <w:sz w:val="24"/>
                <w:szCs w:val="32"/>
              </w:rPr>
            </w:pPr>
            <w:r>
              <w:rPr>
                <w:rFonts w:hint="eastAsia" w:ascii="黑体" w:hAnsi="黑体" w:eastAsia="黑体"/>
                <w:color w:val="auto"/>
                <w:sz w:val="24"/>
                <w:szCs w:val="32"/>
              </w:rPr>
              <w:t>表4-</w:t>
            </w:r>
            <w:r>
              <w:rPr>
                <w:rFonts w:hint="eastAsia" w:ascii="黑体" w:hAnsi="黑体" w:eastAsia="黑体"/>
                <w:color w:val="auto"/>
                <w:sz w:val="24"/>
                <w:szCs w:val="32"/>
                <w:lang w:val="en-US" w:eastAsia="zh-CN"/>
              </w:rPr>
              <w:t xml:space="preserve">9 </w:t>
            </w:r>
            <w:r>
              <w:rPr>
                <w:rFonts w:hint="eastAsia" w:ascii="黑体" w:hAnsi="黑体" w:eastAsia="黑体"/>
                <w:color w:val="auto"/>
                <w:sz w:val="24"/>
                <w:szCs w:val="32"/>
              </w:rPr>
              <w:t xml:space="preserve"> 危险废物汇总表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791"/>
              <w:gridCol w:w="863"/>
              <w:gridCol w:w="1246"/>
              <w:gridCol w:w="953"/>
              <w:gridCol w:w="1025"/>
              <w:gridCol w:w="609"/>
              <w:gridCol w:w="1164"/>
              <w:gridCol w:w="700"/>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5"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序号</w:t>
                  </w:r>
                </w:p>
              </w:tc>
              <w:tc>
                <w:tcPr>
                  <w:tcW w:w="461"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危险废物名称</w:t>
                  </w:r>
                </w:p>
              </w:tc>
              <w:tc>
                <w:tcPr>
                  <w:tcW w:w="503"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危险废物类别</w:t>
                  </w:r>
                </w:p>
              </w:tc>
              <w:tc>
                <w:tcPr>
                  <w:tcW w:w="726"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危险废物代码</w:t>
                  </w:r>
                </w:p>
              </w:tc>
              <w:tc>
                <w:tcPr>
                  <w:tcW w:w="555"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产生量(吨/年)</w:t>
                  </w:r>
                </w:p>
              </w:tc>
              <w:tc>
                <w:tcPr>
                  <w:tcW w:w="597"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产生工序及装置</w:t>
                  </w:r>
                </w:p>
              </w:tc>
              <w:tc>
                <w:tcPr>
                  <w:tcW w:w="355"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形态</w:t>
                  </w:r>
                </w:p>
              </w:tc>
              <w:tc>
                <w:tcPr>
                  <w:tcW w:w="678"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主要成分/有害成分</w:t>
                  </w:r>
                </w:p>
              </w:tc>
              <w:tc>
                <w:tcPr>
                  <w:tcW w:w="408"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产废周期</w:t>
                  </w:r>
                </w:p>
              </w:tc>
              <w:tc>
                <w:tcPr>
                  <w:tcW w:w="446"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危险</w:t>
                  </w:r>
                </w:p>
                <w:p>
                  <w:pPr>
                    <w:pStyle w:val="83"/>
                    <w:widowControl/>
                    <w:snapToGrid/>
                    <w:spacing w:line="240" w:lineRule="auto"/>
                    <w:ind w:firstLine="0" w:firstLineChars="0"/>
                    <w:rPr>
                      <w:color w:val="auto"/>
                      <w:sz w:val="21"/>
                      <w:szCs w:val="21"/>
                    </w:rPr>
                  </w:pPr>
                  <w:r>
                    <w:rPr>
                      <w:rFonts w:hint="eastAsia"/>
                      <w:color w:val="auto"/>
                      <w:sz w:val="21"/>
                      <w:szCs w:val="21"/>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5" w:type="pct"/>
                  <w:shd w:val="clear" w:color="auto" w:fill="auto"/>
                  <w:vAlign w:val="center"/>
                </w:tcPr>
                <w:p>
                  <w:pPr>
                    <w:pStyle w:val="83"/>
                    <w:widowControl/>
                    <w:snapToGrid/>
                    <w:spacing w:line="240" w:lineRule="auto"/>
                    <w:ind w:firstLine="0" w:firstLineChars="0"/>
                    <w:rPr>
                      <w:rFonts w:hint="eastAsia" w:eastAsia="宋体"/>
                      <w:color w:val="auto"/>
                      <w:sz w:val="21"/>
                      <w:szCs w:val="21"/>
                      <w:lang w:eastAsia="zh-CN"/>
                    </w:rPr>
                  </w:pPr>
                  <w:r>
                    <w:rPr>
                      <w:rFonts w:hint="eastAsia"/>
                      <w:color w:val="auto"/>
                      <w:sz w:val="21"/>
                      <w:szCs w:val="21"/>
                      <w:lang w:val="en-US" w:eastAsia="zh-CN"/>
                    </w:rPr>
                    <w:t>1</w:t>
                  </w:r>
                </w:p>
              </w:tc>
              <w:tc>
                <w:tcPr>
                  <w:tcW w:w="461"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废</w:t>
                  </w:r>
                  <w:r>
                    <w:rPr>
                      <w:rFonts w:hint="eastAsia"/>
                      <w:color w:val="auto"/>
                      <w:sz w:val="21"/>
                      <w:szCs w:val="21"/>
                      <w:lang w:val="en-US" w:eastAsia="zh-CN"/>
                    </w:rPr>
                    <w:t>矿物</w:t>
                  </w:r>
                  <w:r>
                    <w:rPr>
                      <w:rFonts w:hint="eastAsia"/>
                      <w:color w:val="auto"/>
                      <w:sz w:val="21"/>
                      <w:szCs w:val="21"/>
                    </w:rPr>
                    <w:t>油</w:t>
                  </w:r>
                </w:p>
              </w:tc>
              <w:tc>
                <w:tcPr>
                  <w:tcW w:w="503"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HW08</w:t>
                  </w:r>
                </w:p>
              </w:tc>
              <w:tc>
                <w:tcPr>
                  <w:tcW w:w="726" w:type="pct"/>
                  <w:shd w:val="clear" w:color="auto" w:fill="auto"/>
                  <w:vAlign w:val="center"/>
                </w:tcPr>
                <w:p>
                  <w:pPr>
                    <w:pStyle w:val="83"/>
                    <w:widowControl/>
                    <w:snapToGrid/>
                    <w:spacing w:line="240" w:lineRule="auto"/>
                    <w:ind w:firstLine="0" w:firstLineChars="0"/>
                    <w:rPr>
                      <w:rFonts w:hint="eastAsia"/>
                      <w:color w:val="auto"/>
                      <w:sz w:val="21"/>
                      <w:szCs w:val="21"/>
                    </w:rPr>
                  </w:pPr>
                  <w:r>
                    <w:rPr>
                      <w:rFonts w:hint="eastAsia"/>
                      <w:color w:val="auto"/>
                      <w:sz w:val="21"/>
                      <w:szCs w:val="21"/>
                    </w:rPr>
                    <w:t>900-214-08</w:t>
                  </w:r>
                </w:p>
                <w:p>
                  <w:pPr>
                    <w:pStyle w:val="83"/>
                    <w:widowControl/>
                    <w:snapToGrid/>
                    <w:spacing w:line="240" w:lineRule="auto"/>
                    <w:ind w:firstLine="0" w:firstLineChars="0"/>
                    <w:rPr>
                      <w:rFonts w:hint="eastAsia"/>
                      <w:color w:val="auto"/>
                      <w:sz w:val="21"/>
                      <w:szCs w:val="21"/>
                    </w:rPr>
                  </w:pPr>
                  <w:r>
                    <w:rPr>
                      <w:rFonts w:hint="eastAsia"/>
                      <w:color w:val="auto"/>
                      <w:sz w:val="21"/>
                      <w:szCs w:val="21"/>
                      <w:lang w:val="en-US" w:eastAsia="zh-CN"/>
                    </w:rPr>
                    <w:t>900-220-08</w:t>
                  </w:r>
                </w:p>
              </w:tc>
              <w:tc>
                <w:tcPr>
                  <w:tcW w:w="555" w:type="pct"/>
                  <w:shd w:val="clear" w:color="auto" w:fill="auto"/>
                  <w:vAlign w:val="center"/>
                </w:tcPr>
                <w:p>
                  <w:pPr>
                    <w:pStyle w:val="23"/>
                    <w:autoSpaceDE w:val="0"/>
                    <w:autoSpaceDN w:val="0"/>
                    <w:adjustRightInd w:val="0"/>
                    <w:spacing w:before="0" w:beforeAutospacing="0" w:after="0" w:afterAutospacing="0"/>
                    <w:jc w:val="center"/>
                    <w:rPr>
                      <w:rFonts w:hint="eastAsia" w:ascii="Times New Roman" w:hAnsi="Times New Roman" w:eastAsia="宋体"/>
                      <w:color w:val="auto"/>
                      <w:kern w:val="32"/>
                      <w:sz w:val="21"/>
                      <w:szCs w:val="21"/>
                      <w:lang w:eastAsia="zh-CN"/>
                    </w:rPr>
                  </w:pPr>
                  <w:r>
                    <w:rPr>
                      <w:rFonts w:hint="eastAsia" w:ascii="Times New Roman" w:hAnsi="Times New Roman"/>
                      <w:bCs/>
                      <w:color w:val="auto"/>
                      <w:kern w:val="32"/>
                      <w:sz w:val="21"/>
                      <w:szCs w:val="21"/>
                    </w:rPr>
                    <w:t>0.</w:t>
                  </w:r>
                  <w:r>
                    <w:rPr>
                      <w:rFonts w:hint="eastAsia" w:ascii="Times New Roman" w:hAnsi="Times New Roman"/>
                      <w:bCs/>
                      <w:color w:val="auto"/>
                      <w:kern w:val="32"/>
                      <w:sz w:val="21"/>
                      <w:szCs w:val="21"/>
                      <w:lang w:val="en-US" w:eastAsia="zh-CN"/>
                    </w:rPr>
                    <w:t>8</w:t>
                  </w:r>
                </w:p>
              </w:tc>
              <w:tc>
                <w:tcPr>
                  <w:tcW w:w="597" w:type="pct"/>
                  <w:shd w:val="clear" w:color="auto" w:fill="auto"/>
                  <w:vAlign w:val="center"/>
                </w:tcPr>
                <w:p>
                  <w:pPr>
                    <w:pStyle w:val="83"/>
                    <w:snapToGrid/>
                    <w:spacing w:line="240" w:lineRule="auto"/>
                    <w:ind w:firstLine="0" w:firstLineChars="0"/>
                    <w:rPr>
                      <w:color w:val="auto"/>
                      <w:sz w:val="21"/>
                      <w:szCs w:val="21"/>
                    </w:rPr>
                  </w:pPr>
                  <w:r>
                    <w:rPr>
                      <w:rFonts w:hint="eastAsia"/>
                      <w:color w:val="auto"/>
                      <w:sz w:val="21"/>
                      <w:szCs w:val="21"/>
                    </w:rPr>
                    <w:t>设备维修保养</w:t>
                  </w:r>
                </w:p>
              </w:tc>
              <w:tc>
                <w:tcPr>
                  <w:tcW w:w="355"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液态</w:t>
                  </w:r>
                </w:p>
              </w:tc>
              <w:tc>
                <w:tcPr>
                  <w:tcW w:w="678"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有机物</w:t>
                  </w:r>
                </w:p>
              </w:tc>
              <w:tc>
                <w:tcPr>
                  <w:tcW w:w="408"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间歇</w:t>
                  </w:r>
                </w:p>
              </w:tc>
              <w:tc>
                <w:tcPr>
                  <w:tcW w:w="446"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jc w:val="center"/>
              </w:trPr>
              <w:tc>
                <w:tcPr>
                  <w:tcW w:w="265" w:type="pct"/>
                  <w:shd w:val="clear" w:color="auto" w:fill="auto"/>
                  <w:vAlign w:val="center"/>
                </w:tcPr>
                <w:p>
                  <w:pPr>
                    <w:pStyle w:val="83"/>
                    <w:widowControl/>
                    <w:snapToGrid/>
                    <w:spacing w:line="240" w:lineRule="auto"/>
                    <w:ind w:firstLine="0" w:firstLineChars="0"/>
                    <w:rPr>
                      <w:rFonts w:hint="eastAsia" w:eastAsia="宋体"/>
                      <w:color w:val="auto"/>
                      <w:sz w:val="21"/>
                      <w:szCs w:val="21"/>
                      <w:lang w:eastAsia="zh-CN"/>
                    </w:rPr>
                  </w:pPr>
                  <w:r>
                    <w:rPr>
                      <w:rFonts w:hint="eastAsia"/>
                      <w:color w:val="auto"/>
                      <w:sz w:val="21"/>
                      <w:szCs w:val="21"/>
                      <w:lang w:val="en-US" w:eastAsia="zh-CN"/>
                    </w:rPr>
                    <w:t>2</w:t>
                  </w:r>
                </w:p>
              </w:tc>
              <w:tc>
                <w:tcPr>
                  <w:tcW w:w="461"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废棉纱、废手套、废机油桶</w:t>
                  </w:r>
                </w:p>
              </w:tc>
              <w:tc>
                <w:tcPr>
                  <w:tcW w:w="503"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HW08</w:t>
                  </w:r>
                </w:p>
              </w:tc>
              <w:tc>
                <w:tcPr>
                  <w:tcW w:w="726"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900-249-08</w:t>
                  </w:r>
                </w:p>
              </w:tc>
              <w:tc>
                <w:tcPr>
                  <w:tcW w:w="555" w:type="pct"/>
                  <w:shd w:val="clear" w:color="auto" w:fill="auto"/>
                  <w:vAlign w:val="center"/>
                </w:tcPr>
                <w:p>
                  <w:pPr>
                    <w:pStyle w:val="23"/>
                    <w:autoSpaceDE w:val="0"/>
                    <w:autoSpaceDN w:val="0"/>
                    <w:adjustRightInd w:val="0"/>
                    <w:spacing w:before="0" w:beforeAutospacing="0" w:after="0" w:afterAutospacing="0"/>
                    <w:jc w:val="center"/>
                    <w:rPr>
                      <w:rFonts w:ascii="Times New Roman" w:hAnsi="Times New Roman"/>
                      <w:color w:val="auto"/>
                      <w:kern w:val="32"/>
                      <w:sz w:val="21"/>
                      <w:szCs w:val="21"/>
                    </w:rPr>
                  </w:pPr>
                  <w:r>
                    <w:rPr>
                      <w:rFonts w:hint="eastAsia" w:ascii="Times New Roman" w:hAnsi="Times New Roman"/>
                      <w:color w:val="auto"/>
                      <w:kern w:val="32"/>
                      <w:sz w:val="21"/>
                      <w:szCs w:val="21"/>
                    </w:rPr>
                    <w:t>0.05</w:t>
                  </w:r>
                </w:p>
              </w:tc>
              <w:tc>
                <w:tcPr>
                  <w:tcW w:w="597" w:type="pct"/>
                  <w:shd w:val="clear" w:color="auto" w:fill="auto"/>
                  <w:vAlign w:val="center"/>
                </w:tcPr>
                <w:p>
                  <w:pPr>
                    <w:pStyle w:val="83"/>
                    <w:snapToGrid/>
                    <w:spacing w:line="240" w:lineRule="auto"/>
                    <w:ind w:firstLine="0" w:firstLineChars="0"/>
                    <w:rPr>
                      <w:color w:val="auto"/>
                      <w:sz w:val="21"/>
                      <w:szCs w:val="21"/>
                    </w:rPr>
                  </w:pPr>
                  <w:r>
                    <w:rPr>
                      <w:rFonts w:hint="eastAsia"/>
                      <w:color w:val="auto"/>
                      <w:sz w:val="21"/>
                      <w:szCs w:val="21"/>
                    </w:rPr>
                    <w:t>设备维修保养</w:t>
                  </w:r>
                </w:p>
              </w:tc>
              <w:tc>
                <w:tcPr>
                  <w:tcW w:w="355"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固态</w:t>
                  </w:r>
                </w:p>
              </w:tc>
              <w:tc>
                <w:tcPr>
                  <w:tcW w:w="678"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有机物</w:t>
                  </w:r>
                </w:p>
              </w:tc>
              <w:tc>
                <w:tcPr>
                  <w:tcW w:w="408"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间歇</w:t>
                  </w:r>
                </w:p>
              </w:tc>
              <w:tc>
                <w:tcPr>
                  <w:tcW w:w="446" w:type="pct"/>
                  <w:shd w:val="clear" w:color="auto" w:fill="auto"/>
                  <w:vAlign w:val="center"/>
                </w:tcPr>
                <w:p>
                  <w:pPr>
                    <w:pStyle w:val="83"/>
                    <w:widowControl/>
                    <w:snapToGrid/>
                    <w:spacing w:line="240" w:lineRule="auto"/>
                    <w:ind w:firstLine="0" w:firstLineChars="0"/>
                    <w:rPr>
                      <w:color w:val="auto"/>
                      <w:sz w:val="21"/>
                      <w:szCs w:val="21"/>
                    </w:rPr>
                  </w:pPr>
                  <w:r>
                    <w:rPr>
                      <w:rFonts w:hint="eastAsia"/>
                      <w:color w:val="auto"/>
                      <w:sz w:val="21"/>
                      <w:szCs w:val="21"/>
                    </w:rPr>
                    <w:t>有毒</w:t>
                  </w:r>
                </w:p>
              </w:tc>
            </w:tr>
          </w:tbl>
          <w:p>
            <w:pPr>
              <w:adjustRightInd w:val="0"/>
              <w:snapToGrid w:val="0"/>
              <w:spacing w:line="480" w:lineRule="exact"/>
              <w:ind w:firstLine="482" w:firstLineChars="200"/>
              <w:rPr>
                <w:bCs/>
                <w:color w:val="auto"/>
                <w:sz w:val="24"/>
              </w:rPr>
            </w:pPr>
            <w:r>
              <w:rPr>
                <w:rFonts w:hint="eastAsia"/>
                <w:b/>
                <w:bCs/>
                <w:color w:val="auto"/>
                <w:sz w:val="24"/>
              </w:rPr>
              <w:t>S</w:t>
            </w:r>
            <w:r>
              <w:rPr>
                <w:rFonts w:hint="eastAsia"/>
                <w:b/>
                <w:bCs/>
                <w:color w:val="auto"/>
                <w:sz w:val="24"/>
                <w:vertAlign w:val="subscript"/>
                <w:lang w:val="en-US" w:eastAsia="zh-CN"/>
              </w:rPr>
              <w:t>5</w:t>
            </w:r>
            <w:r>
              <w:rPr>
                <w:rFonts w:hint="eastAsia"/>
                <w:b/>
                <w:bCs/>
                <w:color w:val="auto"/>
                <w:sz w:val="24"/>
              </w:rPr>
              <w:t>：</w:t>
            </w:r>
            <w:r>
              <w:rPr>
                <w:rFonts w:hint="eastAsia"/>
                <w:b/>
                <w:color w:val="auto"/>
                <w:sz w:val="24"/>
              </w:rPr>
              <w:t>员工生产生活中产生的生活垃圾</w:t>
            </w:r>
          </w:p>
          <w:p>
            <w:pPr>
              <w:adjustRightInd w:val="0"/>
              <w:snapToGrid w:val="0"/>
              <w:spacing w:line="480" w:lineRule="exact"/>
              <w:ind w:firstLine="480" w:firstLineChars="200"/>
              <w:rPr>
                <w:rFonts w:hint="eastAsia"/>
                <w:bCs/>
                <w:color w:val="auto"/>
                <w:sz w:val="24"/>
              </w:rPr>
            </w:pPr>
            <w:r>
              <w:rPr>
                <w:rFonts w:hint="eastAsia"/>
                <w:bCs/>
                <w:color w:val="auto"/>
                <w:sz w:val="24"/>
              </w:rPr>
              <w:t>本项目运营期间的生活垃圾产生系数为按0.5kg/（d•人）计，劳动定员</w:t>
            </w:r>
            <w:r>
              <w:rPr>
                <w:rFonts w:hint="eastAsia"/>
                <w:bCs/>
                <w:color w:val="auto"/>
                <w:sz w:val="24"/>
                <w:lang w:val="en-US" w:eastAsia="zh-CN"/>
              </w:rPr>
              <w:t>12</w:t>
            </w:r>
            <w:r>
              <w:rPr>
                <w:rFonts w:hint="eastAsia"/>
                <w:bCs/>
                <w:color w:val="auto"/>
                <w:sz w:val="24"/>
              </w:rPr>
              <w:t>人，则本项目生活垃圾产生量为</w:t>
            </w:r>
            <w:r>
              <w:rPr>
                <w:rFonts w:hint="eastAsia"/>
                <w:bCs/>
                <w:color w:val="auto"/>
                <w:sz w:val="24"/>
                <w:lang w:val="en-US" w:eastAsia="zh-CN"/>
              </w:rPr>
              <w:t>2.19</w:t>
            </w:r>
            <w:r>
              <w:rPr>
                <w:rFonts w:hint="eastAsia"/>
                <w:bCs/>
                <w:color w:val="auto"/>
                <w:sz w:val="24"/>
              </w:rPr>
              <w:t>t/a。本项目在办公区均设置垃圾筒，垃圾经收集后运至环卫不部门指定的地点处理。垃圾在运输过程中应注意遮盖、封闭，防止造成二次污染。</w:t>
            </w:r>
          </w:p>
          <w:p>
            <w:pPr>
              <w:adjustRightInd w:val="0"/>
              <w:snapToGrid w:val="0"/>
              <w:spacing w:line="480" w:lineRule="exact"/>
              <w:ind w:firstLine="482" w:firstLineChars="200"/>
              <w:rPr>
                <w:bCs/>
                <w:color w:val="auto"/>
                <w:sz w:val="24"/>
              </w:rPr>
            </w:pPr>
            <w:r>
              <w:rPr>
                <w:rFonts w:hint="eastAsia"/>
                <w:b/>
                <w:color w:val="auto"/>
                <w:sz w:val="24"/>
              </w:rPr>
              <w:t>（2）危险废物贮存、处置管理要求</w:t>
            </w:r>
          </w:p>
          <w:p>
            <w:pPr>
              <w:adjustRightInd w:val="0"/>
              <w:snapToGrid w:val="0"/>
              <w:spacing w:line="480" w:lineRule="exact"/>
              <w:ind w:firstLine="480" w:firstLineChars="200"/>
              <w:rPr>
                <w:color w:val="auto"/>
                <w:sz w:val="24"/>
              </w:rPr>
            </w:pPr>
            <w:r>
              <w:rPr>
                <w:rFonts w:hint="eastAsia"/>
                <w:color w:val="auto"/>
                <w:sz w:val="24"/>
                <w:szCs w:val="24"/>
              </w:rPr>
              <w:t>根据《建设项目危险废物环境影响评价指南》、《危险废物贮存污染控制标准》（GB18597-2001）及标准修改单（[2013]第36号）及《危险废物转移管理办法》（生态环境部、公安部、交通运输部令第23号）中的的规定，环评对本工程中危险废物的收集、运输、转移及储存等提出以下要求：</w:t>
            </w:r>
          </w:p>
          <w:p>
            <w:pPr>
              <w:adjustRightInd w:val="0"/>
              <w:snapToGrid w:val="0"/>
              <w:spacing w:line="480" w:lineRule="exact"/>
              <w:ind w:firstLine="482" w:firstLineChars="200"/>
              <w:rPr>
                <w:b/>
                <w:color w:val="auto"/>
                <w:sz w:val="24"/>
              </w:rPr>
            </w:pPr>
            <w:r>
              <w:rPr>
                <w:rFonts w:hint="eastAsia"/>
                <w:b/>
                <w:color w:val="auto"/>
                <w:sz w:val="24"/>
              </w:rPr>
              <w:t>①暂存要求：</w:t>
            </w:r>
          </w:p>
          <w:p>
            <w:pPr>
              <w:adjustRightInd w:val="0"/>
              <w:snapToGrid w:val="0"/>
              <w:spacing w:line="480" w:lineRule="exact"/>
              <w:ind w:firstLine="480" w:firstLineChars="200"/>
              <w:rPr>
                <w:color w:val="auto"/>
                <w:sz w:val="24"/>
              </w:rPr>
            </w:pPr>
            <w:r>
              <w:rPr>
                <w:rFonts w:hint="eastAsia"/>
                <w:color w:val="auto"/>
                <w:sz w:val="24"/>
                <w:szCs w:val="24"/>
              </w:rPr>
              <w:t>A根据本项目的工序特点，建设单位拟在</w:t>
            </w:r>
            <w:r>
              <w:rPr>
                <w:rFonts w:hint="eastAsia"/>
                <w:color w:val="auto"/>
                <w:sz w:val="24"/>
                <w:szCs w:val="24"/>
                <w:lang w:val="en-US" w:eastAsia="zh-CN"/>
              </w:rPr>
              <w:t>办公区东</w:t>
            </w:r>
            <w:r>
              <w:rPr>
                <w:rFonts w:hint="eastAsia"/>
                <w:color w:val="auto"/>
                <w:sz w:val="24"/>
                <w:szCs w:val="24"/>
              </w:rPr>
              <w:t>侧设置一座危废暂存间，面积为</w:t>
            </w:r>
            <w:r>
              <w:rPr>
                <w:rFonts w:hint="eastAsia"/>
                <w:color w:val="auto"/>
                <w:sz w:val="24"/>
                <w:szCs w:val="24"/>
                <w:lang w:val="en-US" w:eastAsia="zh-CN"/>
              </w:rPr>
              <w:t>20</w:t>
            </w:r>
            <w:r>
              <w:rPr>
                <w:rFonts w:hint="eastAsia"/>
                <w:color w:val="auto"/>
                <w:sz w:val="24"/>
                <w:szCs w:val="24"/>
              </w:rPr>
              <w:t>m</w:t>
            </w:r>
            <w:r>
              <w:rPr>
                <w:rFonts w:hint="eastAsia"/>
                <w:color w:val="auto"/>
                <w:sz w:val="24"/>
                <w:szCs w:val="24"/>
                <w:vertAlign w:val="superscript"/>
              </w:rPr>
              <w:t>2</w:t>
            </w:r>
            <w:r>
              <w:rPr>
                <w:rFonts w:hint="eastAsia"/>
                <w:color w:val="auto"/>
                <w:sz w:val="24"/>
                <w:szCs w:val="24"/>
              </w:rPr>
              <w:t>；危废暂存间要求地面与裙角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角，地面与裙角所围建的容积不低于堵截最大容器的最大储量或总储量的1/5；不相容的危险废物必须分开存放，并设有隔离间隔断。</w:t>
            </w:r>
          </w:p>
          <w:p>
            <w:pPr>
              <w:spacing w:line="480" w:lineRule="exact"/>
              <w:jc w:val="center"/>
              <w:rPr>
                <w:rFonts w:hint="eastAsia" w:eastAsia="黑体"/>
                <w:color w:val="auto"/>
                <w:kern w:val="0"/>
                <w:sz w:val="24"/>
                <w:szCs w:val="24"/>
              </w:rPr>
            </w:pPr>
          </w:p>
          <w:p>
            <w:pPr>
              <w:spacing w:line="480" w:lineRule="exact"/>
              <w:jc w:val="center"/>
              <w:rPr>
                <w:rFonts w:hint="eastAsia" w:eastAsia="黑体"/>
                <w:color w:val="auto"/>
                <w:kern w:val="0"/>
                <w:sz w:val="24"/>
                <w:szCs w:val="24"/>
              </w:rPr>
            </w:pPr>
          </w:p>
          <w:p>
            <w:pPr>
              <w:spacing w:line="480" w:lineRule="exact"/>
              <w:jc w:val="center"/>
              <w:rPr>
                <w:rFonts w:eastAsia="黑体"/>
                <w:color w:val="auto"/>
                <w:kern w:val="0"/>
                <w:sz w:val="24"/>
                <w:szCs w:val="24"/>
              </w:rPr>
            </w:pPr>
            <w:r>
              <w:rPr>
                <w:rFonts w:hint="eastAsia" w:eastAsia="黑体"/>
                <w:color w:val="auto"/>
                <w:kern w:val="0"/>
                <w:sz w:val="24"/>
                <w:szCs w:val="24"/>
              </w:rPr>
              <w:t>表4-</w:t>
            </w:r>
            <w:r>
              <w:rPr>
                <w:rFonts w:hint="eastAsia" w:eastAsia="黑体"/>
                <w:color w:val="auto"/>
                <w:kern w:val="0"/>
                <w:sz w:val="24"/>
                <w:szCs w:val="24"/>
                <w:lang w:val="en-US" w:eastAsia="zh-CN"/>
              </w:rPr>
              <w:t>10</w:t>
            </w:r>
            <w:r>
              <w:rPr>
                <w:rFonts w:hint="eastAsia" w:eastAsia="黑体"/>
                <w:color w:val="auto"/>
                <w:kern w:val="0"/>
                <w:sz w:val="24"/>
                <w:szCs w:val="24"/>
              </w:rPr>
              <w:t xml:space="preserve">  危险废物贮存场所基本情况表</w:t>
            </w:r>
          </w:p>
          <w:tbl>
            <w:tblPr>
              <w:tblStyle w:val="27"/>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51"/>
              <w:gridCol w:w="1125"/>
              <w:gridCol w:w="859"/>
              <w:gridCol w:w="1217"/>
              <w:gridCol w:w="783"/>
              <w:gridCol w:w="706"/>
              <w:gridCol w:w="619"/>
              <w:gridCol w:w="1017"/>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Align w:val="center"/>
                </w:tcPr>
                <w:p>
                  <w:pPr>
                    <w:topLinePunct/>
                    <w:adjustRightInd w:val="0"/>
                    <w:snapToGrid w:val="0"/>
                    <w:jc w:val="center"/>
                    <w:rPr>
                      <w:color w:val="auto"/>
                      <w:kern w:val="0"/>
                    </w:rPr>
                  </w:pPr>
                  <w:r>
                    <w:rPr>
                      <w:rFonts w:hint="eastAsia"/>
                      <w:color w:val="auto"/>
                      <w:kern w:val="0"/>
                    </w:rPr>
                    <w:t>序号</w:t>
                  </w:r>
                </w:p>
              </w:tc>
              <w:tc>
                <w:tcPr>
                  <w:tcW w:w="380" w:type="pct"/>
                  <w:vAlign w:val="center"/>
                </w:tcPr>
                <w:p>
                  <w:pPr>
                    <w:topLinePunct/>
                    <w:adjustRightInd w:val="0"/>
                    <w:snapToGrid w:val="0"/>
                    <w:jc w:val="center"/>
                    <w:rPr>
                      <w:color w:val="auto"/>
                      <w:kern w:val="0"/>
                    </w:rPr>
                  </w:pPr>
                  <w:r>
                    <w:rPr>
                      <w:rFonts w:hint="eastAsia"/>
                      <w:color w:val="auto"/>
                      <w:kern w:val="0"/>
                    </w:rPr>
                    <w:t>贮存场所名称</w:t>
                  </w:r>
                </w:p>
              </w:tc>
              <w:tc>
                <w:tcPr>
                  <w:tcW w:w="656" w:type="pct"/>
                  <w:vAlign w:val="center"/>
                </w:tcPr>
                <w:p>
                  <w:pPr>
                    <w:topLinePunct/>
                    <w:adjustRightInd w:val="0"/>
                    <w:snapToGrid w:val="0"/>
                    <w:jc w:val="center"/>
                    <w:rPr>
                      <w:color w:val="auto"/>
                      <w:kern w:val="0"/>
                    </w:rPr>
                  </w:pPr>
                  <w:r>
                    <w:rPr>
                      <w:rFonts w:hint="eastAsia"/>
                      <w:color w:val="auto"/>
                      <w:kern w:val="0"/>
                    </w:rPr>
                    <w:t>危险废物名称</w:t>
                  </w:r>
                </w:p>
              </w:tc>
              <w:tc>
                <w:tcPr>
                  <w:tcW w:w="501" w:type="pct"/>
                  <w:vAlign w:val="center"/>
                </w:tcPr>
                <w:p>
                  <w:pPr>
                    <w:topLinePunct/>
                    <w:adjustRightInd w:val="0"/>
                    <w:snapToGrid w:val="0"/>
                    <w:jc w:val="center"/>
                    <w:rPr>
                      <w:color w:val="auto"/>
                      <w:kern w:val="0"/>
                    </w:rPr>
                  </w:pPr>
                  <w:r>
                    <w:rPr>
                      <w:rFonts w:hint="eastAsia"/>
                      <w:color w:val="auto"/>
                      <w:kern w:val="0"/>
                    </w:rPr>
                    <w:t>危险废物类别</w:t>
                  </w:r>
                </w:p>
              </w:tc>
              <w:tc>
                <w:tcPr>
                  <w:tcW w:w="710" w:type="pct"/>
                  <w:vAlign w:val="center"/>
                </w:tcPr>
                <w:p>
                  <w:pPr>
                    <w:topLinePunct/>
                    <w:adjustRightInd w:val="0"/>
                    <w:snapToGrid w:val="0"/>
                    <w:jc w:val="center"/>
                    <w:rPr>
                      <w:color w:val="auto"/>
                      <w:kern w:val="0"/>
                    </w:rPr>
                  </w:pPr>
                  <w:r>
                    <w:rPr>
                      <w:rFonts w:hint="eastAsia"/>
                      <w:color w:val="auto"/>
                      <w:kern w:val="0"/>
                    </w:rPr>
                    <w:t>危险废物代码</w:t>
                  </w:r>
                </w:p>
              </w:tc>
              <w:tc>
                <w:tcPr>
                  <w:tcW w:w="457" w:type="pct"/>
                  <w:vAlign w:val="center"/>
                </w:tcPr>
                <w:p>
                  <w:pPr>
                    <w:topLinePunct/>
                    <w:adjustRightInd w:val="0"/>
                    <w:snapToGrid w:val="0"/>
                    <w:jc w:val="center"/>
                    <w:rPr>
                      <w:color w:val="auto"/>
                      <w:kern w:val="0"/>
                    </w:rPr>
                  </w:pPr>
                  <w:r>
                    <w:rPr>
                      <w:rFonts w:hint="eastAsia"/>
                      <w:color w:val="auto"/>
                      <w:kern w:val="0"/>
                    </w:rPr>
                    <w:t>位置</w:t>
                  </w:r>
                </w:p>
              </w:tc>
              <w:tc>
                <w:tcPr>
                  <w:tcW w:w="412" w:type="pct"/>
                  <w:vAlign w:val="center"/>
                </w:tcPr>
                <w:p>
                  <w:pPr>
                    <w:topLinePunct/>
                    <w:adjustRightInd w:val="0"/>
                    <w:snapToGrid w:val="0"/>
                    <w:jc w:val="center"/>
                    <w:rPr>
                      <w:color w:val="auto"/>
                      <w:kern w:val="0"/>
                    </w:rPr>
                  </w:pPr>
                  <w:r>
                    <w:rPr>
                      <w:rFonts w:hint="eastAsia"/>
                      <w:color w:val="auto"/>
                      <w:kern w:val="0"/>
                    </w:rPr>
                    <w:t>占地面积</w:t>
                  </w:r>
                </w:p>
              </w:tc>
              <w:tc>
                <w:tcPr>
                  <w:tcW w:w="361" w:type="pct"/>
                  <w:vAlign w:val="center"/>
                </w:tcPr>
                <w:p>
                  <w:pPr>
                    <w:topLinePunct/>
                    <w:adjustRightInd w:val="0"/>
                    <w:snapToGrid w:val="0"/>
                    <w:jc w:val="center"/>
                    <w:rPr>
                      <w:color w:val="auto"/>
                      <w:kern w:val="0"/>
                    </w:rPr>
                  </w:pPr>
                  <w:r>
                    <w:rPr>
                      <w:rFonts w:hint="eastAsia"/>
                      <w:color w:val="auto"/>
                      <w:kern w:val="0"/>
                    </w:rPr>
                    <w:t>贮存方式</w:t>
                  </w:r>
                </w:p>
              </w:tc>
              <w:tc>
                <w:tcPr>
                  <w:tcW w:w="593" w:type="pct"/>
                  <w:vAlign w:val="center"/>
                </w:tcPr>
                <w:p>
                  <w:pPr>
                    <w:topLinePunct/>
                    <w:adjustRightInd w:val="0"/>
                    <w:snapToGrid w:val="0"/>
                    <w:jc w:val="center"/>
                    <w:rPr>
                      <w:color w:val="auto"/>
                      <w:kern w:val="0"/>
                    </w:rPr>
                  </w:pPr>
                  <w:r>
                    <w:rPr>
                      <w:rFonts w:hint="eastAsia"/>
                      <w:color w:val="auto"/>
                      <w:kern w:val="0"/>
                    </w:rPr>
                    <w:t>贮存</w:t>
                  </w:r>
                </w:p>
                <w:p>
                  <w:pPr>
                    <w:topLinePunct/>
                    <w:adjustRightInd w:val="0"/>
                    <w:snapToGrid w:val="0"/>
                    <w:jc w:val="center"/>
                    <w:rPr>
                      <w:color w:val="auto"/>
                      <w:kern w:val="0"/>
                    </w:rPr>
                  </w:pPr>
                  <w:r>
                    <w:rPr>
                      <w:rFonts w:hint="eastAsia"/>
                      <w:color w:val="auto"/>
                      <w:kern w:val="0"/>
                    </w:rPr>
                    <w:t>能力</w:t>
                  </w:r>
                </w:p>
              </w:tc>
              <w:tc>
                <w:tcPr>
                  <w:tcW w:w="676" w:type="pct"/>
                  <w:vAlign w:val="center"/>
                </w:tcPr>
                <w:p>
                  <w:pPr>
                    <w:topLinePunct/>
                    <w:adjustRightInd w:val="0"/>
                    <w:snapToGrid w:val="0"/>
                    <w:jc w:val="center"/>
                    <w:rPr>
                      <w:color w:val="auto"/>
                      <w:kern w:val="0"/>
                    </w:rPr>
                  </w:pPr>
                  <w:r>
                    <w:rPr>
                      <w:rFonts w:hint="eastAsia"/>
                      <w:color w:val="auto"/>
                      <w:kern w:val="0"/>
                    </w:rPr>
                    <w:t>贮存</w:t>
                  </w:r>
                </w:p>
                <w:p>
                  <w:pPr>
                    <w:topLinePunct/>
                    <w:adjustRightInd w:val="0"/>
                    <w:snapToGrid w:val="0"/>
                    <w:jc w:val="center"/>
                    <w:rPr>
                      <w:color w:val="auto"/>
                      <w:kern w:val="0"/>
                    </w:rPr>
                  </w:pPr>
                  <w:r>
                    <w:rPr>
                      <w:rFonts w:hint="eastAsia"/>
                      <w:color w:val="auto"/>
                      <w:kern w:val="0"/>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248" w:type="pct"/>
                  <w:vMerge w:val="restart"/>
                  <w:vAlign w:val="center"/>
                </w:tcPr>
                <w:p>
                  <w:pPr>
                    <w:topLinePunct/>
                    <w:adjustRightInd w:val="0"/>
                    <w:snapToGrid w:val="0"/>
                    <w:jc w:val="center"/>
                    <w:rPr>
                      <w:color w:val="auto"/>
                      <w:kern w:val="0"/>
                    </w:rPr>
                  </w:pPr>
                  <w:r>
                    <w:rPr>
                      <w:rFonts w:hint="eastAsia"/>
                      <w:color w:val="auto"/>
                      <w:kern w:val="0"/>
                    </w:rPr>
                    <w:t>1</w:t>
                  </w:r>
                </w:p>
              </w:tc>
              <w:tc>
                <w:tcPr>
                  <w:tcW w:w="380" w:type="pct"/>
                  <w:vMerge w:val="restart"/>
                  <w:vAlign w:val="center"/>
                </w:tcPr>
                <w:p>
                  <w:pPr>
                    <w:topLinePunct/>
                    <w:adjustRightInd w:val="0"/>
                    <w:snapToGrid w:val="0"/>
                    <w:jc w:val="center"/>
                    <w:rPr>
                      <w:color w:val="auto"/>
                      <w:kern w:val="0"/>
                    </w:rPr>
                  </w:pPr>
                  <w:r>
                    <w:rPr>
                      <w:rFonts w:hint="eastAsia"/>
                      <w:color w:val="auto"/>
                      <w:kern w:val="0"/>
                    </w:rPr>
                    <w:t>危废暂存间</w:t>
                  </w:r>
                </w:p>
              </w:tc>
              <w:tc>
                <w:tcPr>
                  <w:tcW w:w="656" w:type="pct"/>
                  <w:vAlign w:val="center"/>
                </w:tcPr>
                <w:p>
                  <w:pPr>
                    <w:pStyle w:val="83"/>
                    <w:widowControl/>
                    <w:snapToGrid/>
                    <w:spacing w:line="240" w:lineRule="auto"/>
                    <w:ind w:firstLine="0" w:firstLineChars="0"/>
                    <w:rPr>
                      <w:color w:val="auto"/>
                      <w:kern w:val="0"/>
                      <w:szCs w:val="21"/>
                    </w:rPr>
                  </w:pPr>
                  <w:r>
                    <w:rPr>
                      <w:rFonts w:hint="eastAsia"/>
                      <w:color w:val="auto"/>
                      <w:sz w:val="21"/>
                      <w:szCs w:val="21"/>
                    </w:rPr>
                    <w:t>废机油</w:t>
                  </w:r>
                </w:p>
              </w:tc>
              <w:tc>
                <w:tcPr>
                  <w:tcW w:w="501" w:type="pct"/>
                  <w:vAlign w:val="center"/>
                </w:tcPr>
                <w:p>
                  <w:pPr>
                    <w:pStyle w:val="83"/>
                    <w:widowControl/>
                    <w:snapToGrid/>
                    <w:spacing w:line="240" w:lineRule="auto"/>
                    <w:ind w:firstLine="0" w:firstLineChars="0"/>
                    <w:rPr>
                      <w:color w:val="auto"/>
                      <w:kern w:val="0"/>
                      <w:szCs w:val="21"/>
                    </w:rPr>
                  </w:pPr>
                  <w:r>
                    <w:rPr>
                      <w:rFonts w:hint="eastAsia"/>
                      <w:color w:val="auto"/>
                      <w:sz w:val="21"/>
                      <w:szCs w:val="21"/>
                    </w:rPr>
                    <w:t>HW08</w:t>
                  </w:r>
                </w:p>
              </w:tc>
              <w:tc>
                <w:tcPr>
                  <w:tcW w:w="710" w:type="pct"/>
                  <w:vAlign w:val="center"/>
                </w:tcPr>
                <w:p>
                  <w:pPr>
                    <w:pStyle w:val="83"/>
                    <w:widowControl/>
                    <w:snapToGrid/>
                    <w:spacing w:line="240" w:lineRule="auto"/>
                    <w:ind w:firstLine="0" w:firstLineChars="0"/>
                    <w:rPr>
                      <w:rFonts w:hint="eastAsia"/>
                      <w:color w:val="auto"/>
                      <w:sz w:val="21"/>
                      <w:szCs w:val="21"/>
                    </w:rPr>
                  </w:pPr>
                  <w:r>
                    <w:rPr>
                      <w:rFonts w:hint="eastAsia"/>
                      <w:color w:val="auto"/>
                      <w:sz w:val="21"/>
                      <w:szCs w:val="21"/>
                    </w:rPr>
                    <w:t>900-214-08</w:t>
                  </w:r>
                </w:p>
                <w:p>
                  <w:pPr>
                    <w:pStyle w:val="83"/>
                    <w:widowControl/>
                    <w:snapToGrid/>
                    <w:spacing w:line="240" w:lineRule="auto"/>
                    <w:ind w:firstLine="0" w:firstLineChars="0"/>
                    <w:rPr>
                      <w:rFonts w:hint="eastAsia" w:ascii="Times New Roman" w:hAnsi="Times New Roman" w:eastAsia="宋体" w:cs="Times New Roman"/>
                      <w:color w:val="auto"/>
                      <w:kern w:val="32"/>
                      <w:sz w:val="21"/>
                      <w:szCs w:val="21"/>
                      <w:lang w:val="en-US" w:eastAsia="zh-CN" w:bidi="ar-SA"/>
                    </w:rPr>
                  </w:pPr>
                  <w:r>
                    <w:rPr>
                      <w:rFonts w:hint="eastAsia"/>
                      <w:color w:val="auto"/>
                      <w:sz w:val="21"/>
                      <w:szCs w:val="21"/>
                      <w:lang w:val="en-US" w:eastAsia="zh-CN"/>
                    </w:rPr>
                    <w:t>900-220-08</w:t>
                  </w:r>
                </w:p>
              </w:tc>
              <w:tc>
                <w:tcPr>
                  <w:tcW w:w="457" w:type="pct"/>
                  <w:vMerge w:val="restart"/>
                  <w:vAlign w:val="center"/>
                </w:tcPr>
                <w:p>
                  <w:pPr>
                    <w:topLinePunct/>
                    <w:adjustRightInd w:val="0"/>
                    <w:snapToGrid w:val="0"/>
                    <w:jc w:val="center"/>
                    <w:rPr>
                      <w:color w:val="auto"/>
                      <w:kern w:val="0"/>
                    </w:rPr>
                  </w:pPr>
                  <w:r>
                    <w:rPr>
                      <w:rFonts w:hint="eastAsia"/>
                      <w:color w:val="auto"/>
                      <w:kern w:val="0"/>
                    </w:rPr>
                    <w:t>位于</w:t>
                  </w:r>
                  <w:r>
                    <w:rPr>
                      <w:rFonts w:hint="eastAsia"/>
                      <w:color w:val="auto"/>
                      <w:kern w:val="0"/>
                      <w:lang w:val="en-US" w:eastAsia="zh-CN"/>
                    </w:rPr>
                    <w:t>维修间东</w:t>
                  </w:r>
                  <w:r>
                    <w:rPr>
                      <w:rFonts w:hint="eastAsia"/>
                      <w:color w:val="auto"/>
                      <w:kern w:val="0"/>
                    </w:rPr>
                    <w:t>侧</w:t>
                  </w:r>
                </w:p>
              </w:tc>
              <w:tc>
                <w:tcPr>
                  <w:tcW w:w="412" w:type="pct"/>
                  <w:vMerge w:val="restart"/>
                  <w:vAlign w:val="center"/>
                </w:tcPr>
                <w:p>
                  <w:pPr>
                    <w:topLinePunct/>
                    <w:adjustRightInd w:val="0"/>
                    <w:snapToGrid w:val="0"/>
                    <w:jc w:val="center"/>
                    <w:rPr>
                      <w:color w:val="auto"/>
                      <w:kern w:val="0"/>
                    </w:rPr>
                  </w:pPr>
                  <w:r>
                    <w:rPr>
                      <w:rFonts w:hint="eastAsia"/>
                      <w:color w:val="auto"/>
                      <w:kern w:val="0"/>
                      <w:lang w:val="en-US" w:eastAsia="zh-CN"/>
                    </w:rPr>
                    <w:t>20</w:t>
                  </w:r>
                  <w:r>
                    <w:rPr>
                      <w:rFonts w:hint="eastAsia"/>
                      <w:color w:val="auto"/>
                      <w:kern w:val="0"/>
                    </w:rPr>
                    <w:t>m</w:t>
                  </w:r>
                  <w:r>
                    <w:rPr>
                      <w:rFonts w:hint="eastAsia"/>
                      <w:color w:val="auto"/>
                      <w:kern w:val="0"/>
                      <w:vertAlign w:val="superscript"/>
                    </w:rPr>
                    <w:t>2</w:t>
                  </w:r>
                </w:p>
              </w:tc>
              <w:tc>
                <w:tcPr>
                  <w:tcW w:w="361" w:type="pct"/>
                  <w:vAlign w:val="center"/>
                </w:tcPr>
                <w:p>
                  <w:pPr>
                    <w:topLinePunct/>
                    <w:adjustRightInd w:val="0"/>
                    <w:snapToGrid w:val="0"/>
                    <w:jc w:val="center"/>
                    <w:rPr>
                      <w:color w:val="auto"/>
                      <w:kern w:val="0"/>
                    </w:rPr>
                  </w:pPr>
                  <w:r>
                    <w:rPr>
                      <w:rFonts w:hint="eastAsia"/>
                      <w:color w:val="auto"/>
                      <w:kern w:val="0"/>
                    </w:rPr>
                    <w:t>桶装</w:t>
                  </w:r>
                </w:p>
              </w:tc>
              <w:tc>
                <w:tcPr>
                  <w:tcW w:w="593" w:type="pct"/>
                  <w:vAlign w:val="center"/>
                </w:tcPr>
                <w:p>
                  <w:pPr>
                    <w:topLinePunct/>
                    <w:adjustRightInd w:val="0"/>
                    <w:snapToGrid w:val="0"/>
                    <w:jc w:val="center"/>
                    <w:rPr>
                      <w:color w:val="auto"/>
                      <w:kern w:val="0"/>
                    </w:rPr>
                  </w:pPr>
                  <w:r>
                    <w:rPr>
                      <w:rFonts w:hint="eastAsia"/>
                      <w:color w:val="auto"/>
                      <w:kern w:val="0"/>
                      <w:lang w:val="en-US" w:eastAsia="zh-CN"/>
                    </w:rPr>
                    <w:t>1</w:t>
                  </w:r>
                  <w:r>
                    <w:rPr>
                      <w:rFonts w:hint="eastAsia"/>
                      <w:color w:val="auto"/>
                      <w:kern w:val="0"/>
                    </w:rPr>
                    <w:t>t</w:t>
                  </w:r>
                </w:p>
              </w:tc>
              <w:tc>
                <w:tcPr>
                  <w:tcW w:w="676" w:type="pct"/>
                  <w:vAlign w:val="center"/>
                </w:tcPr>
                <w:p>
                  <w:pPr>
                    <w:topLinePunct/>
                    <w:adjustRightInd w:val="0"/>
                    <w:snapToGrid w:val="0"/>
                    <w:jc w:val="center"/>
                    <w:rPr>
                      <w:color w:val="auto"/>
                      <w:kern w:val="0"/>
                    </w:rPr>
                  </w:pPr>
                  <w:r>
                    <w:rPr>
                      <w:rFonts w:hint="eastAsia"/>
                      <w:color w:val="auto"/>
                      <w:kern w:val="0"/>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vAlign w:val="center"/>
                </w:tcPr>
                <w:p>
                  <w:pPr>
                    <w:topLinePunct/>
                    <w:adjustRightInd w:val="0"/>
                    <w:snapToGrid w:val="0"/>
                    <w:jc w:val="center"/>
                    <w:rPr>
                      <w:color w:val="auto"/>
                      <w:kern w:val="0"/>
                    </w:rPr>
                  </w:pPr>
                </w:p>
              </w:tc>
              <w:tc>
                <w:tcPr>
                  <w:tcW w:w="380" w:type="pct"/>
                  <w:vMerge w:val="continue"/>
                  <w:vAlign w:val="center"/>
                </w:tcPr>
                <w:p>
                  <w:pPr>
                    <w:topLinePunct/>
                    <w:adjustRightInd w:val="0"/>
                    <w:snapToGrid w:val="0"/>
                    <w:jc w:val="center"/>
                    <w:rPr>
                      <w:color w:val="auto"/>
                      <w:kern w:val="0"/>
                    </w:rPr>
                  </w:pPr>
                </w:p>
              </w:tc>
              <w:tc>
                <w:tcPr>
                  <w:tcW w:w="656" w:type="pct"/>
                  <w:vAlign w:val="center"/>
                </w:tcPr>
                <w:p>
                  <w:pPr>
                    <w:pStyle w:val="83"/>
                    <w:widowControl/>
                    <w:snapToGrid/>
                    <w:spacing w:line="240" w:lineRule="auto"/>
                    <w:ind w:firstLine="0" w:firstLineChars="0"/>
                    <w:rPr>
                      <w:color w:val="auto"/>
                      <w:kern w:val="0"/>
                      <w:szCs w:val="21"/>
                    </w:rPr>
                  </w:pPr>
                  <w:r>
                    <w:rPr>
                      <w:rFonts w:hint="eastAsia"/>
                      <w:color w:val="auto"/>
                      <w:sz w:val="21"/>
                      <w:szCs w:val="21"/>
                    </w:rPr>
                    <w:t>废棉纱、废手套、废机油桶</w:t>
                  </w:r>
                </w:p>
              </w:tc>
              <w:tc>
                <w:tcPr>
                  <w:tcW w:w="501" w:type="pct"/>
                  <w:vAlign w:val="center"/>
                </w:tcPr>
                <w:p>
                  <w:pPr>
                    <w:pStyle w:val="83"/>
                    <w:widowControl/>
                    <w:snapToGrid/>
                    <w:spacing w:line="240" w:lineRule="auto"/>
                    <w:ind w:firstLine="0" w:firstLineChars="0"/>
                    <w:rPr>
                      <w:color w:val="auto"/>
                      <w:kern w:val="0"/>
                      <w:szCs w:val="21"/>
                    </w:rPr>
                  </w:pPr>
                  <w:r>
                    <w:rPr>
                      <w:rFonts w:hint="eastAsia"/>
                      <w:color w:val="auto"/>
                      <w:sz w:val="21"/>
                      <w:szCs w:val="21"/>
                    </w:rPr>
                    <w:t>HW08</w:t>
                  </w:r>
                </w:p>
              </w:tc>
              <w:tc>
                <w:tcPr>
                  <w:tcW w:w="710" w:type="pct"/>
                  <w:vAlign w:val="center"/>
                </w:tcPr>
                <w:p>
                  <w:pPr>
                    <w:pStyle w:val="83"/>
                    <w:widowControl/>
                    <w:snapToGrid/>
                    <w:spacing w:line="240" w:lineRule="auto"/>
                    <w:ind w:firstLine="0" w:firstLineChars="0"/>
                    <w:rPr>
                      <w:color w:val="auto"/>
                      <w:kern w:val="0"/>
                      <w:szCs w:val="21"/>
                    </w:rPr>
                  </w:pPr>
                  <w:r>
                    <w:rPr>
                      <w:rFonts w:hint="eastAsia"/>
                      <w:color w:val="auto"/>
                      <w:sz w:val="21"/>
                      <w:szCs w:val="21"/>
                    </w:rPr>
                    <w:t>900-249-08</w:t>
                  </w:r>
                </w:p>
              </w:tc>
              <w:tc>
                <w:tcPr>
                  <w:tcW w:w="457" w:type="pct"/>
                  <w:vMerge w:val="continue"/>
                  <w:vAlign w:val="center"/>
                </w:tcPr>
                <w:p>
                  <w:pPr>
                    <w:topLinePunct/>
                    <w:adjustRightInd w:val="0"/>
                    <w:snapToGrid w:val="0"/>
                    <w:jc w:val="center"/>
                    <w:rPr>
                      <w:color w:val="auto"/>
                      <w:kern w:val="0"/>
                    </w:rPr>
                  </w:pPr>
                </w:p>
              </w:tc>
              <w:tc>
                <w:tcPr>
                  <w:tcW w:w="412" w:type="pct"/>
                  <w:vMerge w:val="continue"/>
                  <w:vAlign w:val="center"/>
                </w:tcPr>
                <w:p>
                  <w:pPr>
                    <w:topLinePunct/>
                    <w:adjustRightInd w:val="0"/>
                    <w:snapToGrid w:val="0"/>
                    <w:jc w:val="center"/>
                    <w:rPr>
                      <w:color w:val="auto"/>
                      <w:kern w:val="0"/>
                    </w:rPr>
                  </w:pPr>
                </w:p>
              </w:tc>
              <w:tc>
                <w:tcPr>
                  <w:tcW w:w="361" w:type="pct"/>
                  <w:vAlign w:val="center"/>
                </w:tcPr>
                <w:p>
                  <w:pPr>
                    <w:topLinePunct/>
                    <w:adjustRightInd w:val="0"/>
                    <w:snapToGrid w:val="0"/>
                    <w:jc w:val="center"/>
                    <w:rPr>
                      <w:color w:val="auto"/>
                      <w:kern w:val="0"/>
                    </w:rPr>
                  </w:pPr>
                  <w:r>
                    <w:rPr>
                      <w:rFonts w:hint="eastAsia"/>
                      <w:color w:val="auto"/>
                      <w:kern w:val="0"/>
                    </w:rPr>
                    <w:t>桶装</w:t>
                  </w:r>
                </w:p>
              </w:tc>
              <w:tc>
                <w:tcPr>
                  <w:tcW w:w="593" w:type="pct"/>
                  <w:vAlign w:val="center"/>
                </w:tcPr>
                <w:p>
                  <w:pPr>
                    <w:topLinePunct/>
                    <w:adjustRightInd w:val="0"/>
                    <w:snapToGrid w:val="0"/>
                    <w:jc w:val="center"/>
                    <w:rPr>
                      <w:color w:val="auto"/>
                      <w:kern w:val="0"/>
                    </w:rPr>
                  </w:pPr>
                  <w:r>
                    <w:rPr>
                      <w:rFonts w:hint="eastAsia"/>
                      <w:color w:val="auto"/>
                      <w:kern w:val="0"/>
                    </w:rPr>
                    <w:t>0.</w:t>
                  </w:r>
                  <w:r>
                    <w:rPr>
                      <w:rFonts w:hint="eastAsia"/>
                      <w:color w:val="auto"/>
                      <w:kern w:val="0"/>
                      <w:lang w:val="en-US" w:eastAsia="zh-CN"/>
                    </w:rPr>
                    <w:t>1</w:t>
                  </w:r>
                  <w:r>
                    <w:rPr>
                      <w:rFonts w:hint="eastAsia"/>
                      <w:color w:val="auto"/>
                      <w:kern w:val="0"/>
                    </w:rPr>
                    <w:t>t</w:t>
                  </w:r>
                </w:p>
              </w:tc>
              <w:tc>
                <w:tcPr>
                  <w:tcW w:w="676" w:type="pct"/>
                  <w:vAlign w:val="center"/>
                </w:tcPr>
                <w:p>
                  <w:pPr>
                    <w:topLinePunct/>
                    <w:adjustRightInd w:val="0"/>
                    <w:snapToGrid w:val="0"/>
                    <w:jc w:val="center"/>
                    <w:rPr>
                      <w:color w:val="auto"/>
                      <w:kern w:val="0"/>
                    </w:rPr>
                  </w:pPr>
                  <w:r>
                    <w:rPr>
                      <w:rFonts w:hint="eastAsia"/>
                      <w:color w:val="auto"/>
                      <w:kern w:val="0"/>
                    </w:rPr>
                    <w:t>1a</w:t>
                  </w:r>
                </w:p>
              </w:tc>
            </w:tr>
          </w:tbl>
          <w:p>
            <w:pPr>
              <w:spacing w:line="480" w:lineRule="exact"/>
              <w:ind w:firstLine="480" w:firstLineChars="200"/>
              <w:rPr>
                <w:color w:val="auto"/>
                <w:sz w:val="24"/>
                <w:szCs w:val="24"/>
              </w:rPr>
            </w:pPr>
            <w:r>
              <w:rPr>
                <w:rFonts w:hint="eastAsia"/>
                <w:color w:val="auto"/>
                <w:sz w:val="24"/>
                <w:szCs w:val="24"/>
              </w:rPr>
              <w:t>B危险废物暂存间基础必须防渗，防渗层采用2mm厚高密度聚乙烯，或至少2mm厚的其它人工材料，渗透系数≤10</w:t>
            </w:r>
            <w:r>
              <w:rPr>
                <w:rFonts w:hint="eastAsia"/>
                <w:color w:val="auto"/>
                <w:sz w:val="24"/>
                <w:szCs w:val="24"/>
                <w:vertAlign w:val="superscript"/>
              </w:rPr>
              <w:t>-10</w:t>
            </w:r>
            <w:r>
              <w:rPr>
                <w:rFonts w:hint="eastAsia"/>
                <w:color w:val="auto"/>
                <w:sz w:val="24"/>
                <w:szCs w:val="24"/>
              </w:rPr>
              <w:t>cm/s。</w:t>
            </w:r>
          </w:p>
          <w:p>
            <w:pPr>
              <w:spacing w:line="480" w:lineRule="exact"/>
              <w:ind w:firstLine="480" w:firstLineChars="200"/>
              <w:rPr>
                <w:rFonts w:hint="eastAsia"/>
                <w:color w:val="auto"/>
                <w:sz w:val="24"/>
                <w:szCs w:val="24"/>
              </w:rPr>
            </w:pPr>
            <w:r>
              <w:rPr>
                <w:rFonts w:hint="eastAsia"/>
                <w:color w:val="auto"/>
                <w:sz w:val="24"/>
                <w:szCs w:val="24"/>
              </w:rPr>
              <w:t>C盛装危险废物的容器上必须粘贴符合《危险废物贮存污染控制标准》（GB18597-2001）附录A所示的标签，具体如下图。应当使用符合标准的容器盛装危险废物；装载危险废物的容器及材质要满足相应的强度要求，必须完好无损；容器材质与衬里要与危险废物相容；液体危险废物可注入开孔直径不超过70mm并有放气孔的桶中；</w:t>
            </w:r>
          </w:p>
          <w:p>
            <w:pPr>
              <w:spacing w:line="480" w:lineRule="exact"/>
              <w:ind w:firstLine="480" w:firstLineChars="200"/>
              <w:rPr>
                <w:color w:val="auto"/>
                <w:sz w:val="24"/>
                <w:szCs w:val="24"/>
              </w:rPr>
            </w:pPr>
            <w:r>
              <w:rPr>
                <w:rFonts w:hint="eastAsia"/>
                <w:color w:val="auto"/>
                <w:sz w:val="24"/>
                <w:szCs w:val="24"/>
              </w:rPr>
              <w:t>D危险废物暂存库房不得接收未粘贴上述规定的标签或标签填写不规范的危险废物；</w:t>
            </w:r>
          </w:p>
          <w:p>
            <w:pPr>
              <w:spacing w:line="480" w:lineRule="exact"/>
              <w:ind w:firstLine="480" w:firstLineChars="200"/>
              <w:rPr>
                <w:rFonts w:hint="eastAsia"/>
                <w:color w:val="auto"/>
                <w:sz w:val="24"/>
                <w:szCs w:val="24"/>
              </w:rPr>
            </w:pPr>
            <w:r>
              <w:rPr>
                <w:rFonts w:hint="eastAsia"/>
                <w:color w:val="auto"/>
                <w:sz w:val="24"/>
                <w:szCs w:val="24"/>
              </w:rPr>
              <w:t>E必须作好危险废物记录，记录上须注明危险废物的名称、来源、数量、特性和包装容器的类别、入库日期、存放库位、废物出库日期及接收单位名称；危险废物的记录和货单在危险废物回取后应继续保留五年；所有危险废物在厂内暂存不得超过一年。</w:t>
            </w:r>
          </w:p>
          <w:p>
            <w:pPr>
              <w:jc w:val="center"/>
              <w:rPr>
                <w:color w:val="auto"/>
                <w:sz w:val="24"/>
                <w:szCs w:val="24"/>
              </w:rPr>
            </w:pPr>
            <w:r>
              <w:rPr>
                <w:rFonts w:hint="eastAsia"/>
                <w:color w:val="auto"/>
                <w:sz w:val="24"/>
                <w:szCs w:val="24"/>
              </w:rPr>
              <w:drawing>
                <wp:inline distT="0" distB="0" distL="0" distR="0">
                  <wp:extent cx="3315970" cy="1878330"/>
                  <wp:effectExtent l="0" t="0" r="17780" b="762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19">
                            <a:extLst>
                              <a:ext uri="{28A0092B-C50C-407E-A947-70E740481C1C}">
                                <a14:useLocalDpi xmlns:a14="http://schemas.microsoft.com/office/drawing/2010/main" val="0"/>
                              </a:ext>
                            </a:extLst>
                          </a:blip>
                          <a:srcRect r="1169" b="1653"/>
                          <a:stretch>
                            <a:fillRect/>
                          </a:stretch>
                        </pic:blipFill>
                        <pic:spPr>
                          <a:xfrm>
                            <a:off x="0" y="0"/>
                            <a:ext cx="3315970" cy="1878330"/>
                          </a:xfrm>
                          <a:prstGeom prst="rect">
                            <a:avLst/>
                          </a:prstGeom>
                          <a:noFill/>
                          <a:ln>
                            <a:noFill/>
                          </a:ln>
                        </pic:spPr>
                      </pic:pic>
                    </a:graphicData>
                  </a:graphic>
                </wp:inline>
              </w:drawing>
            </w:r>
          </w:p>
          <w:p>
            <w:pPr>
              <w:spacing w:line="480" w:lineRule="exact"/>
              <w:jc w:val="center"/>
              <w:rPr>
                <w:rFonts w:hint="eastAsia" w:eastAsia="黑体"/>
                <w:color w:val="auto"/>
                <w:sz w:val="24"/>
                <w:szCs w:val="24"/>
              </w:rPr>
            </w:pPr>
            <w:r>
              <w:rPr>
                <w:rFonts w:hint="eastAsia" w:eastAsia="黑体"/>
                <w:color w:val="auto"/>
                <w:sz w:val="24"/>
                <w:szCs w:val="24"/>
              </w:rPr>
              <w:t>图4-</w:t>
            </w:r>
            <w:r>
              <w:rPr>
                <w:rFonts w:hint="eastAsia" w:eastAsia="黑体"/>
                <w:color w:val="auto"/>
                <w:sz w:val="24"/>
                <w:szCs w:val="24"/>
                <w:lang w:val="en-US" w:eastAsia="zh-CN"/>
              </w:rPr>
              <w:t>1</w:t>
            </w:r>
            <w:r>
              <w:rPr>
                <w:rFonts w:hint="eastAsia" w:eastAsia="黑体"/>
                <w:color w:val="auto"/>
                <w:sz w:val="24"/>
                <w:szCs w:val="24"/>
              </w:rPr>
              <w:t xml:space="preserve">  危险废物容器标签</w:t>
            </w:r>
          </w:p>
          <w:p>
            <w:pPr>
              <w:jc w:val="center"/>
              <w:rPr>
                <w:color w:val="auto"/>
                <w:sz w:val="24"/>
                <w:szCs w:val="24"/>
              </w:rPr>
            </w:pPr>
            <w:r>
              <w:rPr>
                <w:rFonts w:hint="eastAsia"/>
                <w:color w:val="auto"/>
                <w:sz w:val="24"/>
                <w:szCs w:val="24"/>
              </w:rPr>
              <w:drawing>
                <wp:inline distT="0" distB="0" distL="0" distR="0">
                  <wp:extent cx="4328795" cy="1706245"/>
                  <wp:effectExtent l="0" t="0" r="14605" b="825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28795" cy="1706245"/>
                          </a:xfrm>
                          <a:prstGeom prst="rect">
                            <a:avLst/>
                          </a:prstGeom>
                          <a:noFill/>
                          <a:ln>
                            <a:noFill/>
                          </a:ln>
                        </pic:spPr>
                      </pic:pic>
                    </a:graphicData>
                  </a:graphic>
                </wp:inline>
              </w:drawing>
            </w:r>
          </w:p>
          <w:p>
            <w:pPr>
              <w:spacing w:line="480" w:lineRule="exact"/>
              <w:jc w:val="center"/>
              <w:rPr>
                <w:rFonts w:eastAsia="黑体"/>
                <w:color w:val="auto"/>
                <w:sz w:val="24"/>
                <w:szCs w:val="24"/>
              </w:rPr>
            </w:pPr>
            <w:r>
              <w:rPr>
                <w:rFonts w:hint="eastAsia" w:eastAsia="黑体"/>
                <w:color w:val="auto"/>
                <w:sz w:val="24"/>
                <w:szCs w:val="24"/>
              </w:rPr>
              <w:t>图4-</w:t>
            </w:r>
            <w:r>
              <w:rPr>
                <w:rFonts w:hint="eastAsia" w:eastAsia="黑体"/>
                <w:color w:val="auto"/>
                <w:sz w:val="24"/>
                <w:szCs w:val="24"/>
                <w:lang w:val="en-US" w:eastAsia="zh-CN"/>
              </w:rPr>
              <w:t>2</w:t>
            </w:r>
            <w:r>
              <w:rPr>
                <w:rFonts w:hint="eastAsia" w:eastAsia="黑体"/>
                <w:color w:val="auto"/>
                <w:sz w:val="24"/>
                <w:szCs w:val="24"/>
              </w:rPr>
              <w:t xml:space="preserve">  警示标志及要求</w:t>
            </w:r>
          </w:p>
          <w:p>
            <w:pPr>
              <w:spacing w:line="480" w:lineRule="exact"/>
              <w:ind w:firstLine="480" w:firstLineChars="200"/>
              <w:rPr>
                <w:color w:val="auto"/>
                <w:sz w:val="24"/>
                <w:szCs w:val="24"/>
              </w:rPr>
            </w:pPr>
            <w:r>
              <w:rPr>
                <w:rFonts w:hint="eastAsia"/>
                <w:color w:val="auto"/>
                <w:sz w:val="24"/>
                <w:szCs w:val="24"/>
              </w:rPr>
              <w:t>F必须定期对所贮存的危险废物包装容器及贮存设施进行检查，发现破损，应及时采取措施清理更换；</w:t>
            </w:r>
          </w:p>
          <w:p>
            <w:pPr>
              <w:spacing w:line="480" w:lineRule="exact"/>
              <w:ind w:firstLine="480" w:firstLineChars="200"/>
              <w:rPr>
                <w:color w:val="auto"/>
                <w:sz w:val="24"/>
                <w:szCs w:val="24"/>
              </w:rPr>
            </w:pPr>
            <w:r>
              <w:rPr>
                <w:rFonts w:hint="eastAsia"/>
                <w:color w:val="auto"/>
                <w:sz w:val="24"/>
                <w:szCs w:val="24"/>
              </w:rPr>
              <w:t xml:space="preserve">G危险废物贮存库房设置灭火器等防火设备，做好火灾的预防工作。 </w:t>
            </w:r>
          </w:p>
          <w:p>
            <w:pPr>
              <w:spacing w:line="480" w:lineRule="exact"/>
              <w:ind w:firstLine="482" w:firstLineChars="200"/>
              <w:rPr>
                <w:b/>
                <w:bCs/>
                <w:color w:val="auto"/>
                <w:sz w:val="24"/>
                <w:szCs w:val="24"/>
              </w:rPr>
            </w:pPr>
            <w:r>
              <w:rPr>
                <w:rFonts w:hint="eastAsia"/>
                <w:b/>
                <w:bCs/>
                <w:color w:val="auto"/>
                <w:sz w:val="24"/>
                <w:szCs w:val="24"/>
              </w:rPr>
              <w:fldChar w:fldCharType="begin"/>
            </w:r>
            <w:r>
              <w:rPr>
                <w:rFonts w:hint="eastAsia"/>
                <w:b/>
                <w:bCs/>
                <w:color w:val="auto"/>
                <w:sz w:val="24"/>
                <w:szCs w:val="24"/>
              </w:rPr>
              <w:instrText xml:space="preserve"> = 2 \* GB3 </w:instrText>
            </w:r>
            <w:r>
              <w:rPr>
                <w:rFonts w:hint="eastAsia"/>
                <w:b/>
                <w:bCs/>
                <w:color w:val="auto"/>
                <w:sz w:val="24"/>
                <w:szCs w:val="24"/>
              </w:rPr>
              <w:fldChar w:fldCharType="separate"/>
            </w:r>
            <w:r>
              <w:rPr>
                <w:rFonts w:hint="eastAsia"/>
                <w:b/>
                <w:bCs/>
                <w:color w:val="auto"/>
                <w:sz w:val="24"/>
                <w:szCs w:val="24"/>
                <w:lang w:val="zh-CN"/>
              </w:rPr>
              <w:t>②</w:t>
            </w:r>
            <w:r>
              <w:rPr>
                <w:rFonts w:hint="eastAsia"/>
                <w:b/>
                <w:bCs/>
                <w:color w:val="auto"/>
                <w:sz w:val="24"/>
                <w:szCs w:val="24"/>
              </w:rPr>
              <w:fldChar w:fldCharType="end"/>
            </w:r>
            <w:r>
              <w:rPr>
                <w:rFonts w:hint="eastAsia"/>
                <w:b/>
                <w:bCs/>
                <w:color w:val="auto"/>
                <w:sz w:val="24"/>
                <w:szCs w:val="24"/>
              </w:rPr>
              <w:t>转移要求：</w:t>
            </w:r>
          </w:p>
          <w:p>
            <w:pPr>
              <w:spacing w:line="480" w:lineRule="exact"/>
              <w:ind w:firstLine="480" w:firstLineChars="200"/>
              <w:rPr>
                <w:color w:val="auto"/>
                <w:sz w:val="24"/>
                <w:szCs w:val="24"/>
              </w:rPr>
            </w:pPr>
            <w:r>
              <w:rPr>
                <w:rFonts w:hint="eastAsia"/>
                <w:color w:val="auto"/>
                <w:sz w:val="24"/>
                <w:szCs w:val="24"/>
              </w:rPr>
              <w:t xml:space="preserve">A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 </w:t>
            </w:r>
          </w:p>
          <w:p>
            <w:pPr>
              <w:spacing w:line="480" w:lineRule="exact"/>
              <w:ind w:firstLine="480" w:firstLineChars="200"/>
              <w:rPr>
                <w:color w:val="auto"/>
                <w:sz w:val="24"/>
                <w:szCs w:val="24"/>
              </w:rPr>
            </w:pPr>
            <w:r>
              <w:rPr>
                <w:rFonts w:hint="eastAsia"/>
                <w:color w:val="auto"/>
                <w:sz w:val="24"/>
                <w:szCs w:val="24"/>
              </w:rPr>
              <w:t>B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spacing w:line="480" w:lineRule="exact"/>
              <w:ind w:firstLine="480" w:firstLineChars="200"/>
              <w:rPr>
                <w:color w:val="auto"/>
                <w:sz w:val="24"/>
                <w:szCs w:val="24"/>
              </w:rPr>
            </w:pPr>
            <w:r>
              <w:rPr>
                <w:rFonts w:hint="eastAsia"/>
                <w:color w:val="auto"/>
                <w:sz w:val="24"/>
                <w:szCs w:val="24"/>
              </w:rPr>
              <w:t>C联单保存期限为五年；贮存危险废物的，其联单保存期限与危险废物贮存期限相同。</w:t>
            </w:r>
          </w:p>
          <w:p>
            <w:pPr>
              <w:spacing w:line="480" w:lineRule="exact"/>
              <w:ind w:firstLine="482" w:firstLineChars="200"/>
              <w:rPr>
                <w:b/>
                <w:bCs/>
                <w:color w:val="auto"/>
                <w:sz w:val="24"/>
                <w:szCs w:val="24"/>
              </w:rPr>
            </w:pPr>
            <w:r>
              <w:rPr>
                <w:rFonts w:hint="eastAsia"/>
                <w:b/>
                <w:bCs/>
                <w:color w:val="auto"/>
                <w:sz w:val="24"/>
                <w:szCs w:val="24"/>
              </w:rPr>
              <w:t>③处置要求：</w:t>
            </w:r>
          </w:p>
          <w:p>
            <w:pPr>
              <w:spacing w:line="480" w:lineRule="exact"/>
              <w:ind w:firstLine="480" w:firstLineChars="200"/>
              <w:rPr>
                <w:color w:val="auto"/>
                <w:sz w:val="24"/>
                <w:szCs w:val="24"/>
              </w:rPr>
            </w:pPr>
            <w:r>
              <w:rPr>
                <w:rFonts w:hint="eastAsia"/>
                <w:color w:val="auto"/>
                <w:sz w:val="24"/>
                <w:szCs w:val="24"/>
              </w:rPr>
              <w:t>建设单位拟委托有资质单位对项目运行期间产生的危险废物进行处置。</w:t>
            </w:r>
          </w:p>
          <w:p>
            <w:pPr>
              <w:adjustRightInd w:val="0"/>
              <w:snapToGrid w:val="0"/>
              <w:spacing w:line="480" w:lineRule="exact"/>
              <w:ind w:firstLine="482" w:firstLineChars="200"/>
              <w:rPr>
                <w:color w:val="auto"/>
                <w:sz w:val="24"/>
              </w:rPr>
            </w:pPr>
            <w:r>
              <w:rPr>
                <w:rFonts w:hint="eastAsia"/>
                <w:b/>
                <w:bCs/>
                <w:color w:val="auto"/>
                <w:sz w:val="24"/>
              </w:rPr>
              <w:t>4、运营期</w:t>
            </w:r>
            <w:r>
              <w:rPr>
                <w:rFonts w:hint="eastAsia"/>
                <w:b/>
                <w:color w:val="auto"/>
                <w:sz w:val="24"/>
              </w:rPr>
              <w:t>噪声源及污染防治措施</w:t>
            </w:r>
          </w:p>
          <w:p>
            <w:pPr>
              <w:adjustRightInd w:val="0"/>
              <w:snapToGrid w:val="0"/>
              <w:spacing w:line="480" w:lineRule="exact"/>
              <w:ind w:firstLine="482" w:firstLineChars="200"/>
              <w:rPr>
                <w:bCs/>
                <w:color w:val="auto"/>
                <w:sz w:val="24"/>
              </w:rPr>
            </w:pPr>
            <w:r>
              <w:rPr>
                <w:rFonts w:hint="eastAsia"/>
                <w:b/>
                <w:color w:val="auto"/>
                <w:sz w:val="24"/>
              </w:rPr>
              <w:t>（1）噪声源及污染防治措施</w:t>
            </w:r>
          </w:p>
          <w:p>
            <w:pPr>
              <w:adjustRightInd w:val="0"/>
              <w:snapToGrid w:val="0"/>
              <w:spacing w:line="480" w:lineRule="exact"/>
              <w:ind w:firstLine="480" w:firstLineChars="200"/>
              <w:rPr>
                <w:bCs/>
                <w:color w:val="auto"/>
                <w:sz w:val="24"/>
              </w:rPr>
            </w:pPr>
            <w:r>
              <w:rPr>
                <w:rFonts w:hint="eastAsia"/>
                <w:bCs/>
                <w:color w:val="auto"/>
                <w:sz w:val="24"/>
              </w:rPr>
              <w:t>本项目主要噪声源为</w:t>
            </w:r>
            <w:r>
              <w:rPr>
                <w:rFonts w:hint="eastAsia" w:ascii="宋体" w:hAnsi="宋体" w:cs="宋体"/>
                <w:sz w:val="24"/>
              </w:rPr>
              <w:t>各种泵类、风机、空压机等</w:t>
            </w:r>
            <w:r>
              <w:rPr>
                <w:rFonts w:hint="eastAsia" w:ascii="宋体" w:hAnsi="宋体" w:cs="宋体"/>
                <w:sz w:val="24"/>
                <w:lang w:val="en-US" w:eastAsia="zh-CN"/>
              </w:rPr>
              <w:t>设备</w:t>
            </w:r>
            <w:r>
              <w:rPr>
                <w:rFonts w:hint="eastAsia"/>
                <w:bCs/>
                <w:color w:val="auto"/>
                <w:sz w:val="24"/>
              </w:rPr>
              <w:t>噪声，这些噪声源强为70～</w:t>
            </w:r>
            <w:r>
              <w:rPr>
                <w:rFonts w:hint="eastAsia"/>
                <w:bCs/>
                <w:color w:val="auto"/>
                <w:sz w:val="24"/>
                <w:lang w:val="en-US" w:eastAsia="zh-CN"/>
              </w:rPr>
              <w:t>10</w:t>
            </w:r>
            <w:r>
              <w:rPr>
                <w:rFonts w:hint="eastAsia"/>
                <w:bCs/>
                <w:color w:val="auto"/>
                <w:sz w:val="24"/>
              </w:rPr>
              <w:t>5dB(A)。</w:t>
            </w:r>
          </w:p>
          <w:p>
            <w:pPr>
              <w:pStyle w:val="10"/>
              <w:spacing w:line="480" w:lineRule="exact"/>
              <w:ind w:firstLine="480" w:firstLineChars="200"/>
              <w:rPr>
                <w:color w:val="auto"/>
                <w:sz w:val="24"/>
                <w:szCs w:val="24"/>
              </w:rPr>
            </w:pPr>
            <w:r>
              <w:rPr>
                <w:rFonts w:hint="eastAsia" w:ascii="宋体" w:hAnsi="宋体"/>
                <w:color w:val="auto"/>
                <w:sz w:val="24"/>
                <w:szCs w:val="24"/>
              </w:rPr>
              <w:t>为降低噪声对周围环境的影响，防止噪声影响职工及周围居民正常的生产、生活。针对本工程生产的特点，本次评价提出噪声的防治措施包括以下几方面：</w:t>
            </w:r>
          </w:p>
          <w:p>
            <w:pPr>
              <w:pStyle w:val="10"/>
              <w:spacing w:line="480" w:lineRule="exact"/>
              <w:ind w:firstLine="480" w:firstLineChars="200"/>
              <w:rPr>
                <w:rFonts w:ascii="宋体" w:hAnsi="宋体"/>
                <w:color w:val="auto"/>
                <w:sz w:val="24"/>
                <w:szCs w:val="24"/>
              </w:rPr>
            </w:pPr>
            <w:r>
              <w:rPr>
                <w:rFonts w:hint="eastAsia" w:ascii="宋体" w:hAnsi="宋体"/>
                <w:color w:val="auto"/>
                <w:sz w:val="24"/>
                <w:szCs w:val="24"/>
              </w:rPr>
              <w:t>①从源头上控制噪声产生的级别，设计时应尽可能选择辐射较小、振动小的低噪声设备；同时产噪设备尽量设置于生产车间内，利用车间隔声；以及优化生产布局，使高噪声设备远离噪声敏感点。</w:t>
            </w:r>
          </w:p>
          <w:p>
            <w:pPr>
              <w:pStyle w:val="10"/>
              <w:spacing w:line="480" w:lineRule="exact"/>
              <w:ind w:firstLine="480" w:firstLineChars="200"/>
              <w:rPr>
                <w:rFonts w:ascii="宋体" w:hAnsi="宋体"/>
                <w:color w:val="auto"/>
                <w:sz w:val="24"/>
                <w:szCs w:val="24"/>
              </w:rPr>
            </w:pPr>
            <w:r>
              <w:rPr>
                <w:rFonts w:hint="eastAsia" w:ascii="宋体" w:hAnsi="宋体"/>
                <w:color w:val="auto"/>
                <w:sz w:val="24"/>
                <w:szCs w:val="24"/>
              </w:rPr>
              <w:t>②本工程生产装置中含有泵类等产噪设备，对循环水泵要采用柔性接头和基础减振等措施，安装减振基座、弹簧减振器等。设备应采用橡胶材料等软性连接，避免用钢性接头；</w:t>
            </w:r>
          </w:p>
          <w:p>
            <w:pPr>
              <w:pStyle w:val="10"/>
              <w:spacing w:line="480" w:lineRule="exact"/>
              <w:ind w:firstLine="480" w:firstLineChars="200"/>
              <w:rPr>
                <w:rFonts w:ascii="宋体" w:hAnsi="宋体"/>
                <w:color w:val="auto"/>
                <w:sz w:val="24"/>
                <w:szCs w:val="24"/>
              </w:rPr>
            </w:pPr>
            <w:r>
              <w:rPr>
                <w:rFonts w:hint="eastAsia" w:ascii="宋体" w:hAnsi="宋体"/>
                <w:color w:val="auto"/>
                <w:sz w:val="24"/>
                <w:szCs w:val="24"/>
              </w:rPr>
              <w:t>③对运输车辆采取减速行驶、禁止鸣笛，加强管理等措施；</w:t>
            </w:r>
          </w:p>
          <w:p>
            <w:pPr>
              <w:pStyle w:val="10"/>
              <w:spacing w:line="480" w:lineRule="exact"/>
              <w:ind w:firstLine="480" w:firstLineChars="200"/>
              <w:rPr>
                <w:rFonts w:ascii="宋体" w:hAnsi="宋体"/>
                <w:color w:val="auto"/>
                <w:sz w:val="24"/>
                <w:szCs w:val="24"/>
              </w:rPr>
            </w:pPr>
            <w:r>
              <w:rPr>
                <w:rFonts w:hint="eastAsia" w:ascii="宋体" w:hAnsi="宋体" w:cs="宋体"/>
                <w:color w:val="auto"/>
                <w:sz w:val="24"/>
              </w:rPr>
              <w:t>④</w:t>
            </w:r>
            <w:r>
              <w:rPr>
                <w:rFonts w:hint="eastAsia" w:ascii="宋体" w:hAnsi="宋体"/>
                <w:color w:val="auto"/>
                <w:sz w:val="24"/>
                <w:szCs w:val="24"/>
              </w:rPr>
              <w:t>除采取以上防治措施外，工程还应充分重视操作人员的劳动保护，为其发放耳塞、耳罩，并设置操作人员值班室，避免操作人员长期处于高噪声环境中，从噪声受体保护方面减轻噪声对操作人员的直接影响；</w:t>
            </w:r>
          </w:p>
          <w:p>
            <w:pPr>
              <w:adjustRightInd w:val="0"/>
              <w:snapToGrid w:val="0"/>
              <w:spacing w:line="480" w:lineRule="exact"/>
              <w:ind w:firstLine="480" w:firstLineChars="200"/>
              <w:rPr>
                <w:color w:val="auto"/>
                <w:sz w:val="24"/>
              </w:rPr>
            </w:pPr>
            <w:r>
              <w:rPr>
                <w:rFonts w:hint="eastAsia"/>
                <w:color w:val="auto"/>
                <w:sz w:val="24"/>
              </w:rPr>
              <w:t>⑤重视绿化工作也是噪声防治的一项积极措施。绿化不仅可以美化环境、调节气候，而且还可阻滞噪声传播、吸收尘等污染物，减轻污染。工程应根据当地的气候特点，选取适宜当地生产的树种，种植于高噪声源及厂界四周。</w:t>
            </w:r>
          </w:p>
          <w:p>
            <w:pPr>
              <w:adjustRightInd w:val="0"/>
              <w:snapToGrid w:val="0"/>
              <w:spacing w:line="480" w:lineRule="exact"/>
              <w:ind w:firstLine="480" w:firstLineChars="200"/>
              <w:rPr>
                <w:bCs/>
                <w:color w:val="auto"/>
                <w:sz w:val="24"/>
              </w:rPr>
            </w:pPr>
            <w:r>
              <w:rPr>
                <w:rFonts w:hint="eastAsia"/>
                <w:color w:val="auto"/>
                <w:sz w:val="24"/>
              </w:rPr>
              <w:t>通过采取以上措施后，可降噪10-20dB(A)。</w:t>
            </w:r>
          </w:p>
          <w:p>
            <w:pPr>
              <w:adjustRightInd w:val="0"/>
              <w:snapToGrid w:val="0"/>
              <w:spacing w:line="480" w:lineRule="exact"/>
              <w:ind w:firstLine="480" w:firstLineChars="200"/>
              <w:rPr>
                <w:rFonts w:hint="eastAsia"/>
                <w:color w:val="auto"/>
                <w:sz w:val="24"/>
                <w:lang w:bidi="ar"/>
              </w:rPr>
            </w:pPr>
            <w:r>
              <w:rPr>
                <w:rFonts w:hint="eastAsia"/>
                <w:color w:val="auto"/>
                <w:sz w:val="24"/>
                <w:lang w:bidi="ar"/>
              </w:rPr>
              <w:t>营运期主要噪声源位置及源强见下表。</w:t>
            </w:r>
          </w:p>
          <w:p>
            <w:pPr>
              <w:adjustRightInd w:val="0"/>
              <w:snapToGrid w:val="0"/>
              <w:spacing w:line="480" w:lineRule="exact"/>
              <w:ind w:firstLine="480" w:firstLineChars="200"/>
              <w:rPr>
                <w:rFonts w:hint="eastAsia"/>
                <w:color w:val="auto"/>
                <w:sz w:val="24"/>
                <w:lang w:bidi="ar"/>
              </w:rPr>
            </w:pPr>
          </w:p>
          <w:p>
            <w:pPr>
              <w:adjustRightInd w:val="0"/>
              <w:snapToGrid w:val="0"/>
              <w:spacing w:line="480" w:lineRule="exact"/>
              <w:ind w:firstLine="480" w:firstLineChars="200"/>
              <w:rPr>
                <w:rFonts w:hint="eastAsia"/>
                <w:color w:val="auto"/>
                <w:sz w:val="24"/>
                <w:lang w:bidi="ar"/>
              </w:rPr>
            </w:pPr>
          </w:p>
          <w:p>
            <w:pPr>
              <w:adjustRightInd w:val="0"/>
              <w:snapToGrid w:val="0"/>
              <w:spacing w:line="480" w:lineRule="exact"/>
              <w:ind w:firstLine="480" w:firstLineChars="200"/>
              <w:rPr>
                <w:rFonts w:hint="eastAsia"/>
                <w:color w:val="auto"/>
                <w:sz w:val="24"/>
                <w:lang w:bidi="ar"/>
              </w:rPr>
            </w:pPr>
          </w:p>
          <w:p>
            <w:pPr>
              <w:adjustRightInd w:val="0"/>
              <w:snapToGrid w:val="0"/>
              <w:spacing w:line="480" w:lineRule="exact"/>
              <w:ind w:firstLine="480" w:firstLineChars="200"/>
              <w:rPr>
                <w:rFonts w:hint="eastAsia"/>
                <w:color w:val="auto"/>
                <w:sz w:val="24"/>
                <w:lang w:val="en-US" w:eastAsia="zh-CN" w:bidi="ar"/>
              </w:rPr>
            </w:pPr>
          </w:p>
          <w:p>
            <w:pPr>
              <w:adjustRightInd w:val="0"/>
              <w:snapToGrid w:val="0"/>
              <w:spacing w:line="480" w:lineRule="exact"/>
              <w:ind w:firstLine="480" w:firstLineChars="200"/>
              <w:rPr>
                <w:rFonts w:hint="eastAsia"/>
                <w:color w:val="auto"/>
                <w:sz w:val="24"/>
                <w:lang w:val="en-US" w:eastAsia="zh-CN" w:bidi="ar"/>
              </w:rPr>
            </w:pPr>
          </w:p>
          <w:p>
            <w:pPr>
              <w:adjustRightInd w:val="0"/>
              <w:snapToGrid w:val="0"/>
              <w:spacing w:line="480" w:lineRule="exact"/>
              <w:ind w:firstLine="480" w:firstLineChars="200"/>
              <w:rPr>
                <w:rFonts w:hint="eastAsia"/>
                <w:color w:val="auto"/>
                <w:sz w:val="24"/>
                <w:lang w:val="en-US" w:eastAsia="zh-CN" w:bidi="ar"/>
              </w:rPr>
            </w:pPr>
          </w:p>
          <w:p>
            <w:pPr>
              <w:adjustRightInd w:val="0"/>
              <w:snapToGrid w:val="0"/>
              <w:spacing w:line="480" w:lineRule="exact"/>
              <w:ind w:firstLine="480" w:firstLineChars="200"/>
              <w:rPr>
                <w:rFonts w:hint="eastAsia"/>
                <w:color w:val="auto"/>
                <w:sz w:val="24"/>
                <w:lang w:val="en-US" w:eastAsia="zh-CN" w:bidi="ar"/>
              </w:rPr>
            </w:pPr>
          </w:p>
          <w:p>
            <w:pPr>
              <w:adjustRightInd w:val="0"/>
              <w:snapToGrid w:val="0"/>
              <w:spacing w:line="480" w:lineRule="exact"/>
              <w:ind w:firstLine="480" w:firstLineChars="200"/>
              <w:rPr>
                <w:rFonts w:hint="eastAsia"/>
                <w:color w:val="auto"/>
                <w:sz w:val="24"/>
                <w:lang w:val="en-US" w:eastAsia="zh-CN" w:bidi="ar"/>
              </w:rPr>
            </w:pPr>
          </w:p>
          <w:p>
            <w:pPr>
              <w:adjustRightInd w:val="0"/>
              <w:snapToGrid w:val="0"/>
              <w:spacing w:line="480" w:lineRule="exact"/>
              <w:ind w:firstLine="480" w:firstLineChars="200"/>
              <w:rPr>
                <w:rFonts w:hint="eastAsia"/>
                <w:color w:val="auto"/>
                <w:sz w:val="24"/>
                <w:lang w:val="en-US" w:eastAsia="zh-CN" w:bidi="ar"/>
              </w:rPr>
            </w:pPr>
          </w:p>
          <w:p>
            <w:pPr>
              <w:adjustRightInd w:val="0"/>
              <w:snapToGrid w:val="0"/>
              <w:spacing w:line="480" w:lineRule="exact"/>
              <w:ind w:firstLine="480" w:firstLineChars="200"/>
              <w:rPr>
                <w:rFonts w:hint="eastAsia"/>
                <w:color w:val="auto"/>
                <w:sz w:val="24"/>
                <w:lang w:val="en-US" w:eastAsia="zh-CN" w:bidi="ar"/>
              </w:rPr>
            </w:pPr>
          </w:p>
          <w:p>
            <w:pPr>
              <w:adjustRightInd w:val="0"/>
              <w:snapToGrid w:val="0"/>
              <w:spacing w:line="480" w:lineRule="exact"/>
              <w:ind w:firstLine="480" w:firstLineChars="200"/>
              <w:rPr>
                <w:rFonts w:hint="eastAsia"/>
                <w:color w:val="auto"/>
                <w:sz w:val="24"/>
                <w:lang w:bidi="ar"/>
              </w:rPr>
            </w:pPr>
          </w:p>
        </w:tc>
      </w:tr>
    </w:tbl>
    <w:p>
      <w:pPr>
        <w:spacing w:line="40" w:lineRule="exact"/>
        <w:rPr>
          <w:rFonts w:hint="eastAsia"/>
          <w:color w:val="auto"/>
          <w:lang w:val="en-US" w:eastAsia="zh-CN"/>
        </w:rPr>
        <w:sectPr>
          <w:pgSz w:w="11906" w:h="16838"/>
          <w:pgMar w:top="1701" w:right="1531" w:bottom="1701" w:left="1531" w:header="1134" w:footer="992" w:gutter="0"/>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2" w:type="dxa"/>
          </w:tcPr>
          <w:p>
            <w:pPr>
              <w:pStyle w:val="23"/>
              <w:widowControl w:val="0"/>
              <w:spacing w:before="0" w:beforeAutospacing="0" w:after="0" w:afterAutospacing="0" w:line="480" w:lineRule="exact"/>
              <w:jc w:val="center"/>
              <w:rPr>
                <w:rFonts w:ascii="黑体" w:hAnsi="黑体" w:eastAsia="黑体"/>
                <w:bCs/>
                <w:color w:val="auto"/>
                <w:kern w:val="2"/>
                <w:lang w:bidi="ar"/>
              </w:rPr>
            </w:pPr>
            <w:r>
              <w:rPr>
                <w:rFonts w:hint="eastAsia" w:ascii="黑体" w:hAnsi="黑体" w:eastAsia="黑体"/>
                <w:bCs/>
                <w:color w:val="auto"/>
                <w:kern w:val="2"/>
                <w:lang w:bidi="ar"/>
              </w:rPr>
              <w:t>表4-</w:t>
            </w:r>
            <w:r>
              <w:rPr>
                <w:rFonts w:hint="eastAsia" w:ascii="黑体" w:hAnsi="黑体" w:eastAsia="黑体"/>
                <w:bCs/>
                <w:color w:val="auto"/>
                <w:kern w:val="2"/>
                <w:lang w:val="en-US" w:eastAsia="zh-CN" w:bidi="ar"/>
              </w:rPr>
              <w:t>11</w:t>
            </w:r>
            <w:r>
              <w:rPr>
                <w:rFonts w:hint="eastAsia" w:ascii="黑体" w:hAnsi="黑体" w:eastAsia="黑体"/>
                <w:bCs/>
                <w:color w:val="auto"/>
                <w:kern w:val="2"/>
                <w:lang w:bidi="ar"/>
              </w:rPr>
              <w:t xml:space="preserve">  营运期主要噪声源及源强</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934"/>
              <w:gridCol w:w="1237"/>
              <w:gridCol w:w="2202"/>
              <w:gridCol w:w="601"/>
              <w:gridCol w:w="555"/>
              <w:gridCol w:w="571"/>
              <w:gridCol w:w="934"/>
              <w:gridCol w:w="1280"/>
              <w:gridCol w:w="904"/>
              <w:gridCol w:w="967"/>
              <w:gridCol w:w="881"/>
              <w:gridCol w:w="978"/>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239" w:type="pct"/>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建构筑物名称</w:t>
                  </w:r>
                </w:p>
              </w:tc>
              <w:tc>
                <w:tcPr>
                  <w:tcW w:w="348" w:type="pct"/>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噪声源名称</w:t>
                  </w:r>
                </w:p>
              </w:tc>
              <w:tc>
                <w:tcPr>
                  <w:tcW w:w="461" w:type="pct"/>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声压级</w:t>
                  </w:r>
                  <w:r>
                    <w:rPr>
                      <w:rFonts w:eastAsia="宋体"/>
                      <w:color w:val="auto"/>
                      <w:kern w:val="0"/>
                      <w:szCs w:val="21"/>
                    </w:rPr>
                    <w:t>/</w:t>
                  </w:r>
                  <w:r>
                    <w:rPr>
                      <w:rFonts w:hint="eastAsia" w:eastAsia="宋体"/>
                      <w:color w:val="auto"/>
                      <w:kern w:val="0"/>
                      <w:szCs w:val="21"/>
                    </w:rPr>
                    <w:t>距声源距离（</w:t>
                  </w:r>
                  <w:r>
                    <w:rPr>
                      <w:rFonts w:eastAsia="宋体"/>
                      <w:color w:val="auto"/>
                      <w:kern w:val="0"/>
                      <w:szCs w:val="21"/>
                    </w:rPr>
                    <w:t>dB(A)</w:t>
                  </w:r>
                  <w:r>
                    <w:rPr>
                      <w:rFonts w:hint="eastAsia" w:eastAsia="宋体"/>
                      <w:color w:val="auto"/>
                      <w:kern w:val="0"/>
                      <w:szCs w:val="21"/>
                    </w:rPr>
                    <w:t>）</w:t>
                  </w:r>
                  <w:r>
                    <w:rPr>
                      <w:rFonts w:eastAsia="宋体"/>
                      <w:color w:val="auto"/>
                      <w:kern w:val="0"/>
                      <w:szCs w:val="21"/>
                    </w:rPr>
                    <w:t>/m</w:t>
                  </w:r>
                </w:p>
              </w:tc>
              <w:tc>
                <w:tcPr>
                  <w:tcW w:w="820" w:type="pct"/>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声源控制措施</w:t>
                  </w:r>
                </w:p>
              </w:tc>
              <w:tc>
                <w:tcPr>
                  <w:tcW w:w="640" w:type="pct"/>
                  <w:gridSpan w:val="3"/>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空间相对位置</w:t>
                  </w:r>
                  <w:r>
                    <w:rPr>
                      <w:rFonts w:eastAsia="宋体"/>
                      <w:color w:val="auto"/>
                      <w:kern w:val="0"/>
                      <w:szCs w:val="21"/>
                    </w:rPr>
                    <w:t>/m</w:t>
                  </w:r>
                </w:p>
              </w:tc>
              <w:tc>
                <w:tcPr>
                  <w:tcW w:w="348" w:type="pct"/>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距室内边界距离</w:t>
                  </w:r>
                  <w:r>
                    <w:rPr>
                      <w:rFonts w:eastAsia="宋体"/>
                      <w:color w:val="auto"/>
                      <w:kern w:val="0"/>
                      <w:szCs w:val="21"/>
                    </w:rPr>
                    <w:t>/m</w:t>
                  </w:r>
                </w:p>
              </w:tc>
              <w:tc>
                <w:tcPr>
                  <w:tcW w:w="477" w:type="pct"/>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室内边界声级（</w:t>
                  </w:r>
                  <w:r>
                    <w:rPr>
                      <w:rFonts w:eastAsia="宋体"/>
                      <w:color w:val="auto"/>
                      <w:kern w:val="0"/>
                      <w:szCs w:val="21"/>
                    </w:rPr>
                    <w:t>dB(A)</w:t>
                  </w:r>
                  <w:r>
                    <w:rPr>
                      <w:rFonts w:hint="eastAsia" w:eastAsia="宋体"/>
                      <w:color w:val="auto"/>
                      <w:kern w:val="0"/>
                      <w:szCs w:val="21"/>
                    </w:rPr>
                    <w:t>）</w:t>
                  </w:r>
                </w:p>
              </w:tc>
              <w:tc>
                <w:tcPr>
                  <w:tcW w:w="337" w:type="pct"/>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运行时段</w:t>
                  </w:r>
                </w:p>
              </w:tc>
              <w:tc>
                <w:tcPr>
                  <w:tcW w:w="360" w:type="pct"/>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建筑物插入损失</w:t>
                  </w:r>
                  <w:r>
                    <w:rPr>
                      <w:rFonts w:eastAsia="宋体"/>
                      <w:color w:val="auto"/>
                      <w:kern w:val="0"/>
                      <w:szCs w:val="21"/>
                    </w:rPr>
                    <w:t>dB(A)</w:t>
                  </w:r>
                </w:p>
              </w:tc>
              <w:tc>
                <w:tcPr>
                  <w:tcW w:w="692" w:type="pct"/>
                  <w:gridSpan w:val="2"/>
                  <w:vMerge w:val="restar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建筑物外噪声</w:t>
                  </w:r>
                </w:p>
              </w:tc>
              <w:tc>
                <w:tcPr>
                  <w:tcW w:w="273" w:type="pct"/>
                  <w:vMerge w:val="restart"/>
                  <w:tcBorders>
                    <w:tl2br w:val="nil"/>
                    <w:tr2bl w:val="nil"/>
                  </w:tcBorders>
                  <w:noWrap w:val="0"/>
                  <w:vAlign w:val="center"/>
                </w:tcPr>
                <w:p>
                  <w:pPr>
                    <w:widowControl/>
                    <w:jc w:val="center"/>
                    <w:rPr>
                      <w:rFonts w:eastAsia="宋体"/>
                      <w:color w:val="auto"/>
                      <w:kern w:val="0"/>
                      <w:szCs w:val="21"/>
                    </w:rPr>
                  </w:pPr>
                  <w:r>
                    <w:rPr>
                      <w:rFonts w:hint="eastAsia"/>
                      <w:color w:val="auto"/>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vMerge w:val="continue"/>
                  <w:tcBorders>
                    <w:tl2br w:val="nil"/>
                    <w:tr2bl w:val="nil"/>
                  </w:tcBorders>
                  <w:noWrap w:val="0"/>
                  <w:vAlign w:val="center"/>
                </w:tcPr>
                <w:p>
                  <w:pPr>
                    <w:widowControl/>
                    <w:jc w:val="center"/>
                    <w:rPr>
                      <w:rFonts w:eastAsia="宋体"/>
                      <w:color w:val="auto"/>
                      <w:kern w:val="0"/>
                      <w:szCs w:val="21"/>
                    </w:rPr>
                  </w:pPr>
                </w:p>
              </w:tc>
              <w:tc>
                <w:tcPr>
                  <w:tcW w:w="461" w:type="pct"/>
                  <w:vMerge w:val="continue"/>
                  <w:tcBorders>
                    <w:tl2br w:val="nil"/>
                    <w:tr2bl w:val="nil"/>
                  </w:tcBorders>
                  <w:noWrap w:val="0"/>
                  <w:vAlign w:val="center"/>
                </w:tcPr>
                <w:p>
                  <w:pPr>
                    <w:widowControl/>
                    <w:jc w:val="center"/>
                    <w:rPr>
                      <w:rFonts w:eastAsia="宋体"/>
                      <w:color w:val="auto"/>
                      <w:kern w:val="0"/>
                      <w:szCs w:val="21"/>
                    </w:rPr>
                  </w:pPr>
                </w:p>
              </w:tc>
              <w:tc>
                <w:tcPr>
                  <w:tcW w:w="820" w:type="pct"/>
                  <w:vMerge w:val="continue"/>
                  <w:tcBorders>
                    <w:tl2br w:val="nil"/>
                    <w:tr2bl w:val="nil"/>
                  </w:tcBorders>
                  <w:noWrap w:val="0"/>
                  <w:vAlign w:val="center"/>
                </w:tcPr>
                <w:p>
                  <w:pPr>
                    <w:widowControl/>
                    <w:jc w:val="center"/>
                    <w:rPr>
                      <w:rFonts w:eastAsia="宋体"/>
                      <w:color w:val="auto"/>
                      <w:kern w:val="0"/>
                      <w:szCs w:val="21"/>
                    </w:rPr>
                  </w:pPr>
                </w:p>
              </w:tc>
              <w:tc>
                <w:tcPr>
                  <w:tcW w:w="220" w:type="pct"/>
                  <w:vMerge w:val="restart"/>
                  <w:tcBorders>
                    <w:tl2br w:val="nil"/>
                    <w:tr2bl w:val="nil"/>
                  </w:tcBorders>
                  <w:noWrap w:val="0"/>
                  <w:vAlign w:val="center"/>
                </w:tcPr>
                <w:p>
                  <w:pPr>
                    <w:jc w:val="center"/>
                    <w:rPr>
                      <w:rFonts w:eastAsia="宋体"/>
                      <w:color w:val="auto"/>
                      <w:kern w:val="0"/>
                      <w:szCs w:val="21"/>
                    </w:rPr>
                  </w:pPr>
                  <w:r>
                    <w:rPr>
                      <w:rFonts w:eastAsia="宋体"/>
                      <w:color w:val="auto"/>
                      <w:kern w:val="0"/>
                      <w:szCs w:val="21"/>
                    </w:rPr>
                    <w:t>X</w:t>
                  </w:r>
                </w:p>
              </w:tc>
              <w:tc>
                <w:tcPr>
                  <w:tcW w:w="207" w:type="pct"/>
                  <w:vMerge w:val="restart"/>
                  <w:tcBorders>
                    <w:tl2br w:val="nil"/>
                    <w:tr2bl w:val="nil"/>
                  </w:tcBorders>
                  <w:noWrap w:val="0"/>
                  <w:vAlign w:val="center"/>
                </w:tcPr>
                <w:p>
                  <w:pPr>
                    <w:jc w:val="center"/>
                    <w:rPr>
                      <w:rFonts w:eastAsia="宋体"/>
                      <w:color w:val="auto"/>
                      <w:kern w:val="0"/>
                      <w:szCs w:val="21"/>
                    </w:rPr>
                  </w:pPr>
                  <w:r>
                    <w:rPr>
                      <w:rFonts w:eastAsia="宋体"/>
                      <w:color w:val="auto"/>
                      <w:kern w:val="0"/>
                      <w:szCs w:val="21"/>
                    </w:rPr>
                    <w:t>Y</w:t>
                  </w:r>
                </w:p>
              </w:tc>
              <w:tc>
                <w:tcPr>
                  <w:tcW w:w="213" w:type="pct"/>
                  <w:vMerge w:val="restart"/>
                  <w:tcBorders>
                    <w:tl2br w:val="nil"/>
                    <w:tr2bl w:val="nil"/>
                  </w:tcBorders>
                  <w:noWrap w:val="0"/>
                  <w:vAlign w:val="center"/>
                </w:tcPr>
                <w:p>
                  <w:pPr>
                    <w:jc w:val="center"/>
                    <w:rPr>
                      <w:rFonts w:eastAsia="宋体"/>
                      <w:color w:val="auto"/>
                      <w:kern w:val="0"/>
                      <w:szCs w:val="21"/>
                    </w:rPr>
                  </w:pPr>
                  <w:r>
                    <w:rPr>
                      <w:rFonts w:eastAsia="宋体"/>
                      <w:color w:val="auto"/>
                      <w:kern w:val="0"/>
                      <w:szCs w:val="21"/>
                    </w:rPr>
                    <w:t>Z</w:t>
                  </w:r>
                </w:p>
              </w:tc>
              <w:tc>
                <w:tcPr>
                  <w:tcW w:w="348" w:type="pct"/>
                  <w:vMerge w:val="continue"/>
                  <w:tcBorders>
                    <w:tl2br w:val="nil"/>
                    <w:tr2bl w:val="nil"/>
                  </w:tcBorders>
                  <w:noWrap w:val="0"/>
                  <w:vAlign w:val="center"/>
                </w:tcPr>
                <w:p>
                  <w:pPr>
                    <w:widowControl/>
                    <w:jc w:val="center"/>
                    <w:rPr>
                      <w:rFonts w:eastAsia="宋体"/>
                      <w:color w:val="auto"/>
                      <w:kern w:val="0"/>
                      <w:szCs w:val="21"/>
                    </w:rPr>
                  </w:pPr>
                </w:p>
              </w:tc>
              <w:tc>
                <w:tcPr>
                  <w:tcW w:w="477" w:type="pct"/>
                  <w:vMerge w:val="continue"/>
                  <w:tcBorders>
                    <w:tl2br w:val="nil"/>
                    <w:tr2bl w:val="nil"/>
                  </w:tcBorders>
                  <w:noWrap w:val="0"/>
                  <w:vAlign w:val="center"/>
                </w:tcPr>
                <w:p>
                  <w:pPr>
                    <w:widowControl/>
                    <w:jc w:val="center"/>
                    <w:rPr>
                      <w:rFonts w:eastAsia="宋体"/>
                      <w:color w:val="auto"/>
                      <w:kern w:val="0"/>
                      <w:szCs w:val="21"/>
                    </w:rPr>
                  </w:pPr>
                </w:p>
              </w:tc>
              <w:tc>
                <w:tcPr>
                  <w:tcW w:w="337" w:type="pct"/>
                  <w:vMerge w:val="continue"/>
                  <w:tcBorders>
                    <w:tl2br w:val="nil"/>
                    <w:tr2bl w:val="nil"/>
                  </w:tcBorders>
                  <w:noWrap w:val="0"/>
                  <w:vAlign w:val="center"/>
                </w:tcPr>
                <w:p>
                  <w:pPr>
                    <w:widowControl/>
                    <w:jc w:val="center"/>
                    <w:rPr>
                      <w:rFonts w:eastAsia="宋体"/>
                      <w:color w:val="auto"/>
                      <w:kern w:val="0"/>
                      <w:szCs w:val="21"/>
                    </w:rPr>
                  </w:pPr>
                </w:p>
              </w:tc>
              <w:tc>
                <w:tcPr>
                  <w:tcW w:w="360" w:type="pct"/>
                  <w:vMerge w:val="continue"/>
                  <w:tcBorders>
                    <w:tl2br w:val="nil"/>
                    <w:tr2bl w:val="nil"/>
                  </w:tcBorders>
                  <w:noWrap w:val="0"/>
                  <w:vAlign w:val="center"/>
                </w:tcPr>
                <w:p>
                  <w:pPr>
                    <w:widowControl/>
                    <w:jc w:val="center"/>
                    <w:rPr>
                      <w:rFonts w:eastAsia="宋体"/>
                      <w:color w:val="auto"/>
                      <w:kern w:val="0"/>
                      <w:szCs w:val="21"/>
                    </w:rPr>
                  </w:pPr>
                </w:p>
              </w:tc>
              <w:tc>
                <w:tcPr>
                  <w:tcW w:w="692" w:type="pct"/>
                  <w:gridSpan w:val="2"/>
                  <w:vMerge w:val="continue"/>
                  <w:tcBorders>
                    <w:tl2br w:val="nil"/>
                    <w:tr2bl w:val="nil"/>
                  </w:tcBorders>
                  <w:noWrap w:val="0"/>
                  <w:vAlign w:val="center"/>
                </w:tcPr>
                <w:p>
                  <w:pPr>
                    <w:widowControl/>
                    <w:jc w:val="center"/>
                    <w:rPr>
                      <w:rFonts w:eastAsia="宋体"/>
                      <w:color w:val="auto"/>
                      <w:kern w:val="0"/>
                      <w:szCs w:val="21"/>
                    </w:rPr>
                  </w:pPr>
                </w:p>
              </w:tc>
              <w:tc>
                <w:tcPr>
                  <w:tcW w:w="273" w:type="pct"/>
                  <w:vMerge w:val="continue"/>
                  <w:tcBorders>
                    <w:tl2br w:val="nil"/>
                    <w:tr2bl w:val="nil"/>
                  </w:tcBorders>
                  <w:noWrap w:val="0"/>
                  <w:vAlign w:val="center"/>
                </w:tcPr>
                <w:p>
                  <w:pPr>
                    <w:widowControl/>
                    <w:jc w:val="center"/>
                    <w:rPr>
                      <w:rFonts w:eastAsia="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vMerge w:val="continue"/>
                  <w:tcBorders>
                    <w:tl2br w:val="nil"/>
                    <w:tr2bl w:val="nil"/>
                  </w:tcBorders>
                  <w:noWrap w:val="0"/>
                  <w:vAlign w:val="center"/>
                </w:tcPr>
                <w:p>
                  <w:pPr>
                    <w:widowControl/>
                    <w:jc w:val="center"/>
                    <w:rPr>
                      <w:rFonts w:eastAsia="宋体"/>
                      <w:color w:val="auto"/>
                      <w:kern w:val="0"/>
                      <w:szCs w:val="21"/>
                    </w:rPr>
                  </w:pPr>
                </w:p>
              </w:tc>
              <w:tc>
                <w:tcPr>
                  <w:tcW w:w="461" w:type="pct"/>
                  <w:vMerge w:val="continue"/>
                  <w:tcBorders>
                    <w:tl2br w:val="nil"/>
                    <w:tr2bl w:val="nil"/>
                  </w:tcBorders>
                  <w:noWrap w:val="0"/>
                  <w:vAlign w:val="center"/>
                </w:tcPr>
                <w:p>
                  <w:pPr>
                    <w:widowControl/>
                    <w:jc w:val="center"/>
                    <w:rPr>
                      <w:rFonts w:eastAsia="宋体"/>
                      <w:color w:val="auto"/>
                      <w:kern w:val="0"/>
                      <w:szCs w:val="21"/>
                    </w:rPr>
                  </w:pPr>
                </w:p>
              </w:tc>
              <w:tc>
                <w:tcPr>
                  <w:tcW w:w="820" w:type="pct"/>
                  <w:vMerge w:val="continue"/>
                  <w:tcBorders>
                    <w:tl2br w:val="nil"/>
                    <w:tr2bl w:val="nil"/>
                  </w:tcBorders>
                  <w:noWrap w:val="0"/>
                  <w:vAlign w:val="center"/>
                </w:tcPr>
                <w:p>
                  <w:pPr>
                    <w:widowControl/>
                    <w:jc w:val="center"/>
                    <w:rPr>
                      <w:rFonts w:eastAsia="宋体"/>
                      <w:color w:val="auto"/>
                      <w:kern w:val="0"/>
                      <w:szCs w:val="21"/>
                    </w:rPr>
                  </w:pPr>
                </w:p>
              </w:tc>
              <w:tc>
                <w:tcPr>
                  <w:tcW w:w="220" w:type="pct"/>
                  <w:vMerge w:val="continue"/>
                  <w:tcBorders>
                    <w:tl2br w:val="nil"/>
                    <w:tr2bl w:val="nil"/>
                  </w:tcBorders>
                  <w:noWrap w:val="0"/>
                  <w:vAlign w:val="center"/>
                </w:tcPr>
                <w:p>
                  <w:pPr>
                    <w:widowControl/>
                    <w:jc w:val="center"/>
                    <w:rPr>
                      <w:rFonts w:eastAsia="宋体"/>
                      <w:color w:val="auto"/>
                      <w:kern w:val="0"/>
                      <w:szCs w:val="21"/>
                    </w:rPr>
                  </w:pPr>
                </w:p>
              </w:tc>
              <w:tc>
                <w:tcPr>
                  <w:tcW w:w="207" w:type="pct"/>
                  <w:vMerge w:val="continue"/>
                  <w:tcBorders>
                    <w:tl2br w:val="nil"/>
                    <w:tr2bl w:val="nil"/>
                  </w:tcBorders>
                  <w:noWrap w:val="0"/>
                  <w:vAlign w:val="center"/>
                </w:tcPr>
                <w:p>
                  <w:pPr>
                    <w:widowControl/>
                    <w:jc w:val="center"/>
                    <w:rPr>
                      <w:rFonts w:eastAsia="宋体"/>
                      <w:color w:val="auto"/>
                      <w:kern w:val="0"/>
                      <w:szCs w:val="21"/>
                    </w:rPr>
                  </w:pPr>
                </w:p>
              </w:tc>
              <w:tc>
                <w:tcPr>
                  <w:tcW w:w="213" w:type="pct"/>
                  <w:vMerge w:val="continue"/>
                  <w:tcBorders>
                    <w:tl2br w:val="nil"/>
                    <w:tr2bl w:val="nil"/>
                  </w:tcBorders>
                  <w:noWrap w:val="0"/>
                  <w:vAlign w:val="center"/>
                </w:tcPr>
                <w:p>
                  <w:pPr>
                    <w:widowControl/>
                    <w:jc w:val="center"/>
                    <w:rPr>
                      <w:rFonts w:eastAsia="宋体"/>
                      <w:color w:val="auto"/>
                      <w:kern w:val="0"/>
                      <w:szCs w:val="21"/>
                    </w:rPr>
                  </w:pPr>
                </w:p>
              </w:tc>
              <w:tc>
                <w:tcPr>
                  <w:tcW w:w="348" w:type="pct"/>
                  <w:vMerge w:val="continue"/>
                  <w:tcBorders>
                    <w:tl2br w:val="nil"/>
                    <w:tr2bl w:val="nil"/>
                  </w:tcBorders>
                  <w:noWrap w:val="0"/>
                  <w:vAlign w:val="center"/>
                </w:tcPr>
                <w:p>
                  <w:pPr>
                    <w:widowControl/>
                    <w:jc w:val="center"/>
                    <w:rPr>
                      <w:rFonts w:eastAsia="宋体"/>
                      <w:color w:val="auto"/>
                      <w:kern w:val="0"/>
                      <w:szCs w:val="21"/>
                    </w:rPr>
                  </w:pPr>
                </w:p>
              </w:tc>
              <w:tc>
                <w:tcPr>
                  <w:tcW w:w="477" w:type="pct"/>
                  <w:vMerge w:val="continue"/>
                  <w:tcBorders>
                    <w:tl2br w:val="nil"/>
                    <w:tr2bl w:val="nil"/>
                  </w:tcBorders>
                  <w:noWrap w:val="0"/>
                  <w:vAlign w:val="center"/>
                </w:tcPr>
                <w:p>
                  <w:pPr>
                    <w:widowControl/>
                    <w:jc w:val="center"/>
                    <w:rPr>
                      <w:rFonts w:eastAsia="宋体"/>
                      <w:color w:val="auto"/>
                      <w:kern w:val="0"/>
                      <w:szCs w:val="21"/>
                    </w:rPr>
                  </w:pPr>
                </w:p>
              </w:tc>
              <w:tc>
                <w:tcPr>
                  <w:tcW w:w="337" w:type="pct"/>
                  <w:vMerge w:val="continue"/>
                  <w:tcBorders>
                    <w:tl2br w:val="nil"/>
                    <w:tr2bl w:val="nil"/>
                  </w:tcBorders>
                  <w:noWrap w:val="0"/>
                  <w:vAlign w:val="center"/>
                </w:tcPr>
                <w:p>
                  <w:pPr>
                    <w:widowControl/>
                    <w:jc w:val="center"/>
                    <w:rPr>
                      <w:rFonts w:eastAsia="宋体"/>
                      <w:color w:val="auto"/>
                      <w:kern w:val="0"/>
                      <w:szCs w:val="21"/>
                    </w:rPr>
                  </w:pPr>
                </w:p>
              </w:tc>
              <w:tc>
                <w:tcPr>
                  <w:tcW w:w="360" w:type="pct"/>
                  <w:vMerge w:val="continue"/>
                  <w:tcBorders>
                    <w:tl2br w:val="nil"/>
                    <w:tr2bl w:val="nil"/>
                  </w:tcBorders>
                  <w:noWrap w:val="0"/>
                  <w:vAlign w:val="center"/>
                </w:tcPr>
                <w:p>
                  <w:pPr>
                    <w:widowControl/>
                    <w:jc w:val="center"/>
                    <w:rPr>
                      <w:rFonts w:eastAsia="宋体"/>
                      <w:color w:val="auto"/>
                      <w:kern w:val="0"/>
                      <w:szCs w:val="21"/>
                    </w:rPr>
                  </w:pPr>
                </w:p>
              </w:tc>
              <w:tc>
                <w:tcPr>
                  <w:tcW w:w="328" w:type="pc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声压级</w:t>
                  </w:r>
                  <w:r>
                    <w:rPr>
                      <w:rFonts w:eastAsia="宋体"/>
                      <w:color w:val="auto"/>
                      <w:kern w:val="0"/>
                      <w:szCs w:val="21"/>
                    </w:rPr>
                    <w:t>dB(A)</w:t>
                  </w:r>
                </w:p>
              </w:tc>
              <w:tc>
                <w:tcPr>
                  <w:tcW w:w="364" w:type="pc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highlight w:val="none"/>
                    </w:rPr>
                    <w:t>建筑物距离</w:t>
                  </w:r>
                </w:p>
              </w:tc>
              <w:tc>
                <w:tcPr>
                  <w:tcW w:w="273" w:type="pct"/>
                  <w:vMerge w:val="continue"/>
                  <w:tcBorders>
                    <w:tl2br w:val="nil"/>
                    <w:tr2bl w:val="nil"/>
                  </w:tcBorders>
                  <w:noWrap w:val="0"/>
                  <w:vAlign w:val="center"/>
                </w:tcPr>
                <w:p>
                  <w:pPr>
                    <w:widowControl/>
                    <w:jc w:val="center"/>
                    <w:rPr>
                      <w:rFonts w:eastAsia="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39"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提升泵房</w:t>
                  </w:r>
                </w:p>
              </w:tc>
              <w:tc>
                <w:tcPr>
                  <w:tcW w:w="34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rPr>
                    <w:t>潜水离心泵</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widowControl/>
                    <w:jc w:val="center"/>
                    <w:rPr>
                      <w:rFonts w:eastAsia="宋体"/>
                      <w:color w:val="auto"/>
                      <w:kern w:val="0"/>
                      <w:szCs w:val="21"/>
                    </w:rPr>
                  </w:pPr>
                  <w:r>
                    <w:t>选用低噪设备、潜水式安装</w:t>
                  </w:r>
                  <w:r>
                    <w:rPr>
                      <w:rFonts w:hint="eastAsia"/>
                    </w:rPr>
                    <w:t>、置于室内</w:t>
                  </w:r>
                </w:p>
              </w:tc>
              <w:tc>
                <w:tcPr>
                  <w:tcW w:w="220"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-6</w:t>
                  </w:r>
                </w:p>
              </w:tc>
              <w:tc>
                <w:tcPr>
                  <w:tcW w:w="207"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9</w:t>
                  </w:r>
                </w:p>
              </w:tc>
              <w:tc>
                <w:tcPr>
                  <w:tcW w:w="213"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273" w:type="pct"/>
                  <w:tcBorders>
                    <w:tl2br w:val="nil"/>
                    <w:tr2bl w:val="nil"/>
                  </w:tcBorders>
                  <w:noWrap w:val="0"/>
                  <w:vAlign w:val="center"/>
                </w:tcPr>
                <w:p>
                  <w:pPr>
                    <w:widowControl/>
                    <w:jc w:val="center"/>
                    <w:rPr>
                      <w:rFonts w:eastAsia="宋体"/>
                      <w:color w:val="auto"/>
                      <w:kern w:val="0"/>
                      <w:szCs w:val="21"/>
                    </w:rPr>
                  </w:pPr>
                  <w:r>
                    <w:rPr>
                      <w:rFonts w:hint="eastAsia"/>
                      <w:color w:val="auto"/>
                      <w:lang w:val="en-US" w:eastAsia="zh-CN"/>
                    </w:rPr>
                    <w:t>4</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39" w:type="pc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rPr>
                    <w:t>格栅间</w:t>
                  </w:r>
                </w:p>
              </w:tc>
              <w:tc>
                <w:tcPr>
                  <w:tcW w:w="34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rPr>
                    <w:t>清洗水泵</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widowControl/>
                    <w:jc w:val="center"/>
                    <w:rPr>
                      <w:rFonts w:eastAsia="宋体"/>
                      <w:color w:val="auto"/>
                      <w:kern w:val="0"/>
                      <w:szCs w:val="21"/>
                    </w:rPr>
                  </w:pPr>
                  <w:r>
                    <w:t>选用低噪设备、</w:t>
                  </w:r>
                  <w:r>
                    <w:rPr>
                      <w:rFonts w:hint="eastAsia"/>
                    </w:rPr>
                    <w:t>基础减振、置于室内</w:t>
                  </w:r>
                </w:p>
              </w:tc>
              <w:tc>
                <w:tcPr>
                  <w:tcW w:w="220"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-5</w:t>
                  </w:r>
                </w:p>
              </w:tc>
              <w:tc>
                <w:tcPr>
                  <w:tcW w:w="207"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7</w:t>
                  </w:r>
                </w:p>
              </w:tc>
              <w:tc>
                <w:tcPr>
                  <w:tcW w:w="213"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default" w:eastAsia="宋体"/>
                      <w:color w:val="auto"/>
                      <w:kern w:val="0"/>
                      <w:szCs w:val="21"/>
                      <w:lang w:val="en-US"/>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273" w:type="pct"/>
                  <w:tcBorders>
                    <w:tl2br w:val="nil"/>
                    <w:tr2bl w:val="nil"/>
                  </w:tcBorders>
                  <w:noWrap w:val="0"/>
                  <w:vAlign w:val="center"/>
                </w:tcPr>
                <w:p>
                  <w:pPr>
                    <w:widowControl/>
                    <w:jc w:val="center"/>
                    <w:rPr>
                      <w:rFonts w:eastAsia="宋体"/>
                      <w:color w:val="auto"/>
                      <w:kern w:val="0"/>
                      <w:szCs w:val="21"/>
                    </w:rPr>
                  </w:pPr>
                  <w:r>
                    <w:rPr>
                      <w:rFonts w:hint="eastAsia"/>
                      <w:color w:val="auto"/>
                      <w:lang w:val="en-US" w:eastAsia="zh-CN"/>
                    </w:rPr>
                    <w:t>3</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239" w:type="pct"/>
                  <w:vMerge w:val="restart"/>
                  <w:tcBorders>
                    <w:tl2br w:val="nil"/>
                    <w:tr2bl w:val="nil"/>
                  </w:tcBorders>
                  <w:noWrap w:val="0"/>
                  <w:vAlign w:val="center"/>
                </w:tcPr>
                <w:p>
                  <w:pPr>
                    <w:widowControl/>
                    <w:jc w:val="center"/>
                    <w:rPr>
                      <w:rFonts w:eastAsia="宋体"/>
                      <w:color w:val="auto"/>
                      <w:kern w:val="0"/>
                      <w:szCs w:val="21"/>
                    </w:rPr>
                  </w:pPr>
                  <w:r>
                    <w:rPr>
                      <w:rFonts w:hint="eastAsia"/>
                    </w:rPr>
                    <w:t>曝气沉砂池</w:t>
                  </w:r>
                </w:p>
              </w:tc>
              <w:tc>
                <w:tcPr>
                  <w:tcW w:w="348" w:type="pct"/>
                  <w:tcBorders>
                    <w:tl2br w:val="nil"/>
                    <w:tr2bl w:val="nil"/>
                  </w:tcBorders>
                  <w:noWrap w:val="0"/>
                  <w:vAlign w:val="center"/>
                </w:tcPr>
                <w:p>
                  <w:pPr>
                    <w:pStyle w:val="108"/>
                    <w:rPr>
                      <w:rFonts w:hint="eastAsia" w:eastAsia="宋体"/>
                      <w:color w:val="auto"/>
                      <w:kern w:val="0"/>
                      <w:szCs w:val="21"/>
                      <w:lang w:val="en-US" w:eastAsia="zh-CN"/>
                    </w:rPr>
                  </w:pPr>
                  <w:r>
                    <w:rPr>
                      <w:rFonts w:hint="eastAsia"/>
                    </w:rPr>
                    <w:t>吸砂泵</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eastAsia="宋体"/>
                      <w:color w:val="auto"/>
                      <w:kern w:val="0"/>
                      <w:szCs w:val="21"/>
                    </w:rPr>
                  </w:pPr>
                  <w:r>
                    <w:t>选用低噪设备、潜水式安装</w:t>
                  </w:r>
                </w:p>
              </w:tc>
              <w:tc>
                <w:tcPr>
                  <w:tcW w:w="220"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-3</w:t>
                  </w:r>
                </w:p>
              </w:tc>
              <w:tc>
                <w:tcPr>
                  <w:tcW w:w="207"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5</w:t>
                  </w:r>
                </w:p>
              </w:tc>
              <w:tc>
                <w:tcPr>
                  <w:tcW w:w="213"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273" w:type="pct"/>
                  <w:tcBorders>
                    <w:tl2br w:val="nil"/>
                    <w:tr2bl w:val="nil"/>
                  </w:tcBorders>
                  <w:noWrap w:val="0"/>
                  <w:vAlign w:val="center"/>
                </w:tcPr>
                <w:p>
                  <w:pPr>
                    <w:widowControl/>
                    <w:jc w:val="center"/>
                    <w:rPr>
                      <w:rFonts w:eastAsia="宋体"/>
                      <w:color w:val="auto"/>
                      <w:kern w:val="0"/>
                      <w:szCs w:val="21"/>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kern w:val="0"/>
                      <w:szCs w:val="21"/>
                      <w:lang w:val="en-US" w:eastAsia="zh-CN"/>
                    </w:rPr>
                  </w:pPr>
                  <w:r>
                    <w:rPr>
                      <w:rFonts w:hint="eastAsia"/>
                    </w:rPr>
                    <w:t>鼓风机</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eastAsia="宋体"/>
                      <w:color w:val="auto"/>
                      <w:kern w:val="0"/>
                      <w:szCs w:val="21"/>
                    </w:rPr>
                  </w:pPr>
                  <w:r>
                    <w:rPr>
                      <w:rFonts w:hint="eastAsia"/>
                    </w:rPr>
                    <w:t>选用低噪设备、基础减振、</w:t>
                  </w:r>
                  <w:r>
                    <w:t>安装消声器</w:t>
                  </w:r>
                  <w:r>
                    <w:rPr>
                      <w:rFonts w:hint="eastAsia"/>
                    </w:rPr>
                    <w:t>、置于室内</w:t>
                  </w:r>
                </w:p>
              </w:tc>
              <w:tc>
                <w:tcPr>
                  <w:tcW w:w="220"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207"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213"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60</w:t>
                  </w:r>
                </w:p>
              </w:tc>
              <w:tc>
                <w:tcPr>
                  <w:tcW w:w="364" w:type="pct"/>
                  <w:tcBorders>
                    <w:tl2br w:val="nil"/>
                    <w:tr2bl w:val="nil"/>
                  </w:tcBorders>
                  <w:noWrap w:val="0"/>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273" w:type="pct"/>
                  <w:tcBorders>
                    <w:tl2br w:val="nil"/>
                    <w:tr2bl w:val="nil"/>
                  </w:tcBorders>
                  <w:noWrap w:val="0"/>
                  <w:vAlign w:val="center"/>
                </w:tcPr>
                <w:p>
                  <w:pPr>
                    <w:widowControl/>
                    <w:jc w:val="center"/>
                    <w:rPr>
                      <w:rFonts w:eastAsia="宋体"/>
                      <w:color w:val="auto"/>
                      <w:kern w:val="0"/>
                      <w:szCs w:val="21"/>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239" w:type="pct"/>
                  <w:tcBorders>
                    <w:tl2br w:val="nil"/>
                    <w:tr2bl w:val="nil"/>
                  </w:tcBorders>
                  <w:noWrap w:val="0"/>
                  <w:vAlign w:val="center"/>
                </w:tcPr>
                <w:p>
                  <w:pPr>
                    <w:pStyle w:val="108"/>
                    <w:rPr>
                      <w:rFonts w:eastAsia="宋体"/>
                      <w:color w:val="auto"/>
                      <w:kern w:val="0"/>
                      <w:szCs w:val="21"/>
                    </w:rPr>
                  </w:pPr>
                  <w:r>
                    <w:rPr>
                      <w:rFonts w:hint="eastAsia"/>
                    </w:rPr>
                    <w:t>初沉池</w:t>
                  </w:r>
                </w:p>
              </w:tc>
              <w:tc>
                <w:tcPr>
                  <w:tcW w:w="348" w:type="pct"/>
                  <w:tcBorders>
                    <w:tl2br w:val="nil"/>
                    <w:tr2bl w:val="nil"/>
                  </w:tcBorders>
                  <w:noWrap w:val="0"/>
                  <w:vAlign w:val="center"/>
                </w:tcPr>
                <w:p>
                  <w:pPr>
                    <w:pStyle w:val="108"/>
                    <w:rPr>
                      <w:rFonts w:hint="default" w:eastAsia="宋体"/>
                      <w:color w:val="auto"/>
                      <w:kern w:val="0"/>
                      <w:szCs w:val="21"/>
                      <w:lang w:val="en-US" w:eastAsia="zh-CN"/>
                    </w:rPr>
                  </w:pPr>
                  <w:r>
                    <w:rPr>
                      <w:rFonts w:hint="eastAsia"/>
                    </w:rPr>
                    <w:t>污泥泵</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widowControl/>
                    <w:jc w:val="center"/>
                    <w:rPr>
                      <w:rFonts w:eastAsia="宋体"/>
                      <w:color w:val="auto"/>
                      <w:kern w:val="0"/>
                      <w:szCs w:val="21"/>
                    </w:rPr>
                  </w:pPr>
                  <w:r>
                    <w:rPr>
                      <w:rFonts w:eastAsia="宋体"/>
                      <w:color w:val="auto"/>
                      <w:kern w:val="0"/>
                      <w:szCs w:val="21"/>
                    </w:rPr>
                    <w:t>选用低噪设备、潜水式安装</w:t>
                  </w:r>
                </w:p>
              </w:tc>
              <w:tc>
                <w:tcPr>
                  <w:tcW w:w="220"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-18</w:t>
                  </w:r>
                </w:p>
              </w:tc>
              <w:tc>
                <w:tcPr>
                  <w:tcW w:w="207"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1</w:t>
                  </w:r>
                </w:p>
              </w:tc>
              <w:tc>
                <w:tcPr>
                  <w:tcW w:w="213"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65</w:t>
                  </w:r>
                </w:p>
              </w:tc>
              <w:tc>
                <w:tcPr>
                  <w:tcW w:w="364" w:type="pct"/>
                  <w:tcBorders>
                    <w:tl2br w:val="nil"/>
                    <w:tr2bl w:val="nil"/>
                  </w:tcBorders>
                  <w:noWrap w:val="0"/>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273" w:type="pct"/>
                  <w:tcBorders>
                    <w:tl2br w:val="nil"/>
                    <w:tr2bl w:val="nil"/>
                  </w:tcBorders>
                  <w:noWrap w:val="0"/>
                  <w:vAlign w:val="center"/>
                </w:tcPr>
                <w:p>
                  <w:pPr>
                    <w:widowControl/>
                    <w:jc w:val="center"/>
                    <w:rPr>
                      <w:rFonts w:eastAsia="宋体"/>
                      <w:color w:val="auto"/>
                      <w:kern w:val="0"/>
                      <w:szCs w:val="21"/>
                    </w:rPr>
                  </w:pPr>
                  <w:r>
                    <w:rPr>
                      <w:rFonts w:hint="eastAsia"/>
                      <w:color w:val="auto"/>
                      <w:lang w:val="en-US" w:eastAsia="zh-CN"/>
                    </w:rPr>
                    <w:t>4</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39" w:type="pct"/>
                  <w:vMerge w:val="restart"/>
                  <w:tcBorders>
                    <w:tl2br w:val="nil"/>
                    <w:tr2bl w:val="nil"/>
                  </w:tcBorders>
                  <w:noWrap w:val="0"/>
                  <w:vAlign w:val="center"/>
                </w:tcPr>
                <w:p>
                  <w:pPr>
                    <w:widowControl/>
                    <w:jc w:val="center"/>
                    <w:rPr>
                      <w:rFonts w:eastAsia="宋体"/>
                      <w:color w:val="auto"/>
                      <w:kern w:val="0"/>
                      <w:szCs w:val="21"/>
                    </w:rPr>
                  </w:pPr>
                  <w:r>
                    <w:rPr>
                      <w:rFonts w:hint="eastAsia"/>
                    </w:rPr>
                    <w:t>生化池</w:t>
                  </w:r>
                </w:p>
              </w:tc>
              <w:tc>
                <w:tcPr>
                  <w:tcW w:w="348" w:type="pct"/>
                  <w:tcBorders>
                    <w:tl2br w:val="nil"/>
                    <w:tr2bl w:val="nil"/>
                  </w:tcBorders>
                  <w:noWrap w:val="0"/>
                  <w:vAlign w:val="center"/>
                </w:tcPr>
                <w:p>
                  <w:pPr>
                    <w:pStyle w:val="108"/>
                    <w:rPr>
                      <w:rFonts w:hint="default" w:eastAsia="宋体"/>
                      <w:color w:val="auto"/>
                      <w:kern w:val="0"/>
                      <w:szCs w:val="21"/>
                      <w:lang w:val="en-US" w:eastAsia="zh-CN"/>
                    </w:rPr>
                  </w:pPr>
                  <w:r>
                    <w:rPr>
                      <w:rFonts w:hint="eastAsia"/>
                    </w:rPr>
                    <w:t>回流泵</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eastAsia="宋体"/>
                      <w:color w:val="auto"/>
                      <w:kern w:val="0"/>
                      <w:szCs w:val="21"/>
                    </w:rPr>
                  </w:pPr>
                  <w:r>
                    <w:t>选用低噪设备、潜水式安装</w:t>
                  </w:r>
                </w:p>
              </w:tc>
              <w:tc>
                <w:tcPr>
                  <w:tcW w:w="220"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-15</w:t>
                  </w:r>
                </w:p>
              </w:tc>
              <w:tc>
                <w:tcPr>
                  <w:tcW w:w="207"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213"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273" w:type="pct"/>
                  <w:tcBorders>
                    <w:tl2br w:val="nil"/>
                    <w:tr2bl w:val="nil"/>
                  </w:tcBorders>
                  <w:noWrap w:val="0"/>
                  <w:vAlign w:val="center"/>
                </w:tcPr>
                <w:p>
                  <w:pPr>
                    <w:widowControl/>
                    <w:jc w:val="center"/>
                    <w:rPr>
                      <w:rFonts w:eastAsia="宋体"/>
                      <w:color w:val="auto"/>
                      <w:kern w:val="0"/>
                      <w:szCs w:val="21"/>
                    </w:rPr>
                  </w:pPr>
                  <w:r>
                    <w:rPr>
                      <w:rFonts w:hint="eastAsia"/>
                      <w:color w:val="auto"/>
                      <w:lang w:val="en-US" w:eastAsia="zh-CN"/>
                    </w:rPr>
                    <w:t>12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jc w:val="center"/>
                    <w:rPr>
                      <w:rFonts w:hint="default" w:eastAsia="宋体"/>
                      <w:color w:val="auto"/>
                      <w:kern w:val="0"/>
                      <w:szCs w:val="21"/>
                      <w:lang w:val="en-US" w:eastAsia="zh-CN"/>
                    </w:rPr>
                  </w:pPr>
                </w:p>
              </w:tc>
              <w:tc>
                <w:tcPr>
                  <w:tcW w:w="348" w:type="pct"/>
                  <w:tcBorders>
                    <w:tl2br w:val="nil"/>
                    <w:tr2bl w:val="nil"/>
                  </w:tcBorders>
                  <w:noWrap w:val="0"/>
                  <w:vAlign w:val="center"/>
                </w:tcPr>
                <w:p>
                  <w:pPr>
                    <w:pStyle w:val="108"/>
                    <w:rPr>
                      <w:rFonts w:hint="eastAsia" w:eastAsia="宋体"/>
                      <w:color w:val="auto"/>
                      <w:kern w:val="0"/>
                      <w:szCs w:val="21"/>
                      <w:lang w:val="en-US" w:eastAsia="zh-CN"/>
                    </w:rPr>
                  </w:pPr>
                  <w:r>
                    <w:rPr>
                      <w:rFonts w:hint="eastAsia"/>
                    </w:rPr>
                    <w:t>加药泵</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eastAsia="宋体"/>
                      <w:color w:val="auto"/>
                      <w:kern w:val="0"/>
                      <w:szCs w:val="21"/>
                    </w:rPr>
                  </w:pPr>
                  <w:r>
                    <w:t>选用低噪设备、潜水式安装</w:t>
                  </w:r>
                </w:p>
              </w:tc>
              <w:tc>
                <w:tcPr>
                  <w:tcW w:w="220"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-22</w:t>
                  </w:r>
                </w:p>
              </w:tc>
              <w:tc>
                <w:tcPr>
                  <w:tcW w:w="207"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27</w:t>
                  </w:r>
                </w:p>
              </w:tc>
              <w:tc>
                <w:tcPr>
                  <w:tcW w:w="213" w:type="pct"/>
                  <w:tcBorders>
                    <w:tl2br w:val="nil"/>
                    <w:tr2bl w:val="nil"/>
                  </w:tcBorders>
                  <w:noWrap w:val="0"/>
                  <w:vAlign w:val="center"/>
                </w:tcPr>
                <w:p>
                  <w:pPr>
                    <w:jc w:val="center"/>
                    <w:rPr>
                      <w:rFonts w:hint="eastAsia" w:eastAsia="宋体"/>
                      <w:color w:val="auto"/>
                      <w:kern w:val="0"/>
                      <w:szCs w:val="21"/>
                      <w:lang w:val="en-US" w:eastAsia="zh-CN"/>
                    </w:rPr>
                  </w:pPr>
                  <w:r>
                    <w:rPr>
                      <w:rFonts w:hint="eastAsia" w:eastAsia="宋体"/>
                      <w:color w:val="auto"/>
                      <w:kern w:val="0"/>
                      <w:szCs w:val="21"/>
                      <w:lang w:val="en-US" w:eastAsia="zh-CN"/>
                    </w:rPr>
                    <w:t>1</w:t>
                  </w:r>
                </w:p>
              </w:tc>
              <w:tc>
                <w:tcPr>
                  <w:tcW w:w="348" w:type="pct"/>
                  <w:tcBorders>
                    <w:tl2br w:val="nil"/>
                    <w:tr2bl w:val="nil"/>
                  </w:tcBorders>
                  <w:noWrap w:val="0"/>
                  <w:vAlign w:val="center"/>
                </w:tcPr>
                <w:p>
                  <w:pPr>
                    <w:jc w:val="center"/>
                    <w:rPr>
                      <w:rFonts w:hint="default" w:eastAsia="宋体"/>
                      <w:color w:val="auto"/>
                      <w:kern w:val="0"/>
                      <w:szCs w:val="21"/>
                      <w:lang w:val="en-US" w:eastAsia="zh-CN"/>
                    </w:rPr>
                  </w:pPr>
                  <w:r>
                    <w:rPr>
                      <w:rFonts w:hint="eastAsia" w:eastAsia="宋体"/>
                      <w:color w:val="auto"/>
                      <w:kern w:val="0"/>
                      <w:szCs w:val="21"/>
                      <w:lang w:val="en-US" w:eastAsia="zh-CN"/>
                    </w:rPr>
                    <w:t>5</w:t>
                  </w:r>
                </w:p>
              </w:tc>
              <w:tc>
                <w:tcPr>
                  <w:tcW w:w="47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jc w:val="center"/>
                    <w:rPr>
                      <w:rFonts w:eastAsia="宋体"/>
                      <w:color w:val="auto"/>
                      <w:kern w:val="0"/>
                      <w:szCs w:val="21"/>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eastAsia="宋体"/>
                      <w:color w:val="auto"/>
                      <w:kern w:val="0"/>
                      <w:szCs w:val="21"/>
                    </w:rPr>
                  </w:pPr>
                  <w:r>
                    <w:rPr>
                      <w:rFonts w:eastAsia="宋体"/>
                      <w:color w:val="auto"/>
                      <w:kern w:val="0"/>
                      <w:szCs w:val="21"/>
                    </w:rPr>
                    <w:t>20</w:t>
                  </w:r>
                </w:p>
              </w:tc>
              <w:tc>
                <w:tcPr>
                  <w:tcW w:w="328" w:type="pct"/>
                  <w:tcBorders>
                    <w:tl2br w:val="nil"/>
                    <w:tr2bl w:val="nil"/>
                  </w:tcBorders>
                  <w:noWrap w:val="0"/>
                  <w:vAlign w:val="center"/>
                </w:tcPr>
                <w:p>
                  <w:pPr>
                    <w:widowControl/>
                    <w:jc w:val="center"/>
                    <w:rPr>
                      <w:rFonts w:eastAsia="宋体"/>
                      <w:color w:val="auto"/>
                      <w:kern w:val="0"/>
                      <w:szCs w:val="21"/>
                    </w:rPr>
                  </w:pPr>
                  <w:r>
                    <w:rPr>
                      <w:rFonts w:hint="eastAsia" w:eastAsia="宋体"/>
                      <w:color w:val="auto"/>
                      <w:kern w:val="0"/>
                      <w:szCs w:val="21"/>
                      <w:lang w:val="en-US" w:eastAsia="zh-CN"/>
                    </w:rPr>
                    <w:t>5</w:t>
                  </w:r>
                  <w:r>
                    <w:rPr>
                      <w:rFonts w:eastAsia="宋体"/>
                      <w:color w:val="auto"/>
                      <w:kern w:val="0"/>
                      <w:szCs w:val="21"/>
                    </w:rPr>
                    <w:t>5</w:t>
                  </w:r>
                </w:p>
              </w:tc>
              <w:tc>
                <w:tcPr>
                  <w:tcW w:w="364"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eastAsia="宋体"/>
                      <w:color w:val="auto"/>
                      <w:kern w:val="0"/>
                      <w:szCs w:val="21"/>
                    </w:rPr>
                  </w:pPr>
                  <w:r>
                    <w:rPr>
                      <w:rFonts w:hint="eastAsia"/>
                      <w:color w:val="auto"/>
                      <w:lang w:val="en-US" w:eastAsia="zh-CN"/>
                    </w:rPr>
                    <w:t>6</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kern w:val="0"/>
                      <w:sz w:val="21"/>
                      <w:szCs w:val="21"/>
                      <w:lang w:val="en-US" w:eastAsia="zh-CN" w:bidi="ar-SA"/>
                    </w:rPr>
                  </w:pPr>
                  <w:r>
                    <w:rPr>
                      <w:rFonts w:hint="eastAsia"/>
                    </w:rPr>
                    <w:t>回流泵</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hint="eastAsia" w:eastAsia="宋体"/>
                      <w:color w:val="auto"/>
                      <w:kern w:val="0"/>
                      <w:sz w:val="21"/>
                      <w:szCs w:val="21"/>
                      <w:lang w:val="en-US" w:eastAsia="zh-CN" w:bidi="ar-SA"/>
                    </w:rPr>
                  </w:pPr>
                  <w:r>
                    <w:t>选用低噪设备、潜水式安装</w:t>
                  </w:r>
                </w:p>
              </w:tc>
              <w:tc>
                <w:tcPr>
                  <w:tcW w:w="220" w:type="pct"/>
                  <w:tcBorders>
                    <w:tl2br w:val="nil"/>
                    <w:tr2bl w:val="nil"/>
                  </w:tcBorders>
                  <w:noWrap w:val="0"/>
                  <w:vAlign w:val="center"/>
                </w:tcPr>
                <w:p>
                  <w:pPr>
                    <w:jc w:val="center"/>
                    <w:rPr>
                      <w:rFonts w:hint="default" w:eastAsia="宋体"/>
                      <w:color w:val="auto"/>
                      <w:kern w:val="0"/>
                      <w:sz w:val="21"/>
                      <w:szCs w:val="21"/>
                      <w:lang w:val="en-US" w:eastAsia="zh-CN" w:bidi="ar-SA"/>
                    </w:rPr>
                  </w:pPr>
                  <w:r>
                    <w:rPr>
                      <w:rFonts w:hint="eastAsia"/>
                      <w:color w:val="auto"/>
                      <w:kern w:val="0"/>
                      <w:szCs w:val="21"/>
                      <w:lang w:val="en-US" w:eastAsia="zh-CN"/>
                    </w:rPr>
                    <w:t>23</w:t>
                  </w:r>
                </w:p>
              </w:tc>
              <w:tc>
                <w:tcPr>
                  <w:tcW w:w="207" w:type="pct"/>
                  <w:tcBorders>
                    <w:tl2br w:val="nil"/>
                    <w:tr2bl w:val="nil"/>
                  </w:tcBorders>
                  <w:noWrap w:val="0"/>
                  <w:vAlign w:val="center"/>
                </w:tcPr>
                <w:p>
                  <w:pPr>
                    <w:jc w:val="center"/>
                    <w:rPr>
                      <w:rFonts w:hint="default" w:eastAsia="宋体"/>
                      <w:color w:val="auto"/>
                      <w:kern w:val="0"/>
                      <w:sz w:val="21"/>
                      <w:szCs w:val="21"/>
                      <w:lang w:val="en-US" w:eastAsia="zh-CN" w:bidi="ar-SA"/>
                    </w:rPr>
                  </w:pPr>
                  <w:r>
                    <w:rPr>
                      <w:rFonts w:hint="eastAsia"/>
                      <w:color w:val="auto"/>
                      <w:kern w:val="0"/>
                      <w:szCs w:val="21"/>
                      <w:lang w:val="en-US" w:eastAsia="zh-CN"/>
                    </w:rPr>
                    <w:t>-37</w:t>
                  </w:r>
                </w:p>
              </w:tc>
              <w:tc>
                <w:tcPr>
                  <w:tcW w:w="213" w:type="pct"/>
                  <w:tcBorders>
                    <w:tl2br w:val="nil"/>
                    <w:tr2bl w:val="nil"/>
                  </w:tcBorders>
                  <w:noWrap w:val="0"/>
                  <w:vAlign w:val="center"/>
                </w:tcPr>
                <w:p>
                  <w:pPr>
                    <w:jc w:val="center"/>
                    <w:rPr>
                      <w:rFonts w:hint="eastAsia" w:eastAsia="宋体"/>
                      <w:color w:val="auto"/>
                      <w:kern w:val="0"/>
                      <w:sz w:val="21"/>
                      <w:szCs w:val="21"/>
                      <w:lang w:val="en-US" w:eastAsia="zh-CN" w:bidi="ar-SA"/>
                    </w:rPr>
                  </w:pPr>
                  <w:r>
                    <w:rPr>
                      <w:rFonts w:hint="eastAsia" w:eastAsia="宋体"/>
                      <w:color w:val="auto"/>
                      <w:kern w:val="0"/>
                      <w:szCs w:val="21"/>
                      <w:lang w:val="en-US" w:eastAsia="zh-CN"/>
                    </w:rPr>
                    <w:t>1</w:t>
                  </w:r>
                </w:p>
              </w:tc>
              <w:tc>
                <w:tcPr>
                  <w:tcW w:w="348" w:type="pct"/>
                  <w:tcBorders>
                    <w:tl2br w:val="nil"/>
                    <w:tr2bl w:val="nil"/>
                  </w:tcBorders>
                  <w:noWrap w:val="0"/>
                  <w:vAlign w:val="center"/>
                </w:tcPr>
                <w:p>
                  <w:pPr>
                    <w:jc w:val="center"/>
                    <w:rPr>
                      <w:rFonts w:hint="eastAsia" w:eastAsia="宋体"/>
                      <w:color w:val="auto"/>
                      <w:kern w:val="0"/>
                      <w:sz w:val="21"/>
                      <w:szCs w:val="21"/>
                      <w:lang w:val="en-US" w:eastAsia="zh-CN" w:bidi="ar-SA"/>
                    </w:rPr>
                  </w:pPr>
                  <w:r>
                    <w:rPr>
                      <w:rFonts w:hint="eastAsia" w:eastAsia="宋体"/>
                      <w:color w:val="auto"/>
                      <w:kern w:val="0"/>
                      <w:szCs w:val="21"/>
                      <w:lang w:val="en-US" w:eastAsia="zh-CN"/>
                    </w:rPr>
                    <w:t>5</w:t>
                  </w:r>
                </w:p>
              </w:tc>
              <w:tc>
                <w:tcPr>
                  <w:tcW w:w="477" w:type="pct"/>
                  <w:tcBorders>
                    <w:tl2br w:val="nil"/>
                    <w:tr2bl w:val="nil"/>
                  </w:tcBorders>
                  <w:noWrap w:val="0"/>
                  <w:vAlign w:val="center"/>
                </w:tcPr>
                <w:p>
                  <w:pPr>
                    <w:widowControl/>
                    <w:jc w:val="center"/>
                    <w:rPr>
                      <w:rFonts w:hint="eastAsia" w:eastAsia="宋体"/>
                      <w:color w:val="auto"/>
                      <w:kern w:val="0"/>
                      <w:sz w:val="21"/>
                      <w:szCs w:val="21"/>
                      <w:lang w:val="en-US" w:eastAsia="zh-CN" w:bidi="ar-SA"/>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jc w:val="center"/>
                    <w:rPr>
                      <w:rFonts w:hint="eastAsia" w:eastAsia="宋体"/>
                      <w:color w:val="auto"/>
                      <w:kern w:val="0"/>
                      <w:sz w:val="21"/>
                      <w:szCs w:val="21"/>
                      <w:lang w:val="en-US" w:eastAsia="zh-CN" w:bidi="ar-SA"/>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eastAsia="宋体"/>
                      <w:color w:val="auto"/>
                      <w:kern w:val="0"/>
                      <w:sz w:val="21"/>
                      <w:szCs w:val="21"/>
                      <w:lang w:val="en-US" w:eastAsia="zh-CN" w:bidi="ar-SA"/>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eastAsia" w:eastAsia="宋体"/>
                      <w:color w:val="auto"/>
                      <w:kern w:val="0"/>
                      <w:sz w:val="21"/>
                      <w:szCs w:val="21"/>
                      <w:lang w:val="en-US" w:eastAsia="zh-CN" w:bidi="ar-SA"/>
                    </w:rPr>
                  </w:pPr>
                  <w:r>
                    <w:rPr>
                      <w:rFonts w:hint="eastAsia" w:eastAsia="宋体"/>
                      <w:color w:val="auto"/>
                      <w:kern w:val="0"/>
                      <w:szCs w:val="21"/>
                      <w:lang w:val="en-US" w:eastAsia="zh-CN"/>
                    </w:rPr>
                    <w:t>5</w:t>
                  </w:r>
                  <w:r>
                    <w:rPr>
                      <w:rFonts w:eastAsia="宋体"/>
                      <w:color w:val="auto"/>
                      <w:kern w:val="0"/>
                      <w:szCs w:val="21"/>
                    </w:rPr>
                    <w:t>5</w:t>
                  </w:r>
                </w:p>
              </w:tc>
              <w:tc>
                <w:tcPr>
                  <w:tcW w:w="364" w:type="pct"/>
                  <w:tcBorders>
                    <w:tl2br w:val="nil"/>
                    <w:tr2bl w:val="nil"/>
                  </w:tcBorders>
                  <w:noWrap w:val="0"/>
                  <w:vAlign w:val="center"/>
                </w:tcPr>
                <w:p>
                  <w:pPr>
                    <w:widowControl/>
                    <w:jc w:val="center"/>
                    <w:rPr>
                      <w:rFonts w:hint="default" w:eastAsia="宋体"/>
                      <w:color w:val="auto"/>
                      <w:kern w:val="0"/>
                      <w:sz w:val="21"/>
                      <w:szCs w:val="21"/>
                      <w:lang w:val="en-US" w:eastAsia="zh-CN" w:bidi="ar-SA"/>
                    </w:rPr>
                  </w:pPr>
                  <w:r>
                    <w:rPr>
                      <w:rFonts w:hint="eastAsia"/>
                      <w:color w:val="auto"/>
                      <w:kern w:val="0"/>
                      <w:sz w:val="21"/>
                      <w:szCs w:val="21"/>
                      <w:lang w:val="en-US" w:eastAsia="zh-CN" w:bidi="ar-SA"/>
                    </w:rPr>
                    <w:t>10</w:t>
                  </w:r>
                </w:p>
              </w:tc>
              <w:tc>
                <w:tcPr>
                  <w:tcW w:w="273" w:type="pct"/>
                  <w:tcBorders>
                    <w:tl2br w:val="nil"/>
                    <w:tr2bl w:val="nil"/>
                  </w:tcBorders>
                  <w:noWrap w:val="0"/>
                  <w:vAlign w:val="center"/>
                </w:tcPr>
                <w:p>
                  <w:pPr>
                    <w:widowControl/>
                    <w:jc w:val="center"/>
                    <w:rPr>
                      <w:rFonts w:hint="eastAsia" w:eastAsia="宋体"/>
                      <w:color w:val="auto"/>
                      <w:kern w:val="0"/>
                      <w:sz w:val="21"/>
                      <w:szCs w:val="21"/>
                      <w:lang w:val="en-US" w:eastAsia="zh-CN" w:bidi="ar-SA"/>
                    </w:rPr>
                  </w:pPr>
                  <w:r>
                    <w:rPr>
                      <w:rFonts w:hint="eastAsia"/>
                      <w:color w:val="auto"/>
                      <w:lang w:val="en-US" w:eastAsia="zh-CN"/>
                    </w:rPr>
                    <w:t>4</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default" w:eastAsia="宋体"/>
                      <w:color w:val="auto"/>
                      <w:kern w:val="0"/>
                      <w:szCs w:val="21"/>
                      <w:lang w:val="en-US" w:eastAsia="zh-CN"/>
                    </w:rPr>
                  </w:pPr>
                  <w:r>
                    <w:rPr>
                      <w:rFonts w:hint="eastAsia"/>
                    </w:rPr>
                    <w:t>污泥泵</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hint="eastAsia" w:eastAsia="宋体"/>
                      <w:color w:val="auto"/>
                      <w:kern w:val="0"/>
                      <w:sz w:val="21"/>
                      <w:szCs w:val="21"/>
                      <w:lang w:val="en-US" w:eastAsia="zh-CN" w:bidi="ar-SA"/>
                    </w:rPr>
                  </w:pPr>
                  <w:r>
                    <w:t>选用低噪设备、</w:t>
                  </w:r>
                  <w:r>
                    <w:rPr>
                      <w:rFonts w:hint="eastAsia"/>
                    </w:rPr>
                    <w:t>基础减振、置于室内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23</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-58</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eastAsia="宋体"/>
                      <w:color w:val="auto"/>
                      <w:kern w:val="0"/>
                      <w:szCs w:val="21"/>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eastAsia="宋体"/>
                      <w:color w:val="auto"/>
                      <w:kern w:val="0"/>
                      <w:szCs w:val="21"/>
                      <w:lang w:val="en-US" w:eastAsia="zh-CN"/>
                    </w:rPr>
                    <w:t>5</w:t>
                  </w:r>
                  <w:r>
                    <w:rPr>
                      <w:rFonts w:eastAsia="宋体"/>
                      <w:color w:val="auto"/>
                      <w:kern w:val="0"/>
                      <w:szCs w:val="21"/>
                    </w:rPr>
                    <w:t>5</w:t>
                  </w:r>
                </w:p>
              </w:tc>
              <w:tc>
                <w:tcPr>
                  <w:tcW w:w="364" w:type="pct"/>
                  <w:tcBorders>
                    <w:tl2br w:val="nil"/>
                    <w:tr2bl w:val="nil"/>
                  </w:tcBorders>
                  <w:noWrap w:val="0"/>
                  <w:vAlign w:val="center"/>
                </w:tcPr>
                <w:p>
                  <w:pPr>
                    <w:widowControl/>
                    <w:jc w:val="center"/>
                    <w:rPr>
                      <w:rFonts w:hint="eastAsia"/>
                      <w:color w:val="auto"/>
                      <w:kern w:val="0"/>
                      <w:sz w:val="21"/>
                      <w:szCs w:val="21"/>
                      <w:lang w:val="en-US" w:eastAsia="zh-CN" w:bidi="ar-SA"/>
                    </w:rPr>
                  </w:pPr>
                  <w:r>
                    <w:rPr>
                      <w:rFonts w:hint="eastAsia"/>
                      <w:color w:val="auto"/>
                      <w:kern w:val="0"/>
                      <w:sz w:val="21"/>
                      <w:szCs w:val="21"/>
                      <w:lang w:val="en-US" w:eastAsia="zh-CN" w:bidi="ar-SA"/>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eastAsia="zh-CN"/>
                    </w:rPr>
                  </w:pPr>
                  <w:r>
                    <w:rPr>
                      <w:rFonts w:hint="eastAsia"/>
                    </w:rPr>
                    <w:t>抽吸泵</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eastAsia="宋体"/>
                      <w:color w:val="auto"/>
                      <w:kern w:val="0"/>
                      <w:szCs w:val="21"/>
                    </w:rPr>
                  </w:pPr>
                  <w:r>
                    <w:t>选用低噪设备、潜水式安装</w:t>
                  </w:r>
                </w:p>
              </w:tc>
              <w:tc>
                <w:tcPr>
                  <w:tcW w:w="220"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-21</w:t>
                  </w:r>
                </w:p>
              </w:tc>
              <w:tc>
                <w:tcPr>
                  <w:tcW w:w="207"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22</w:t>
                  </w:r>
                </w:p>
              </w:tc>
              <w:tc>
                <w:tcPr>
                  <w:tcW w:w="213" w:type="pct"/>
                  <w:tcBorders>
                    <w:tl2br w:val="nil"/>
                    <w:tr2bl w:val="nil"/>
                  </w:tcBorders>
                  <w:noWrap w:val="0"/>
                  <w:vAlign w:val="center"/>
                </w:tcPr>
                <w:p>
                  <w:pPr>
                    <w:jc w:val="center"/>
                    <w:rPr>
                      <w:rFonts w:hint="eastAsia" w:eastAsia="宋体"/>
                      <w:color w:val="auto"/>
                      <w:kern w:val="0"/>
                      <w:szCs w:val="21"/>
                      <w:lang w:val="en-US" w:eastAsia="zh-CN"/>
                    </w:rPr>
                  </w:pPr>
                  <w:r>
                    <w:rPr>
                      <w:rFonts w:hint="eastAsia" w:eastAsia="宋体"/>
                      <w:color w:val="auto"/>
                      <w:kern w:val="0"/>
                      <w:szCs w:val="21"/>
                      <w:lang w:val="en-US" w:eastAsia="zh-CN"/>
                    </w:rPr>
                    <w:t>1</w:t>
                  </w:r>
                </w:p>
              </w:tc>
              <w:tc>
                <w:tcPr>
                  <w:tcW w:w="348" w:type="pct"/>
                  <w:tcBorders>
                    <w:tl2br w:val="nil"/>
                    <w:tr2bl w:val="nil"/>
                  </w:tcBorders>
                  <w:noWrap w:val="0"/>
                  <w:vAlign w:val="center"/>
                </w:tcPr>
                <w:p>
                  <w:pPr>
                    <w:jc w:val="center"/>
                    <w:rPr>
                      <w:rFonts w:hint="eastAsia" w:eastAsia="宋体"/>
                      <w:color w:val="auto"/>
                      <w:kern w:val="0"/>
                      <w:szCs w:val="21"/>
                      <w:lang w:val="en-US" w:eastAsia="zh-CN"/>
                    </w:rPr>
                  </w:pPr>
                  <w:r>
                    <w:rPr>
                      <w:rFonts w:hint="eastAsia" w:eastAsia="宋体"/>
                      <w:color w:val="auto"/>
                      <w:kern w:val="0"/>
                      <w:szCs w:val="21"/>
                      <w:lang w:val="en-US" w:eastAsia="zh-CN"/>
                    </w:rPr>
                    <w:t>5</w:t>
                  </w:r>
                </w:p>
              </w:tc>
              <w:tc>
                <w:tcPr>
                  <w:tcW w:w="477"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eastAsia="宋体"/>
                      <w:color w:val="auto"/>
                      <w:kern w:val="0"/>
                      <w:szCs w:val="21"/>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default" w:eastAsia="宋体"/>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eastAsia="宋体"/>
                      <w:color w:val="auto"/>
                      <w:kern w:val="0"/>
                      <w:szCs w:val="21"/>
                    </w:rPr>
                  </w:pPr>
                  <w:r>
                    <w:rPr>
                      <w:rFonts w:hint="eastAsia"/>
                      <w:color w:val="auto"/>
                      <w:lang w:val="en-US" w:eastAsia="zh-CN"/>
                    </w:rPr>
                    <w:t>12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反洗泵</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hint="eastAsia"/>
                      <w:color w:val="auto"/>
                    </w:rPr>
                  </w:pPr>
                  <w:r>
                    <w:t>选用低噪设备、</w:t>
                  </w:r>
                  <w:r>
                    <w:rPr>
                      <w:rFonts w:hint="eastAsia"/>
                    </w:rPr>
                    <w:t>基础减振、消声器、置于室内</w:t>
                  </w:r>
                </w:p>
              </w:tc>
              <w:tc>
                <w:tcPr>
                  <w:tcW w:w="220"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0</w:t>
                  </w:r>
                </w:p>
              </w:tc>
              <w:tc>
                <w:tcPr>
                  <w:tcW w:w="207"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-30</w:t>
                  </w:r>
                </w:p>
              </w:tc>
              <w:tc>
                <w:tcPr>
                  <w:tcW w:w="213" w:type="pct"/>
                  <w:tcBorders>
                    <w:tl2br w:val="nil"/>
                    <w:tr2bl w:val="nil"/>
                  </w:tcBorders>
                  <w:noWrap w:val="0"/>
                  <w:vAlign w:val="center"/>
                </w:tcPr>
                <w:p>
                  <w:pPr>
                    <w:jc w:val="center"/>
                    <w:rPr>
                      <w:rFonts w:hint="eastAsia" w:eastAsia="宋体"/>
                      <w:color w:val="auto"/>
                      <w:kern w:val="0"/>
                      <w:szCs w:val="21"/>
                      <w:lang w:val="en-US" w:eastAsia="zh-CN"/>
                    </w:rPr>
                  </w:pPr>
                  <w:r>
                    <w:rPr>
                      <w:rFonts w:hint="eastAsia" w:eastAsia="宋体"/>
                      <w:color w:val="auto"/>
                      <w:kern w:val="0"/>
                      <w:szCs w:val="21"/>
                      <w:lang w:val="en-US" w:eastAsia="zh-CN"/>
                    </w:rPr>
                    <w:t>1</w:t>
                  </w:r>
                </w:p>
              </w:tc>
              <w:tc>
                <w:tcPr>
                  <w:tcW w:w="348" w:type="pct"/>
                  <w:tcBorders>
                    <w:tl2br w:val="nil"/>
                    <w:tr2bl w:val="nil"/>
                  </w:tcBorders>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eastAsia="宋体"/>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排水泵</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hint="eastAsia"/>
                      <w:color w:val="auto"/>
                    </w:rPr>
                  </w:pPr>
                  <w:r>
                    <w:t>选用低噪设备、</w:t>
                  </w:r>
                  <w:r>
                    <w:rPr>
                      <w:rFonts w:hint="eastAsia"/>
                    </w:rPr>
                    <w:t>基础减振、置于室内</w:t>
                  </w:r>
                </w:p>
              </w:tc>
              <w:tc>
                <w:tcPr>
                  <w:tcW w:w="220"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-41</w:t>
                  </w:r>
                </w:p>
              </w:tc>
              <w:tc>
                <w:tcPr>
                  <w:tcW w:w="207"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34</w:t>
                  </w:r>
                </w:p>
              </w:tc>
              <w:tc>
                <w:tcPr>
                  <w:tcW w:w="213" w:type="pct"/>
                  <w:tcBorders>
                    <w:tl2br w:val="nil"/>
                    <w:tr2bl w:val="nil"/>
                  </w:tcBorders>
                  <w:noWrap w:val="0"/>
                  <w:vAlign w:val="center"/>
                </w:tcPr>
                <w:p>
                  <w:pPr>
                    <w:jc w:val="center"/>
                    <w:rPr>
                      <w:rFonts w:hint="eastAsia" w:eastAsia="宋体"/>
                      <w:color w:val="auto"/>
                      <w:kern w:val="0"/>
                      <w:szCs w:val="21"/>
                      <w:lang w:val="en-US" w:eastAsia="zh-CN"/>
                    </w:rPr>
                  </w:pPr>
                  <w:r>
                    <w:rPr>
                      <w:rFonts w:hint="eastAsia" w:eastAsia="宋体"/>
                      <w:color w:val="auto"/>
                      <w:kern w:val="0"/>
                      <w:szCs w:val="21"/>
                      <w:lang w:val="en-US" w:eastAsia="zh-CN"/>
                    </w:rPr>
                    <w:t>1</w:t>
                  </w:r>
                </w:p>
              </w:tc>
              <w:tc>
                <w:tcPr>
                  <w:tcW w:w="348" w:type="pct"/>
                  <w:tcBorders>
                    <w:tl2br w:val="nil"/>
                    <w:tr2bl w:val="nil"/>
                  </w:tcBorders>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eastAsia="宋体"/>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空压机</w:t>
                  </w:r>
                </w:p>
              </w:tc>
              <w:tc>
                <w:tcPr>
                  <w:tcW w:w="461" w:type="pct"/>
                  <w:tcBorders>
                    <w:tl2br w:val="nil"/>
                    <w:tr2bl w:val="nil"/>
                  </w:tcBorders>
                  <w:noWrap w:val="0"/>
                  <w:vAlign w:val="center"/>
                </w:tcPr>
                <w:p>
                  <w:pPr>
                    <w:pStyle w:val="108"/>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rPr>
                    <w:t>85-100</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hint="eastAsia"/>
                      <w:color w:val="auto"/>
                    </w:rPr>
                  </w:pPr>
                  <w:r>
                    <w:t>选用低噪设备、潜水式安装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-85</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56</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75~90</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75</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加药泵</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70-75</w:t>
                  </w:r>
                  <w:r>
                    <w:rPr>
                      <w:rFonts w:hint="eastAsia" w:ascii="Times New Roman" w:hAnsi="Times New Roman" w:cs="Times New Roman"/>
                      <w:lang w:val="en-US" w:eastAsia="zh-CN"/>
                    </w:rPr>
                    <w:t>/1</w:t>
                  </w:r>
                </w:p>
              </w:tc>
              <w:tc>
                <w:tcPr>
                  <w:tcW w:w="820" w:type="pct"/>
                  <w:tcBorders>
                    <w:tl2br w:val="nil"/>
                    <w:tr2bl w:val="nil"/>
                  </w:tcBorders>
                  <w:noWrap w:val="0"/>
                  <w:vAlign w:val="center"/>
                </w:tcPr>
                <w:p>
                  <w:pPr>
                    <w:pStyle w:val="108"/>
                    <w:rPr>
                      <w:rFonts w:hint="eastAsia"/>
                      <w:color w:val="auto"/>
                    </w:rPr>
                  </w:pPr>
                  <w:r>
                    <w:t>选用低噪设备、潜水式安装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-95</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59</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4</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tcBorders>
                    <w:tl2br w:val="nil"/>
                    <w:tr2bl w:val="nil"/>
                  </w:tcBorders>
                  <w:noWrap w:val="0"/>
                  <w:vAlign w:val="center"/>
                </w:tcPr>
                <w:p>
                  <w:pPr>
                    <w:pStyle w:val="108"/>
                    <w:rPr>
                      <w:rFonts w:eastAsia="宋体"/>
                      <w:color w:val="auto"/>
                      <w:kern w:val="0"/>
                      <w:szCs w:val="21"/>
                    </w:rPr>
                  </w:pPr>
                  <w:r>
                    <w:rPr>
                      <w:rFonts w:hint="eastAsia"/>
                    </w:rPr>
                    <w:t>风机房</w:t>
                  </w: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磁悬浮风机</w:t>
                  </w:r>
                </w:p>
              </w:tc>
              <w:tc>
                <w:tcPr>
                  <w:tcW w:w="461" w:type="pct"/>
                  <w:tcBorders>
                    <w:tl2br w:val="nil"/>
                    <w:tr2bl w:val="nil"/>
                  </w:tcBorders>
                  <w:noWrap w:val="0"/>
                  <w:vAlign w:val="center"/>
                </w:tcPr>
                <w:p>
                  <w:pPr>
                    <w:jc w:val="center"/>
                    <w:rPr>
                      <w:rFonts w:hint="default" w:eastAsia="宋体"/>
                      <w:color w:val="auto"/>
                      <w:kern w:val="0"/>
                      <w:szCs w:val="21"/>
                      <w:lang w:val="en-US" w:eastAsia="zh-CN"/>
                    </w:rPr>
                  </w:pPr>
                  <w:r>
                    <w:t>80-95</w:t>
                  </w:r>
                  <w:r>
                    <w:rPr>
                      <w:rFonts w:hint="eastAsia"/>
                      <w:lang w:val="en-US" w:eastAsia="zh-CN"/>
                    </w:rPr>
                    <w:t>/1</w:t>
                  </w:r>
                </w:p>
              </w:tc>
              <w:tc>
                <w:tcPr>
                  <w:tcW w:w="820" w:type="pct"/>
                  <w:tcBorders>
                    <w:tl2br w:val="nil"/>
                    <w:tr2bl w:val="nil"/>
                  </w:tcBorders>
                  <w:noWrap w:val="0"/>
                  <w:vAlign w:val="center"/>
                </w:tcPr>
                <w:p>
                  <w:pPr>
                    <w:jc w:val="center"/>
                    <w:rPr>
                      <w:rFonts w:hint="eastAsia"/>
                      <w:color w:val="auto"/>
                    </w:rPr>
                  </w:pPr>
                  <w:r>
                    <w:rPr>
                      <w:rFonts w:hint="eastAsia"/>
                      <w:color w:val="auto"/>
                    </w:rPr>
                    <w:t>选用低噪设备、基础减振、安装消声器、置于室内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-105</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98</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65~85</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70</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4</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restart"/>
                  <w:tcBorders>
                    <w:tl2br w:val="nil"/>
                    <w:tr2bl w:val="nil"/>
                  </w:tcBorders>
                  <w:noWrap w:val="0"/>
                  <w:vAlign w:val="center"/>
                </w:tcPr>
                <w:p>
                  <w:pPr>
                    <w:widowControl/>
                    <w:jc w:val="center"/>
                    <w:rPr>
                      <w:rFonts w:eastAsia="宋体"/>
                      <w:color w:val="auto"/>
                      <w:kern w:val="0"/>
                      <w:szCs w:val="21"/>
                    </w:rPr>
                  </w:pPr>
                  <w:r>
                    <w:rPr>
                      <w:rFonts w:hint="eastAsia"/>
                    </w:rPr>
                    <w:t>脱水机房</w:t>
                  </w: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污泥脱水机</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2203" w:type="dxa"/>
                  <w:tcBorders>
                    <w:tl2br w:val="nil"/>
                    <w:tr2bl w:val="nil"/>
                  </w:tcBorders>
                  <w:noWrap w:val="0"/>
                  <w:vAlign w:val="center"/>
                </w:tcPr>
                <w:p>
                  <w:pPr>
                    <w:pStyle w:val="108"/>
                    <w:rPr>
                      <w:rFonts w:hint="eastAsia"/>
                      <w:color w:val="auto"/>
                    </w:rPr>
                  </w:pPr>
                  <w:r>
                    <w:t>选用低噪设备、</w:t>
                  </w:r>
                  <w:r>
                    <w:rPr>
                      <w:rFonts w:hint="eastAsia"/>
                    </w:rPr>
                    <w:t>基础减振、置于室内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-115</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85</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60</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污泥螺杆泵</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2203" w:type="dxa"/>
                  <w:tcBorders>
                    <w:tl2br w:val="nil"/>
                    <w:tr2bl w:val="nil"/>
                  </w:tcBorders>
                  <w:noWrap w:val="0"/>
                  <w:vAlign w:val="center"/>
                </w:tcPr>
                <w:p>
                  <w:pPr>
                    <w:pStyle w:val="108"/>
                    <w:rPr>
                      <w:rFonts w:hint="eastAsia"/>
                      <w:color w:val="auto"/>
                    </w:rPr>
                  </w:pPr>
                  <w:r>
                    <w:t>选用低噪设备、</w:t>
                  </w:r>
                  <w:r>
                    <w:rPr>
                      <w:rFonts w:hint="eastAsia"/>
                    </w:rPr>
                    <w:t>基础减振、置于室内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-110</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80</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反洗水泵</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2203" w:type="dxa"/>
                  <w:tcBorders>
                    <w:tl2br w:val="nil"/>
                    <w:tr2bl w:val="nil"/>
                  </w:tcBorders>
                  <w:noWrap w:val="0"/>
                  <w:vAlign w:val="center"/>
                </w:tcPr>
                <w:p>
                  <w:pPr>
                    <w:pStyle w:val="108"/>
                    <w:rPr>
                      <w:rFonts w:hint="eastAsia"/>
                      <w:color w:val="auto"/>
                    </w:rPr>
                  </w:pPr>
                  <w:r>
                    <w:t>选用低噪设备、</w:t>
                  </w:r>
                  <w:r>
                    <w:rPr>
                      <w:rFonts w:hint="eastAsia"/>
                    </w:rPr>
                    <w:t>基础减振、置于室内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-115</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75</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空压机</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85-100</w:t>
                  </w:r>
                  <w:r>
                    <w:rPr>
                      <w:rFonts w:hint="eastAsia" w:ascii="Times New Roman" w:hAnsi="Times New Roman" w:cs="Times New Roman"/>
                      <w:lang w:val="en-US" w:eastAsia="zh-CN"/>
                    </w:rPr>
                    <w:t>/1</w:t>
                  </w:r>
                </w:p>
              </w:tc>
              <w:tc>
                <w:tcPr>
                  <w:tcW w:w="2203" w:type="dxa"/>
                  <w:tcBorders>
                    <w:tl2br w:val="nil"/>
                    <w:tr2bl w:val="nil"/>
                  </w:tcBorders>
                  <w:noWrap w:val="0"/>
                  <w:vAlign w:val="center"/>
                </w:tcPr>
                <w:p>
                  <w:pPr>
                    <w:pStyle w:val="108"/>
                    <w:rPr>
                      <w:rFonts w:hint="eastAsia"/>
                      <w:color w:val="auto"/>
                    </w:rPr>
                  </w:pPr>
                  <w:r>
                    <w:t>选用低噪设备、</w:t>
                  </w:r>
                  <w:r>
                    <w:rPr>
                      <w:rFonts w:hint="eastAsia"/>
                    </w:rPr>
                    <w:t>基础减振、安装消声器、置于室内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-120</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85</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75~90</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75</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1</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vMerge w:val="continue"/>
                  <w:tcBorders>
                    <w:tl2br w:val="nil"/>
                    <w:tr2bl w:val="nil"/>
                  </w:tcBorders>
                  <w:noWrap w:val="0"/>
                  <w:vAlign w:val="center"/>
                </w:tcPr>
                <w:p>
                  <w:pPr>
                    <w:widowControl/>
                    <w:jc w:val="center"/>
                    <w:rPr>
                      <w:rFonts w:eastAsia="宋体"/>
                      <w:color w:val="auto"/>
                      <w:kern w:val="0"/>
                      <w:szCs w:val="21"/>
                    </w:rPr>
                  </w:pP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加药泵</w:t>
                  </w:r>
                </w:p>
              </w:tc>
              <w:tc>
                <w:tcPr>
                  <w:tcW w:w="461" w:type="pct"/>
                  <w:tcBorders>
                    <w:tl2br w:val="nil"/>
                    <w:tr2bl w:val="nil"/>
                  </w:tcBorders>
                  <w:noWrap w:val="0"/>
                  <w:vAlign w:val="center"/>
                </w:tcPr>
                <w:p>
                  <w:pPr>
                    <w:pStyle w:val="108"/>
                    <w:rPr>
                      <w:rFonts w:hint="default" w:ascii="Times New Roman" w:hAnsi="Times New Roman" w:eastAsia="宋体" w:cs="Times New Roman"/>
                      <w:color w:val="auto"/>
                      <w:kern w:val="0"/>
                      <w:szCs w:val="21"/>
                      <w:lang w:val="en-US" w:eastAsia="zh-CN"/>
                    </w:rPr>
                  </w:pPr>
                  <w:r>
                    <w:rPr>
                      <w:rFonts w:hint="default" w:ascii="Times New Roman" w:hAnsi="Times New Roman" w:cs="Times New Roman"/>
                    </w:rPr>
                    <w:t>70-75</w:t>
                  </w:r>
                  <w:r>
                    <w:rPr>
                      <w:rFonts w:hint="eastAsia" w:ascii="Times New Roman" w:hAnsi="Times New Roman" w:cs="Times New Roman"/>
                      <w:lang w:val="en-US" w:eastAsia="zh-CN"/>
                    </w:rPr>
                    <w:t>/1</w:t>
                  </w:r>
                </w:p>
              </w:tc>
              <w:tc>
                <w:tcPr>
                  <w:tcW w:w="2203" w:type="dxa"/>
                  <w:tcBorders>
                    <w:tl2br w:val="nil"/>
                    <w:tr2bl w:val="nil"/>
                  </w:tcBorders>
                  <w:noWrap w:val="0"/>
                  <w:vAlign w:val="center"/>
                </w:tcPr>
                <w:p>
                  <w:pPr>
                    <w:pStyle w:val="108"/>
                    <w:rPr>
                      <w:rFonts w:hint="eastAsia"/>
                      <w:color w:val="auto"/>
                    </w:rPr>
                  </w:pPr>
                  <w:r>
                    <w:t>选用低噪设备、</w:t>
                  </w:r>
                  <w:r>
                    <w:rPr>
                      <w:rFonts w:hint="eastAsia"/>
                    </w:rPr>
                    <w:t>基础减振、置于室内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-125</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85</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6</w:t>
                  </w:r>
                  <w:r>
                    <w:rPr>
                      <w:rFonts w:eastAsia="宋体"/>
                      <w:color w:val="auto"/>
                      <w:kern w:val="0"/>
                      <w:szCs w:val="21"/>
                    </w:rPr>
                    <w:t>0~</w:t>
                  </w:r>
                  <w:r>
                    <w:rPr>
                      <w:rFonts w:hint="eastAsia"/>
                      <w:color w:val="auto"/>
                      <w:kern w:val="0"/>
                      <w:szCs w:val="21"/>
                      <w:lang w:val="en-US" w:eastAsia="zh-CN"/>
                    </w:rPr>
                    <w:t>70</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55</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3</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 w:type="pct"/>
                  <w:tcBorders>
                    <w:tl2br w:val="nil"/>
                    <w:tr2bl w:val="nil"/>
                  </w:tcBorders>
                  <w:noWrap w:val="0"/>
                  <w:vAlign w:val="center"/>
                </w:tcPr>
                <w:p>
                  <w:pPr>
                    <w:pStyle w:val="108"/>
                    <w:rPr>
                      <w:rFonts w:eastAsia="宋体"/>
                      <w:color w:val="auto"/>
                      <w:kern w:val="0"/>
                      <w:szCs w:val="21"/>
                    </w:rPr>
                  </w:pPr>
                  <w:r>
                    <w:rPr>
                      <w:rFonts w:hint="eastAsia"/>
                    </w:rPr>
                    <w:t>除臭装置</w:t>
                  </w:r>
                </w:p>
              </w:tc>
              <w:tc>
                <w:tcPr>
                  <w:tcW w:w="348" w:type="pct"/>
                  <w:tcBorders>
                    <w:tl2br w:val="nil"/>
                    <w:tr2bl w:val="nil"/>
                  </w:tcBorders>
                  <w:noWrap w:val="0"/>
                  <w:vAlign w:val="center"/>
                </w:tcPr>
                <w:p>
                  <w:pPr>
                    <w:pStyle w:val="108"/>
                    <w:rPr>
                      <w:rFonts w:hint="eastAsia" w:eastAsia="宋体"/>
                      <w:color w:val="auto"/>
                      <w:szCs w:val="21"/>
                      <w:lang w:val="en-US" w:eastAsia="zh-CN"/>
                    </w:rPr>
                  </w:pPr>
                  <w:r>
                    <w:rPr>
                      <w:rFonts w:hint="eastAsia"/>
                    </w:rPr>
                    <w:t>风机</w:t>
                  </w:r>
                </w:p>
              </w:tc>
              <w:tc>
                <w:tcPr>
                  <w:tcW w:w="461"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80-90/1</w:t>
                  </w:r>
                </w:p>
              </w:tc>
              <w:tc>
                <w:tcPr>
                  <w:tcW w:w="2203" w:type="dxa"/>
                  <w:tcBorders>
                    <w:tl2br w:val="nil"/>
                    <w:tr2bl w:val="nil"/>
                  </w:tcBorders>
                  <w:noWrap w:val="0"/>
                  <w:vAlign w:val="center"/>
                </w:tcPr>
                <w:p>
                  <w:pPr>
                    <w:pStyle w:val="108"/>
                    <w:rPr>
                      <w:rFonts w:hint="eastAsia"/>
                      <w:color w:val="auto"/>
                    </w:rPr>
                  </w:pPr>
                  <w:r>
                    <w:rPr>
                      <w:rFonts w:hint="eastAsia"/>
                    </w:rPr>
                    <w:t>选用低噪设备、基础减振、</w:t>
                  </w:r>
                  <w:r>
                    <w:t>安装消声器</w:t>
                  </w:r>
                  <w:r>
                    <w:rPr>
                      <w:rFonts w:hint="eastAsia"/>
                    </w:rPr>
                    <w:t>、置于室内</w:t>
                  </w:r>
                </w:p>
              </w:tc>
              <w:tc>
                <w:tcPr>
                  <w:tcW w:w="220"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-52</w:t>
                  </w:r>
                </w:p>
              </w:tc>
              <w:tc>
                <w:tcPr>
                  <w:tcW w:w="207"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-65</w:t>
                  </w:r>
                </w:p>
              </w:tc>
              <w:tc>
                <w:tcPr>
                  <w:tcW w:w="213" w:type="pct"/>
                  <w:tcBorders>
                    <w:tl2br w:val="nil"/>
                    <w:tr2bl w:val="nil"/>
                  </w:tcBorders>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348" w:type="pct"/>
                  <w:tcBorders>
                    <w:tl2br w:val="nil"/>
                    <w:tr2bl w:val="nil"/>
                  </w:tcBorders>
                  <w:noWrap w:val="0"/>
                  <w:vAlign w:val="center"/>
                </w:tcPr>
                <w:p>
                  <w:pPr>
                    <w:jc w:val="center"/>
                    <w:rPr>
                      <w:rFonts w:hint="default"/>
                      <w:color w:val="auto"/>
                      <w:kern w:val="0"/>
                      <w:szCs w:val="21"/>
                      <w:lang w:val="en-US" w:eastAsia="zh-CN"/>
                    </w:rPr>
                  </w:pPr>
                  <w:r>
                    <w:rPr>
                      <w:rFonts w:hint="eastAsia"/>
                      <w:color w:val="auto"/>
                      <w:kern w:val="0"/>
                      <w:szCs w:val="21"/>
                      <w:lang w:val="en-US" w:eastAsia="zh-CN"/>
                    </w:rPr>
                    <w:t>5</w:t>
                  </w:r>
                </w:p>
              </w:tc>
              <w:tc>
                <w:tcPr>
                  <w:tcW w:w="47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65~80</w:t>
                  </w:r>
                </w:p>
              </w:tc>
              <w:tc>
                <w:tcPr>
                  <w:tcW w:w="337"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8760h</w:t>
                  </w:r>
                </w:p>
              </w:tc>
              <w:tc>
                <w:tcPr>
                  <w:tcW w:w="360" w:type="pct"/>
                  <w:tcBorders>
                    <w:tl2br w:val="nil"/>
                    <w:tr2bl w:val="nil"/>
                  </w:tcBorders>
                  <w:noWrap w:val="0"/>
                  <w:vAlign w:val="center"/>
                </w:tcPr>
                <w:p>
                  <w:pPr>
                    <w:widowControl/>
                    <w:jc w:val="center"/>
                    <w:rPr>
                      <w:rFonts w:hint="eastAsia"/>
                      <w:color w:val="auto"/>
                      <w:kern w:val="0"/>
                      <w:szCs w:val="21"/>
                      <w:lang w:val="en-US" w:eastAsia="zh-CN"/>
                    </w:rPr>
                  </w:pPr>
                  <w:r>
                    <w:rPr>
                      <w:rFonts w:eastAsia="宋体"/>
                      <w:color w:val="auto"/>
                      <w:kern w:val="0"/>
                      <w:szCs w:val="21"/>
                    </w:rPr>
                    <w:t>20</w:t>
                  </w:r>
                </w:p>
              </w:tc>
              <w:tc>
                <w:tcPr>
                  <w:tcW w:w="328" w:type="pct"/>
                  <w:tcBorders>
                    <w:tl2br w:val="nil"/>
                    <w:tr2bl w:val="nil"/>
                  </w:tcBorders>
                  <w:noWrap w:val="0"/>
                  <w:vAlign w:val="center"/>
                </w:tcPr>
                <w:p>
                  <w:pPr>
                    <w:widowControl/>
                    <w:jc w:val="center"/>
                    <w:rPr>
                      <w:rFonts w:hint="default"/>
                      <w:color w:val="auto"/>
                      <w:kern w:val="0"/>
                      <w:szCs w:val="21"/>
                      <w:lang w:val="en-US" w:eastAsia="zh-CN"/>
                    </w:rPr>
                  </w:pPr>
                  <w:r>
                    <w:rPr>
                      <w:rFonts w:hint="eastAsia"/>
                      <w:color w:val="auto"/>
                      <w:kern w:val="0"/>
                      <w:szCs w:val="21"/>
                      <w:lang w:val="en-US" w:eastAsia="zh-CN"/>
                    </w:rPr>
                    <w:t>70</w:t>
                  </w:r>
                </w:p>
              </w:tc>
              <w:tc>
                <w:tcPr>
                  <w:tcW w:w="364" w:type="pct"/>
                  <w:tcBorders>
                    <w:tl2br w:val="nil"/>
                    <w:tr2bl w:val="nil"/>
                  </w:tcBorders>
                  <w:noWrap w:val="0"/>
                  <w:vAlign w:val="center"/>
                </w:tcPr>
                <w:p>
                  <w:pPr>
                    <w:widowControl/>
                    <w:jc w:val="center"/>
                    <w:rPr>
                      <w:rFonts w:hint="eastAsia"/>
                      <w:color w:val="auto"/>
                      <w:kern w:val="0"/>
                      <w:szCs w:val="21"/>
                      <w:lang w:val="en-US" w:eastAsia="zh-CN"/>
                    </w:rPr>
                  </w:pPr>
                  <w:r>
                    <w:rPr>
                      <w:rFonts w:hint="eastAsia"/>
                      <w:color w:val="auto"/>
                      <w:kern w:val="0"/>
                      <w:szCs w:val="21"/>
                      <w:lang w:val="en-US" w:eastAsia="zh-CN"/>
                    </w:rPr>
                    <w:t>10</w:t>
                  </w:r>
                </w:p>
              </w:tc>
              <w:tc>
                <w:tcPr>
                  <w:tcW w:w="273" w:type="pct"/>
                  <w:tcBorders>
                    <w:tl2br w:val="nil"/>
                    <w:tr2bl w:val="nil"/>
                  </w:tcBorders>
                  <w:noWrap w:val="0"/>
                  <w:vAlign w:val="center"/>
                </w:tcPr>
                <w:p>
                  <w:pPr>
                    <w:widowControl/>
                    <w:jc w:val="center"/>
                    <w:rPr>
                      <w:rFonts w:hint="eastAsia"/>
                      <w:color w:val="auto"/>
                      <w:lang w:val="en-US" w:eastAsia="zh-CN"/>
                    </w:rPr>
                  </w:pPr>
                  <w:r>
                    <w:rPr>
                      <w:rFonts w:hint="eastAsia"/>
                      <w:color w:val="auto"/>
                      <w:lang w:val="en-US" w:eastAsia="zh-CN"/>
                    </w:rPr>
                    <w:t>1</w:t>
                  </w:r>
                  <w:r>
                    <w:rPr>
                      <w:rFonts w:hint="eastAsia"/>
                      <w:color w:val="auto"/>
                    </w:rPr>
                    <w:t>台</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0" w:lineRule="exact"/>
        <w:textAlignment w:val="auto"/>
        <w:rPr>
          <w:rFonts w:hint="eastAsia"/>
          <w:color w:val="auto"/>
          <w:lang w:val="en-US" w:eastAsia="zh-CN"/>
        </w:rPr>
        <w:sectPr>
          <w:pgSz w:w="16838" w:h="11906" w:orient="landscape"/>
          <w:pgMar w:top="1531" w:right="1701" w:bottom="1531" w:left="1701" w:header="1134" w:footer="992" w:gutter="0"/>
          <w:cols w:space="0" w:num="1"/>
          <w:rtlGutter w:val="0"/>
          <w:docGrid w:type="lines" w:linePitch="315"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adjustRightInd w:val="0"/>
              <w:snapToGrid w:val="0"/>
              <w:spacing w:line="480" w:lineRule="exact"/>
              <w:ind w:firstLine="482" w:firstLineChars="200"/>
              <w:rPr>
                <w:color w:val="auto"/>
                <w:sz w:val="24"/>
              </w:rPr>
            </w:pPr>
            <w:r>
              <w:rPr>
                <w:rFonts w:hint="eastAsia"/>
                <w:b/>
                <w:bCs/>
                <w:color w:val="auto"/>
                <w:sz w:val="24"/>
              </w:rPr>
              <w:t>（2）</w:t>
            </w:r>
            <w:r>
              <w:rPr>
                <w:rFonts w:hint="eastAsia" w:hAnsi="宋体"/>
                <w:b/>
                <w:color w:val="auto"/>
                <w:sz w:val="24"/>
                <w:szCs w:val="32"/>
              </w:rPr>
              <w:t>声环境影响预测与分析</w:t>
            </w:r>
          </w:p>
          <w:p>
            <w:pPr>
              <w:spacing w:line="480" w:lineRule="exact"/>
              <w:ind w:firstLine="480"/>
              <w:rPr>
                <w:rFonts w:eastAsia="宋体"/>
                <w:color w:val="auto"/>
                <w:sz w:val="24"/>
              </w:rPr>
            </w:pPr>
            <w:r>
              <w:rPr>
                <w:rFonts w:hint="eastAsia" w:eastAsia="宋体"/>
                <w:color w:val="auto"/>
                <w:sz w:val="24"/>
              </w:rPr>
              <w:t>本评价将噪声源按点声源处理，预测模式采用《环境影响评价技术导则声环境》（</w:t>
            </w:r>
            <w:r>
              <w:rPr>
                <w:rFonts w:eastAsia="宋体"/>
                <w:color w:val="auto"/>
                <w:sz w:val="24"/>
              </w:rPr>
              <w:t>HJ2.4-2021</w:t>
            </w:r>
            <w:r>
              <w:rPr>
                <w:rFonts w:hint="eastAsia" w:eastAsia="宋体"/>
                <w:color w:val="auto"/>
                <w:sz w:val="24"/>
              </w:rPr>
              <w:t>）中的工业噪声预测模式，表达式为：</w:t>
            </w:r>
          </w:p>
          <w:p>
            <w:pPr>
              <w:pStyle w:val="16"/>
              <w:spacing w:line="480" w:lineRule="exact"/>
              <w:ind w:firstLine="480" w:firstLineChars="200"/>
              <w:rPr>
                <w:rFonts w:eastAsia="宋体"/>
                <w:color w:val="auto"/>
                <w:sz w:val="24"/>
              </w:rPr>
            </w:pPr>
            <w:r>
              <w:rPr>
                <w:rFonts w:hint="eastAsia" w:ascii="Times New Roman" w:hAnsi="Times New Roman"/>
                <w:color w:val="auto"/>
                <w:sz w:val="24"/>
                <w:lang w:val="en-US" w:eastAsia="zh-CN"/>
              </w:rPr>
              <w:t>①</w:t>
            </w:r>
            <w:r>
              <w:rPr>
                <w:rFonts w:hint="eastAsia" w:eastAsia="宋体"/>
                <w:color w:val="auto"/>
                <w:sz w:val="24"/>
              </w:rPr>
              <w:t>预测点A声</w:t>
            </w:r>
            <w:r>
              <w:rPr>
                <w:rFonts w:hint="default" w:ascii="Times New Roman" w:hAnsi="Times New Roman" w:eastAsia="宋体" w:cs="Times New Roman"/>
                <w:color w:val="auto"/>
                <w:sz w:val="24"/>
              </w:rPr>
              <w:t>级</w:t>
            </w:r>
            <w:r>
              <w:rPr>
                <w:rFonts w:hint="default" w:ascii="Times New Roman" w:hAnsi="Times New Roman" w:eastAsia="宋体" w:cs="Times New Roman"/>
                <w:color w:val="auto"/>
                <w:sz w:val="24"/>
                <w:lang w:val="en-US" w:eastAsia="zh-CN"/>
              </w:rPr>
              <w:t>L</w:t>
            </w:r>
            <w:r>
              <w:rPr>
                <w:rFonts w:hint="default" w:ascii="Times New Roman" w:hAnsi="Times New Roman" w:eastAsia="宋体" w:cs="Times New Roman"/>
                <w:color w:val="auto"/>
                <w:sz w:val="24"/>
                <w:vertAlign w:val="subscript"/>
                <w:lang w:val="en-US" w:eastAsia="zh-CN"/>
              </w:rPr>
              <w:t>A</w:t>
            </w:r>
            <w:r>
              <w:rPr>
                <w:rFonts w:hint="default" w:ascii="Times New Roman" w:hAnsi="Times New Roman" w:eastAsia="宋体" w:cs="Times New Roman"/>
                <w:color w:val="auto"/>
                <w:sz w:val="24"/>
                <w:vertAlign w:val="baseline"/>
                <w:lang w:val="en-US" w:eastAsia="zh-CN"/>
              </w:rPr>
              <w:t>(r)</w:t>
            </w:r>
            <w:r>
              <w:rPr>
                <w:rFonts w:hint="default" w:ascii="Times New Roman" w:hAnsi="Times New Roman" w:eastAsia="宋体" w:cs="Times New Roman"/>
                <w:color w:val="auto"/>
                <w:sz w:val="24"/>
              </w:rPr>
              <w:t>计</w:t>
            </w:r>
            <w:r>
              <w:rPr>
                <w:rFonts w:hint="eastAsia" w:eastAsia="宋体"/>
                <w:color w:val="auto"/>
                <w:sz w:val="24"/>
              </w:rPr>
              <w:t>算公式：</w:t>
            </w:r>
            <w:bookmarkStart w:id="6" w:name="_Hlk105681152"/>
          </w:p>
          <w:bookmarkEnd w:id="6"/>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4"/>
              </w:rPr>
            </w:pPr>
            <m:oMathPara>
              <m:oMath>
                <m:sSub>
                  <m:sSubPr>
                    <m:ctrlPr>
                      <w:rPr>
                        <w:rFonts w:hint="default" w:ascii="Cambria Math" w:hAnsi="Cambria Math" w:eastAsia="宋体"/>
                        <w:i/>
                        <w:color w:val="auto"/>
                        <w:sz w:val="24"/>
                      </w:rPr>
                    </m:ctrlPr>
                  </m:sSubPr>
                  <m:e>
                    <m:r>
                      <m:rPr/>
                      <w:rPr>
                        <w:rFonts w:hint="default" w:ascii="Cambria Math" w:eastAsia="宋体"/>
                        <w:color w:val="auto"/>
                        <w:sz w:val="24"/>
                      </w:rPr>
                      <m:t>L</m:t>
                    </m:r>
                    <m:ctrlPr>
                      <w:rPr>
                        <w:rFonts w:hint="default" w:ascii="Cambria Math" w:hAnsi="Cambria Math" w:eastAsia="宋体"/>
                        <w:i/>
                        <w:color w:val="auto"/>
                        <w:sz w:val="24"/>
                      </w:rPr>
                    </m:ctrlPr>
                  </m:e>
                  <m:sub>
                    <m:r>
                      <m:rPr/>
                      <w:rPr>
                        <w:rFonts w:hint="default" w:ascii="Cambria Math" w:eastAsia="宋体"/>
                        <w:color w:val="auto"/>
                        <w:sz w:val="24"/>
                      </w:rPr>
                      <m:t>A</m:t>
                    </m:r>
                    <m:ctrlPr>
                      <w:rPr>
                        <w:rFonts w:hint="default" w:ascii="Cambria Math" w:hAnsi="Cambria Math" w:eastAsia="宋体"/>
                        <w:i/>
                        <w:color w:val="auto"/>
                        <w:sz w:val="24"/>
                      </w:rPr>
                    </m:ctrlPr>
                  </m:sub>
                </m:sSub>
                <m:r>
                  <m:rPr/>
                  <w:rPr>
                    <w:rFonts w:hint="default" w:ascii="Cambria Math" w:eastAsia="宋体"/>
                    <w:color w:val="auto"/>
                    <w:sz w:val="24"/>
                  </w:rPr>
                  <m:t>(r)=10</m:t>
                </m:r>
                <m:func>
                  <m:funcPr>
                    <m:ctrlPr>
                      <w:rPr>
                        <w:rFonts w:hint="default" w:ascii="Cambria Math" w:hAnsi="Cambria Math" w:eastAsia="宋体"/>
                        <w:i/>
                        <w:color w:val="auto"/>
                        <w:sz w:val="24"/>
                      </w:rPr>
                    </m:ctrlPr>
                  </m:funcPr>
                  <m:fName>
                    <m:r>
                      <m:rPr/>
                      <w:rPr>
                        <w:rFonts w:hint="default" w:ascii="Cambria Math" w:eastAsia="宋体"/>
                        <w:color w:val="auto"/>
                        <w:sz w:val="24"/>
                      </w:rPr>
                      <m:t>lg</m:t>
                    </m:r>
                    <m:ctrlPr>
                      <w:rPr>
                        <w:rFonts w:hint="default" w:ascii="Cambria Math" w:hAnsi="Cambria Math" w:eastAsia="宋体"/>
                        <w:i/>
                        <w:color w:val="auto"/>
                        <w:sz w:val="24"/>
                      </w:rPr>
                    </m:ctrlPr>
                  </m:fName>
                  <m:e>
                    <m:r>
                      <m:rPr/>
                      <w:rPr>
                        <w:rFonts w:hint="default" w:ascii="Cambria Math" w:eastAsia="宋体"/>
                        <w:color w:val="auto"/>
                        <w:sz w:val="24"/>
                      </w:rPr>
                      <m:t>(</m:t>
                    </m:r>
                    <m:nary>
                      <m:naryPr>
                        <m:chr m:val="∑"/>
                        <m:limLoc m:val="undOvr"/>
                        <m:ctrlPr>
                          <w:rPr>
                            <w:rFonts w:hint="default" w:ascii="Cambria Math" w:hAnsi="Cambria Math" w:eastAsia="宋体"/>
                            <w:i/>
                            <w:color w:val="auto"/>
                            <w:sz w:val="24"/>
                          </w:rPr>
                        </m:ctrlPr>
                      </m:naryPr>
                      <m:sub>
                        <m:r>
                          <m:rPr/>
                          <w:rPr>
                            <w:rFonts w:hint="default" w:ascii="Cambria Math" w:eastAsia="宋体"/>
                            <w:color w:val="auto"/>
                            <w:sz w:val="24"/>
                          </w:rPr>
                          <m:t>i=1</m:t>
                        </m:r>
                        <m:ctrlPr>
                          <w:rPr>
                            <w:rFonts w:hint="default" w:ascii="Cambria Math" w:hAnsi="Cambria Math" w:eastAsia="宋体"/>
                            <w:i/>
                            <w:color w:val="auto"/>
                            <w:sz w:val="24"/>
                          </w:rPr>
                        </m:ctrlPr>
                      </m:sub>
                      <m:sup>
                        <m:r>
                          <m:rPr/>
                          <w:rPr>
                            <w:rFonts w:hint="default" w:ascii="Cambria Math" w:eastAsia="宋体"/>
                            <w:color w:val="auto"/>
                            <w:sz w:val="24"/>
                          </w:rPr>
                          <m:t>8</m:t>
                        </m:r>
                        <m:ctrlPr>
                          <w:rPr>
                            <w:rFonts w:hint="default" w:ascii="Cambria Math" w:hAnsi="Cambria Math" w:eastAsia="宋体"/>
                            <w:i/>
                            <w:color w:val="auto"/>
                            <w:sz w:val="24"/>
                          </w:rPr>
                        </m:ctrlPr>
                      </m:sup>
                      <m:e>
                        <m:r>
                          <m:rPr/>
                          <w:rPr>
                            <w:rFonts w:hint="default" w:ascii="Cambria Math" w:eastAsia="宋体"/>
                            <w:color w:val="auto"/>
                            <w:sz w:val="24"/>
                          </w:rPr>
                          <m:t>1</m:t>
                        </m:r>
                        <m:sSup>
                          <m:sSupPr>
                            <m:ctrlPr>
                              <w:rPr>
                                <w:rFonts w:hint="default" w:ascii="Cambria Math" w:hAnsi="Cambria Math" w:eastAsia="宋体"/>
                                <w:i/>
                                <w:color w:val="auto"/>
                                <w:sz w:val="24"/>
                              </w:rPr>
                            </m:ctrlPr>
                          </m:sSupPr>
                          <m:e>
                            <m:r>
                              <m:rPr/>
                              <w:rPr>
                                <w:rFonts w:hint="default" w:ascii="Cambria Math" w:eastAsia="宋体"/>
                                <w:color w:val="auto"/>
                                <w:sz w:val="24"/>
                              </w:rPr>
                              <m:t>0</m:t>
                            </m:r>
                            <m:ctrlPr>
                              <w:rPr>
                                <w:rFonts w:hint="default" w:ascii="Cambria Math" w:hAnsi="Cambria Math" w:eastAsia="宋体"/>
                                <w:i/>
                                <w:color w:val="auto"/>
                                <w:sz w:val="24"/>
                              </w:rPr>
                            </m:ctrlPr>
                          </m:e>
                          <m:sup>
                            <m:r>
                              <m:rPr/>
                              <w:rPr>
                                <w:rFonts w:hint="default" w:ascii="Cambria Math" w:eastAsia="宋体"/>
                                <w:color w:val="auto"/>
                                <w:sz w:val="24"/>
                              </w:rPr>
                              <m:t>0.1</m:t>
                            </m:r>
                            <m:d>
                              <m:dPr>
                                <m:begChr m:val="["/>
                                <m:endChr m:val="]"/>
                                <m:ctrlPr>
                                  <w:rPr>
                                    <w:rFonts w:hint="default" w:ascii="Cambria Math" w:hAnsi="Cambria Math" w:eastAsia="宋体"/>
                                    <w:i/>
                                    <w:color w:val="auto"/>
                                    <w:sz w:val="24"/>
                                  </w:rPr>
                                </m:ctrlPr>
                              </m:dPr>
                              <m:e>
                                <m:sSub>
                                  <m:sSubPr>
                                    <m:ctrlPr>
                                      <w:rPr>
                                        <w:rFonts w:hint="default" w:ascii="Cambria Math" w:hAnsi="Cambria Math" w:eastAsia="宋体"/>
                                        <w:i/>
                                        <w:color w:val="auto"/>
                                        <w:sz w:val="24"/>
                                      </w:rPr>
                                    </m:ctrlPr>
                                  </m:sSubPr>
                                  <m:e>
                                    <m:r>
                                      <m:rPr/>
                                      <w:rPr>
                                        <w:rFonts w:hint="default" w:ascii="Cambria Math" w:eastAsia="宋体"/>
                                        <w:color w:val="auto"/>
                                        <w:sz w:val="24"/>
                                      </w:rPr>
                                      <m:t>L</m:t>
                                    </m:r>
                                    <m:ctrlPr>
                                      <w:rPr>
                                        <w:rFonts w:hint="default" w:ascii="Cambria Math" w:hAnsi="Cambria Math" w:eastAsia="宋体"/>
                                        <w:i/>
                                        <w:color w:val="auto"/>
                                        <w:sz w:val="24"/>
                                      </w:rPr>
                                    </m:ctrlPr>
                                  </m:e>
                                  <m:sub>
                                    <m:r>
                                      <m:rPr/>
                                      <w:rPr>
                                        <w:rFonts w:hint="default" w:ascii="Cambria Math" w:eastAsia="宋体"/>
                                        <w:color w:val="auto"/>
                                        <w:sz w:val="24"/>
                                      </w:rPr>
                                      <m:t>pi</m:t>
                                    </m:r>
                                    <m:ctrlPr>
                                      <w:rPr>
                                        <w:rFonts w:hint="default" w:ascii="Cambria Math" w:hAnsi="Cambria Math" w:eastAsia="宋体"/>
                                        <w:i/>
                                        <w:color w:val="auto"/>
                                        <w:sz w:val="24"/>
                                      </w:rPr>
                                    </m:ctrlPr>
                                  </m:sub>
                                </m:sSub>
                                <m:r>
                                  <m:rPr/>
                                  <w:rPr>
                                    <w:rFonts w:hint="default" w:ascii="Cambria Math" w:eastAsia="宋体"/>
                                    <w:color w:val="auto"/>
                                    <w:sz w:val="24"/>
                                  </w:rPr>
                                  <m:t>(r)−</m:t>
                                </m:r>
                                <m:r>
                                  <m:rPr/>
                                  <w:rPr>
                                    <w:rFonts w:hint="default" w:ascii="Cambria Math" w:hAnsi="Cambria Math" w:eastAsia="宋体"/>
                                    <w:color w:val="auto"/>
                                    <w:sz w:val="24"/>
                                  </w:rPr>
                                  <m:t>∆</m:t>
                                </m:r>
                                <m:sSub>
                                  <m:sSubPr>
                                    <m:ctrlPr>
                                      <w:rPr>
                                        <w:rFonts w:hint="default" w:ascii="Cambria Math" w:hAnsi="Cambria Math" w:eastAsia="宋体"/>
                                        <w:i/>
                                        <w:color w:val="auto"/>
                                        <w:sz w:val="24"/>
                                      </w:rPr>
                                    </m:ctrlPr>
                                  </m:sSubPr>
                                  <m:e>
                                    <m:r>
                                      <m:rPr/>
                                      <w:rPr>
                                        <w:rFonts w:hint="default" w:ascii="Cambria Math" w:eastAsia="宋体"/>
                                        <w:color w:val="auto"/>
                                        <w:sz w:val="24"/>
                                      </w:rPr>
                                      <m:t>L</m:t>
                                    </m:r>
                                    <m:ctrlPr>
                                      <w:rPr>
                                        <w:rFonts w:hint="default" w:ascii="Cambria Math" w:hAnsi="Cambria Math" w:eastAsia="宋体"/>
                                        <w:i/>
                                        <w:color w:val="auto"/>
                                        <w:sz w:val="24"/>
                                      </w:rPr>
                                    </m:ctrlPr>
                                  </m:e>
                                  <m:sub>
                                    <m:r>
                                      <m:rPr/>
                                      <w:rPr>
                                        <w:rFonts w:hint="default" w:ascii="Cambria Math" w:eastAsia="宋体"/>
                                        <w:color w:val="auto"/>
                                        <w:sz w:val="24"/>
                                      </w:rPr>
                                      <m:t>i</m:t>
                                    </m:r>
                                    <m:ctrlPr>
                                      <w:rPr>
                                        <w:rFonts w:hint="default" w:ascii="Cambria Math" w:hAnsi="Cambria Math" w:eastAsia="宋体"/>
                                        <w:i/>
                                        <w:color w:val="auto"/>
                                        <w:sz w:val="24"/>
                                      </w:rPr>
                                    </m:ctrlPr>
                                  </m:sub>
                                </m:sSub>
                                <m:ctrlPr>
                                  <w:rPr>
                                    <w:rFonts w:hint="default" w:ascii="Cambria Math" w:hAnsi="Cambria Math" w:eastAsia="宋体"/>
                                    <w:i/>
                                    <w:color w:val="auto"/>
                                    <w:sz w:val="24"/>
                                  </w:rPr>
                                </m:ctrlPr>
                              </m:e>
                            </m:d>
                            <m:ctrlPr>
                              <w:rPr>
                                <w:rFonts w:hint="default" w:ascii="Cambria Math" w:hAnsi="Cambria Math" w:eastAsia="宋体"/>
                                <w:i/>
                                <w:color w:val="auto"/>
                                <w:sz w:val="24"/>
                              </w:rPr>
                            </m:ctrlPr>
                          </m:sup>
                        </m:sSup>
                        <m:r>
                          <m:rPr/>
                          <w:rPr>
                            <w:rFonts w:hint="default" w:ascii="Cambria Math" w:eastAsia="宋体"/>
                            <w:color w:val="auto"/>
                            <w:sz w:val="24"/>
                          </w:rPr>
                          <m:t>)</m:t>
                        </m:r>
                        <m:ctrlPr>
                          <w:rPr>
                            <w:rFonts w:hint="default" w:ascii="Cambria Math" w:hAnsi="Cambria Math" w:eastAsia="宋体"/>
                            <w:i/>
                            <w:color w:val="auto"/>
                            <w:sz w:val="24"/>
                          </w:rPr>
                        </m:ctrlPr>
                      </m:e>
                    </m:nary>
                    <m:ctrlPr>
                      <w:rPr>
                        <w:rFonts w:hint="default" w:ascii="Cambria Math" w:hAnsi="Cambria Math" w:eastAsia="宋体"/>
                        <w:i/>
                        <w:color w:val="auto"/>
                        <w:sz w:val="24"/>
                      </w:rPr>
                    </m:ctrlPr>
                  </m:e>
                </m:func>
              </m:oMath>
            </m:oMathPara>
          </w:p>
          <w:p>
            <w:pPr>
              <w:pStyle w:val="16"/>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olor w:val="auto"/>
                <w:sz w:val="24"/>
              </w:rPr>
            </w:pPr>
            <w:r>
              <w:rPr>
                <w:rFonts w:hint="eastAsia" w:ascii="Times New Roman" w:hAnsi="Times New Roman" w:eastAsia="宋体"/>
                <w:color w:val="auto"/>
                <w:sz w:val="24"/>
              </w:rPr>
              <w:t>式中：</w:t>
            </w:r>
            <w:r>
              <w:rPr>
                <w:rFonts w:hint="default" w:ascii="Times New Roman" w:hAnsi="Times New Roman" w:eastAsia="宋体" w:cs="Times New Roman"/>
                <w:color w:val="auto"/>
                <w:sz w:val="24"/>
                <w:lang w:val="en-US" w:eastAsia="zh-CN"/>
              </w:rPr>
              <w:t>L</w:t>
            </w:r>
            <w:r>
              <w:rPr>
                <w:rFonts w:hint="default" w:ascii="Times New Roman" w:hAnsi="Times New Roman" w:eastAsia="宋体" w:cs="Times New Roman"/>
                <w:color w:val="auto"/>
                <w:sz w:val="24"/>
                <w:vertAlign w:val="subscript"/>
                <w:lang w:val="en-US" w:eastAsia="zh-CN"/>
              </w:rPr>
              <w:t>A</w:t>
            </w:r>
            <w:r>
              <w:rPr>
                <w:rFonts w:hint="default" w:ascii="Times New Roman" w:hAnsi="Times New Roman" w:eastAsia="宋体" w:cs="Times New Roman"/>
                <w:color w:val="auto"/>
                <w:sz w:val="24"/>
                <w:vertAlign w:val="baseline"/>
                <w:lang w:val="en-US" w:eastAsia="zh-CN"/>
              </w:rPr>
              <w:t>(r)</w:t>
            </w:r>
            <w:r>
              <w:rPr>
                <w:rFonts w:ascii="Times New Roman" w:hAnsi="Times New Roman" w:eastAsia="宋体"/>
                <w:color w:val="auto"/>
                <w:sz w:val="24"/>
              </w:rPr>
              <w:t>——</w:t>
            </w:r>
            <w:r>
              <w:rPr>
                <w:rFonts w:hint="eastAsia" w:ascii="Times New Roman" w:hAnsi="Times New Roman" w:eastAsia="宋体"/>
                <w:color w:val="auto"/>
                <w:sz w:val="24"/>
              </w:rPr>
              <w:t>距声源</w:t>
            </w:r>
            <w:r>
              <w:rPr>
                <w:rFonts w:ascii="Times New Roman" w:hAnsi="Times New Roman" w:eastAsia="宋体"/>
                <w:color w:val="auto"/>
                <w:sz w:val="24"/>
              </w:rPr>
              <w:t>r</w:t>
            </w:r>
            <w:r>
              <w:rPr>
                <w:rFonts w:hint="eastAsia" w:ascii="Times New Roman" w:hAnsi="Times New Roman" w:eastAsia="宋体"/>
                <w:color w:val="auto"/>
                <w:sz w:val="24"/>
              </w:rPr>
              <w:t>处的</w:t>
            </w:r>
            <w:r>
              <w:rPr>
                <w:rFonts w:ascii="Times New Roman" w:hAnsi="Times New Roman" w:eastAsia="宋体"/>
                <w:color w:val="auto"/>
                <w:sz w:val="24"/>
              </w:rPr>
              <w:t>A</w:t>
            </w:r>
            <w:r>
              <w:rPr>
                <w:rFonts w:hint="eastAsia" w:ascii="Times New Roman" w:hAnsi="Times New Roman" w:eastAsia="宋体"/>
                <w:color w:val="auto"/>
                <w:sz w:val="24"/>
              </w:rPr>
              <w:t>声级，</w:t>
            </w:r>
            <w:r>
              <w:rPr>
                <w:rFonts w:ascii="Times New Roman" w:hAnsi="Times New Roman" w:eastAsia="宋体"/>
                <w:color w:val="auto"/>
                <w:sz w:val="24"/>
              </w:rPr>
              <w:t>dB</w:t>
            </w:r>
            <w:r>
              <w:rPr>
                <w:rFonts w:hint="eastAsia" w:ascii="Times New Roman" w:hAnsi="Times New Roman" w:eastAsia="宋体"/>
                <w:color w:val="auto"/>
                <w:sz w:val="24"/>
              </w:rPr>
              <w:t>（</w:t>
            </w:r>
            <w:r>
              <w:rPr>
                <w:rFonts w:ascii="Times New Roman" w:hAnsi="Times New Roman" w:eastAsia="宋体"/>
                <w:color w:val="auto"/>
                <w:sz w:val="24"/>
              </w:rPr>
              <w:t>A</w:t>
            </w:r>
            <w:r>
              <w:rPr>
                <w:rFonts w:hint="eastAsia" w:ascii="Times New Roman" w:hAnsi="Times New Roman" w:eastAsia="宋体"/>
                <w:color w:val="auto"/>
                <w:sz w:val="24"/>
              </w:rPr>
              <w:t>）；</w:t>
            </w:r>
          </w:p>
          <w:p>
            <w:pPr>
              <w:pStyle w:val="16"/>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ascii="Times New Roman" w:hAnsi="Times New Roman" w:eastAsia="宋体"/>
                <w:color w:val="auto"/>
                <w:sz w:val="24"/>
              </w:rPr>
            </w:pPr>
            <m:oMath>
              <m:sSub>
                <m:sSubPr>
                  <m:ctrlPr>
                    <w:rPr>
                      <w:rFonts w:hint="default" w:ascii="Cambria Math" w:hAnsi="Cambria Math" w:eastAsia="宋体"/>
                      <w:i/>
                      <w:color w:val="auto"/>
                      <w:sz w:val="24"/>
                      <w:szCs w:val="24"/>
                    </w:rPr>
                  </m:ctrlPr>
                </m:sSubPr>
                <m:e>
                  <m:r>
                    <m:rPr/>
                    <w:rPr>
                      <w:rFonts w:hint="default" w:ascii="Cambria Math" w:eastAsia="宋体"/>
                      <w:color w:val="auto"/>
                      <w:sz w:val="24"/>
                    </w:rPr>
                    <m:t>L</m:t>
                  </m:r>
                  <m:ctrlPr>
                    <w:rPr>
                      <w:rFonts w:hint="default" w:ascii="Cambria Math" w:hAnsi="Cambria Math" w:eastAsia="宋体"/>
                      <w:i/>
                      <w:color w:val="auto"/>
                      <w:sz w:val="24"/>
                      <w:szCs w:val="24"/>
                    </w:rPr>
                  </m:ctrlPr>
                </m:e>
                <m:sub>
                  <m:r>
                    <m:rPr/>
                    <w:rPr>
                      <w:rFonts w:hint="default" w:ascii="Cambria Math" w:eastAsia="宋体"/>
                      <w:color w:val="auto"/>
                      <w:sz w:val="24"/>
                    </w:rPr>
                    <m:t>pi</m:t>
                  </m:r>
                  <m:ctrlPr>
                    <w:rPr>
                      <w:rFonts w:hint="default" w:ascii="Cambria Math" w:hAnsi="Cambria Math" w:eastAsia="宋体"/>
                      <w:i/>
                      <w:color w:val="auto"/>
                      <w:sz w:val="24"/>
                      <w:szCs w:val="24"/>
                    </w:rPr>
                  </m:ctrlPr>
                </m:sub>
              </m:sSub>
              <m:r>
                <m:rPr/>
                <w:rPr>
                  <w:rFonts w:hint="default" w:ascii="Cambria Math" w:eastAsia="宋体"/>
                  <w:color w:val="auto"/>
                  <w:sz w:val="24"/>
                </w:rPr>
                <m:t>(r)</m:t>
              </m:r>
            </m:oMath>
            <w:r>
              <w:rPr>
                <w:rFonts w:ascii="Times New Roman" w:hAnsi="Times New Roman" w:eastAsia="宋体"/>
                <w:color w:val="auto"/>
                <w:sz w:val="24"/>
              </w:rPr>
              <w:t>——</w:t>
            </w:r>
            <w:r>
              <w:rPr>
                <w:rFonts w:hint="eastAsia" w:ascii="Times New Roman" w:hAnsi="Times New Roman" w:eastAsia="宋体"/>
                <w:color w:val="auto"/>
                <w:sz w:val="24"/>
              </w:rPr>
              <w:t>预测点（</w:t>
            </w:r>
            <w:r>
              <w:rPr>
                <w:rFonts w:ascii="Times New Roman" w:hAnsi="Times New Roman" w:eastAsia="宋体"/>
                <w:color w:val="auto"/>
                <w:sz w:val="24"/>
              </w:rPr>
              <w:t>r</w:t>
            </w:r>
            <w:r>
              <w:rPr>
                <w:rFonts w:hint="eastAsia" w:ascii="Times New Roman" w:hAnsi="Times New Roman" w:eastAsia="宋体"/>
                <w:color w:val="auto"/>
                <w:sz w:val="24"/>
              </w:rPr>
              <w:t>）处，</w:t>
            </w:r>
            <w:bookmarkStart w:id="7" w:name="_Hlk105681207"/>
            <w:r>
              <w:rPr>
                <w:rFonts w:hint="eastAsia" w:ascii="Times New Roman" w:hAnsi="Times New Roman" w:eastAsia="宋体"/>
                <w:color w:val="auto"/>
                <w:sz w:val="24"/>
              </w:rPr>
              <w:t>第</w:t>
            </w:r>
            <w:r>
              <w:rPr>
                <w:rFonts w:ascii="Times New Roman" w:hAnsi="Times New Roman" w:eastAsia="宋体"/>
                <w:color w:val="auto"/>
                <w:sz w:val="24"/>
              </w:rPr>
              <w:t>i</w:t>
            </w:r>
            <w:r>
              <w:rPr>
                <w:rFonts w:hint="eastAsia" w:ascii="Times New Roman" w:hAnsi="Times New Roman" w:eastAsia="宋体"/>
                <w:color w:val="auto"/>
                <w:sz w:val="24"/>
              </w:rPr>
              <w:t>倍频带声压级，</w:t>
            </w:r>
            <w:r>
              <w:rPr>
                <w:rFonts w:ascii="Times New Roman" w:hAnsi="Times New Roman" w:eastAsia="宋体"/>
                <w:color w:val="auto"/>
                <w:sz w:val="24"/>
              </w:rPr>
              <w:t>dB</w:t>
            </w:r>
            <w:bookmarkEnd w:id="7"/>
            <w:r>
              <w:rPr>
                <w:rFonts w:hint="eastAsia" w:ascii="Times New Roman" w:hAnsi="Times New Roman" w:eastAsia="宋体"/>
                <w:color w:val="auto"/>
                <w:sz w:val="24"/>
              </w:rPr>
              <w:t>；</w:t>
            </w:r>
          </w:p>
          <w:p>
            <w:pPr>
              <w:pStyle w:val="16"/>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ascii="Times New Roman" w:hAnsi="Times New Roman" w:eastAsia="宋体"/>
                <w:color w:val="auto"/>
                <w:sz w:val="24"/>
              </w:rPr>
            </w:pPr>
            <m:oMath>
              <m:r>
                <m:rPr/>
                <w:rPr>
                  <w:rFonts w:hint="default" w:ascii="Cambria Math" w:hAnsi="Cambria Math" w:eastAsia="宋体"/>
                  <w:color w:val="auto"/>
                  <w:sz w:val="24"/>
                </w:rPr>
                <m:t>∆</m:t>
              </m:r>
              <m:sSub>
                <m:sSubPr>
                  <m:ctrlPr>
                    <w:rPr>
                      <w:rFonts w:hint="default" w:ascii="Cambria Math" w:hAnsi="Cambria Math" w:eastAsia="宋体"/>
                      <w:i/>
                      <w:color w:val="auto"/>
                      <w:sz w:val="24"/>
                      <w:szCs w:val="24"/>
                    </w:rPr>
                  </m:ctrlPr>
                </m:sSubPr>
                <m:e>
                  <m:r>
                    <m:rPr/>
                    <w:rPr>
                      <w:rFonts w:hint="default" w:ascii="Cambria Math" w:eastAsia="宋体"/>
                      <w:color w:val="auto"/>
                      <w:sz w:val="24"/>
                    </w:rPr>
                    <m:t>L</m:t>
                  </m:r>
                  <m:ctrlPr>
                    <w:rPr>
                      <w:rFonts w:hint="default" w:ascii="Cambria Math" w:hAnsi="Cambria Math" w:eastAsia="宋体"/>
                      <w:i/>
                      <w:color w:val="auto"/>
                      <w:sz w:val="24"/>
                      <w:szCs w:val="24"/>
                    </w:rPr>
                  </m:ctrlPr>
                </m:e>
                <m:sub>
                  <m:r>
                    <m:rPr/>
                    <w:rPr>
                      <w:rFonts w:hint="default" w:ascii="Cambria Math" w:eastAsia="宋体"/>
                      <w:color w:val="auto"/>
                      <w:sz w:val="24"/>
                    </w:rPr>
                    <m:t>i</m:t>
                  </m:r>
                  <m:ctrlPr>
                    <w:rPr>
                      <w:rFonts w:hint="default" w:ascii="Cambria Math" w:hAnsi="Cambria Math" w:eastAsia="宋体"/>
                      <w:i/>
                      <w:color w:val="auto"/>
                      <w:sz w:val="24"/>
                      <w:szCs w:val="24"/>
                    </w:rPr>
                  </m:ctrlPr>
                </m:sub>
              </m:sSub>
            </m:oMath>
            <w:r>
              <w:rPr>
                <w:rFonts w:ascii="Times New Roman" w:hAnsi="Times New Roman" w:eastAsia="宋体"/>
                <w:color w:val="auto"/>
                <w:sz w:val="24"/>
              </w:rPr>
              <w:t>——</w:t>
            </w:r>
            <w:r>
              <w:rPr>
                <w:rFonts w:hint="eastAsia" w:ascii="Times New Roman" w:hAnsi="Times New Roman" w:eastAsia="宋体"/>
                <w:color w:val="auto"/>
                <w:sz w:val="24"/>
              </w:rPr>
              <w:t>第</w:t>
            </w:r>
            <w:r>
              <w:rPr>
                <w:rFonts w:ascii="Times New Roman" w:hAnsi="Times New Roman" w:eastAsia="宋体"/>
                <w:color w:val="auto"/>
                <w:sz w:val="24"/>
              </w:rPr>
              <w:t>i</w:t>
            </w:r>
            <w:r>
              <w:rPr>
                <w:rFonts w:hint="eastAsia" w:ascii="Times New Roman" w:hAnsi="Times New Roman" w:eastAsia="宋体"/>
                <w:color w:val="auto"/>
                <w:sz w:val="24"/>
              </w:rPr>
              <w:t>倍频带的</w:t>
            </w:r>
            <w:r>
              <w:rPr>
                <w:rFonts w:ascii="Times New Roman" w:hAnsi="Times New Roman" w:eastAsia="宋体"/>
                <w:color w:val="auto"/>
                <w:sz w:val="24"/>
              </w:rPr>
              <w:t>A</w:t>
            </w:r>
            <w:r>
              <w:rPr>
                <w:rFonts w:hint="eastAsia" w:ascii="Times New Roman" w:hAnsi="Times New Roman" w:eastAsia="宋体"/>
                <w:color w:val="auto"/>
                <w:sz w:val="24"/>
              </w:rPr>
              <w:t>计权网络修正值，</w:t>
            </w:r>
            <w:r>
              <w:rPr>
                <w:rFonts w:ascii="Times New Roman" w:hAnsi="Times New Roman" w:eastAsia="宋体"/>
                <w:color w:val="auto"/>
                <w:sz w:val="24"/>
              </w:rPr>
              <w:t>dB</w:t>
            </w:r>
            <w:r>
              <w:rPr>
                <w:rFonts w:hint="eastAsia" w:ascii="Times New Roman" w:hAnsi="Times New Roman" w:eastAsia="宋体"/>
                <w:color w:val="auto"/>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eastAsia="宋体"/>
                <w:color w:val="auto"/>
                <w:sz w:val="24"/>
              </w:rPr>
            </w:pPr>
            <w:r>
              <w:rPr>
                <w:rFonts w:hint="eastAsia"/>
                <w:color w:val="auto"/>
                <w:sz w:val="24"/>
                <w:lang w:val="en-US" w:eastAsia="zh-CN"/>
              </w:rPr>
              <w:t>②</w:t>
            </w:r>
            <w:r>
              <w:rPr>
                <w:rFonts w:hint="eastAsia" w:eastAsia="宋体"/>
                <w:color w:val="auto"/>
                <w:sz w:val="24"/>
              </w:rPr>
              <w:t>只考虑几何发散衰减时，按以下计算公式：</w:t>
            </w:r>
          </w:p>
          <w:p>
            <w:pPr>
              <w:spacing w:line="480" w:lineRule="exact"/>
              <w:jc w:val="center"/>
              <w:rPr>
                <w:rFonts w:hint="default" w:eastAsia="宋体"/>
                <w:i/>
                <w:iCs/>
                <w:color w:val="auto"/>
                <w:sz w:val="24"/>
                <w:vertAlign w:val="subscript"/>
                <w:lang w:val="en-US"/>
              </w:rPr>
            </w:pPr>
            <w:r>
              <w:rPr>
                <w:rFonts w:hint="default" w:ascii="Times New Roman" w:hAnsi="Times New Roman" w:eastAsia="宋体" w:cs="Times New Roman"/>
                <w:i/>
                <w:iCs/>
                <w:color w:val="auto"/>
                <w:sz w:val="24"/>
                <w:lang w:val="en-US" w:eastAsia="zh-CN"/>
              </w:rPr>
              <w:t>L</w:t>
            </w:r>
            <w:r>
              <w:rPr>
                <w:rFonts w:hint="default" w:ascii="Times New Roman" w:hAnsi="Times New Roman" w:eastAsia="宋体" w:cs="Times New Roman"/>
                <w:i/>
                <w:iCs/>
                <w:color w:val="auto"/>
                <w:sz w:val="24"/>
                <w:vertAlign w:val="subscript"/>
                <w:lang w:val="en-US" w:eastAsia="zh-CN"/>
              </w:rPr>
              <w:t>A</w:t>
            </w:r>
            <w:r>
              <w:rPr>
                <w:rFonts w:hint="default" w:ascii="Times New Roman" w:hAnsi="Times New Roman" w:eastAsia="宋体" w:cs="Times New Roman"/>
                <w:i/>
                <w:iCs/>
                <w:color w:val="auto"/>
                <w:sz w:val="24"/>
                <w:vertAlign w:val="baseline"/>
                <w:lang w:val="en-US" w:eastAsia="zh-CN"/>
              </w:rPr>
              <w:t>(r)</w:t>
            </w:r>
            <w:r>
              <w:rPr>
                <w:rFonts w:hint="eastAsia" w:ascii="Times New Roman" w:hAnsi="Times New Roman" w:eastAsia="宋体" w:cs="Times New Roman"/>
                <w:i/>
                <w:iCs/>
                <w:color w:val="auto"/>
                <w:sz w:val="24"/>
                <w:vertAlign w:val="baseline"/>
                <w:lang w:val="en-US" w:eastAsia="zh-CN"/>
              </w:rPr>
              <w:t>=</w:t>
            </w:r>
            <w:r>
              <w:rPr>
                <w:rFonts w:hint="default" w:ascii="Times New Roman" w:hAnsi="Times New Roman" w:eastAsia="宋体" w:cs="Times New Roman"/>
                <w:i/>
                <w:iCs/>
                <w:color w:val="auto"/>
                <w:sz w:val="24"/>
                <w:lang w:val="en-US" w:eastAsia="zh-CN"/>
              </w:rPr>
              <w:t>L</w:t>
            </w:r>
            <w:r>
              <w:rPr>
                <w:rFonts w:hint="default" w:ascii="Times New Roman" w:hAnsi="Times New Roman" w:eastAsia="宋体" w:cs="Times New Roman"/>
                <w:i/>
                <w:iCs/>
                <w:color w:val="auto"/>
                <w:sz w:val="24"/>
                <w:vertAlign w:val="subscript"/>
                <w:lang w:val="en-US" w:eastAsia="zh-CN"/>
              </w:rPr>
              <w:t>A</w:t>
            </w:r>
            <w:r>
              <w:rPr>
                <w:rFonts w:hint="default" w:ascii="Times New Roman" w:hAnsi="Times New Roman" w:eastAsia="宋体" w:cs="Times New Roman"/>
                <w:i/>
                <w:iCs/>
                <w:color w:val="auto"/>
                <w:sz w:val="24"/>
                <w:vertAlign w:val="baseline"/>
                <w:lang w:val="en-US" w:eastAsia="zh-CN"/>
              </w:rPr>
              <w:t>(r</w:t>
            </w:r>
            <w:r>
              <w:rPr>
                <w:rFonts w:hint="eastAsia" w:ascii="Times New Roman" w:hAnsi="Times New Roman" w:eastAsia="宋体" w:cs="Times New Roman"/>
                <w:i/>
                <w:iCs/>
                <w:color w:val="auto"/>
                <w:sz w:val="24"/>
                <w:vertAlign w:val="subscript"/>
                <w:lang w:val="en-US" w:eastAsia="zh-CN"/>
              </w:rPr>
              <w:t>0</w:t>
            </w:r>
            <w:r>
              <w:rPr>
                <w:rFonts w:hint="default" w:ascii="Times New Roman" w:hAnsi="Times New Roman" w:eastAsia="宋体" w:cs="Times New Roman"/>
                <w:i/>
                <w:iCs/>
                <w:color w:val="auto"/>
                <w:sz w:val="24"/>
                <w:vertAlign w:val="baseline"/>
                <w:lang w:val="en-US" w:eastAsia="zh-CN"/>
              </w:rPr>
              <w:t>)</w:t>
            </w:r>
            <w:r>
              <w:rPr>
                <w:rFonts w:hint="eastAsia" w:ascii="Times New Roman" w:hAnsi="Times New Roman" w:eastAsia="宋体" w:cs="Times New Roman"/>
                <w:i/>
                <w:iCs/>
                <w:color w:val="auto"/>
                <w:sz w:val="24"/>
                <w:vertAlign w:val="baseline"/>
                <w:lang w:val="en-US" w:eastAsia="zh-CN"/>
              </w:rPr>
              <w:t>-A</w:t>
            </w:r>
            <w:r>
              <w:rPr>
                <w:rFonts w:hint="eastAsia" w:ascii="Times New Roman" w:hAnsi="Times New Roman" w:eastAsia="宋体" w:cs="Times New Roman"/>
                <w:i/>
                <w:iCs/>
                <w:color w:val="auto"/>
                <w:sz w:val="24"/>
                <w:vertAlign w:val="subscript"/>
                <w:lang w:val="en-US" w:eastAsia="zh-CN"/>
              </w:rPr>
              <w:t>div</w:t>
            </w:r>
          </w:p>
          <w:p>
            <w:pPr>
              <w:pStyle w:val="16"/>
              <w:keepNext w:val="0"/>
              <w:keepLines w:val="0"/>
              <w:pageBreakBefore w:val="0"/>
              <w:widowControl w:val="0"/>
              <w:kinsoku/>
              <w:wordWrap/>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olor w:val="auto"/>
                <w:sz w:val="24"/>
              </w:rPr>
            </w:pPr>
            <w:r>
              <w:rPr>
                <w:rFonts w:hint="eastAsia" w:ascii="Times New Roman" w:hAnsi="Times New Roman" w:eastAsia="宋体"/>
                <w:color w:val="auto"/>
                <w:sz w:val="24"/>
              </w:rPr>
              <w:t>式中：</w:t>
            </w:r>
            <m:oMath>
              <m:sSub>
                <m:sSubPr>
                  <m:ctrlPr>
                    <w:rPr>
                      <w:rFonts w:hint="default" w:ascii="Cambria Math" w:hAnsi="Cambria Math" w:eastAsia="宋体"/>
                      <w:i/>
                      <w:color w:val="auto"/>
                      <w:sz w:val="24"/>
                      <w:szCs w:val="24"/>
                    </w:rPr>
                  </m:ctrlPr>
                </m:sSubPr>
                <m:e>
                  <m:r>
                    <m:rPr/>
                    <w:rPr>
                      <w:rFonts w:hint="default" w:ascii="Cambria Math" w:eastAsia="宋体"/>
                      <w:color w:val="auto"/>
                      <w:sz w:val="24"/>
                    </w:rPr>
                    <m:t>L</m:t>
                  </m:r>
                  <m:ctrlPr>
                    <w:rPr>
                      <w:rFonts w:hint="default" w:ascii="Cambria Math" w:hAnsi="Cambria Math" w:eastAsia="宋体"/>
                      <w:i/>
                      <w:color w:val="auto"/>
                      <w:sz w:val="24"/>
                      <w:szCs w:val="24"/>
                    </w:rPr>
                  </m:ctrlPr>
                </m:e>
                <m:sub>
                  <m:r>
                    <m:rPr/>
                    <w:rPr>
                      <w:rFonts w:hint="default" w:ascii="Cambria Math" w:eastAsia="宋体"/>
                      <w:color w:val="auto"/>
                      <w:sz w:val="24"/>
                    </w:rPr>
                    <m:t>A</m:t>
                  </m:r>
                  <m:ctrlPr>
                    <w:rPr>
                      <w:rFonts w:hint="default" w:ascii="Cambria Math" w:hAnsi="Cambria Math" w:eastAsia="宋体"/>
                      <w:i/>
                      <w:color w:val="auto"/>
                      <w:sz w:val="24"/>
                      <w:szCs w:val="24"/>
                    </w:rPr>
                  </m:ctrlPr>
                </m:sub>
              </m:sSub>
              <m:r>
                <m:rPr/>
                <w:rPr>
                  <w:rFonts w:hint="default" w:ascii="Cambria Math" w:eastAsia="宋体"/>
                  <w:color w:val="auto"/>
                  <w:sz w:val="24"/>
                </w:rPr>
                <m:t>(r)</m:t>
              </m:r>
            </m:oMath>
            <w:r>
              <w:rPr>
                <w:rFonts w:ascii="Times New Roman" w:hAnsi="Times New Roman" w:eastAsia="宋体"/>
                <w:color w:val="auto"/>
                <w:sz w:val="24"/>
              </w:rPr>
              <w:t>——</w:t>
            </w:r>
            <w:r>
              <w:rPr>
                <w:rFonts w:hint="eastAsia" w:ascii="Times New Roman" w:hAnsi="Times New Roman" w:eastAsia="宋体"/>
                <w:color w:val="auto"/>
                <w:sz w:val="24"/>
              </w:rPr>
              <w:t>距声源</w:t>
            </w:r>
            <w:r>
              <w:rPr>
                <w:rFonts w:ascii="Times New Roman" w:hAnsi="Times New Roman" w:eastAsia="宋体"/>
                <w:color w:val="auto"/>
                <w:sz w:val="24"/>
              </w:rPr>
              <w:t>r</w:t>
            </w:r>
            <w:r>
              <w:rPr>
                <w:rFonts w:hint="eastAsia" w:ascii="Times New Roman" w:hAnsi="Times New Roman" w:eastAsia="宋体"/>
                <w:color w:val="auto"/>
                <w:sz w:val="24"/>
              </w:rPr>
              <w:t>处的</w:t>
            </w:r>
            <w:r>
              <w:rPr>
                <w:rFonts w:ascii="Times New Roman" w:hAnsi="Times New Roman" w:eastAsia="宋体"/>
                <w:color w:val="auto"/>
                <w:sz w:val="24"/>
              </w:rPr>
              <w:t>A</w:t>
            </w:r>
            <w:r>
              <w:rPr>
                <w:rFonts w:hint="eastAsia" w:ascii="Times New Roman" w:hAnsi="Times New Roman" w:eastAsia="宋体"/>
                <w:color w:val="auto"/>
                <w:sz w:val="24"/>
              </w:rPr>
              <w:t>声级，</w:t>
            </w:r>
            <w:r>
              <w:rPr>
                <w:rFonts w:ascii="Times New Roman" w:hAnsi="Times New Roman" w:eastAsia="宋体"/>
                <w:color w:val="auto"/>
                <w:sz w:val="24"/>
              </w:rPr>
              <w:t>dB</w:t>
            </w:r>
            <w:r>
              <w:rPr>
                <w:rFonts w:hint="eastAsia" w:ascii="Times New Roman" w:hAnsi="Times New Roman" w:eastAsia="宋体"/>
                <w:color w:val="auto"/>
                <w:sz w:val="24"/>
              </w:rPr>
              <w:t>（</w:t>
            </w:r>
            <w:r>
              <w:rPr>
                <w:rFonts w:ascii="Times New Roman" w:hAnsi="Times New Roman" w:eastAsia="宋体"/>
                <w:color w:val="auto"/>
                <w:sz w:val="24"/>
              </w:rPr>
              <w:t>A</w:t>
            </w:r>
            <w:r>
              <w:rPr>
                <w:rFonts w:hint="eastAsia" w:ascii="Times New Roman" w:hAnsi="Times New Roman" w:eastAsia="宋体"/>
                <w:color w:val="auto"/>
                <w:sz w:val="24"/>
              </w:rPr>
              <w:t>）；</w:t>
            </w:r>
            <w:bookmarkStart w:id="8" w:name="_Hlk105681872"/>
          </w:p>
          <w:p>
            <w:pPr>
              <w:pStyle w:val="16"/>
              <w:keepNext w:val="0"/>
              <w:keepLines w:val="0"/>
              <w:pageBreakBefore w:val="0"/>
              <w:widowControl w:val="0"/>
              <w:kinsoku/>
              <w:wordWrap/>
              <w:overflowPunct/>
              <w:topLinePunct w:val="0"/>
              <w:autoSpaceDE/>
              <w:autoSpaceDN/>
              <w:bidi w:val="0"/>
              <w:snapToGrid/>
              <w:spacing w:line="480" w:lineRule="exact"/>
              <w:ind w:firstLine="1200" w:firstLineChars="500"/>
              <w:jc w:val="both"/>
              <w:textAlignment w:val="auto"/>
              <w:rPr>
                <w:rFonts w:ascii="Cambria Math" w:hAnsi="Times New Roman" w:eastAsia="宋体"/>
                <w:i/>
                <w:color w:val="auto"/>
                <w:sz w:val="24"/>
                <w:szCs w:val="24"/>
              </w:rPr>
            </w:pPr>
            <m:oMath>
              <m:sSub>
                <m:sSubPr>
                  <m:ctrlPr>
                    <w:rPr>
                      <w:rFonts w:hint="default" w:ascii="Cambria Math" w:hAnsi="Cambria Math" w:eastAsia="宋体"/>
                      <w:i/>
                      <w:color w:val="auto"/>
                      <w:sz w:val="24"/>
                      <w:szCs w:val="24"/>
                    </w:rPr>
                  </m:ctrlPr>
                </m:sSubPr>
                <m:e>
                  <m:r>
                    <m:rPr/>
                    <w:rPr>
                      <w:rFonts w:hint="default" w:ascii="Cambria Math" w:eastAsia="宋体"/>
                      <w:color w:val="auto"/>
                      <w:sz w:val="24"/>
                    </w:rPr>
                    <m:t>L</m:t>
                  </m:r>
                  <m:ctrlPr>
                    <w:rPr>
                      <w:rFonts w:hint="default" w:ascii="Cambria Math" w:hAnsi="Cambria Math" w:eastAsia="宋体"/>
                      <w:i/>
                      <w:color w:val="auto"/>
                      <w:sz w:val="24"/>
                      <w:szCs w:val="24"/>
                    </w:rPr>
                  </m:ctrlPr>
                </m:e>
                <m:sub>
                  <m:r>
                    <m:rPr/>
                    <w:rPr>
                      <w:rFonts w:hint="default" w:ascii="Cambria Math" w:eastAsia="宋体"/>
                      <w:color w:val="auto"/>
                      <w:sz w:val="24"/>
                    </w:rPr>
                    <m:t>pi</m:t>
                  </m:r>
                  <m:ctrlPr>
                    <w:rPr>
                      <w:rFonts w:hint="default" w:ascii="Cambria Math" w:hAnsi="Cambria Math" w:eastAsia="宋体"/>
                      <w:i/>
                      <w:color w:val="auto"/>
                      <w:sz w:val="24"/>
                      <w:szCs w:val="24"/>
                    </w:rPr>
                  </m:ctrlPr>
                </m:sub>
              </m:sSub>
              <m:r>
                <m:rPr/>
                <w:rPr>
                  <w:rFonts w:hint="default" w:ascii="Cambria Math" w:eastAsia="宋体"/>
                  <w:color w:val="auto"/>
                  <w:sz w:val="24"/>
                </w:rPr>
                <m:t>(r)</m:t>
              </m:r>
            </m:oMath>
            <w:r>
              <w:rPr>
                <w:rFonts w:ascii="Times New Roman" w:hAnsi="Times New Roman" w:eastAsia="宋体"/>
                <w:color w:val="auto"/>
                <w:sz w:val="24"/>
              </w:rPr>
              <w:t>——</w:t>
            </w:r>
            <w:bookmarkEnd w:id="8"/>
            <w:r>
              <w:rPr>
                <w:rFonts w:hint="eastAsia" w:ascii="Times New Roman" w:hAnsi="Times New Roman" w:eastAsia="宋体"/>
                <w:color w:val="auto"/>
                <w:sz w:val="24"/>
              </w:rPr>
              <w:t>预测点（</w:t>
            </w:r>
            <w:r>
              <w:rPr>
                <w:rFonts w:ascii="Times New Roman" w:hAnsi="Times New Roman" w:eastAsia="宋体"/>
                <w:color w:val="auto"/>
                <w:sz w:val="24"/>
              </w:rPr>
              <w:t>r</w:t>
            </w:r>
            <w:r>
              <w:rPr>
                <w:rFonts w:hint="eastAsia" w:ascii="Times New Roman" w:hAnsi="Times New Roman" w:eastAsia="宋体"/>
                <w:color w:val="auto"/>
                <w:sz w:val="24"/>
              </w:rPr>
              <w:t>）处，第</w:t>
            </w:r>
            <w:r>
              <w:rPr>
                <w:rFonts w:ascii="Times New Roman" w:hAnsi="Times New Roman" w:eastAsia="宋体"/>
                <w:color w:val="auto"/>
                <w:sz w:val="24"/>
              </w:rPr>
              <w:t>i</w:t>
            </w:r>
            <w:r>
              <w:rPr>
                <w:rFonts w:hint="eastAsia" w:ascii="Times New Roman" w:hAnsi="Times New Roman" w:eastAsia="宋体"/>
                <w:color w:val="auto"/>
                <w:sz w:val="24"/>
              </w:rPr>
              <w:t>倍频带声压级，</w:t>
            </w:r>
            <w:bookmarkStart w:id="9" w:name="_Hlk105681984"/>
            <w:r>
              <w:rPr>
                <w:rFonts w:ascii="Times New Roman" w:hAnsi="Times New Roman" w:eastAsia="宋体"/>
                <w:color w:val="auto"/>
                <w:sz w:val="24"/>
              </w:rPr>
              <w:t>dB</w:t>
            </w:r>
            <w:bookmarkEnd w:id="9"/>
            <w:r>
              <w:rPr>
                <w:rFonts w:hint="eastAsia" w:ascii="Times New Roman" w:hAnsi="Times New Roman" w:eastAsia="宋体"/>
                <w:color w:val="auto"/>
                <w:sz w:val="24"/>
              </w:rPr>
              <w:t>（</w:t>
            </w:r>
            <w:r>
              <w:rPr>
                <w:rFonts w:ascii="Times New Roman" w:hAnsi="Times New Roman" w:eastAsia="宋体"/>
                <w:color w:val="auto"/>
                <w:sz w:val="24"/>
              </w:rPr>
              <w:t>A</w:t>
            </w:r>
            <w:r>
              <w:rPr>
                <w:rFonts w:hint="eastAsia" w:ascii="Times New Roman" w:hAnsi="Times New Roman" w:eastAsia="宋体"/>
                <w:color w:val="auto"/>
                <w:sz w:val="24"/>
              </w:rPr>
              <w:t>）；</w:t>
            </w:r>
          </w:p>
          <w:p>
            <w:pPr>
              <w:keepNext w:val="0"/>
              <w:keepLines w:val="0"/>
              <w:pageBreakBefore w:val="0"/>
              <w:widowControl w:val="0"/>
              <w:kinsoku/>
              <w:wordWrap/>
              <w:overflowPunct/>
              <w:topLinePunct w:val="0"/>
              <w:autoSpaceDE/>
              <w:autoSpaceDN/>
              <w:bidi w:val="0"/>
              <w:snapToGrid/>
              <w:spacing w:line="480" w:lineRule="exact"/>
              <w:ind w:firstLine="1200" w:firstLineChars="500"/>
              <w:jc w:val="both"/>
              <w:textAlignment w:val="auto"/>
              <w:rPr>
                <w:rFonts w:ascii="Cambria Math" w:eastAsia="宋体"/>
                <w:color w:val="auto"/>
                <w:sz w:val="24"/>
              </w:rPr>
            </w:pPr>
            <m:oMath>
              <m:sSub>
                <m:sSubPr>
                  <m:ctrlPr>
                    <w:rPr>
                      <w:rFonts w:hint="default" w:ascii="Cambria Math" w:hAnsi="Cambria Math" w:eastAsia="宋体" w:cs="宋体"/>
                      <w:i/>
                      <w:color w:val="auto"/>
                      <w:sz w:val="24"/>
                    </w:rPr>
                  </m:ctrlPr>
                </m:sSubPr>
                <m:e>
                  <m:r>
                    <m:rPr/>
                    <w:rPr>
                      <w:rFonts w:hint="default" w:ascii="Cambria Math" w:hAnsi="Cambria Math" w:eastAsia="宋体"/>
                      <w:color w:val="auto"/>
                      <w:sz w:val="24"/>
                    </w:rPr>
                    <m:t>A</m:t>
                  </m:r>
                  <m:ctrlPr>
                    <w:rPr>
                      <w:rFonts w:hint="default" w:ascii="Cambria Math" w:hAnsi="Cambria Math" w:eastAsia="宋体" w:cs="宋体"/>
                      <w:i/>
                      <w:color w:val="auto"/>
                      <w:sz w:val="24"/>
                    </w:rPr>
                  </m:ctrlPr>
                </m:e>
                <m:sub>
                  <m:r>
                    <m:rPr/>
                    <w:rPr>
                      <w:rFonts w:hint="default" w:ascii="Cambria Math" w:hAnsi="Cambria Math" w:eastAsia="宋体"/>
                      <w:color w:val="auto"/>
                      <w:sz w:val="24"/>
                    </w:rPr>
                    <m:t>div</m:t>
                  </m:r>
                  <m:ctrlPr>
                    <w:rPr>
                      <w:rFonts w:hint="default" w:ascii="Cambria Math" w:hAnsi="Cambria Math" w:eastAsia="宋体" w:cs="宋体"/>
                      <w:i/>
                      <w:color w:val="auto"/>
                      <w:sz w:val="24"/>
                    </w:rPr>
                  </m:ctrlPr>
                </m:sub>
              </m:sSub>
            </m:oMath>
            <w:r>
              <w:rPr>
                <w:rFonts w:hint="eastAsia" w:ascii="Cambria Math" w:eastAsia="宋体"/>
                <w:i/>
                <w:color w:val="auto"/>
                <w:sz w:val="24"/>
              </w:rPr>
              <w:t>——</w:t>
            </w:r>
            <w:r>
              <w:rPr>
                <w:rFonts w:hint="eastAsia" w:ascii="Cambria Math" w:eastAsia="宋体"/>
                <w:iCs/>
                <w:color w:val="auto"/>
                <w:sz w:val="24"/>
              </w:rPr>
              <w:t>几何发散引起的衰减，</w:t>
            </w:r>
            <w:r>
              <w:rPr>
                <w:rFonts w:ascii="Cambria Math" w:eastAsia="宋体"/>
                <w:iCs/>
                <w:color w:val="auto"/>
                <w:sz w:val="24"/>
              </w:rPr>
              <w:t>dB</w:t>
            </w:r>
            <w:r>
              <w:rPr>
                <w:rFonts w:hint="eastAsia" w:ascii="Cambria Math" w:eastAsia="宋体"/>
                <w:iCs/>
                <w:color w:val="auto"/>
                <w:sz w:val="24"/>
              </w:rPr>
              <w:t>；</w:t>
            </w:r>
            <m:oMath>
              <m:sSub>
                <m:sSubPr>
                  <m:ctrlPr>
                    <w:rPr>
                      <w:rFonts w:hint="default" w:ascii="Cambria Math" w:hAnsi="Cambria Math" w:eastAsia="宋体" w:cs="宋体"/>
                      <w:i/>
                      <w:color w:val="auto"/>
                      <w:sz w:val="24"/>
                    </w:rPr>
                  </m:ctrlPr>
                </m:sSubPr>
                <m:e>
                  <m:r>
                    <m:rPr/>
                    <w:rPr>
                      <w:rFonts w:hint="default" w:ascii="Cambria Math" w:hAnsi="Cambria Math" w:eastAsia="宋体"/>
                      <w:color w:val="auto"/>
                      <w:sz w:val="24"/>
                    </w:rPr>
                    <m:t>A</m:t>
                  </m:r>
                  <m:ctrlPr>
                    <w:rPr>
                      <w:rFonts w:hint="default" w:ascii="Cambria Math" w:hAnsi="Cambria Math" w:eastAsia="宋体" w:cs="宋体"/>
                      <w:i/>
                      <w:color w:val="auto"/>
                      <w:sz w:val="24"/>
                    </w:rPr>
                  </m:ctrlPr>
                </m:e>
                <m:sub>
                  <m:r>
                    <m:rPr/>
                    <w:rPr>
                      <w:rFonts w:hint="default" w:ascii="Cambria Math" w:hAnsi="Cambria Math" w:eastAsia="宋体"/>
                      <w:color w:val="auto"/>
                      <w:sz w:val="24"/>
                    </w:rPr>
                    <m:t>div</m:t>
                  </m:r>
                  <m:ctrlPr>
                    <w:rPr>
                      <w:rFonts w:hint="default" w:ascii="Cambria Math" w:hAnsi="Cambria Math" w:eastAsia="宋体" w:cs="宋体"/>
                      <w:i/>
                      <w:color w:val="auto"/>
                      <w:sz w:val="24"/>
                    </w:rPr>
                  </m:ctrlPr>
                </m:sub>
              </m:sSub>
              <m:r>
                <m:rPr/>
                <w:rPr>
                  <w:rFonts w:hint="default" w:ascii="Cambria Math" w:hAnsi="Cambria Math" w:eastAsia="宋体"/>
                  <w:color w:val="auto"/>
                  <w:sz w:val="24"/>
                </w:rPr>
                <m:t>=20</m:t>
              </m:r>
              <m:func>
                <m:funcPr>
                  <m:ctrlPr>
                    <w:rPr>
                      <w:rFonts w:hint="default" w:ascii="Cambria Math" w:hAnsi="Cambria Math" w:eastAsia="宋体" w:cs="宋体"/>
                      <w:i/>
                      <w:color w:val="auto"/>
                      <w:sz w:val="24"/>
                    </w:rPr>
                  </m:ctrlPr>
                </m:funcPr>
                <m:fName>
                  <m:r>
                    <m:rPr>
                      <m:sty m:val="p"/>
                    </m:rPr>
                    <w:rPr>
                      <w:rFonts w:hint="default" w:ascii="Cambria Math" w:hAnsi="Cambria Math"/>
                      <w:color w:val="auto"/>
                      <w:sz w:val="24"/>
                    </w:rPr>
                    <m:t>log</m:t>
                  </m:r>
                  <m:ctrlPr>
                    <w:rPr>
                      <w:rFonts w:hint="default" w:ascii="Cambria Math" w:hAnsi="Cambria Math" w:eastAsia="宋体" w:cs="宋体"/>
                      <w:i/>
                      <w:color w:val="auto"/>
                      <w:sz w:val="24"/>
                    </w:rPr>
                  </m:ctrlPr>
                </m:fName>
                <m:e>
                  <m:r>
                    <m:rPr/>
                    <w:rPr>
                      <w:rFonts w:hint="default" w:ascii="Cambria Math" w:hAnsi="Cambria Math" w:eastAsia="宋体"/>
                      <w:color w:val="auto"/>
                      <w:sz w:val="24"/>
                    </w:rPr>
                    <m:t>r/</m:t>
                  </m:r>
                  <m:sSub>
                    <m:sSubPr>
                      <m:ctrlPr>
                        <w:rPr>
                          <w:rFonts w:hint="default" w:ascii="Cambria Math" w:hAnsi="Cambria Math" w:eastAsia="宋体" w:cs="宋体"/>
                          <w:i/>
                          <w:color w:val="auto"/>
                          <w:sz w:val="24"/>
                        </w:rPr>
                      </m:ctrlPr>
                    </m:sSubPr>
                    <m:e>
                      <m:r>
                        <m:rPr/>
                        <w:rPr>
                          <w:rFonts w:hint="default" w:ascii="Cambria Math" w:hAnsi="Cambria Math" w:eastAsia="宋体"/>
                          <w:color w:val="auto"/>
                          <w:sz w:val="24"/>
                        </w:rPr>
                        <m:t>r</m:t>
                      </m:r>
                      <m:ctrlPr>
                        <w:rPr>
                          <w:rFonts w:hint="default" w:ascii="Cambria Math" w:hAnsi="Cambria Math" w:eastAsia="宋体" w:cs="宋体"/>
                          <w:i/>
                          <w:color w:val="auto"/>
                          <w:sz w:val="24"/>
                        </w:rPr>
                      </m:ctrlPr>
                    </m:e>
                    <m:sub>
                      <m:r>
                        <m:rPr/>
                        <w:rPr>
                          <w:rFonts w:hint="default" w:ascii="Cambria Math" w:hAnsi="Cambria Math" w:eastAsia="宋体"/>
                          <w:color w:val="auto"/>
                          <w:sz w:val="24"/>
                        </w:rPr>
                        <m:t>0</m:t>
                      </m:r>
                      <m:ctrlPr>
                        <w:rPr>
                          <w:rFonts w:hint="default" w:ascii="Cambria Math" w:hAnsi="Cambria Math" w:eastAsia="宋体" w:cs="宋体"/>
                          <w:i/>
                          <w:color w:val="auto"/>
                          <w:sz w:val="24"/>
                        </w:rPr>
                      </m:ctrlPr>
                    </m:sub>
                  </m:sSub>
                  <m:ctrlPr>
                    <w:rPr>
                      <w:rFonts w:hint="default" w:ascii="Cambria Math" w:hAnsi="Cambria Math" w:eastAsia="宋体" w:cs="宋体"/>
                      <w:i/>
                      <w:color w:val="auto"/>
                      <w:sz w:val="24"/>
                    </w:rPr>
                  </m:ctrlPr>
                </m:e>
              </m:func>
            </m:oMath>
          </w:p>
          <w:p>
            <w:pPr>
              <w:pStyle w:val="96"/>
              <w:keepNext w:val="0"/>
              <w:keepLines w:val="0"/>
              <w:pageBreakBefore w:val="0"/>
              <w:widowControl w:val="0"/>
              <w:kinsoku/>
              <w:wordWrap/>
              <w:overflowPunct/>
              <w:topLinePunct w:val="0"/>
              <w:autoSpaceDE/>
              <w:autoSpaceDN/>
              <w:bidi w:val="0"/>
              <w:snapToGrid/>
              <w:spacing w:line="480" w:lineRule="exact"/>
              <w:ind w:firstLine="493"/>
              <w:jc w:val="both"/>
              <w:textAlignment w:val="auto"/>
              <w:rPr>
                <w:color w:val="auto"/>
                <w:spacing w:val="4"/>
                <w:sz w:val="24"/>
                <w:szCs w:val="24"/>
              </w:rPr>
            </w:pPr>
            <w:r>
              <w:rPr>
                <w:rFonts w:hint="eastAsia"/>
                <w:color w:val="auto"/>
                <w:spacing w:val="4"/>
                <w:sz w:val="24"/>
                <w:szCs w:val="24"/>
                <w:lang w:val="en-US" w:eastAsia="zh-CN"/>
              </w:rPr>
              <w:t>③</w:t>
            </w:r>
            <w:r>
              <w:rPr>
                <w:color w:val="auto"/>
                <w:spacing w:val="4"/>
                <w:sz w:val="24"/>
                <w:szCs w:val="24"/>
              </w:rPr>
              <w:t>环境噪声合成模式</w:t>
            </w:r>
          </w:p>
          <w:p>
            <w:pPr>
              <w:pStyle w:val="96"/>
              <w:keepNext w:val="0"/>
              <w:keepLines w:val="0"/>
              <w:pageBreakBefore w:val="0"/>
              <w:widowControl w:val="0"/>
              <w:kinsoku/>
              <w:wordWrap/>
              <w:overflowPunct/>
              <w:topLinePunct w:val="0"/>
              <w:autoSpaceDE/>
              <w:autoSpaceDN/>
              <w:bidi w:val="0"/>
              <w:snapToGrid/>
              <w:spacing w:line="480" w:lineRule="exact"/>
              <w:ind w:firstLine="496"/>
              <w:jc w:val="both"/>
              <w:textAlignment w:val="auto"/>
              <w:rPr>
                <w:color w:val="auto"/>
                <w:spacing w:val="4"/>
                <w:sz w:val="24"/>
                <w:szCs w:val="24"/>
              </w:rPr>
            </w:pPr>
            <w:r>
              <w:rPr>
                <w:color w:val="auto"/>
                <w:spacing w:val="4"/>
                <w:sz w:val="24"/>
                <w:szCs w:val="24"/>
              </w:rPr>
              <w:t>本评价噪声预测在现状监测的基础上，结合本项目的设备运行噪声，计算各预测点的等效声级，各测点的声级分别按下列公式进行计算：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4"/>
              </w:rPr>
            </w:pPr>
            <w:r>
              <w:rPr>
                <w:color w:val="auto"/>
                <w:spacing w:val="4"/>
                <w:sz w:val="24"/>
                <w:szCs w:val="24"/>
              </w:rPr>
              <w:object>
                <v:shape id="_x0000_i1027" o:spt="75" type="#_x0000_t75" style="height:35.25pt;width:246.75pt;" o:ole="t" filled="f" o:preferrelative="t" stroked="f" coordsize="21600,21600">
                  <v:path/>
                  <v:fill on="f" focussize="0,0"/>
                  <v:stroke on="f"/>
                  <v:imagedata r:id="rId22" o:title=""/>
                  <o:lock v:ext="edit" aspectratio="t"/>
                  <w10:wrap type="none"/>
                  <w10:anchorlock/>
                </v:shape>
                <o:OLEObject Type="Embed" ProgID="" ShapeID="_x0000_i1027" DrawAspect="Content" ObjectID="_1468075727" r:id="rId21">
                  <o:LockedField>false</o:LockedField>
                </o:OLEObject>
              </w:object>
            </w:r>
          </w:p>
          <w:p>
            <w:pPr>
              <w:adjustRightInd w:val="0"/>
              <w:snapToGrid w:val="0"/>
              <w:spacing w:line="480" w:lineRule="exact"/>
              <w:ind w:firstLine="480" w:firstLineChars="200"/>
              <w:rPr>
                <w:rFonts w:hint="eastAsia"/>
                <w:bCs/>
                <w:color w:val="auto"/>
                <w:sz w:val="24"/>
              </w:rPr>
            </w:pPr>
            <w:r>
              <w:rPr>
                <w:rFonts w:hint="eastAsia"/>
                <w:bCs/>
                <w:color w:val="auto"/>
                <w:sz w:val="24"/>
              </w:rPr>
              <w:t>式中：</w:t>
            </w:r>
            <w:r>
              <w:rPr>
                <w:rFonts w:hint="eastAsia"/>
                <w:bCs/>
                <w:i/>
                <w:iCs/>
                <w:color w:val="auto"/>
                <w:sz w:val="24"/>
              </w:rPr>
              <w:t>Leq</w:t>
            </w:r>
            <w:r>
              <w:rPr>
                <w:rFonts w:hint="eastAsia" w:ascii="Cambria Math" w:eastAsia="宋体"/>
                <w:i/>
                <w:color w:val="auto"/>
                <w:sz w:val="24"/>
              </w:rPr>
              <w:t>——</w:t>
            </w:r>
            <w:r>
              <w:rPr>
                <w:rFonts w:hint="eastAsia"/>
                <w:bCs/>
                <w:color w:val="auto"/>
                <w:sz w:val="24"/>
              </w:rPr>
              <w:t>环境噪声预测点的等效声级，dB(A)；</w:t>
            </w:r>
          </w:p>
          <w:p>
            <w:pPr>
              <w:adjustRightInd w:val="0"/>
              <w:snapToGrid w:val="0"/>
              <w:spacing w:line="480" w:lineRule="exact"/>
              <w:ind w:firstLine="1200" w:firstLineChars="500"/>
              <w:rPr>
                <w:rFonts w:hint="eastAsia"/>
                <w:bCs/>
                <w:color w:val="auto"/>
                <w:sz w:val="24"/>
              </w:rPr>
            </w:pPr>
            <w:r>
              <w:rPr>
                <w:rFonts w:hint="eastAsia"/>
                <w:bCs/>
                <w:i/>
                <w:iCs/>
                <w:color w:val="auto"/>
                <w:sz w:val="24"/>
              </w:rPr>
              <w:t>T</w:t>
            </w:r>
            <w:r>
              <w:rPr>
                <w:rFonts w:hint="eastAsia" w:ascii="Cambria Math" w:eastAsia="宋体"/>
                <w:i/>
                <w:color w:val="auto"/>
                <w:sz w:val="24"/>
              </w:rPr>
              <w:t>——</w:t>
            </w:r>
            <w:r>
              <w:rPr>
                <w:rFonts w:hint="eastAsia"/>
                <w:bCs/>
                <w:color w:val="auto"/>
                <w:sz w:val="24"/>
              </w:rPr>
              <w:t>计算等效声级的时间；</w:t>
            </w:r>
          </w:p>
          <w:p>
            <w:pPr>
              <w:adjustRightInd w:val="0"/>
              <w:snapToGrid w:val="0"/>
              <w:spacing w:line="480" w:lineRule="exact"/>
              <w:ind w:firstLine="1200" w:firstLineChars="500"/>
              <w:rPr>
                <w:rFonts w:hint="eastAsia"/>
                <w:bCs/>
                <w:color w:val="auto"/>
                <w:sz w:val="24"/>
              </w:rPr>
            </w:pPr>
            <w:r>
              <w:rPr>
                <w:rFonts w:hint="eastAsia"/>
                <w:bCs/>
                <w:i/>
                <w:iCs/>
                <w:color w:val="auto"/>
                <w:sz w:val="24"/>
              </w:rPr>
              <w:t>LAin</w:t>
            </w:r>
            <w:r>
              <w:rPr>
                <w:rFonts w:hint="eastAsia"/>
                <w:bCs/>
                <w:i/>
                <w:iCs/>
                <w:color w:val="auto"/>
                <w:sz w:val="24"/>
                <w:lang w:val="en-US" w:eastAsia="zh-CN"/>
              </w:rPr>
              <w:t>,i</w:t>
            </w:r>
            <w:r>
              <w:rPr>
                <w:rFonts w:hint="eastAsia" w:ascii="Cambria Math" w:eastAsia="宋体"/>
                <w:i/>
                <w:color w:val="auto"/>
                <w:sz w:val="24"/>
              </w:rPr>
              <w:t>——</w:t>
            </w:r>
            <w:r>
              <w:rPr>
                <w:rFonts w:hint="eastAsia"/>
                <w:bCs/>
                <w:color w:val="auto"/>
                <w:sz w:val="24"/>
              </w:rPr>
              <w:t>第i个室外声源在预测点产生的A声级，（在T时间内该声源工作时间为tin</w:t>
            </w:r>
            <w:r>
              <w:rPr>
                <w:rFonts w:hint="eastAsia"/>
                <w:bCs/>
                <w:color w:val="auto"/>
                <w:sz w:val="24"/>
                <w:lang w:val="en-US" w:eastAsia="zh-CN"/>
              </w:rPr>
              <w:t>,i</w:t>
            </w:r>
            <w:r>
              <w:rPr>
                <w:rFonts w:hint="eastAsia"/>
                <w:bCs/>
                <w:color w:val="auto"/>
                <w:sz w:val="24"/>
              </w:rPr>
              <w:t>）；</w:t>
            </w:r>
          </w:p>
          <w:p>
            <w:pPr>
              <w:adjustRightInd w:val="0"/>
              <w:snapToGrid w:val="0"/>
              <w:spacing w:line="480" w:lineRule="exact"/>
              <w:ind w:firstLine="1200" w:firstLineChars="500"/>
              <w:rPr>
                <w:rFonts w:hint="eastAsia"/>
                <w:bCs/>
                <w:color w:val="auto"/>
                <w:sz w:val="24"/>
              </w:rPr>
            </w:pPr>
            <w:r>
              <w:rPr>
                <w:rFonts w:hint="eastAsia"/>
                <w:bCs/>
                <w:i/>
                <w:iCs/>
                <w:color w:val="auto"/>
                <w:sz w:val="24"/>
              </w:rPr>
              <w:t>LAout</w:t>
            </w:r>
            <w:r>
              <w:rPr>
                <w:rFonts w:hint="eastAsia"/>
                <w:bCs/>
                <w:i/>
                <w:iCs/>
                <w:color w:val="auto"/>
                <w:sz w:val="24"/>
                <w:lang w:val="en-US" w:eastAsia="zh-CN"/>
              </w:rPr>
              <w:t>,</w:t>
            </w:r>
            <w:r>
              <w:rPr>
                <w:rFonts w:hint="eastAsia"/>
                <w:bCs/>
                <w:i/>
                <w:iCs/>
                <w:color w:val="auto"/>
                <w:sz w:val="24"/>
              </w:rPr>
              <w:t>j</w:t>
            </w:r>
            <w:r>
              <w:rPr>
                <w:rFonts w:hint="eastAsia" w:ascii="Cambria Math" w:eastAsia="宋体"/>
                <w:i/>
                <w:color w:val="auto"/>
                <w:sz w:val="24"/>
              </w:rPr>
              <w:t>——</w:t>
            </w:r>
            <w:r>
              <w:rPr>
                <w:rFonts w:hint="eastAsia"/>
                <w:bCs/>
                <w:color w:val="auto"/>
                <w:sz w:val="24"/>
              </w:rPr>
              <w:t>第j个等效室外声源在预测点产生的A声级，（在T时间内该声源工作时间为tin</w:t>
            </w:r>
            <w:r>
              <w:rPr>
                <w:rFonts w:hint="eastAsia"/>
                <w:bCs/>
                <w:color w:val="auto"/>
                <w:sz w:val="24"/>
                <w:lang w:val="en-US" w:eastAsia="zh-CN"/>
              </w:rPr>
              <w:t>,j</w:t>
            </w:r>
            <w:r>
              <w:rPr>
                <w:rFonts w:hint="eastAsia"/>
                <w:bCs/>
                <w:color w:val="auto"/>
                <w:sz w:val="24"/>
              </w:rPr>
              <w:t>）；</w:t>
            </w:r>
          </w:p>
          <w:p>
            <w:pPr>
              <w:adjustRightInd w:val="0"/>
              <w:snapToGrid w:val="0"/>
              <w:spacing w:line="480" w:lineRule="exact"/>
              <w:ind w:firstLine="1200" w:firstLineChars="500"/>
              <w:rPr>
                <w:rFonts w:hint="eastAsia"/>
                <w:bCs/>
                <w:color w:val="auto"/>
                <w:sz w:val="24"/>
              </w:rPr>
            </w:pPr>
            <w:r>
              <w:rPr>
                <w:rFonts w:hint="eastAsia"/>
                <w:bCs/>
                <w:i/>
                <w:iCs/>
                <w:color w:val="auto"/>
                <w:sz w:val="24"/>
              </w:rPr>
              <w:t>N</w:t>
            </w:r>
            <w:r>
              <w:rPr>
                <w:rFonts w:hint="eastAsia" w:ascii="Cambria Math" w:eastAsia="宋体"/>
                <w:i/>
                <w:color w:val="auto"/>
                <w:sz w:val="24"/>
              </w:rPr>
              <w:t>——</w:t>
            </w:r>
            <w:r>
              <w:rPr>
                <w:rFonts w:hint="eastAsia"/>
                <w:bCs/>
                <w:color w:val="auto"/>
                <w:sz w:val="24"/>
              </w:rPr>
              <w:t>室外声源个数；</w:t>
            </w:r>
          </w:p>
          <w:p>
            <w:pPr>
              <w:adjustRightInd w:val="0"/>
              <w:snapToGrid w:val="0"/>
              <w:spacing w:line="480" w:lineRule="exact"/>
              <w:ind w:firstLine="1200" w:firstLineChars="500"/>
              <w:rPr>
                <w:rFonts w:hint="eastAsia"/>
                <w:bCs/>
                <w:color w:val="auto"/>
                <w:sz w:val="24"/>
              </w:rPr>
            </w:pPr>
            <w:r>
              <w:rPr>
                <w:rFonts w:hint="eastAsia"/>
                <w:bCs/>
                <w:i/>
                <w:iCs/>
                <w:color w:val="auto"/>
                <w:sz w:val="24"/>
              </w:rPr>
              <w:t>M</w:t>
            </w:r>
            <w:r>
              <w:rPr>
                <w:rFonts w:hint="eastAsia" w:ascii="Cambria Math" w:eastAsia="宋体"/>
                <w:i/>
                <w:color w:val="auto"/>
                <w:sz w:val="24"/>
              </w:rPr>
              <w:t>——</w:t>
            </w:r>
            <w:r>
              <w:rPr>
                <w:rFonts w:hint="eastAsia"/>
                <w:bCs/>
                <w:color w:val="auto"/>
                <w:sz w:val="24"/>
              </w:rPr>
              <w:t>等效室外声源个数。</w:t>
            </w:r>
          </w:p>
          <w:p>
            <w:pPr>
              <w:adjustRightInd w:val="0"/>
              <w:snapToGrid w:val="0"/>
              <w:spacing w:line="480" w:lineRule="exact"/>
              <w:ind w:firstLine="480" w:firstLineChars="200"/>
              <w:rPr>
                <w:rFonts w:hint="default" w:eastAsia="宋体"/>
                <w:bCs/>
                <w:color w:val="auto"/>
                <w:sz w:val="24"/>
                <w:lang w:val="en-US" w:eastAsia="zh-CN"/>
              </w:rPr>
            </w:pPr>
            <w:r>
              <w:rPr>
                <w:rFonts w:hint="eastAsia"/>
                <w:bCs/>
                <w:color w:val="auto"/>
                <w:sz w:val="24"/>
                <w:lang w:val="en-US" w:eastAsia="zh-CN"/>
              </w:rPr>
              <w:t>④</w:t>
            </w:r>
            <w:r>
              <w:rPr>
                <w:color w:val="auto"/>
                <w:spacing w:val="0"/>
                <w:sz w:val="24"/>
                <w:szCs w:val="24"/>
              </w:rPr>
              <w:t>噪声预测结果及评价</w:t>
            </w:r>
          </w:p>
          <w:p>
            <w:pPr>
              <w:adjustRightInd w:val="0"/>
              <w:snapToGrid w:val="0"/>
              <w:spacing w:line="480" w:lineRule="exact"/>
              <w:ind w:firstLine="480" w:firstLineChars="200"/>
              <w:rPr>
                <w:rFonts w:hint="eastAsia"/>
                <w:bCs/>
                <w:color w:val="auto"/>
                <w:sz w:val="24"/>
              </w:rPr>
            </w:pPr>
            <w:r>
              <w:rPr>
                <w:rFonts w:hint="eastAsia"/>
                <w:bCs/>
                <w:color w:val="auto"/>
                <w:sz w:val="24"/>
              </w:rPr>
              <w:t>利用预测模式计算出各设备影响噪声值，根据能量合成法叠加各设备噪声对各预测点声学环境造成的贡献值。环境噪声预测结果见</w:t>
            </w:r>
            <w:r>
              <w:rPr>
                <w:rFonts w:hint="eastAsia"/>
                <w:bCs/>
                <w:color w:val="auto"/>
                <w:sz w:val="24"/>
                <w:lang w:val="en-US" w:eastAsia="zh-CN"/>
              </w:rPr>
              <w:t>下</w:t>
            </w:r>
            <w:r>
              <w:rPr>
                <w:rFonts w:hint="eastAsia"/>
                <w:bCs/>
                <w:color w:val="auto"/>
                <w:sz w:val="24"/>
              </w:rPr>
              <w:t>表。</w:t>
            </w:r>
          </w:p>
          <w:p>
            <w:pPr>
              <w:adjustRightInd w:val="0"/>
              <w:snapToGrid w:val="0"/>
              <w:spacing w:line="480" w:lineRule="exact"/>
              <w:jc w:val="center"/>
              <w:rPr>
                <w:rFonts w:ascii="黑体" w:hAnsi="黑体" w:eastAsia="黑体"/>
                <w:bCs/>
                <w:color w:val="auto"/>
                <w:sz w:val="24"/>
              </w:rPr>
            </w:pPr>
            <w:r>
              <w:rPr>
                <w:rFonts w:hint="eastAsia" w:ascii="黑体" w:hAnsi="黑体" w:eastAsia="黑体"/>
                <w:bCs/>
                <w:color w:val="auto"/>
                <w:sz w:val="24"/>
              </w:rPr>
              <w:t>表4-1</w:t>
            </w:r>
            <w:r>
              <w:rPr>
                <w:rFonts w:hint="eastAsia" w:ascii="黑体" w:hAnsi="黑体" w:eastAsia="黑体"/>
                <w:bCs/>
                <w:color w:val="auto"/>
                <w:sz w:val="24"/>
                <w:lang w:val="en-US" w:eastAsia="zh-CN"/>
              </w:rPr>
              <w:t>2</w:t>
            </w:r>
            <w:r>
              <w:rPr>
                <w:rFonts w:hint="eastAsia" w:ascii="黑体" w:hAnsi="黑体" w:eastAsia="黑体"/>
                <w:bCs/>
                <w:color w:val="auto"/>
                <w:sz w:val="24"/>
              </w:rPr>
              <w:t xml:space="preserve">  项目</w:t>
            </w:r>
            <w:r>
              <w:rPr>
                <w:rFonts w:hint="eastAsia" w:ascii="黑体" w:hAnsi="黑体" w:eastAsia="黑体"/>
                <w:bCs/>
                <w:color w:val="auto"/>
                <w:sz w:val="24"/>
                <w:lang w:val="en-US" w:eastAsia="zh-CN"/>
              </w:rPr>
              <w:t>厂界</w:t>
            </w:r>
            <w:r>
              <w:rPr>
                <w:rFonts w:hint="eastAsia" w:ascii="黑体" w:hAnsi="黑体" w:eastAsia="黑体"/>
                <w:bCs/>
                <w:color w:val="auto"/>
                <w:sz w:val="24"/>
              </w:rPr>
              <w:t>噪声预测结果  dB（A）</w:t>
            </w:r>
          </w:p>
          <w:tbl>
            <w:tblPr>
              <w:tblStyle w:val="27"/>
              <w:tblW w:w="4992"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01"/>
              <w:gridCol w:w="2384"/>
              <w:gridCol w:w="2139"/>
              <w:gridCol w:w="970"/>
              <w:gridCol w:w="998"/>
              <w:gridCol w:w="15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4" w:type="pct"/>
                  <w:vMerge w:val="restart"/>
                  <w:tcBorders>
                    <w:top w:val="single" w:color="auto" w:sz="2" w:space="0"/>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序号</w:t>
                  </w:r>
                </w:p>
              </w:tc>
              <w:tc>
                <w:tcPr>
                  <w:tcW w:w="1350" w:type="pct"/>
                  <w:vMerge w:val="restart"/>
                  <w:tcBorders>
                    <w:top w:val="single" w:color="auto" w:sz="2" w:space="0"/>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预测点位</w:t>
                  </w:r>
                </w:p>
              </w:tc>
              <w:tc>
                <w:tcPr>
                  <w:tcW w:w="1211" w:type="pct"/>
                  <w:vMerge w:val="restart"/>
                  <w:tcBorders>
                    <w:top w:val="single" w:color="auto" w:sz="2" w:space="0"/>
                    <w:left w:val="single" w:color="auto" w:sz="4"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贡献值</w:t>
                  </w:r>
                </w:p>
              </w:tc>
              <w:tc>
                <w:tcPr>
                  <w:tcW w:w="1114" w:type="pct"/>
                  <w:gridSpan w:val="2"/>
                  <w:tcBorders>
                    <w:top w:val="single" w:color="auto" w:sz="2" w:space="0"/>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标准值</w:t>
                  </w:r>
                </w:p>
              </w:tc>
              <w:tc>
                <w:tcPr>
                  <w:tcW w:w="868" w:type="pct"/>
                  <w:vMerge w:val="restart"/>
                  <w:tcBorders>
                    <w:top w:val="single" w:color="auto" w:sz="2" w:space="0"/>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4" w:type="pct"/>
                  <w:vMerge w:val="continue"/>
                  <w:tcBorders>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1350" w:type="pct"/>
                  <w:vMerge w:val="continue"/>
                  <w:tcBorders>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1211" w:type="pct"/>
                  <w:vMerge w:val="continue"/>
                  <w:tcBorders>
                    <w:left w:val="single" w:color="auto" w:sz="4"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549" w:type="pct"/>
                  <w:tcBorders>
                    <w:top w:val="single" w:color="auto" w:sz="2" w:space="0"/>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昼间</w:t>
                  </w:r>
                </w:p>
              </w:tc>
              <w:tc>
                <w:tcPr>
                  <w:tcW w:w="565" w:type="pct"/>
                  <w:tcBorders>
                    <w:top w:val="single" w:color="auto" w:sz="2" w:space="0"/>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夜间</w:t>
                  </w:r>
                </w:p>
              </w:tc>
              <w:tc>
                <w:tcPr>
                  <w:tcW w:w="868" w:type="pct"/>
                  <w:vMerge w:val="continue"/>
                  <w:tcBorders>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4" w:type="pct"/>
                  <w:tcBorders>
                    <w:top w:val="single" w:color="auto" w:sz="2" w:space="0"/>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rFonts w:hint="eastAsia" w:eastAsia="宋体"/>
                      <w:color w:val="auto"/>
                      <w:spacing w:val="-10"/>
                      <w:lang w:val="en-US" w:eastAsia="zh-CN"/>
                    </w:rPr>
                  </w:pPr>
                  <w:r>
                    <w:rPr>
                      <w:rFonts w:hint="eastAsia"/>
                      <w:color w:val="auto"/>
                      <w:spacing w:val="-10"/>
                    </w:rPr>
                    <w:t>厂界</w:t>
                  </w:r>
                  <w:r>
                    <w:rPr>
                      <w:rFonts w:hint="eastAsia"/>
                      <w:color w:val="auto"/>
                      <w:spacing w:val="-10"/>
                      <w:lang w:val="en-US" w:eastAsia="zh-CN"/>
                    </w:rPr>
                    <w:t>北</w:t>
                  </w:r>
                </w:p>
              </w:tc>
              <w:tc>
                <w:tcPr>
                  <w:tcW w:w="1211" w:type="pct"/>
                  <w:tcBorders>
                    <w:top w:val="single" w:color="auto" w:sz="2" w:space="0"/>
                    <w:left w:val="single" w:color="auto" w:sz="4" w:space="0"/>
                    <w:bottom w:val="single" w:color="auto" w:sz="2" w:space="0"/>
                    <w:right w:val="single" w:color="auto" w:sz="2" w:space="0"/>
                  </w:tcBorders>
                  <w:vAlign w:val="center"/>
                </w:tcPr>
                <w:p>
                  <w:pPr>
                    <w:pStyle w:val="73"/>
                    <w:snapToGrid/>
                    <w:spacing w:before="0" w:after="0"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p>
              </w:tc>
              <w:tc>
                <w:tcPr>
                  <w:tcW w:w="549" w:type="pct"/>
                  <w:vMerge w:val="restart"/>
                  <w:tcBorders>
                    <w:top w:val="single" w:color="auto" w:sz="2" w:space="0"/>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60</w:t>
                  </w:r>
                </w:p>
              </w:tc>
              <w:tc>
                <w:tcPr>
                  <w:tcW w:w="565" w:type="pct"/>
                  <w:vMerge w:val="restart"/>
                  <w:tcBorders>
                    <w:top w:val="single" w:color="auto" w:sz="2" w:space="0"/>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w:t>
                  </w:r>
                </w:p>
              </w:tc>
              <w:tc>
                <w:tcPr>
                  <w:tcW w:w="868" w:type="pct"/>
                  <w:tcBorders>
                    <w:top w:val="single" w:color="auto" w:sz="2" w:space="0"/>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4" w:type="pct"/>
                  <w:tcBorders>
                    <w:top w:val="single" w:color="auto" w:sz="2" w:space="0"/>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rFonts w:hint="eastAsia" w:eastAsia="宋体"/>
                      <w:color w:val="auto"/>
                      <w:spacing w:val="-10"/>
                      <w:lang w:eastAsia="zh-CN"/>
                    </w:rPr>
                  </w:pPr>
                  <w:r>
                    <w:rPr>
                      <w:rFonts w:hint="eastAsia"/>
                      <w:color w:val="auto"/>
                      <w:spacing w:val="-10"/>
                    </w:rPr>
                    <w:t>厂界</w:t>
                  </w:r>
                  <w:r>
                    <w:rPr>
                      <w:rFonts w:hint="eastAsia"/>
                      <w:color w:val="auto"/>
                      <w:spacing w:val="-10"/>
                      <w:lang w:val="en-US" w:eastAsia="zh-CN"/>
                    </w:rPr>
                    <w:t>东</w:t>
                  </w:r>
                </w:p>
              </w:tc>
              <w:tc>
                <w:tcPr>
                  <w:tcW w:w="1211" w:type="pct"/>
                  <w:tcBorders>
                    <w:top w:val="single" w:color="auto" w:sz="2" w:space="0"/>
                    <w:left w:val="single" w:color="auto" w:sz="4" w:space="0"/>
                    <w:bottom w:val="single" w:color="auto" w:sz="4"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.8</w:t>
                  </w:r>
                </w:p>
              </w:tc>
              <w:tc>
                <w:tcPr>
                  <w:tcW w:w="549" w:type="pct"/>
                  <w:vMerge w:val="continue"/>
                  <w:tcBorders>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565" w:type="pct"/>
                  <w:vMerge w:val="continue"/>
                  <w:tcBorders>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4" w:type="pct"/>
                  <w:tcBorders>
                    <w:top w:val="single" w:color="auto" w:sz="2" w:space="0"/>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rFonts w:hint="eastAsia" w:eastAsia="宋体"/>
                      <w:color w:val="auto"/>
                      <w:spacing w:val="-10"/>
                      <w:lang w:val="en-US" w:eastAsia="zh-CN"/>
                    </w:rPr>
                  </w:pPr>
                  <w:r>
                    <w:rPr>
                      <w:rFonts w:hint="eastAsia"/>
                      <w:color w:val="auto"/>
                      <w:spacing w:val="-10"/>
                    </w:rPr>
                    <w:t>厂界</w:t>
                  </w:r>
                  <w:r>
                    <w:rPr>
                      <w:rFonts w:hint="eastAsia"/>
                      <w:color w:val="auto"/>
                      <w:spacing w:val="-10"/>
                      <w:lang w:val="en-US" w:eastAsia="zh-CN"/>
                    </w:rPr>
                    <w:t>南</w:t>
                  </w:r>
                </w:p>
              </w:tc>
              <w:tc>
                <w:tcPr>
                  <w:tcW w:w="1211" w:type="pct"/>
                  <w:tcBorders>
                    <w:top w:val="single" w:color="auto" w:sz="4" w:space="0"/>
                    <w:left w:val="single" w:color="auto" w:sz="4" w:space="0"/>
                    <w:bottom w:val="single" w:color="auto" w:sz="2" w:space="0"/>
                    <w:right w:val="single" w:color="auto" w:sz="2" w:space="0"/>
                  </w:tcBorders>
                  <w:vAlign w:val="center"/>
                </w:tcPr>
                <w:p>
                  <w:pPr>
                    <w:pStyle w:val="73"/>
                    <w:snapToGrid/>
                    <w:spacing w:before="0" w:after="0"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p>
              </w:tc>
              <w:tc>
                <w:tcPr>
                  <w:tcW w:w="549" w:type="pct"/>
                  <w:vMerge w:val="continue"/>
                  <w:tcBorders>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565" w:type="pct"/>
                  <w:vMerge w:val="continue"/>
                  <w:tcBorders>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454" w:type="pct"/>
                  <w:tcBorders>
                    <w:top w:val="single" w:color="auto" w:sz="2" w:space="0"/>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1350" w:type="pct"/>
                  <w:tcBorders>
                    <w:top w:val="single" w:color="auto" w:sz="2" w:space="0"/>
                    <w:left w:val="single" w:color="auto" w:sz="2" w:space="0"/>
                    <w:bottom w:val="single" w:color="auto" w:sz="2" w:space="0"/>
                    <w:right w:val="single" w:color="auto" w:sz="2" w:space="0"/>
                  </w:tcBorders>
                  <w:vAlign w:val="center"/>
                </w:tcPr>
                <w:p>
                  <w:pPr>
                    <w:jc w:val="center"/>
                    <w:rPr>
                      <w:rFonts w:hint="eastAsia" w:eastAsia="宋体"/>
                      <w:color w:val="auto"/>
                      <w:spacing w:val="-10"/>
                      <w:lang w:val="en-US" w:eastAsia="zh-CN"/>
                    </w:rPr>
                  </w:pPr>
                  <w:r>
                    <w:rPr>
                      <w:rFonts w:hint="eastAsia"/>
                      <w:color w:val="auto"/>
                      <w:spacing w:val="-10"/>
                    </w:rPr>
                    <w:t>厂界</w:t>
                  </w:r>
                  <w:r>
                    <w:rPr>
                      <w:rFonts w:hint="eastAsia"/>
                      <w:color w:val="auto"/>
                      <w:spacing w:val="-10"/>
                      <w:lang w:val="en-US" w:eastAsia="zh-CN"/>
                    </w:rPr>
                    <w:t>西</w:t>
                  </w:r>
                </w:p>
              </w:tc>
              <w:tc>
                <w:tcPr>
                  <w:tcW w:w="1211" w:type="pct"/>
                  <w:tcBorders>
                    <w:top w:val="single" w:color="auto" w:sz="2" w:space="0"/>
                    <w:left w:val="single" w:color="auto" w:sz="4" w:space="0"/>
                    <w:bottom w:val="single" w:color="auto" w:sz="2" w:space="0"/>
                    <w:right w:val="single" w:color="auto" w:sz="2" w:space="0"/>
                  </w:tcBorders>
                  <w:vAlign w:val="center"/>
                </w:tcPr>
                <w:p>
                  <w:pPr>
                    <w:pStyle w:val="73"/>
                    <w:snapToGrid/>
                    <w:spacing w:before="0" w:after="0"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9</w:t>
                  </w:r>
                </w:p>
              </w:tc>
              <w:tc>
                <w:tcPr>
                  <w:tcW w:w="549" w:type="pct"/>
                  <w:vMerge w:val="continue"/>
                  <w:tcBorders>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565" w:type="pct"/>
                  <w:vMerge w:val="continue"/>
                  <w:tcBorders>
                    <w:left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p>
              </w:tc>
              <w:tc>
                <w:tcPr>
                  <w:tcW w:w="868" w:type="pct"/>
                  <w:tcBorders>
                    <w:top w:val="single" w:color="auto" w:sz="2" w:space="0"/>
                    <w:left w:val="single" w:color="auto" w:sz="2" w:space="0"/>
                    <w:bottom w:val="single" w:color="auto" w:sz="2" w:space="0"/>
                    <w:right w:val="single" w:color="auto" w:sz="2" w:space="0"/>
                  </w:tcBorders>
                  <w:vAlign w:val="center"/>
                </w:tcPr>
                <w:p>
                  <w:pPr>
                    <w:pStyle w:val="73"/>
                    <w:snapToGrid/>
                    <w:spacing w:before="0" w:after="0"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bl>
          <w:p>
            <w:pPr>
              <w:adjustRightInd w:val="0"/>
              <w:snapToGrid w:val="0"/>
              <w:spacing w:line="480" w:lineRule="exact"/>
              <w:ind w:firstLine="480" w:firstLineChars="200"/>
              <w:rPr>
                <w:rFonts w:hAnsi="宋体"/>
                <w:color w:val="auto"/>
                <w:sz w:val="24"/>
                <w:szCs w:val="20"/>
              </w:rPr>
            </w:pPr>
            <w:r>
              <w:rPr>
                <w:rFonts w:hint="eastAsia" w:hAnsi="宋体"/>
                <w:color w:val="auto"/>
                <w:sz w:val="24"/>
                <w:szCs w:val="20"/>
              </w:rPr>
              <w:t>由表4-1</w:t>
            </w:r>
            <w:r>
              <w:rPr>
                <w:rFonts w:hint="eastAsia" w:hAnsi="宋体"/>
                <w:color w:val="auto"/>
                <w:sz w:val="24"/>
                <w:szCs w:val="20"/>
                <w:lang w:val="en-US" w:eastAsia="zh-CN"/>
              </w:rPr>
              <w:t>5</w:t>
            </w:r>
            <w:r>
              <w:rPr>
                <w:rFonts w:hint="eastAsia" w:hAnsi="宋体"/>
                <w:color w:val="auto"/>
                <w:sz w:val="24"/>
                <w:szCs w:val="20"/>
              </w:rPr>
              <w:t>中噪声预测结果可知：厂界贡献值范围在</w:t>
            </w:r>
            <w:r>
              <w:rPr>
                <w:rFonts w:hint="eastAsia" w:hAnsi="宋体"/>
                <w:color w:val="auto"/>
                <w:sz w:val="24"/>
                <w:szCs w:val="20"/>
                <w:lang w:val="en-US" w:eastAsia="zh-CN"/>
              </w:rPr>
              <w:t>41.3</w:t>
            </w:r>
            <w:r>
              <w:rPr>
                <w:rFonts w:hint="eastAsia" w:hAnsi="宋体"/>
                <w:color w:val="auto"/>
                <w:sz w:val="24"/>
                <w:szCs w:val="20"/>
              </w:rPr>
              <w:t>～4</w:t>
            </w:r>
            <w:r>
              <w:rPr>
                <w:rFonts w:hint="eastAsia" w:hAnsi="宋体"/>
                <w:color w:val="auto"/>
                <w:sz w:val="24"/>
                <w:szCs w:val="20"/>
                <w:lang w:val="en-US" w:eastAsia="zh-CN"/>
              </w:rPr>
              <w:t>4</w:t>
            </w:r>
            <w:r>
              <w:rPr>
                <w:rFonts w:hint="eastAsia" w:hAnsi="宋体"/>
                <w:color w:val="auto"/>
                <w:sz w:val="24"/>
                <w:szCs w:val="20"/>
              </w:rPr>
              <w:t>.</w:t>
            </w:r>
            <w:r>
              <w:rPr>
                <w:rFonts w:hint="eastAsia" w:hAnsi="宋体"/>
                <w:color w:val="auto"/>
                <w:sz w:val="24"/>
                <w:szCs w:val="20"/>
                <w:lang w:val="en-US" w:eastAsia="zh-CN"/>
              </w:rPr>
              <w:t>9</w:t>
            </w:r>
            <w:r>
              <w:rPr>
                <w:rFonts w:hint="eastAsia" w:hAnsi="宋体"/>
                <w:color w:val="auto"/>
                <w:sz w:val="24"/>
                <w:szCs w:val="20"/>
              </w:rPr>
              <w:t>dB(A)，均未超过《工业企业厂界环境噪声排放标准》(GB12348-2008)中2类标准值，厂界噪声达标排放。</w:t>
            </w:r>
          </w:p>
          <w:p>
            <w:pPr>
              <w:adjustRightInd w:val="0"/>
              <w:snapToGrid w:val="0"/>
              <w:spacing w:line="480" w:lineRule="exact"/>
              <w:ind w:firstLine="482" w:firstLineChars="200"/>
              <w:rPr>
                <w:b/>
                <w:bCs/>
                <w:color w:val="auto"/>
                <w:sz w:val="24"/>
              </w:rPr>
            </w:pPr>
            <w:r>
              <w:rPr>
                <w:rFonts w:hint="eastAsia"/>
                <w:b/>
                <w:bCs/>
                <w:color w:val="auto"/>
                <w:sz w:val="24"/>
              </w:rPr>
              <w:t>声环境监测计划：</w:t>
            </w:r>
          </w:p>
          <w:p>
            <w:pPr>
              <w:adjustRightInd w:val="0"/>
              <w:snapToGrid w:val="0"/>
              <w:spacing w:line="480" w:lineRule="exact"/>
              <w:ind w:firstLine="480" w:firstLineChars="200"/>
              <w:rPr>
                <w:color w:val="auto"/>
                <w:sz w:val="24"/>
              </w:rPr>
            </w:pPr>
            <w:r>
              <w:rPr>
                <w:rFonts w:hint="eastAsia"/>
                <w:color w:val="auto"/>
                <w:sz w:val="24"/>
              </w:rPr>
              <w:t>根据《排污单位自行监测技术指南 总则》（HJ 819-2017），</w:t>
            </w:r>
            <w:r>
              <w:rPr>
                <w:rFonts w:hint="eastAsia"/>
                <w:bCs/>
                <w:color w:val="auto"/>
                <w:sz w:val="24"/>
              </w:rPr>
              <w:t>本项目声环境监测内容见下表。</w:t>
            </w:r>
          </w:p>
          <w:p>
            <w:pPr>
              <w:spacing w:line="480" w:lineRule="exact"/>
              <w:jc w:val="center"/>
              <w:rPr>
                <w:rFonts w:ascii="黑体" w:hAnsi="黑体" w:eastAsia="黑体"/>
                <w:color w:val="auto"/>
                <w:kern w:val="0"/>
                <w:sz w:val="24"/>
                <w:szCs w:val="32"/>
              </w:rPr>
            </w:pPr>
            <w:r>
              <w:rPr>
                <w:rFonts w:hint="eastAsia" w:ascii="黑体" w:hAnsi="黑体" w:eastAsia="黑体"/>
                <w:color w:val="auto"/>
                <w:kern w:val="0"/>
                <w:sz w:val="24"/>
                <w:szCs w:val="32"/>
              </w:rPr>
              <w:t>表</w:t>
            </w:r>
            <w:r>
              <w:rPr>
                <w:rFonts w:hint="eastAsia" w:ascii="黑体" w:hAnsi="黑体" w:eastAsia="黑体"/>
                <w:bCs/>
                <w:color w:val="auto"/>
                <w:sz w:val="24"/>
                <w:szCs w:val="32"/>
              </w:rPr>
              <w:t>4-1</w:t>
            </w:r>
            <w:r>
              <w:rPr>
                <w:rFonts w:hint="eastAsia" w:ascii="黑体" w:hAnsi="黑体" w:eastAsia="黑体"/>
                <w:bCs/>
                <w:color w:val="auto"/>
                <w:sz w:val="24"/>
                <w:szCs w:val="32"/>
                <w:lang w:val="en-US" w:eastAsia="zh-CN"/>
              </w:rPr>
              <w:t>3</w:t>
            </w:r>
            <w:r>
              <w:rPr>
                <w:rFonts w:hint="eastAsia" w:ascii="黑体" w:hAnsi="黑体" w:eastAsia="黑体"/>
                <w:bCs/>
                <w:color w:val="auto"/>
                <w:sz w:val="24"/>
                <w:szCs w:val="32"/>
              </w:rPr>
              <w:t xml:space="preserve"> </w:t>
            </w:r>
            <w:r>
              <w:rPr>
                <w:rFonts w:hint="eastAsia" w:ascii="黑体" w:hAnsi="黑体" w:eastAsia="黑体"/>
                <w:color w:val="auto"/>
                <w:kern w:val="0"/>
                <w:sz w:val="24"/>
                <w:szCs w:val="32"/>
              </w:rPr>
              <w:t xml:space="preserve"> 噪声监测方案</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41"/>
              <w:gridCol w:w="2382"/>
              <w:gridCol w:w="3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widowControl/>
                    <w:jc w:val="center"/>
                    <w:rPr>
                      <w:color w:val="auto"/>
                      <w:kern w:val="0"/>
                    </w:rPr>
                  </w:pPr>
                  <w:r>
                    <w:rPr>
                      <w:rFonts w:hint="eastAsia"/>
                      <w:color w:val="auto"/>
                      <w:kern w:val="0"/>
                    </w:rPr>
                    <w:t>监测点位</w:t>
                  </w:r>
                </w:p>
              </w:tc>
              <w:tc>
                <w:tcPr>
                  <w:tcW w:w="985" w:type="pct"/>
                  <w:vAlign w:val="center"/>
                </w:tcPr>
                <w:p>
                  <w:pPr>
                    <w:widowControl/>
                    <w:jc w:val="center"/>
                    <w:rPr>
                      <w:color w:val="auto"/>
                      <w:kern w:val="0"/>
                    </w:rPr>
                  </w:pPr>
                  <w:r>
                    <w:rPr>
                      <w:rFonts w:hint="eastAsia"/>
                      <w:color w:val="auto"/>
                      <w:kern w:val="0"/>
                    </w:rPr>
                    <w:t>监测指标</w:t>
                  </w:r>
                </w:p>
              </w:tc>
              <w:tc>
                <w:tcPr>
                  <w:tcW w:w="1348" w:type="pct"/>
                  <w:vAlign w:val="center"/>
                </w:tcPr>
                <w:p>
                  <w:pPr>
                    <w:widowControl/>
                    <w:jc w:val="center"/>
                    <w:rPr>
                      <w:color w:val="auto"/>
                      <w:kern w:val="0"/>
                    </w:rPr>
                  </w:pPr>
                  <w:r>
                    <w:rPr>
                      <w:rFonts w:hint="eastAsia"/>
                      <w:color w:val="auto"/>
                      <w:kern w:val="0"/>
                    </w:rPr>
                    <w:t>监测频次</w:t>
                  </w:r>
                </w:p>
              </w:tc>
              <w:tc>
                <w:tcPr>
                  <w:tcW w:w="1951" w:type="pct"/>
                  <w:vAlign w:val="center"/>
                </w:tcPr>
                <w:p>
                  <w:pPr>
                    <w:widowControl/>
                    <w:jc w:val="center"/>
                    <w:rPr>
                      <w:color w:val="auto"/>
                      <w:kern w:val="0"/>
                    </w:rPr>
                  </w:pPr>
                  <w:r>
                    <w:rPr>
                      <w:rFonts w:hint="eastAsia"/>
                      <w:color w:val="auto"/>
                      <w:kern w:val="0"/>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widowControl/>
                    <w:jc w:val="center"/>
                    <w:rPr>
                      <w:color w:val="auto"/>
                      <w:kern w:val="0"/>
                    </w:rPr>
                  </w:pPr>
                  <w:r>
                    <w:rPr>
                      <w:rFonts w:hint="eastAsia"/>
                      <w:color w:val="auto"/>
                    </w:rPr>
                    <w:t>厂界</w:t>
                  </w:r>
                </w:p>
              </w:tc>
              <w:tc>
                <w:tcPr>
                  <w:tcW w:w="985" w:type="pct"/>
                  <w:vAlign w:val="center"/>
                </w:tcPr>
                <w:p>
                  <w:pPr>
                    <w:widowControl/>
                    <w:jc w:val="center"/>
                    <w:rPr>
                      <w:color w:val="auto"/>
                      <w:kern w:val="0"/>
                    </w:rPr>
                  </w:pPr>
                  <w:r>
                    <w:rPr>
                      <w:rFonts w:hint="eastAsia"/>
                      <w:color w:val="auto"/>
                    </w:rPr>
                    <w:t>Leq，同时统计L</w:t>
                  </w:r>
                  <w:r>
                    <w:rPr>
                      <w:rFonts w:hint="eastAsia"/>
                      <w:color w:val="auto"/>
                      <w:vertAlign w:val="subscript"/>
                    </w:rPr>
                    <w:t>10</w:t>
                  </w:r>
                  <w:r>
                    <w:rPr>
                      <w:rFonts w:hint="eastAsia"/>
                      <w:color w:val="auto"/>
                    </w:rPr>
                    <w:t>、L</w:t>
                  </w:r>
                  <w:r>
                    <w:rPr>
                      <w:rFonts w:hint="eastAsia"/>
                      <w:color w:val="auto"/>
                      <w:vertAlign w:val="subscript"/>
                    </w:rPr>
                    <w:t>50</w:t>
                  </w:r>
                  <w:r>
                    <w:rPr>
                      <w:rFonts w:hint="eastAsia"/>
                      <w:color w:val="auto"/>
                    </w:rPr>
                    <w:t>、L</w:t>
                  </w:r>
                  <w:r>
                    <w:rPr>
                      <w:rFonts w:hint="eastAsia"/>
                      <w:color w:val="auto"/>
                      <w:vertAlign w:val="subscript"/>
                    </w:rPr>
                    <w:t>90</w:t>
                  </w:r>
                </w:p>
              </w:tc>
              <w:tc>
                <w:tcPr>
                  <w:tcW w:w="1348" w:type="pct"/>
                  <w:vAlign w:val="center"/>
                </w:tcPr>
                <w:p>
                  <w:pPr>
                    <w:widowControl/>
                    <w:jc w:val="center"/>
                    <w:rPr>
                      <w:color w:val="auto"/>
                      <w:kern w:val="0"/>
                    </w:rPr>
                  </w:pPr>
                  <w:r>
                    <w:rPr>
                      <w:rFonts w:hint="eastAsia"/>
                      <w:color w:val="auto"/>
                      <w:spacing w:val="4"/>
                    </w:rPr>
                    <w:t>每季度进行一次监测，每次昼夜各监测一次</w:t>
                  </w:r>
                </w:p>
              </w:tc>
              <w:tc>
                <w:tcPr>
                  <w:tcW w:w="1951" w:type="pct"/>
                  <w:vAlign w:val="center"/>
                </w:tcPr>
                <w:p>
                  <w:pPr>
                    <w:jc w:val="center"/>
                    <w:rPr>
                      <w:color w:val="auto"/>
                      <w:kern w:val="0"/>
                    </w:rPr>
                  </w:pPr>
                  <w:r>
                    <w:rPr>
                      <w:rFonts w:hint="eastAsia"/>
                      <w:color w:val="auto"/>
                    </w:rPr>
                    <w:t>《工业企业厂界环境噪声排放标准》（GB12348-2008）中2类</w:t>
                  </w:r>
                </w:p>
              </w:tc>
            </w:tr>
          </w:tbl>
          <w:p>
            <w:pPr>
              <w:adjustRightInd w:val="0"/>
              <w:snapToGrid w:val="0"/>
              <w:spacing w:line="480" w:lineRule="exact"/>
              <w:ind w:firstLine="482" w:firstLineChars="200"/>
              <w:rPr>
                <w:color w:val="auto"/>
                <w:sz w:val="24"/>
              </w:rPr>
            </w:pPr>
            <w:r>
              <w:rPr>
                <w:rFonts w:hint="eastAsia"/>
                <w:b/>
                <w:bCs/>
                <w:color w:val="auto"/>
                <w:sz w:val="24"/>
              </w:rPr>
              <w:t>5、运营期</w:t>
            </w:r>
            <w:r>
              <w:rPr>
                <w:rFonts w:hint="eastAsia"/>
                <w:b/>
                <w:color w:val="auto"/>
                <w:sz w:val="24"/>
              </w:rPr>
              <w:t>生态影响分析</w:t>
            </w:r>
          </w:p>
          <w:p>
            <w:pPr>
              <w:adjustRightInd w:val="0"/>
              <w:snapToGrid w:val="0"/>
              <w:spacing w:line="480" w:lineRule="exact"/>
              <w:ind w:firstLine="480" w:firstLineChars="200"/>
              <w:rPr>
                <w:color w:val="auto"/>
                <w:sz w:val="24"/>
              </w:rPr>
            </w:pPr>
            <w:r>
              <w:rPr>
                <w:rFonts w:hint="eastAsia"/>
                <w:bCs/>
                <w:color w:val="auto"/>
                <w:sz w:val="24"/>
              </w:rPr>
              <w:t>本项目拟建厂址位于山西省忻州市五台县建安镇张家庄村北440m处，项目附近以农业生态环境为主，植被类型比较单一，自然环境一般，主要是农业生态环境为主，无天然林及珍稀植被。区域内生物多样性程度较低，无需要特殊保护的动植物资源。</w:t>
            </w:r>
          </w:p>
          <w:p>
            <w:pPr>
              <w:adjustRightInd w:val="0"/>
              <w:snapToGrid w:val="0"/>
              <w:spacing w:line="480" w:lineRule="exact"/>
              <w:ind w:firstLine="480" w:firstLineChars="200"/>
              <w:rPr>
                <w:color w:val="auto"/>
                <w:sz w:val="24"/>
              </w:rPr>
            </w:pPr>
            <w:r>
              <w:rPr>
                <w:rFonts w:hint="eastAsia"/>
                <w:color w:val="auto"/>
                <w:sz w:val="24"/>
                <w:lang w:bidi="ar"/>
              </w:rPr>
              <w:t>为美化环境和减少污染，道路两侧地面进行绿化，绿化系数</w:t>
            </w:r>
            <w:r>
              <w:rPr>
                <w:rFonts w:hint="eastAsia"/>
                <w:color w:val="auto"/>
                <w:sz w:val="24"/>
                <w:lang w:val="en-US" w:eastAsia="zh-CN" w:bidi="ar"/>
              </w:rPr>
              <w:t>3</w:t>
            </w:r>
            <w:r>
              <w:rPr>
                <w:color w:val="auto"/>
                <w:sz w:val="24"/>
                <w:lang w:bidi="ar"/>
              </w:rPr>
              <w:t>0%</w:t>
            </w:r>
            <w:r>
              <w:rPr>
                <w:rFonts w:hint="eastAsia"/>
                <w:color w:val="auto"/>
                <w:sz w:val="24"/>
                <w:lang w:bidi="ar"/>
              </w:rPr>
              <w:t>以上，特别是在生产区和厂前区应设绿化带，选择易管理、成活率较高的树种，同时采用常绿树与落叶树搭配的方式种植。厂前区、道路两侧空地以常青树、绿地、观赏树种为主，生产区种植防尘树种，以达到减弱噪声、防风固沙、调节气温、保持水土、改良气候的作用。</w:t>
            </w:r>
          </w:p>
          <w:p>
            <w:pPr>
              <w:adjustRightInd w:val="0"/>
              <w:snapToGrid w:val="0"/>
              <w:spacing w:line="480" w:lineRule="exact"/>
              <w:ind w:firstLine="482" w:firstLineChars="200"/>
              <w:rPr>
                <w:rFonts w:hint="eastAsia" w:eastAsia="宋体"/>
                <w:color w:val="auto"/>
                <w:sz w:val="24"/>
                <w:lang w:eastAsia="zh-CN"/>
              </w:rPr>
            </w:pPr>
            <w:r>
              <w:rPr>
                <w:rFonts w:hint="eastAsia"/>
                <w:b/>
                <w:bCs/>
                <w:color w:val="auto"/>
                <w:sz w:val="24"/>
              </w:rPr>
              <w:t>6、地下水</w:t>
            </w:r>
            <w:r>
              <w:rPr>
                <w:rFonts w:hint="eastAsia"/>
                <w:b/>
                <w:bCs/>
                <w:color w:val="auto"/>
                <w:sz w:val="24"/>
                <w:lang w:eastAsia="zh-CN"/>
              </w:rPr>
              <w:t>、</w:t>
            </w:r>
            <w:r>
              <w:rPr>
                <w:rFonts w:hint="eastAsia"/>
                <w:b/>
                <w:bCs/>
                <w:color w:val="auto"/>
                <w:sz w:val="24"/>
                <w:lang w:val="en-US" w:eastAsia="zh-CN"/>
              </w:rPr>
              <w:t>土壤</w:t>
            </w:r>
            <w:r>
              <w:rPr>
                <w:rFonts w:hint="eastAsia"/>
                <w:b/>
                <w:bCs/>
                <w:color w:val="auto"/>
                <w:sz w:val="24"/>
              </w:rPr>
              <w:t>环境影响</w:t>
            </w:r>
            <w:r>
              <w:rPr>
                <w:rFonts w:hint="eastAsia"/>
                <w:b/>
                <w:bCs/>
                <w:color w:val="auto"/>
                <w:sz w:val="24"/>
                <w:lang w:val="en-US" w:eastAsia="zh-CN"/>
              </w:rPr>
              <w:t>分析</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bCs/>
                <w:sz w:val="24"/>
                <w:lang w:val="en-GB"/>
              </w:rPr>
            </w:pPr>
            <w:r>
              <w:rPr>
                <w:rFonts w:hint="default" w:ascii="Times New Roman" w:hAnsi="Times New Roman" w:cs="Times New Roman"/>
                <w:bCs/>
                <w:sz w:val="24"/>
                <w:lang w:val="en-GB"/>
              </w:rPr>
              <w:t>本项目为生活污水集中处理，项目运行过程中可能对土壤和地下水造成污染的途径主要是污水处理构筑物、污水输送管道等污水下渗对土壤及地下水造成的污染，污泥暂存和处理建构筑物、污泥脱水滤液输送管道下渗对土壤及地下水造成的污染。</w:t>
            </w:r>
          </w:p>
          <w:p>
            <w:pPr>
              <w:pStyle w:val="25"/>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bCs/>
                <w:sz w:val="24"/>
                <w:lang w:val="en-GB"/>
              </w:rPr>
            </w:pPr>
            <w:r>
              <w:rPr>
                <w:rFonts w:hint="default" w:ascii="Times New Roman" w:hAnsi="Times New Roman" w:cs="Times New Roman"/>
                <w:bCs/>
                <w:sz w:val="24"/>
                <w:lang w:val="en-GB"/>
              </w:rPr>
              <w:t>为保护当地的地下水和土壤环境，环评提出如下保护要求：</w:t>
            </w:r>
          </w:p>
          <w:p>
            <w:pPr>
              <w:pStyle w:val="111"/>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cs="Times New Roman"/>
                <w:b/>
              </w:rPr>
            </w:pPr>
            <w:r>
              <w:rPr>
                <w:rFonts w:hint="default" w:ascii="Times New Roman" w:hAnsi="Times New Roman" w:cs="Times New Roman"/>
              </w:rPr>
              <w:t>（1）严格按照规范进行污水厂工程的施工及验收，加强生产工艺管理、设备检修与维护工作，减少污水的跑、冒、滴、漏，从源头上控制污染源。</w:t>
            </w:r>
          </w:p>
          <w:p>
            <w:pPr>
              <w:pStyle w:val="111"/>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cs="Times New Roman"/>
              </w:rPr>
            </w:pPr>
            <w:r>
              <w:rPr>
                <w:rFonts w:hint="default" w:ascii="Times New Roman" w:hAnsi="Times New Roman" w:cs="Times New Roman"/>
              </w:rPr>
              <w:t>（2）做好分区防渗工作，将各个场地划分为重点防渗区和简单防渗区，并采取相应的防渗措施，达到规定的防渗技术要求。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kern w:val="0"/>
                <w:sz w:val="24"/>
                <w:shd w:val="clear" w:color="auto" w:fill="FFFFFF"/>
              </w:rPr>
            </w:pPr>
            <w:r>
              <w:rPr>
                <w:rFonts w:hint="default" w:ascii="Times New Roman" w:hAnsi="Times New Roman" w:cs="Times New Roman"/>
                <w:kern w:val="0"/>
                <w:sz w:val="24"/>
                <w:shd w:val="clear" w:color="auto" w:fill="FFFFFF"/>
              </w:rPr>
              <w:t>①重点防渗区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kern w:val="0"/>
                <w:sz w:val="24"/>
                <w:shd w:val="clear" w:color="auto" w:fill="FFFFFF"/>
              </w:rPr>
            </w:pPr>
            <w:r>
              <w:rPr>
                <w:rFonts w:hint="default" w:ascii="Times New Roman" w:hAnsi="Times New Roman" w:cs="Times New Roman"/>
                <w:kern w:val="0"/>
                <w:sz w:val="24"/>
                <w:shd w:val="clear" w:color="auto" w:fill="FFFFFF"/>
              </w:rPr>
              <w:t>a.根据《环境影响评价技术导则地下水环境》（HJ610-2016），重点防渗区防渗层的防渗性能应等效黏土防渗层Mb≥6.0m，K&lt;10</w:t>
            </w:r>
            <w:r>
              <w:rPr>
                <w:rFonts w:hint="default" w:ascii="Times New Roman" w:hAnsi="Times New Roman" w:cs="Times New Roman"/>
                <w:kern w:val="0"/>
                <w:sz w:val="24"/>
                <w:shd w:val="clear" w:color="auto" w:fill="FFFFFF"/>
                <w:vertAlign w:val="superscript"/>
              </w:rPr>
              <w:t>-7</w:t>
            </w:r>
            <w:r>
              <w:rPr>
                <w:rFonts w:hint="default" w:ascii="Times New Roman" w:hAnsi="Times New Roman" w:cs="Times New Roman"/>
                <w:kern w:val="0"/>
                <w:sz w:val="24"/>
                <w:shd w:val="clear" w:color="auto" w:fill="FFFFFF"/>
              </w:rPr>
              <w:t>cm/s的防渗性能。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kern w:val="0"/>
                <w:sz w:val="24"/>
                <w:shd w:val="clear" w:color="auto" w:fill="FFFFFF"/>
              </w:rPr>
            </w:pPr>
            <w:r>
              <w:rPr>
                <w:rFonts w:hint="default" w:ascii="Times New Roman" w:hAnsi="Times New Roman" w:cs="Times New Roman"/>
                <w:kern w:val="0"/>
                <w:sz w:val="24"/>
                <w:shd w:val="clear" w:color="auto" w:fill="FFFFFF"/>
              </w:rPr>
              <w:t>b.混凝土池体采用防渗钢筋混凝土，池体内表面涂刷水泥基渗透结晶型防水涂料（渗透系数不大于</w:t>
            </w:r>
            <w:r>
              <w:rPr>
                <w:rFonts w:hint="default" w:ascii="Times New Roman" w:hAnsi="Times New Roman" w:cs="Times New Roman"/>
                <w:kern w:val="0"/>
                <w:sz w:val="24"/>
                <w:shd w:val="clear" w:color="auto" w:fill="FFFFFF"/>
                <w:lang w:bidi="en-US"/>
              </w:rPr>
              <w:t>1.0×</w:t>
            </w:r>
            <w:r>
              <w:rPr>
                <w:rFonts w:hint="default" w:ascii="Times New Roman" w:hAnsi="Times New Roman" w:cs="Times New Roman"/>
                <w:spacing w:val="-20"/>
                <w:kern w:val="0"/>
                <w:sz w:val="24"/>
                <w:shd w:val="clear" w:color="auto" w:fill="FFFFFF"/>
                <w:lang w:bidi="en-US"/>
              </w:rPr>
              <w:t>10</w:t>
            </w:r>
            <w:r>
              <w:rPr>
                <w:rFonts w:hint="default" w:ascii="Times New Roman" w:hAnsi="Times New Roman" w:cs="Times New Roman"/>
                <w:spacing w:val="-20"/>
                <w:kern w:val="0"/>
                <w:sz w:val="24"/>
                <w:shd w:val="clear" w:color="auto" w:fill="FFFFFF"/>
                <w:vertAlign w:val="superscript"/>
                <w:lang w:bidi="en-US"/>
              </w:rPr>
              <w:t>-7</w:t>
            </w:r>
            <w:r>
              <w:rPr>
                <w:rFonts w:hint="default" w:ascii="Times New Roman" w:hAnsi="Times New Roman" w:cs="Times New Roman"/>
                <w:kern w:val="0"/>
                <w:sz w:val="24"/>
                <w:shd w:val="clear" w:color="auto" w:fill="FFFFFF"/>
                <w:lang w:bidi="en-US"/>
              </w:rPr>
              <w:t>cm/s)，</w:t>
            </w:r>
            <w:r>
              <w:rPr>
                <w:rFonts w:hint="default" w:ascii="Times New Roman" w:hAnsi="Times New Roman" w:cs="Times New Roman"/>
                <w:kern w:val="0"/>
                <w:sz w:val="24"/>
                <w:shd w:val="clear" w:color="auto" w:fill="FFFFFF"/>
              </w:rPr>
              <w:t>池底采用“抗渗钢筋混凝土整体基础+素混凝土垫层+长丝无纺土工布+原土夯实”。混凝土强度等级不低于</w:t>
            </w:r>
            <w:r>
              <w:rPr>
                <w:rFonts w:hint="default" w:ascii="Times New Roman" w:hAnsi="Times New Roman" w:cs="Times New Roman"/>
                <w:kern w:val="0"/>
                <w:sz w:val="24"/>
                <w:shd w:val="clear" w:color="auto" w:fill="FFFFFF"/>
                <w:lang w:bidi="en-US"/>
              </w:rPr>
              <w:t>C30，</w:t>
            </w:r>
            <w:r>
              <w:rPr>
                <w:rFonts w:hint="default" w:ascii="Times New Roman" w:hAnsi="Times New Roman" w:cs="Times New Roman"/>
                <w:kern w:val="0"/>
                <w:sz w:val="24"/>
                <w:shd w:val="clear" w:color="auto" w:fill="FFFFFF"/>
              </w:rPr>
              <w:t>结构厚度不小于</w:t>
            </w:r>
            <w:r>
              <w:rPr>
                <w:rFonts w:hint="default" w:ascii="Times New Roman" w:hAnsi="Times New Roman" w:cs="Times New Roman"/>
                <w:kern w:val="0"/>
                <w:sz w:val="24"/>
                <w:shd w:val="clear" w:color="auto" w:fill="FFFFFF"/>
                <w:lang w:bidi="en-US"/>
              </w:rPr>
              <w:t>250mm，</w:t>
            </w:r>
            <w:r>
              <w:rPr>
                <w:rFonts w:hint="default" w:ascii="Times New Roman" w:hAnsi="Times New Roman" w:cs="Times New Roman"/>
                <w:kern w:val="0"/>
                <w:sz w:val="24"/>
                <w:shd w:val="clear" w:color="auto" w:fill="FFFFFF"/>
              </w:rPr>
              <w:t>混凝土的抗渗等级不低于</w:t>
            </w:r>
            <w:r>
              <w:rPr>
                <w:rFonts w:hint="default" w:ascii="Times New Roman" w:hAnsi="Times New Roman" w:cs="Times New Roman"/>
                <w:kern w:val="0"/>
                <w:sz w:val="24"/>
                <w:shd w:val="clear" w:color="auto" w:fill="FFFFFF"/>
                <w:lang w:bidi="en-US"/>
              </w:rPr>
              <w:t>P8，</w:t>
            </w:r>
            <w:r>
              <w:rPr>
                <w:rFonts w:hint="default" w:ascii="Times New Roman" w:hAnsi="Times New Roman" w:cs="Times New Roman"/>
                <w:kern w:val="0"/>
                <w:sz w:val="24"/>
                <w:shd w:val="clear" w:color="auto" w:fill="FFFFFF"/>
              </w:rPr>
              <w:t>水泥基渗透结晶型防水涂料厚度不小于</w:t>
            </w:r>
            <w:r>
              <w:rPr>
                <w:rFonts w:hint="default" w:ascii="Times New Roman" w:hAnsi="Times New Roman" w:cs="Times New Roman"/>
                <w:kern w:val="0"/>
                <w:sz w:val="24"/>
                <w:shd w:val="clear" w:color="auto" w:fill="FFFFFF"/>
                <w:lang w:bidi="en-US"/>
              </w:rPr>
              <w:t>1.0mm，</w:t>
            </w:r>
            <w:r>
              <w:rPr>
                <w:rFonts w:hint="default" w:ascii="Times New Roman" w:hAnsi="Times New Roman" w:cs="Times New Roman"/>
                <w:kern w:val="0"/>
                <w:sz w:val="24"/>
                <w:shd w:val="clear" w:color="auto" w:fill="FFFFFF"/>
              </w:rPr>
              <w:t>水泥基渗透结晶型防水剂掺量宜为胶凝材料总量的1%</w:t>
            </w:r>
            <w:r>
              <w:rPr>
                <w:rFonts w:hint="default" w:ascii="Times New Roman" w:hAnsi="Times New Roman" w:eastAsia="微软雅黑" w:cs="Times New Roman"/>
                <w:kern w:val="0"/>
                <w:sz w:val="24"/>
                <w:shd w:val="clear" w:color="auto" w:fill="FFFFFF"/>
              </w:rPr>
              <w:t>〜</w:t>
            </w:r>
            <w:r>
              <w:rPr>
                <w:rFonts w:hint="default" w:ascii="Times New Roman" w:hAnsi="Times New Roman" w:cs="Times New Roman"/>
                <w:kern w:val="0"/>
                <w:sz w:val="24"/>
                <w:shd w:val="clear" w:color="auto" w:fill="FFFFFF"/>
              </w:rPr>
              <w:t>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kern w:val="0"/>
                <w:sz w:val="24"/>
                <w:shd w:val="clear" w:color="auto" w:fill="FFFFFF"/>
              </w:rPr>
            </w:pPr>
            <w:r>
              <w:rPr>
                <w:rFonts w:hint="default" w:ascii="Times New Roman" w:hAnsi="Times New Roman" w:cs="Times New Roman"/>
                <w:kern w:val="0"/>
                <w:sz w:val="24"/>
                <w:shd w:val="clear" w:color="auto" w:fill="FFFFFF"/>
              </w:rPr>
              <w:t>c.钢筋混凝土水池的设计参照《石油化工钢筋混凝土水池结构设计规范</w:t>
            </w:r>
            <w:r>
              <w:rPr>
                <w:rFonts w:hint="default" w:ascii="Times New Roman" w:hAnsi="Times New Roman" w:cs="Times New Roman"/>
                <w:kern w:val="0"/>
                <w:sz w:val="24"/>
                <w:shd w:val="clear" w:color="auto" w:fill="FFFFFF"/>
                <w:lang w:bidi="en-US"/>
              </w:rPr>
              <w:t>（SH/T 3132)</w:t>
            </w:r>
            <w:r>
              <w:rPr>
                <w:rFonts w:hint="default" w:ascii="Times New Roman" w:hAnsi="Times New Roman" w:cs="Times New Roman"/>
                <w:kern w:val="0"/>
                <w:sz w:val="24"/>
                <w:shd w:val="clear" w:color="auto" w:fill="FFFFFF"/>
              </w:rPr>
              <w:t xml:space="preserve">的有关规定执行。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kern w:val="0"/>
                <w:sz w:val="24"/>
                <w:shd w:val="clear" w:color="auto" w:fill="FFFFFF"/>
              </w:rPr>
            </w:pPr>
            <w:r>
              <w:rPr>
                <w:rFonts w:hint="default" w:ascii="Times New Roman" w:hAnsi="Times New Roman" w:cs="Times New Roman"/>
                <w:kern w:val="0"/>
                <w:sz w:val="24"/>
                <w:shd w:val="clear" w:color="auto" w:fill="FFFFFF"/>
              </w:rPr>
              <w:t>②简单防渗区：简单防渗区包括风机房、综合办公楼、仓库、配电室、门卫、厂内道路，防渗技术要求需做一般地面硬化。</w:t>
            </w:r>
          </w:p>
          <w:p>
            <w:pPr>
              <w:adjustRightInd w:val="0"/>
              <w:snapToGrid w:val="0"/>
              <w:spacing w:line="480" w:lineRule="exact"/>
              <w:ind w:firstLine="480" w:firstLineChars="200"/>
              <w:rPr>
                <w:rFonts w:hint="default" w:eastAsia="宋体"/>
                <w:color w:val="auto"/>
                <w:sz w:val="24"/>
                <w:lang w:val="en-US" w:eastAsia="zh-CN"/>
              </w:rPr>
            </w:pPr>
            <w:r>
              <w:rPr>
                <w:rFonts w:hint="eastAsia"/>
                <w:color w:val="auto"/>
                <w:sz w:val="24"/>
                <w:lang w:val="en-US" w:eastAsia="zh-CN"/>
              </w:rPr>
              <w:t>本项目分区防渗要求见下表。</w:t>
            </w:r>
          </w:p>
          <w:p>
            <w:pPr>
              <w:pStyle w:val="88"/>
              <w:spacing w:line="480" w:lineRule="exact"/>
              <w:ind w:firstLine="480"/>
              <w:rPr>
                <w:rFonts w:ascii="黑体" w:hAnsi="黑体" w:eastAsia="黑体"/>
                <w:color w:val="auto"/>
              </w:rPr>
            </w:pPr>
            <w:r>
              <w:rPr>
                <w:rFonts w:hint="eastAsia" w:ascii="黑体" w:hAnsi="黑体" w:eastAsia="黑体"/>
                <w:color w:val="auto"/>
              </w:rPr>
              <w:t>表4-1</w:t>
            </w:r>
            <w:r>
              <w:rPr>
                <w:rFonts w:hint="eastAsia" w:ascii="黑体" w:hAnsi="黑体" w:eastAsia="黑体"/>
                <w:color w:val="auto"/>
                <w:lang w:val="en-US" w:eastAsia="zh-CN"/>
              </w:rPr>
              <w:t>4</w:t>
            </w:r>
            <w:r>
              <w:rPr>
                <w:rFonts w:hint="eastAsia" w:ascii="黑体" w:hAnsi="黑体" w:eastAsia="黑体"/>
                <w:color w:val="auto"/>
              </w:rPr>
              <w:t xml:space="preserve">  本次评价要求采取的防渗处理措施一览表</w:t>
            </w:r>
          </w:p>
          <w:tbl>
            <w:tblPr>
              <w:tblStyle w:val="27"/>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925"/>
              <w:gridCol w:w="3224"/>
              <w:gridCol w:w="4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序号</w:t>
                  </w:r>
                </w:p>
              </w:tc>
              <w:tc>
                <w:tcPr>
                  <w:tcW w:w="525" w:type="pc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防渗</w:t>
                  </w:r>
                </w:p>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分区</w:t>
                  </w:r>
                </w:p>
              </w:tc>
              <w:tc>
                <w:tcPr>
                  <w:tcW w:w="1830" w:type="pc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区内建构筑物</w:t>
                  </w:r>
                </w:p>
              </w:tc>
              <w:tc>
                <w:tcPr>
                  <w:tcW w:w="2275" w:type="pc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Merge w:val="restar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1</w:t>
                  </w:r>
                </w:p>
              </w:tc>
              <w:tc>
                <w:tcPr>
                  <w:tcW w:w="525" w:type="pc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重点</w:t>
                  </w:r>
                </w:p>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防渗区</w:t>
                  </w:r>
                </w:p>
              </w:tc>
              <w:tc>
                <w:tcPr>
                  <w:tcW w:w="1830" w:type="pct"/>
                  <w:noWrap w:val="0"/>
                  <w:vAlign w:val="center"/>
                </w:tcPr>
                <w:p>
                  <w:pPr>
                    <w:widowControl/>
                    <w:snapToGrid w:val="0"/>
                    <w:jc w:val="left"/>
                    <w:rPr>
                      <w:rFonts w:hint="default" w:ascii="Times New Roman" w:hAnsi="Times New Roman" w:eastAsia="宋体" w:cs="Times New Roman"/>
                      <w:bCs/>
                      <w:kern w:val="0"/>
                      <w:szCs w:val="21"/>
                      <w:lang w:val="en-US" w:eastAsia="zh-CN"/>
                    </w:rPr>
                  </w:pPr>
                  <w:r>
                    <w:rPr>
                      <w:rFonts w:hint="eastAsia"/>
                      <w:bCs/>
                      <w:color w:val="auto"/>
                      <w:spacing w:val="4"/>
                      <w:lang w:val="en-US" w:eastAsia="zh-CN"/>
                    </w:rPr>
                    <w:t>主要包括</w:t>
                  </w:r>
                  <w:r>
                    <w:rPr>
                      <w:rFonts w:hint="eastAsia"/>
                      <w:bCs/>
                      <w:color w:val="auto"/>
                      <w:spacing w:val="4"/>
                    </w:rPr>
                    <w:t>粗格栅间、提升泵房、细格栅间、曝气沉砂池、初沉池、生化池、</w:t>
                  </w:r>
                  <w:r>
                    <w:rPr>
                      <w:rFonts w:hint="eastAsia"/>
                      <w:bCs/>
                      <w:color w:val="auto"/>
                      <w:spacing w:val="4"/>
                      <w:lang w:val="en-US" w:eastAsia="zh-CN"/>
                    </w:rPr>
                    <w:t>二沉池</w:t>
                  </w:r>
                  <w:r>
                    <w:rPr>
                      <w:rFonts w:hint="eastAsia"/>
                      <w:bCs/>
                      <w:color w:val="auto"/>
                      <w:spacing w:val="4"/>
                    </w:rPr>
                    <w:t>、储泥池、污泥浓缩脱水车间、储药间、加药间、化粪池、厂内污水管线基础</w:t>
                  </w:r>
                  <w:r>
                    <w:rPr>
                      <w:rFonts w:hint="eastAsia"/>
                      <w:bCs/>
                      <w:color w:val="auto"/>
                      <w:spacing w:val="4"/>
                      <w:lang w:eastAsia="zh-CN"/>
                    </w:rPr>
                    <w:t>，</w:t>
                  </w:r>
                  <w:r>
                    <w:rPr>
                      <w:rFonts w:hint="eastAsia"/>
                      <w:bCs/>
                      <w:color w:val="auto"/>
                      <w:spacing w:val="4"/>
                      <w:lang w:val="en-US" w:eastAsia="zh-CN"/>
                    </w:rPr>
                    <w:t>危废暂存间</w:t>
                  </w:r>
                </w:p>
              </w:tc>
              <w:tc>
                <w:tcPr>
                  <w:tcW w:w="2275" w:type="pct"/>
                  <w:noWrap w:val="0"/>
                  <w:vAlign w:val="center"/>
                </w:tcPr>
                <w:p>
                  <w:pPr>
                    <w:widowControl/>
                    <w:snapToGrid w:val="0"/>
                    <w:jc w:val="left"/>
                    <w:rPr>
                      <w:rFonts w:hint="default" w:ascii="Times New Roman" w:hAnsi="Times New Roman" w:cs="Times New Roman"/>
                      <w:bCs/>
                      <w:kern w:val="0"/>
                      <w:szCs w:val="21"/>
                    </w:rPr>
                  </w:pPr>
                  <w:r>
                    <w:rPr>
                      <w:rFonts w:hint="eastAsia"/>
                      <w:bCs/>
                      <w:color w:val="auto"/>
                      <w:spacing w:val="4"/>
                    </w:rPr>
                    <w:t>要求等效黏土防渗层Mb≥6.0m，K&lt;10</w:t>
                  </w:r>
                  <w:r>
                    <w:rPr>
                      <w:rFonts w:hint="eastAsia"/>
                      <w:bCs/>
                      <w:color w:val="auto"/>
                      <w:spacing w:val="4"/>
                      <w:vertAlign w:val="superscript"/>
                    </w:rPr>
                    <w:t>-7</w:t>
                  </w:r>
                  <w:r>
                    <w:rPr>
                      <w:rFonts w:hint="eastAsia"/>
                      <w:bCs/>
                      <w:color w:val="auto"/>
                      <w:spacing w:val="4"/>
                    </w:rPr>
                    <w:t>cm/s，混凝土池体采用防渗钢筋混凝土，池体内表面涂刷水泥基渗透结晶型防水涂料（渗透系数不大于1.0×10</w:t>
                  </w:r>
                  <w:r>
                    <w:rPr>
                      <w:rFonts w:hint="eastAsia"/>
                      <w:bCs/>
                      <w:color w:val="auto"/>
                      <w:spacing w:val="4"/>
                      <w:vertAlign w:val="superscript"/>
                    </w:rPr>
                    <w:t>-7</w:t>
                  </w:r>
                  <w:r>
                    <w:rPr>
                      <w:rFonts w:hint="eastAsia"/>
                      <w:bCs/>
                      <w:color w:val="auto"/>
                      <w:spacing w:val="4"/>
                    </w:rPr>
                    <w:t>cm/s)，池底采用“抗渗钢筋混凝土整体基础+素混凝土垫层+长丝无纺土工布+原土夯实”，混凝土强度等级不低于C30，结构厚度不小于250mm，混凝土的抗渗等级不低于P8，水泥基渗透结晶型防水涂料厚度不小于1.0mm；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Merge w:val="continue"/>
                  <w:noWrap w:val="0"/>
                  <w:vAlign w:val="center"/>
                </w:tcPr>
                <w:p>
                  <w:pPr>
                    <w:widowControl/>
                    <w:snapToGrid w:val="0"/>
                    <w:jc w:val="left"/>
                    <w:rPr>
                      <w:rFonts w:hint="default" w:ascii="Times New Roman" w:hAnsi="Times New Roman" w:cs="Times New Roman"/>
                      <w:bCs/>
                      <w:kern w:val="0"/>
                      <w:szCs w:val="21"/>
                    </w:rPr>
                  </w:pPr>
                </w:p>
              </w:tc>
              <w:tc>
                <w:tcPr>
                  <w:tcW w:w="525" w:type="pc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简单</w:t>
                  </w:r>
                </w:p>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防渗区</w:t>
                  </w:r>
                </w:p>
              </w:tc>
              <w:tc>
                <w:tcPr>
                  <w:tcW w:w="1830" w:type="pc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风机房、综合办公楼、仓库、配电室、门卫、厂内道路</w:t>
                  </w:r>
                </w:p>
              </w:tc>
              <w:tc>
                <w:tcPr>
                  <w:tcW w:w="2275" w:type="pct"/>
                  <w:noWrap w:val="0"/>
                  <w:vAlign w:val="center"/>
                </w:tcPr>
                <w:p>
                  <w:pPr>
                    <w:widowControl/>
                    <w:snapToGrid w:val="0"/>
                    <w:jc w:val="left"/>
                    <w:rPr>
                      <w:rFonts w:hint="default" w:ascii="Times New Roman" w:hAnsi="Times New Roman" w:cs="Times New Roman"/>
                      <w:bCs/>
                      <w:kern w:val="0"/>
                      <w:szCs w:val="21"/>
                    </w:rPr>
                  </w:pPr>
                  <w:r>
                    <w:rPr>
                      <w:rFonts w:hint="default" w:ascii="Times New Roman" w:hAnsi="Times New Roman" w:cs="Times New Roman"/>
                      <w:bCs/>
                      <w:kern w:val="0"/>
                      <w:szCs w:val="21"/>
                    </w:rPr>
                    <w:t>一般地面硬化</w:t>
                  </w:r>
                </w:p>
              </w:tc>
            </w:tr>
          </w:tbl>
          <w:p>
            <w:pPr>
              <w:adjustRightInd w:val="0"/>
              <w:snapToGrid w:val="0"/>
              <w:spacing w:line="480" w:lineRule="exact"/>
              <w:ind w:firstLine="480" w:firstLineChars="200"/>
              <w:rPr>
                <w:rFonts w:hint="eastAsia" w:ascii="宋体" w:hAnsi="宋体" w:cs="宋体"/>
                <w:color w:val="auto"/>
                <w:sz w:val="24"/>
                <w:szCs w:val="24"/>
              </w:rPr>
            </w:pPr>
            <w:r>
              <w:rPr>
                <w:rFonts w:hint="eastAsia" w:ascii="宋体" w:hAnsi="宋体"/>
                <w:bCs/>
                <w:sz w:val="24"/>
                <w:lang w:val="en-GB"/>
              </w:rPr>
              <w:t>综上所述，采取环评要求的污染防治措施后，项目运行过程中对周围土壤和地下水环境影响较小。</w:t>
            </w:r>
          </w:p>
          <w:p>
            <w:pPr>
              <w:adjustRightInd w:val="0"/>
              <w:snapToGrid w:val="0"/>
              <w:spacing w:line="480" w:lineRule="exact"/>
              <w:ind w:firstLine="482" w:firstLineChars="200"/>
              <w:rPr>
                <w:color w:val="auto"/>
                <w:sz w:val="24"/>
              </w:rPr>
            </w:pPr>
            <w:r>
              <w:rPr>
                <w:rFonts w:hint="eastAsia"/>
                <w:b/>
                <w:bCs/>
                <w:color w:val="auto"/>
                <w:sz w:val="24"/>
                <w:lang w:val="en-US" w:eastAsia="zh-CN"/>
              </w:rPr>
              <w:t>7</w:t>
            </w:r>
            <w:r>
              <w:rPr>
                <w:rFonts w:hint="eastAsia"/>
                <w:b/>
                <w:bCs/>
                <w:color w:val="auto"/>
                <w:sz w:val="24"/>
              </w:rPr>
              <w:t>、环境风险影响分析</w:t>
            </w:r>
          </w:p>
          <w:p>
            <w:pPr>
              <w:spacing w:line="480" w:lineRule="exact"/>
              <w:ind w:firstLine="480" w:firstLineChars="200"/>
              <w:rPr>
                <w:rFonts w:hint="eastAsia" w:ascii="宋体" w:hAnsi="宋体" w:cs="宋体"/>
                <w:color w:val="auto"/>
                <w:sz w:val="24"/>
              </w:rPr>
            </w:pPr>
            <w:r>
              <w:rPr>
                <w:rFonts w:hint="eastAsia" w:ascii="宋体" w:hAnsi="宋体" w:cs="宋体"/>
                <w:color w:val="auto"/>
                <w:sz w:val="24"/>
              </w:rPr>
              <w:t>本项目涉及到的危险物质为</w:t>
            </w:r>
            <w:r>
              <w:rPr>
                <w:rFonts w:hint="eastAsia" w:ascii="宋体" w:hAnsi="宋体" w:cs="宋体"/>
                <w:color w:val="auto"/>
                <w:sz w:val="24"/>
                <w:lang w:val="en-US" w:eastAsia="zh-CN"/>
              </w:rPr>
              <w:t>次氯酸钠和废矿物油</w:t>
            </w:r>
            <w:r>
              <w:rPr>
                <w:rFonts w:hint="eastAsia" w:ascii="宋体" w:hAnsi="宋体" w:cs="宋体"/>
                <w:color w:val="auto"/>
                <w:sz w:val="24"/>
              </w:rPr>
              <w:t>，项目在运行过程中存在着发生火灾、爆炸等突发风险事故的可能性。</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GB"/>
              </w:rPr>
              <w:t>项目生产过程中所涉及风险物质为</w:t>
            </w:r>
            <w:r>
              <w:rPr>
                <w:rFonts w:hint="eastAsia" w:ascii="宋体" w:hAnsi="宋体" w:cs="宋体"/>
                <w:color w:val="auto"/>
                <w:sz w:val="24"/>
                <w:lang w:val="en-US" w:eastAsia="zh-CN"/>
              </w:rPr>
              <w:t>次氯酸钠和废矿物油</w:t>
            </w:r>
            <w:r>
              <w:rPr>
                <w:rFonts w:hint="default" w:ascii="Times New Roman" w:hAnsi="Times New Roman" w:cs="Times New Roman"/>
                <w:color w:val="auto"/>
                <w:sz w:val="24"/>
                <w:lang w:val="en-GB"/>
              </w:rPr>
              <w:t>，其汇总情况见下表。</w:t>
            </w:r>
          </w:p>
          <w:p>
            <w:pPr>
              <w:pStyle w:val="88"/>
              <w:keepNext w:val="0"/>
              <w:keepLines w:val="0"/>
              <w:pageBreakBefore w:val="0"/>
              <w:widowControl/>
              <w:kinsoku/>
              <w:wordWrap/>
              <w:overflowPunct/>
              <w:topLinePunct w:val="0"/>
              <w:autoSpaceDE/>
              <w:autoSpaceDN/>
              <w:bidi w:val="0"/>
              <w:adjustRightInd/>
              <w:snapToGrid w:val="0"/>
              <w:spacing w:line="480" w:lineRule="exact"/>
              <w:ind w:firstLine="0"/>
              <w:textAlignment w:val="auto"/>
              <w:rPr>
                <w:rFonts w:ascii="黑体" w:hAnsi="黑体" w:eastAsia="黑体"/>
                <w:color w:val="auto"/>
              </w:rPr>
            </w:pPr>
            <w:r>
              <w:rPr>
                <w:rFonts w:hint="eastAsia" w:ascii="黑体" w:hAnsi="黑体" w:eastAsia="黑体"/>
                <w:color w:val="auto"/>
              </w:rPr>
              <w:t>表4-1</w:t>
            </w:r>
            <w:r>
              <w:rPr>
                <w:rFonts w:hint="eastAsia" w:ascii="黑体" w:hAnsi="黑体" w:eastAsia="黑体"/>
                <w:color w:val="auto"/>
                <w:lang w:val="en-US" w:eastAsia="zh-CN"/>
              </w:rPr>
              <w:t>5</w:t>
            </w:r>
            <w:r>
              <w:rPr>
                <w:rFonts w:hint="eastAsia" w:ascii="黑体" w:hAnsi="黑体" w:eastAsia="黑体"/>
                <w:color w:val="auto"/>
              </w:rPr>
              <w:t xml:space="preserve">  项目涉及风险物质一览表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217"/>
              <w:gridCol w:w="1618"/>
              <w:gridCol w:w="756"/>
              <w:gridCol w:w="2157"/>
              <w:gridCol w:w="1231"/>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pct"/>
                  <w:vMerge w:val="restar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危险源</w:t>
                  </w:r>
                </w:p>
              </w:tc>
              <w:tc>
                <w:tcPr>
                  <w:tcW w:w="689" w:type="pct"/>
                  <w:vMerge w:val="restar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密度</w:t>
                  </w:r>
                </w:p>
              </w:tc>
              <w:tc>
                <w:tcPr>
                  <w:tcW w:w="2565" w:type="pct"/>
                  <w:gridSpan w:val="3"/>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本工程量</w:t>
                  </w:r>
                </w:p>
              </w:tc>
              <w:tc>
                <w:tcPr>
                  <w:tcW w:w="697" w:type="pct"/>
                  <w:vMerge w:val="restar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危险物质</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临界量t</w:t>
                  </w:r>
                </w:p>
              </w:tc>
              <w:tc>
                <w:tcPr>
                  <w:tcW w:w="451" w:type="pct"/>
                  <w:vMerge w:val="restar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分布</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Cs w:val="21"/>
                    </w:rPr>
                  </w:pPr>
                </w:p>
              </w:tc>
              <w:tc>
                <w:tcPr>
                  <w:tcW w:w="689"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Cs w:val="21"/>
                    </w:rPr>
                  </w:pPr>
                </w:p>
              </w:tc>
              <w:tc>
                <w:tcPr>
                  <w:tcW w:w="916"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单罐体积（m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428"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个数</w:t>
                  </w:r>
                </w:p>
              </w:tc>
              <w:tc>
                <w:tcPr>
                  <w:tcW w:w="1221"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最大储量t</w:t>
                  </w:r>
                </w:p>
              </w:tc>
              <w:tc>
                <w:tcPr>
                  <w:tcW w:w="697"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Cs w:val="21"/>
                    </w:rPr>
                  </w:pPr>
                </w:p>
              </w:tc>
              <w:tc>
                <w:tcPr>
                  <w:tcW w:w="451"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NaClO</w:t>
                  </w:r>
                </w:p>
              </w:tc>
              <w:tc>
                <w:tcPr>
                  <w:tcW w:w="689"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1.17t/m</w:t>
                  </w:r>
                  <w:r>
                    <w:rPr>
                      <w:rFonts w:hint="default" w:ascii="Times New Roman" w:hAnsi="Times New Roman" w:cs="Times New Roman"/>
                      <w:szCs w:val="21"/>
                      <w:vertAlign w:val="superscript"/>
                    </w:rPr>
                    <w:t>3</w:t>
                  </w:r>
                  <w:r>
                    <w:rPr>
                      <w:rFonts w:hint="default" w:ascii="Times New Roman" w:hAnsi="Times New Roman" w:cs="Times New Roman"/>
                      <w:szCs w:val="21"/>
                    </w:rPr>
                    <w:t>（质量分数为10%）</w:t>
                  </w:r>
                </w:p>
              </w:tc>
              <w:tc>
                <w:tcPr>
                  <w:tcW w:w="916"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10</w:t>
                  </w:r>
                </w:p>
              </w:tc>
              <w:tc>
                <w:tcPr>
                  <w:tcW w:w="428"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1</w:t>
                  </w:r>
                </w:p>
              </w:tc>
              <w:tc>
                <w:tcPr>
                  <w:tcW w:w="1221"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11.7（质量分数为10%，折算纯物质为1.17t）</w:t>
                  </w:r>
                </w:p>
              </w:tc>
              <w:tc>
                <w:tcPr>
                  <w:tcW w:w="697"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5</w:t>
                  </w:r>
                </w:p>
              </w:tc>
              <w:tc>
                <w:tcPr>
                  <w:tcW w:w="451" w:type="pct"/>
                  <w:vMerge w:val="restar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加药间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9" w:type="pct"/>
                  <w:gridSpan w:val="6"/>
                  <w:noWrap w:val="0"/>
                  <w:vAlign w:val="center"/>
                </w:tcPr>
                <w:p>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szCs w:val="21"/>
                    </w:rPr>
                  </w:pPr>
                  <w:r>
                    <w:rPr>
                      <w:rFonts w:hint="default" w:ascii="Times New Roman" w:hAnsi="Times New Roman" w:cs="Times New Roman"/>
                      <w:szCs w:val="21"/>
                    </w:rPr>
                    <w:t>备注：次氯酸钠溶液的质量分数为10%</w:t>
                  </w:r>
                </w:p>
              </w:tc>
              <w:tc>
                <w:tcPr>
                  <w:tcW w:w="451" w:type="pct"/>
                  <w:vMerge w:val="continue"/>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szCs w:val="21"/>
                    </w:rPr>
                  </w:pPr>
                </w:p>
              </w:tc>
            </w:tr>
          </w:tbl>
          <w:p>
            <w:pPr>
              <w:adjustRightInd w:val="0"/>
              <w:snapToGrid w:val="0"/>
              <w:spacing w:line="480" w:lineRule="exact"/>
              <w:ind w:firstLine="480" w:firstLineChars="200"/>
              <w:rPr>
                <w:rFonts w:ascii="宋体" w:hAnsi="宋体" w:cs="宋体"/>
                <w:bCs/>
                <w:color w:val="auto"/>
                <w:sz w:val="24"/>
              </w:rPr>
            </w:pPr>
            <w:r>
              <w:rPr>
                <w:rFonts w:hint="default" w:ascii="Times New Roman" w:hAnsi="Times New Roman" w:cs="Times New Roman"/>
                <w:color w:val="auto"/>
                <w:sz w:val="24"/>
              </w:rPr>
              <w:t>根</w:t>
            </w:r>
            <w:r>
              <w:rPr>
                <w:rFonts w:hint="eastAsia" w:ascii="宋体" w:hAnsi="宋体" w:cs="宋体"/>
                <w:color w:val="auto"/>
                <w:sz w:val="24"/>
              </w:rPr>
              <w:t>据《建设项目环境</w:t>
            </w:r>
            <w:r>
              <w:rPr>
                <w:rFonts w:hint="eastAsia"/>
                <w:color w:val="auto"/>
                <w:sz w:val="24"/>
              </w:rPr>
              <w:t>风险评价技术导则（HJ169-2018）》，本项目危险物质数量和临界量比值（Q）见下表。</w:t>
            </w:r>
          </w:p>
          <w:p>
            <w:pPr>
              <w:pStyle w:val="88"/>
              <w:spacing w:line="480" w:lineRule="exact"/>
              <w:ind w:firstLine="480"/>
              <w:rPr>
                <w:rFonts w:ascii="黑体" w:hAnsi="黑体" w:eastAsia="黑体"/>
                <w:color w:val="auto"/>
              </w:rPr>
            </w:pPr>
            <w:r>
              <w:rPr>
                <w:rFonts w:hint="eastAsia" w:ascii="黑体" w:hAnsi="黑体" w:eastAsia="黑体"/>
                <w:color w:val="auto"/>
              </w:rPr>
              <w:t>表4-1</w:t>
            </w:r>
            <w:r>
              <w:rPr>
                <w:rFonts w:hint="eastAsia" w:ascii="黑体" w:hAnsi="黑体" w:eastAsia="黑体"/>
                <w:color w:val="auto"/>
                <w:lang w:val="en-US" w:eastAsia="zh-CN"/>
              </w:rPr>
              <w:t>6</w:t>
            </w:r>
            <w:r>
              <w:rPr>
                <w:rFonts w:hint="eastAsia" w:ascii="黑体" w:hAnsi="黑体" w:eastAsia="黑体"/>
                <w:color w:val="auto"/>
              </w:rPr>
              <w:t xml:space="preserve">  危险物质数量和临界量比值表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404"/>
              <w:gridCol w:w="1474"/>
              <w:gridCol w:w="1138"/>
              <w:gridCol w:w="1912"/>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pct"/>
                  <w:vAlign w:val="center"/>
                </w:tcPr>
                <w:p>
                  <w:pPr>
                    <w:autoSpaceDE w:val="0"/>
                    <w:autoSpaceDN w:val="0"/>
                    <w:adjustRightInd w:val="0"/>
                    <w:snapToGrid w:val="0"/>
                    <w:jc w:val="center"/>
                    <w:rPr>
                      <w:bCs/>
                      <w:color w:val="auto"/>
                      <w:sz w:val="21"/>
                      <w:szCs w:val="21"/>
                    </w:rPr>
                  </w:pPr>
                  <w:r>
                    <w:rPr>
                      <w:color w:val="auto"/>
                      <w:sz w:val="21"/>
                      <w:szCs w:val="21"/>
                    </w:rPr>
                    <w:t>类别</w:t>
                  </w:r>
                </w:p>
              </w:tc>
              <w:tc>
                <w:tcPr>
                  <w:tcW w:w="795" w:type="pct"/>
                  <w:vAlign w:val="center"/>
                </w:tcPr>
                <w:p>
                  <w:pPr>
                    <w:autoSpaceDE w:val="0"/>
                    <w:autoSpaceDN w:val="0"/>
                    <w:adjustRightInd w:val="0"/>
                    <w:snapToGrid w:val="0"/>
                    <w:jc w:val="center"/>
                    <w:rPr>
                      <w:bCs/>
                      <w:color w:val="auto"/>
                      <w:sz w:val="21"/>
                      <w:szCs w:val="21"/>
                    </w:rPr>
                  </w:pPr>
                  <w:r>
                    <w:rPr>
                      <w:color w:val="auto"/>
                      <w:sz w:val="21"/>
                      <w:szCs w:val="21"/>
                    </w:rPr>
                    <w:t>化学品名称</w:t>
                  </w:r>
                </w:p>
              </w:tc>
              <w:tc>
                <w:tcPr>
                  <w:tcW w:w="834" w:type="pct"/>
                  <w:vAlign w:val="center"/>
                </w:tcPr>
                <w:p>
                  <w:pPr>
                    <w:autoSpaceDE w:val="0"/>
                    <w:autoSpaceDN w:val="0"/>
                    <w:adjustRightInd w:val="0"/>
                    <w:snapToGrid w:val="0"/>
                    <w:jc w:val="center"/>
                    <w:rPr>
                      <w:bCs/>
                      <w:color w:val="auto"/>
                      <w:sz w:val="21"/>
                      <w:szCs w:val="21"/>
                    </w:rPr>
                  </w:pPr>
                  <w:r>
                    <w:rPr>
                      <w:color w:val="auto"/>
                      <w:sz w:val="21"/>
                      <w:szCs w:val="21"/>
                    </w:rPr>
                    <w:t>物质存在量</w:t>
                  </w:r>
                </w:p>
              </w:tc>
              <w:tc>
                <w:tcPr>
                  <w:tcW w:w="644" w:type="pct"/>
                  <w:vAlign w:val="center"/>
                </w:tcPr>
                <w:p>
                  <w:pPr>
                    <w:autoSpaceDE w:val="0"/>
                    <w:autoSpaceDN w:val="0"/>
                    <w:adjustRightInd w:val="0"/>
                    <w:snapToGrid w:val="0"/>
                    <w:jc w:val="center"/>
                    <w:rPr>
                      <w:bCs/>
                      <w:color w:val="auto"/>
                      <w:sz w:val="21"/>
                      <w:szCs w:val="21"/>
                    </w:rPr>
                  </w:pPr>
                  <w:r>
                    <w:rPr>
                      <w:color w:val="auto"/>
                      <w:sz w:val="21"/>
                      <w:szCs w:val="21"/>
                    </w:rPr>
                    <w:t>临界量</w:t>
                  </w:r>
                </w:p>
              </w:tc>
              <w:tc>
                <w:tcPr>
                  <w:tcW w:w="1082" w:type="pct"/>
                  <w:vAlign w:val="center"/>
                </w:tcPr>
                <w:p>
                  <w:pPr>
                    <w:autoSpaceDE w:val="0"/>
                    <w:autoSpaceDN w:val="0"/>
                    <w:adjustRightInd w:val="0"/>
                    <w:snapToGrid w:val="0"/>
                    <w:jc w:val="center"/>
                    <w:rPr>
                      <w:bCs/>
                      <w:color w:val="auto"/>
                      <w:sz w:val="21"/>
                      <w:szCs w:val="21"/>
                    </w:rPr>
                  </w:pPr>
                  <w:r>
                    <w:rPr>
                      <w:color w:val="auto"/>
                      <w:sz w:val="21"/>
                      <w:szCs w:val="21"/>
                    </w:rPr>
                    <w:t>该种危险物质Q值</w:t>
                  </w:r>
                </w:p>
              </w:tc>
              <w:tc>
                <w:tcPr>
                  <w:tcW w:w="924" w:type="pct"/>
                  <w:vAlign w:val="center"/>
                </w:tcPr>
                <w:p>
                  <w:pPr>
                    <w:autoSpaceDE w:val="0"/>
                    <w:autoSpaceDN w:val="0"/>
                    <w:adjustRightInd w:val="0"/>
                    <w:snapToGrid w:val="0"/>
                    <w:jc w:val="center"/>
                    <w:rPr>
                      <w:bCs/>
                      <w:color w:val="auto"/>
                      <w:sz w:val="21"/>
                      <w:szCs w:val="21"/>
                    </w:rPr>
                  </w:pPr>
                  <w:r>
                    <w:rPr>
                      <w:color w:val="auto"/>
                      <w:sz w:val="21"/>
                      <w:szCs w:val="21"/>
                    </w:rPr>
                    <w:t>环境风险潜势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pct"/>
                  <w:vAlign w:val="center"/>
                </w:tcPr>
                <w:p>
                  <w:pPr>
                    <w:autoSpaceDE w:val="0"/>
                    <w:autoSpaceDN w:val="0"/>
                    <w:adjustRightInd w:val="0"/>
                    <w:snapToGrid w:val="0"/>
                    <w:jc w:val="center"/>
                    <w:rPr>
                      <w:bCs/>
                      <w:color w:val="auto"/>
                      <w:sz w:val="21"/>
                      <w:szCs w:val="21"/>
                    </w:rPr>
                  </w:pPr>
                  <w:r>
                    <w:rPr>
                      <w:rFonts w:hint="eastAsia"/>
                      <w:color w:val="auto"/>
                      <w:sz w:val="21"/>
                      <w:szCs w:val="21"/>
                      <w:lang w:val="en-US" w:eastAsia="zh-CN"/>
                    </w:rPr>
                    <w:t>有毒</w:t>
                  </w:r>
                  <w:r>
                    <w:rPr>
                      <w:color w:val="auto"/>
                      <w:sz w:val="21"/>
                      <w:szCs w:val="21"/>
                    </w:rPr>
                    <w:t>液体</w:t>
                  </w:r>
                </w:p>
              </w:tc>
              <w:tc>
                <w:tcPr>
                  <w:tcW w:w="795" w:type="pct"/>
                  <w:vAlign w:val="center"/>
                </w:tcPr>
                <w:p>
                  <w:pPr>
                    <w:autoSpaceDE w:val="0"/>
                    <w:autoSpaceDN w:val="0"/>
                    <w:adjustRightInd w:val="0"/>
                    <w:snapToGrid w:val="0"/>
                    <w:jc w:val="center"/>
                    <w:rPr>
                      <w:rFonts w:hint="default" w:eastAsia="宋体"/>
                      <w:bCs/>
                      <w:color w:val="auto"/>
                      <w:sz w:val="21"/>
                      <w:szCs w:val="21"/>
                      <w:lang w:val="en-US" w:eastAsia="zh-CN"/>
                    </w:rPr>
                  </w:pPr>
                  <w:r>
                    <w:rPr>
                      <w:rFonts w:hint="eastAsia"/>
                      <w:color w:val="auto"/>
                      <w:sz w:val="21"/>
                      <w:szCs w:val="21"/>
                      <w:lang w:val="en-US" w:eastAsia="zh-CN"/>
                    </w:rPr>
                    <w:t>次氯酸钠</w:t>
                  </w:r>
                </w:p>
              </w:tc>
              <w:tc>
                <w:tcPr>
                  <w:tcW w:w="834" w:type="pct"/>
                  <w:vAlign w:val="center"/>
                </w:tcPr>
                <w:p>
                  <w:pPr>
                    <w:autoSpaceDE w:val="0"/>
                    <w:autoSpaceDN w:val="0"/>
                    <w:adjustRightInd w:val="0"/>
                    <w:snapToGrid w:val="0"/>
                    <w:jc w:val="center"/>
                    <w:rPr>
                      <w:bCs/>
                      <w:color w:val="auto"/>
                      <w:sz w:val="21"/>
                      <w:szCs w:val="21"/>
                    </w:rPr>
                  </w:pPr>
                  <w:r>
                    <w:rPr>
                      <w:rFonts w:hint="eastAsia" w:eastAsia="方正姚体"/>
                      <w:color w:val="auto"/>
                      <w:sz w:val="21"/>
                      <w:szCs w:val="21"/>
                      <w:lang w:val="en-US" w:eastAsia="zh-CN"/>
                    </w:rPr>
                    <w:t>1.17</w:t>
                  </w:r>
                  <w:r>
                    <w:rPr>
                      <w:rFonts w:eastAsia="方正姚体"/>
                      <w:color w:val="auto"/>
                      <w:sz w:val="21"/>
                      <w:szCs w:val="21"/>
                    </w:rPr>
                    <w:t>t</w:t>
                  </w:r>
                </w:p>
              </w:tc>
              <w:tc>
                <w:tcPr>
                  <w:tcW w:w="644" w:type="pct"/>
                  <w:vAlign w:val="center"/>
                </w:tcPr>
                <w:p>
                  <w:pPr>
                    <w:autoSpaceDE w:val="0"/>
                    <w:autoSpaceDN w:val="0"/>
                    <w:adjustRightInd w:val="0"/>
                    <w:snapToGrid w:val="0"/>
                    <w:jc w:val="center"/>
                    <w:rPr>
                      <w:bCs/>
                      <w:color w:val="auto"/>
                      <w:sz w:val="21"/>
                      <w:szCs w:val="21"/>
                    </w:rPr>
                  </w:pPr>
                  <w:r>
                    <w:rPr>
                      <w:rFonts w:hint="eastAsia" w:eastAsia="方正姚体"/>
                      <w:color w:val="auto"/>
                      <w:sz w:val="21"/>
                      <w:szCs w:val="21"/>
                      <w:lang w:val="en-US" w:eastAsia="zh-CN"/>
                    </w:rPr>
                    <w:t>5</w:t>
                  </w:r>
                  <w:r>
                    <w:rPr>
                      <w:rFonts w:eastAsia="方正姚体"/>
                      <w:color w:val="auto"/>
                      <w:sz w:val="21"/>
                      <w:szCs w:val="21"/>
                    </w:rPr>
                    <w:t>t</w:t>
                  </w:r>
                </w:p>
              </w:tc>
              <w:tc>
                <w:tcPr>
                  <w:tcW w:w="1082" w:type="pct"/>
                  <w:vAlign w:val="center"/>
                </w:tcPr>
                <w:p>
                  <w:pPr>
                    <w:autoSpaceDE w:val="0"/>
                    <w:autoSpaceDN w:val="0"/>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0.234</w:t>
                  </w:r>
                </w:p>
              </w:tc>
              <w:tc>
                <w:tcPr>
                  <w:tcW w:w="924" w:type="pct"/>
                  <w:vAlign w:val="center"/>
                </w:tcPr>
                <w:p>
                  <w:pPr>
                    <w:autoSpaceDE w:val="0"/>
                    <w:autoSpaceDN w:val="0"/>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pct"/>
                  <w:vAlign w:val="center"/>
                </w:tcPr>
                <w:p>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有毒</w:t>
                  </w:r>
                  <w:r>
                    <w:rPr>
                      <w:color w:val="auto"/>
                      <w:sz w:val="21"/>
                      <w:szCs w:val="21"/>
                    </w:rPr>
                    <w:t>液体</w:t>
                  </w:r>
                </w:p>
              </w:tc>
              <w:tc>
                <w:tcPr>
                  <w:tcW w:w="795" w:type="pct"/>
                  <w:vAlign w:val="center"/>
                </w:tcPr>
                <w:p>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废机油</w:t>
                  </w:r>
                </w:p>
              </w:tc>
              <w:tc>
                <w:tcPr>
                  <w:tcW w:w="834" w:type="pct"/>
                  <w:vAlign w:val="center"/>
                </w:tcPr>
                <w:p>
                  <w:pPr>
                    <w:autoSpaceDE w:val="0"/>
                    <w:autoSpaceDN w:val="0"/>
                    <w:adjustRightInd w:val="0"/>
                    <w:snapToGrid w:val="0"/>
                    <w:jc w:val="center"/>
                    <w:rPr>
                      <w:rFonts w:hint="default" w:eastAsia="方正姚体"/>
                      <w:color w:val="auto"/>
                      <w:sz w:val="21"/>
                      <w:szCs w:val="21"/>
                      <w:lang w:val="en-US" w:eastAsia="zh-CN"/>
                    </w:rPr>
                  </w:pPr>
                  <w:r>
                    <w:rPr>
                      <w:rFonts w:hint="eastAsia" w:eastAsia="方正姚体"/>
                      <w:color w:val="auto"/>
                      <w:sz w:val="21"/>
                      <w:szCs w:val="21"/>
                      <w:lang w:val="en-US" w:eastAsia="zh-CN"/>
                    </w:rPr>
                    <w:t>0.8t</w:t>
                  </w:r>
                </w:p>
              </w:tc>
              <w:tc>
                <w:tcPr>
                  <w:tcW w:w="644" w:type="pct"/>
                  <w:vAlign w:val="center"/>
                </w:tcPr>
                <w:p>
                  <w:pPr>
                    <w:autoSpaceDE w:val="0"/>
                    <w:autoSpaceDN w:val="0"/>
                    <w:adjustRightInd w:val="0"/>
                    <w:snapToGrid w:val="0"/>
                    <w:jc w:val="center"/>
                    <w:rPr>
                      <w:rFonts w:hint="default" w:eastAsia="方正姚体"/>
                      <w:color w:val="auto"/>
                      <w:sz w:val="21"/>
                      <w:szCs w:val="21"/>
                      <w:lang w:val="en-US" w:eastAsia="zh-CN"/>
                    </w:rPr>
                  </w:pPr>
                  <w:r>
                    <w:rPr>
                      <w:rFonts w:hint="eastAsia" w:eastAsia="方正姚体"/>
                      <w:color w:val="auto"/>
                      <w:sz w:val="21"/>
                      <w:szCs w:val="21"/>
                      <w:lang w:val="en-US" w:eastAsia="zh-CN"/>
                    </w:rPr>
                    <w:t>2500t</w:t>
                  </w:r>
                </w:p>
              </w:tc>
              <w:tc>
                <w:tcPr>
                  <w:tcW w:w="1082" w:type="pct"/>
                  <w:vAlign w:val="center"/>
                </w:tcPr>
                <w:p>
                  <w:pPr>
                    <w:autoSpaceDE w:val="0"/>
                    <w:autoSpaceDN w:val="0"/>
                    <w:adjustRightInd w:val="0"/>
                    <w:snapToGrid w:val="0"/>
                    <w:jc w:val="center"/>
                    <w:rPr>
                      <w:rFonts w:hint="default"/>
                      <w:bCs/>
                      <w:color w:val="auto"/>
                      <w:sz w:val="21"/>
                      <w:szCs w:val="21"/>
                      <w:lang w:val="en-US" w:eastAsia="zh-CN"/>
                    </w:rPr>
                  </w:pPr>
                  <w:r>
                    <w:rPr>
                      <w:rFonts w:hint="eastAsia"/>
                      <w:bCs/>
                      <w:color w:val="auto"/>
                      <w:sz w:val="21"/>
                      <w:szCs w:val="21"/>
                      <w:lang w:val="en-US" w:eastAsia="zh-CN"/>
                    </w:rPr>
                    <w:t>0.00032</w:t>
                  </w:r>
                </w:p>
              </w:tc>
              <w:tc>
                <w:tcPr>
                  <w:tcW w:w="924" w:type="pct"/>
                  <w:vAlign w:val="center"/>
                </w:tcPr>
                <w:p>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2" w:type="pct"/>
                  <w:gridSpan w:val="4"/>
                  <w:vAlign w:val="center"/>
                </w:tcPr>
                <w:p>
                  <w:pPr>
                    <w:autoSpaceDE w:val="0"/>
                    <w:autoSpaceDN w:val="0"/>
                    <w:adjustRightInd w:val="0"/>
                    <w:snapToGrid w:val="0"/>
                    <w:jc w:val="center"/>
                    <w:rPr>
                      <w:rFonts w:hint="eastAsia" w:eastAsia="方正姚体"/>
                      <w:color w:val="auto"/>
                      <w:sz w:val="21"/>
                      <w:szCs w:val="21"/>
                      <w:lang w:val="en-US" w:eastAsia="zh-CN"/>
                    </w:rPr>
                  </w:pPr>
                  <w:r>
                    <w:rPr>
                      <w:rFonts w:hint="eastAsia"/>
                      <w:color w:val="auto"/>
                      <w:sz w:val="21"/>
                      <w:szCs w:val="21"/>
                      <w:lang w:val="en-US" w:eastAsia="zh-CN"/>
                    </w:rPr>
                    <w:t>合计</w:t>
                  </w:r>
                </w:p>
              </w:tc>
              <w:tc>
                <w:tcPr>
                  <w:tcW w:w="1082" w:type="pct"/>
                  <w:vAlign w:val="center"/>
                </w:tcPr>
                <w:p>
                  <w:pPr>
                    <w:autoSpaceDE w:val="0"/>
                    <w:autoSpaceDN w:val="0"/>
                    <w:adjustRightInd w:val="0"/>
                    <w:snapToGrid w:val="0"/>
                    <w:jc w:val="center"/>
                    <w:rPr>
                      <w:rFonts w:hint="default"/>
                      <w:bCs/>
                      <w:color w:val="auto"/>
                      <w:sz w:val="21"/>
                      <w:szCs w:val="21"/>
                      <w:lang w:val="en-US" w:eastAsia="zh-CN"/>
                    </w:rPr>
                  </w:pPr>
                  <w:r>
                    <w:rPr>
                      <w:rFonts w:hint="eastAsia"/>
                      <w:bCs/>
                      <w:color w:val="auto"/>
                      <w:sz w:val="21"/>
                      <w:szCs w:val="21"/>
                      <w:lang w:val="en-US" w:eastAsia="zh-CN"/>
                    </w:rPr>
                    <w:t>0.23432</w:t>
                  </w:r>
                </w:p>
              </w:tc>
              <w:tc>
                <w:tcPr>
                  <w:tcW w:w="924" w:type="pct"/>
                  <w:vAlign w:val="center"/>
                </w:tcPr>
                <w:p>
                  <w:pPr>
                    <w:autoSpaceDE w:val="0"/>
                    <w:autoSpaceDN w:val="0"/>
                    <w:adjustRightInd w:val="0"/>
                    <w:snapToGrid w:val="0"/>
                    <w:jc w:val="center"/>
                    <w:rPr>
                      <w:color w:val="auto"/>
                      <w:sz w:val="21"/>
                      <w:szCs w:val="21"/>
                    </w:rPr>
                  </w:pPr>
                  <w:r>
                    <w:rPr>
                      <w:color w:val="auto"/>
                      <w:sz w:val="21"/>
                      <w:szCs w:val="21"/>
                    </w:rPr>
                    <w:t>Ⅰ</w:t>
                  </w:r>
                </w:p>
              </w:tc>
            </w:tr>
          </w:tbl>
          <w:p>
            <w:pPr>
              <w:adjustRightInd w:val="0"/>
              <w:snapToGrid w:val="0"/>
              <w:spacing w:line="480" w:lineRule="exact"/>
              <w:ind w:firstLine="480" w:firstLineChars="200"/>
              <w:rPr>
                <w:bCs/>
                <w:color w:val="auto"/>
                <w:sz w:val="24"/>
              </w:rPr>
            </w:pPr>
            <w:r>
              <w:rPr>
                <w:bCs/>
                <w:color w:val="auto"/>
                <w:sz w:val="24"/>
              </w:rPr>
              <w:t>综上所述，本项目危险物质数量与临界量比值Q&lt;1。根据《建设项目环境风险评价技术导则（HJ169-2018）》附录C，当Q&lt;1时，该项目环境风险潜势为Ⅰ。进行简单分析即可。</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NaClO储存过程中可能出现的风险类型为泄漏，泄漏的NaClO通过地面渗漏污染土壤和地下水。废机油储存过程中可能出现矿物油储存桶破裂、泄漏风险，泄漏的废机油通过地面渗漏污染土壤和地下水。</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根据项目所涉及的环境风险源、环境风险物质及环境风险类型，本次评价从风险源、环境影响途径、环境敏感目标等方面提出以下风险防范措施。</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次氯酸钠风险防范措施：</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1）NaClO全部按照规定存储在专用的储罐内，储罐外粘贴药剂名称，危险特性及注意事项；生产过程中应合理分批次购买，防止大量存储药剂；</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2）NaClO储药罐及加药装置所在房间设围堰，防止泄漏时进一步扩散；</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3）NaClO储药罐及加药装置所在房间设耐腐蚀的硬化地面，且表面无裂隙，并在地面加设防渗材料，要求防渗层渗透系数≤10</w:t>
            </w:r>
            <w:r>
              <w:rPr>
                <w:rFonts w:hint="eastAsia"/>
                <w:bCs/>
                <w:color w:val="auto"/>
                <w:sz w:val="24"/>
                <w:vertAlign w:val="superscript"/>
                <w:lang w:val="en-US" w:eastAsia="zh-CN"/>
              </w:rPr>
              <w:t>-10</w:t>
            </w:r>
            <w:r>
              <w:rPr>
                <w:rFonts w:hint="eastAsia"/>
                <w:bCs/>
                <w:color w:val="auto"/>
                <w:sz w:val="24"/>
                <w:lang w:val="en-US" w:eastAsia="zh-CN"/>
              </w:rPr>
              <w:t>cm/s；</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4）加强药剂的管理和使用，建立健全安全规程和操作规程，避免热源与火源，配备相应数量的消防器材；</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5）加强设备的日常管理与维护，定期检查，发现问题应及时处理。</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废机油风险防范措施：</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本项目使用矿物油（机油、润滑油）的设备底部均进行防渗、并设置钢制托盘收集废油，危废暂存间建成具有防水、防渗、防流失、防晒的专用危险废物贮存设施贮存危险废物。贮存设施必须防渗，基础必须防渗，防渗层为至少1米厚粘土层（渗透系数≤10-7cm/s)，或2毫米厚高密度聚乙烯，或至少2毫米厚的其它人工材料，渗透系数≤10-10cm/s。有足够地面承载能力，并能确保雨水不会流至贮存设施内，贮存设施应封闭，以防风、防雨、防晒、防渗漏。采取环评要求措施后，出现险情的风险度较低。采取环评要求措施后，出现险情的风险度较低。</w:t>
            </w:r>
          </w:p>
          <w:p>
            <w:pPr>
              <w:adjustRightInd w:val="0"/>
              <w:snapToGrid w:val="0"/>
              <w:spacing w:line="480" w:lineRule="exact"/>
              <w:ind w:firstLine="480" w:firstLineChars="200"/>
              <w:rPr>
                <w:rFonts w:hint="eastAsia"/>
                <w:bCs/>
                <w:color w:val="auto"/>
                <w:sz w:val="24"/>
                <w:lang w:val="en-US" w:eastAsia="zh-CN"/>
              </w:rPr>
            </w:pPr>
            <w:r>
              <w:rPr>
                <w:rFonts w:hint="eastAsia"/>
                <w:bCs/>
                <w:color w:val="auto"/>
                <w:sz w:val="24"/>
                <w:lang w:val="en-US" w:eastAsia="zh-CN"/>
              </w:rPr>
              <w:t>综上所述，采取环评要求的环境风险防范措施后，项目环境风险可控。</w:t>
            </w:r>
          </w:p>
          <w:p>
            <w:pPr>
              <w:adjustRightInd w:val="0"/>
              <w:snapToGrid w:val="0"/>
              <w:spacing w:line="480" w:lineRule="exact"/>
              <w:ind w:firstLine="480" w:firstLineChars="200"/>
              <w:rPr>
                <w:rFonts w:ascii="宋体" w:hAnsi="宋体" w:cs="宋体"/>
                <w:bCs/>
                <w:color w:val="auto"/>
                <w:sz w:val="24"/>
              </w:rPr>
            </w:pPr>
            <w:r>
              <w:rPr>
                <w:rFonts w:hint="eastAsia"/>
                <w:color w:val="auto"/>
                <w:sz w:val="24"/>
              </w:rPr>
              <w:t>本项目环境风险简单分析内容见下表。</w:t>
            </w:r>
          </w:p>
          <w:p>
            <w:pPr>
              <w:pStyle w:val="88"/>
              <w:spacing w:line="480" w:lineRule="exact"/>
              <w:ind w:firstLine="480"/>
              <w:rPr>
                <w:rFonts w:ascii="黑体" w:hAnsi="黑体" w:eastAsia="黑体"/>
                <w:color w:val="auto"/>
              </w:rPr>
            </w:pPr>
            <w:r>
              <w:rPr>
                <w:rFonts w:hint="eastAsia" w:ascii="黑体" w:hAnsi="黑体" w:eastAsia="黑体"/>
                <w:color w:val="auto"/>
              </w:rPr>
              <w:t>表4-</w:t>
            </w:r>
            <w:r>
              <w:rPr>
                <w:rFonts w:hint="eastAsia" w:ascii="黑体" w:hAnsi="黑体" w:eastAsia="黑体"/>
                <w:color w:val="auto"/>
                <w:lang w:val="en-US" w:eastAsia="zh-CN"/>
              </w:rPr>
              <w:t>17</w:t>
            </w:r>
            <w:r>
              <w:rPr>
                <w:rFonts w:hint="eastAsia" w:ascii="黑体" w:hAnsi="黑体" w:eastAsia="黑体"/>
                <w:color w:val="auto"/>
              </w:rPr>
              <w:t xml:space="preserve">  建设项目环境风险简单分析内容表</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897"/>
              <w:gridCol w:w="2613"/>
              <w:gridCol w:w="979"/>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Align w:val="center"/>
                </w:tcPr>
                <w:p>
                  <w:pPr>
                    <w:jc w:val="center"/>
                    <w:rPr>
                      <w:bCs/>
                      <w:color w:val="auto"/>
                    </w:rPr>
                  </w:pPr>
                  <w:r>
                    <w:rPr>
                      <w:color w:val="auto"/>
                    </w:rPr>
                    <w:t>建设项目名称</w:t>
                  </w:r>
                </w:p>
              </w:tc>
              <w:tc>
                <w:tcPr>
                  <w:tcW w:w="4000" w:type="pct"/>
                  <w:gridSpan w:val="4"/>
                  <w:vAlign w:val="center"/>
                </w:tcPr>
                <w:p>
                  <w:pPr>
                    <w:jc w:val="center"/>
                    <w:rPr>
                      <w:bCs/>
                      <w:color w:val="auto"/>
                    </w:rPr>
                  </w:pPr>
                  <w:r>
                    <w:rPr>
                      <w:rFonts w:hint="eastAsia"/>
                      <w:bCs/>
                      <w:color w:val="auto"/>
                      <w:lang w:val="en-US" w:eastAsia="zh-CN"/>
                    </w:rPr>
                    <w:t>五台县沱南污水处理厂建设项目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Align w:val="center"/>
                </w:tcPr>
                <w:p>
                  <w:pPr>
                    <w:jc w:val="center"/>
                    <w:rPr>
                      <w:bCs/>
                      <w:color w:val="auto"/>
                    </w:rPr>
                  </w:pPr>
                  <w:r>
                    <w:rPr>
                      <w:color w:val="auto"/>
                    </w:rPr>
                    <w:t>建设地点</w:t>
                  </w:r>
                </w:p>
              </w:tc>
              <w:tc>
                <w:tcPr>
                  <w:tcW w:w="4000" w:type="pct"/>
                  <w:gridSpan w:val="4"/>
                  <w:vAlign w:val="center"/>
                </w:tcPr>
                <w:p>
                  <w:pPr>
                    <w:jc w:val="center"/>
                    <w:rPr>
                      <w:bCs/>
                      <w:color w:val="auto"/>
                    </w:rPr>
                  </w:pPr>
                  <w:r>
                    <w:rPr>
                      <w:rFonts w:hint="eastAsia"/>
                      <w:bCs/>
                      <w:color w:val="auto"/>
                      <w:lang w:val="en-US" w:eastAsia="zh-CN"/>
                    </w:rPr>
                    <w:t>五台县兴台基建开发有限公司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Align w:val="center"/>
                </w:tcPr>
                <w:p>
                  <w:pPr>
                    <w:jc w:val="center"/>
                    <w:rPr>
                      <w:color w:val="auto"/>
                    </w:rPr>
                  </w:pPr>
                  <w:r>
                    <w:rPr>
                      <w:color w:val="auto"/>
                    </w:rPr>
                    <w:t>地理坐标</w:t>
                  </w:r>
                </w:p>
              </w:tc>
              <w:tc>
                <w:tcPr>
                  <w:tcW w:w="508" w:type="pct"/>
                  <w:vAlign w:val="center"/>
                </w:tcPr>
                <w:p>
                  <w:pPr>
                    <w:jc w:val="center"/>
                    <w:rPr>
                      <w:bCs/>
                      <w:color w:val="auto"/>
                    </w:rPr>
                  </w:pPr>
                  <w:r>
                    <w:rPr>
                      <w:color w:val="auto"/>
                    </w:rPr>
                    <w:t>经度</w:t>
                  </w:r>
                </w:p>
              </w:tc>
              <w:tc>
                <w:tcPr>
                  <w:tcW w:w="1479" w:type="pct"/>
                  <w:vAlign w:val="center"/>
                </w:tcPr>
                <w:p>
                  <w:pPr>
                    <w:jc w:val="center"/>
                    <w:rPr>
                      <w:bCs/>
                      <w:color w:val="auto"/>
                    </w:rPr>
                  </w:pPr>
                  <w:r>
                    <w:rPr>
                      <w:bCs/>
                      <w:color w:val="auto"/>
                    </w:rPr>
                    <w:t>E11</w:t>
                  </w:r>
                  <w:r>
                    <w:rPr>
                      <w:rFonts w:hint="eastAsia"/>
                      <w:bCs/>
                      <w:color w:val="auto"/>
                      <w:lang w:val="en-US" w:eastAsia="zh-CN"/>
                    </w:rPr>
                    <w:t>3</w:t>
                  </w:r>
                  <w:r>
                    <w:rPr>
                      <w:bCs/>
                      <w:color w:val="auto"/>
                    </w:rPr>
                    <w:t>°</w:t>
                  </w:r>
                  <w:r>
                    <w:rPr>
                      <w:rFonts w:hint="eastAsia"/>
                      <w:bCs/>
                      <w:color w:val="auto"/>
                      <w:lang w:val="en-US" w:eastAsia="zh-CN"/>
                    </w:rPr>
                    <w:t>9</w:t>
                  </w:r>
                  <w:r>
                    <w:rPr>
                      <w:bCs/>
                      <w:color w:val="auto"/>
                    </w:rPr>
                    <w:t>′</w:t>
                  </w:r>
                  <w:r>
                    <w:rPr>
                      <w:rFonts w:hint="eastAsia"/>
                      <w:bCs/>
                      <w:color w:val="auto"/>
                      <w:lang w:val="en-US" w:eastAsia="zh-CN"/>
                    </w:rPr>
                    <w:t>26.483</w:t>
                  </w:r>
                  <w:r>
                    <w:rPr>
                      <w:bCs/>
                      <w:color w:val="auto"/>
                    </w:rPr>
                    <w:t>″</w:t>
                  </w:r>
                </w:p>
              </w:tc>
              <w:tc>
                <w:tcPr>
                  <w:tcW w:w="554" w:type="pct"/>
                  <w:vAlign w:val="center"/>
                </w:tcPr>
                <w:p>
                  <w:pPr>
                    <w:jc w:val="center"/>
                    <w:rPr>
                      <w:bCs/>
                      <w:color w:val="auto"/>
                    </w:rPr>
                  </w:pPr>
                  <w:r>
                    <w:rPr>
                      <w:color w:val="auto"/>
                    </w:rPr>
                    <w:t>纬度</w:t>
                  </w:r>
                </w:p>
              </w:tc>
              <w:tc>
                <w:tcPr>
                  <w:tcW w:w="1458" w:type="pct"/>
                  <w:vAlign w:val="center"/>
                </w:tcPr>
                <w:p>
                  <w:pPr>
                    <w:jc w:val="center"/>
                    <w:rPr>
                      <w:bCs/>
                      <w:color w:val="auto"/>
                    </w:rPr>
                  </w:pPr>
                  <w:r>
                    <w:rPr>
                      <w:bCs/>
                      <w:color w:val="auto"/>
                    </w:rPr>
                    <w:t>N3</w:t>
                  </w:r>
                  <w:r>
                    <w:rPr>
                      <w:rFonts w:hint="eastAsia"/>
                      <w:bCs/>
                      <w:color w:val="auto"/>
                      <w:lang w:val="en-US" w:eastAsia="zh-CN"/>
                    </w:rPr>
                    <w:t>8</w:t>
                  </w:r>
                  <w:r>
                    <w:rPr>
                      <w:bCs/>
                      <w:color w:val="auto"/>
                    </w:rPr>
                    <w:t>°</w:t>
                  </w:r>
                  <w:r>
                    <w:rPr>
                      <w:rFonts w:hint="eastAsia"/>
                      <w:bCs/>
                      <w:color w:val="auto"/>
                      <w:lang w:val="en-US" w:eastAsia="zh-CN"/>
                    </w:rPr>
                    <w:t>37</w:t>
                  </w:r>
                  <w:r>
                    <w:rPr>
                      <w:bCs/>
                      <w:color w:val="auto"/>
                    </w:rPr>
                    <w:t>′</w:t>
                  </w:r>
                  <w:r>
                    <w:rPr>
                      <w:rFonts w:hint="eastAsia"/>
                      <w:bCs/>
                      <w:color w:val="auto"/>
                      <w:lang w:val="en-US" w:eastAsia="zh-CN"/>
                    </w:rPr>
                    <w:t>15.901</w:t>
                  </w:r>
                  <w:r>
                    <w:rPr>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Align w:val="center"/>
                </w:tcPr>
                <w:p>
                  <w:pPr>
                    <w:spacing w:line="320" w:lineRule="exact"/>
                    <w:jc w:val="center"/>
                    <w:rPr>
                      <w:color w:val="auto"/>
                    </w:rPr>
                  </w:pPr>
                  <w:r>
                    <w:rPr>
                      <w:rFonts w:hint="eastAsia"/>
                      <w:color w:val="auto"/>
                    </w:rPr>
                    <w:t>主要危险物质及分布</w:t>
                  </w:r>
                </w:p>
              </w:tc>
              <w:tc>
                <w:tcPr>
                  <w:tcW w:w="4000" w:type="pct"/>
                  <w:gridSpan w:val="4"/>
                  <w:vAlign w:val="center"/>
                </w:tcPr>
                <w:p>
                  <w:pPr>
                    <w:spacing w:line="320" w:lineRule="exact"/>
                    <w:jc w:val="center"/>
                    <w:rPr>
                      <w:rFonts w:hint="default" w:eastAsia="宋体"/>
                      <w:color w:val="auto"/>
                      <w:lang w:val="en-US" w:eastAsia="zh-CN"/>
                    </w:rPr>
                  </w:pPr>
                  <w:r>
                    <w:rPr>
                      <w:rFonts w:hint="default"/>
                      <w:color w:val="auto"/>
                      <w:lang w:val="en-GB"/>
                    </w:rPr>
                    <w:t>项目生产过程中所涉及风险物质为NaClO</w:t>
                  </w:r>
                  <w:r>
                    <w:rPr>
                      <w:rFonts w:hint="eastAsia"/>
                      <w:color w:val="auto"/>
                      <w:lang w:val="en-GB" w:eastAsia="zh-CN"/>
                    </w:rPr>
                    <w:t>，</w:t>
                  </w:r>
                  <w:r>
                    <w:rPr>
                      <w:rFonts w:hint="eastAsia"/>
                      <w:color w:val="auto"/>
                      <w:lang w:val="en-US" w:eastAsia="zh-CN"/>
                    </w:rPr>
                    <w:t>分布在加药间内。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Align w:val="center"/>
                </w:tcPr>
                <w:p>
                  <w:pPr>
                    <w:spacing w:line="320" w:lineRule="exact"/>
                    <w:jc w:val="center"/>
                    <w:rPr>
                      <w:color w:val="auto"/>
                    </w:rPr>
                  </w:pPr>
                  <w:r>
                    <w:rPr>
                      <w:rFonts w:hint="eastAsia"/>
                      <w:color w:val="auto"/>
                    </w:rPr>
                    <w:t>环境影响途径及危害后果（大气、地表水、地下水等）</w:t>
                  </w:r>
                </w:p>
              </w:tc>
              <w:tc>
                <w:tcPr>
                  <w:tcW w:w="4000" w:type="pct"/>
                  <w:gridSpan w:val="4"/>
                  <w:vAlign w:val="center"/>
                </w:tcPr>
                <w:p>
                  <w:pPr>
                    <w:spacing w:line="320" w:lineRule="exact"/>
                    <w:jc w:val="both"/>
                    <w:rPr>
                      <w:rFonts w:hint="eastAsia" w:eastAsia="宋体"/>
                      <w:color w:val="auto"/>
                      <w:lang w:eastAsia="zh-CN"/>
                    </w:rPr>
                  </w:pPr>
                  <w:r>
                    <w:rPr>
                      <w:rFonts w:hint="eastAsia" w:eastAsia="宋体"/>
                      <w:color w:val="auto"/>
                      <w:lang w:val="en-US" w:eastAsia="zh-CN"/>
                    </w:rPr>
                    <w:t>NaClO储存过程中可能出现的风险类型为泄漏，泄漏的NaClO通过地面渗漏污染土壤和地下水</w:t>
                  </w:r>
                  <w:r>
                    <w:rPr>
                      <w:rFonts w:hint="eastAsia"/>
                      <w:color w:val="auto"/>
                      <w:lang w:val="en-US" w:eastAsia="zh-CN"/>
                    </w:rPr>
                    <w:t>。废机油储存过程中可能出现矿物油储存桶破裂、泄漏风险，泄漏的废机油通过地面渗漏污染土壤和地下水。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Align w:val="center"/>
                </w:tcPr>
                <w:p>
                  <w:pPr>
                    <w:spacing w:line="320" w:lineRule="exact"/>
                    <w:jc w:val="center"/>
                    <w:rPr>
                      <w:color w:val="auto"/>
                    </w:rPr>
                  </w:pPr>
                  <w:r>
                    <w:rPr>
                      <w:rFonts w:hint="eastAsia"/>
                      <w:color w:val="auto"/>
                    </w:rPr>
                    <w:t>风险防控措施要求</w:t>
                  </w:r>
                </w:p>
              </w:tc>
              <w:tc>
                <w:tcPr>
                  <w:tcW w:w="4000" w:type="pct"/>
                  <w:gridSpan w:val="4"/>
                  <w:vAlign w:val="center"/>
                </w:tcPr>
                <w:p>
                  <w:pPr>
                    <w:spacing w:line="320" w:lineRule="exact"/>
                    <w:jc w:val="both"/>
                    <w:rPr>
                      <w:rFonts w:hint="eastAsia"/>
                      <w:color w:val="auto"/>
                      <w:lang w:val="en-US" w:eastAsia="zh-CN"/>
                    </w:rPr>
                  </w:pPr>
                  <w:r>
                    <w:rPr>
                      <w:rFonts w:hint="eastAsia"/>
                      <w:color w:val="auto"/>
                      <w:lang w:val="en-US" w:eastAsia="zh-CN"/>
                    </w:rPr>
                    <w:t>1）NaClO全部按照规定存储在专用的储罐内，储罐外粘贴药剂名称，危险特性及注意事项；生产过程中应合理分批次购买，防止大量存储药剂；</w:t>
                  </w:r>
                </w:p>
                <w:p>
                  <w:pPr>
                    <w:spacing w:line="320" w:lineRule="exact"/>
                    <w:jc w:val="both"/>
                    <w:rPr>
                      <w:rFonts w:hint="eastAsia"/>
                      <w:color w:val="auto"/>
                      <w:lang w:val="en-US" w:eastAsia="zh-CN"/>
                    </w:rPr>
                  </w:pPr>
                  <w:r>
                    <w:rPr>
                      <w:rFonts w:hint="eastAsia"/>
                      <w:color w:val="auto"/>
                      <w:lang w:val="en-US" w:eastAsia="zh-CN"/>
                    </w:rPr>
                    <w:t>2）NaClO储药罐及加药装置所在房间设围堰，防止泄漏时进一步扩散；</w:t>
                  </w:r>
                </w:p>
                <w:p>
                  <w:pPr>
                    <w:spacing w:line="320" w:lineRule="exact"/>
                    <w:jc w:val="both"/>
                    <w:rPr>
                      <w:rFonts w:hint="eastAsia"/>
                      <w:color w:val="auto"/>
                      <w:lang w:val="en-US" w:eastAsia="zh-CN"/>
                    </w:rPr>
                  </w:pPr>
                  <w:r>
                    <w:rPr>
                      <w:rFonts w:hint="eastAsia"/>
                      <w:color w:val="auto"/>
                      <w:lang w:val="en-US" w:eastAsia="zh-CN"/>
                    </w:rPr>
                    <w:t>3）NaClO储药罐及加药装置所在房间设耐腐蚀的硬化地面，且表面无裂隙，并在地面加设防渗材料，要求防渗层渗透系数≤10-10cm/s；</w:t>
                  </w:r>
                </w:p>
                <w:p>
                  <w:pPr>
                    <w:spacing w:line="320" w:lineRule="exact"/>
                    <w:jc w:val="both"/>
                    <w:rPr>
                      <w:rFonts w:hint="eastAsia"/>
                      <w:color w:val="auto"/>
                      <w:lang w:val="en-US" w:eastAsia="zh-CN"/>
                    </w:rPr>
                  </w:pPr>
                  <w:r>
                    <w:rPr>
                      <w:rFonts w:hint="eastAsia"/>
                      <w:color w:val="auto"/>
                      <w:lang w:val="en-US" w:eastAsia="zh-CN"/>
                    </w:rPr>
                    <w:t>4）加强药剂的管理和使用，建立健全安全规程和操作规程，避免热源与火源，配备相应数量的消防器材；</w:t>
                  </w:r>
                </w:p>
                <w:p>
                  <w:pPr>
                    <w:spacing w:line="320" w:lineRule="exact"/>
                    <w:jc w:val="both"/>
                    <w:rPr>
                      <w:rFonts w:hint="eastAsia"/>
                      <w:color w:val="auto"/>
                      <w:lang w:val="en-US" w:eastAsia="zh-CN"/>
                    </w:rPr>
                  </w:pPr>
                  <w:r>
                    <w:rPr>
                      <w:rFonts w:hint="eastAsia"/>
                      <w:color w:val="auto"/>
                      <w:lang w:val="en-US" w:eastAsia="zh-CN"/>
                    </w:rPr>
                    <w:t>5）加强设备的日常管理与维护，定期检查，发现问题应及时处理。</w:t>
                  </w:r>
                </w:p>
                <w:p>
                  <w:pPr>
                    <w:spacing w:line="320" w:lineRule="exact"/>
                    <w:jc w:val="both"/>
                    <w:rPr>
                      <w:rFonts w:hint="default"/>
                      <w:color w:val="auto"/>
                      <w:lang w:val="en-US"/>
                    </w:rPr>
                  </w:pPr>
                  <w:r>
                    <w:rPr>
                      <w:rFonts w:hint="eastAsia"/>
                      <w:color w:val="auto"/>
                    </w:rPr>
                    <w:t>本项目使用矿物油（机油、润滑油）的设备底部均进行防渗、并设置钢制托盘收集废油，危废暂存间建成具有防水、防渗、防流失、防晒的专用危险废物贮存设施贮存危险废物。贮存设施必须防渗，基础必须防渗，防渗层为至少1米厚粘土层（渗透系数≤10</w:t>
                  </w:r>
                  <w:r>
                    <w:rPr>
                      <w:rFonts w:hint="eastAsia"/>
                      <w:color w:val="auto"/>
                      <w:vertAlign w:val="superscript"/>
                    </w:rPr>
                    <w:t>-7</w:t>
                  </w:r>
                  <w:r>
                    <w:rPr>
                      <w:rFonts w:hint="eastAsia"/>
                      <w:color w:val="auto"/>
                    </w:rPr>
                    <w:t>cm/s)，或2毫米厚高密度聚乙烯，或至少2毫米厚的其它人工材料，渗透系数≤10</w:t>
                  </w:r>
                  <w:r>
                    <w:rPr>
                      <w:rFonts w:hint="eastAsia"/>
                      <w:color w:val="auto"/>
                      <w:vertAlign w:val="superscript"/>
                    </w:rPr>
                    <w:t>-10</w:t>
                  </w:r>
                  <w:r>
                    <w:rPr>
                      <w:rFonts w:hint="eastAsia"/>
                      <w:color w:val="auto"/>
                    </w:rPr>
                    <w:t>cm/s。有足够地面承载能力，并能确保雨水不会流至贮存设施内，贮存设施应封闭，以防风、防雨、防晒、防渗漏。采取环评要求措施后，出现险情的风险度较低。采取环评要求措施后，出现险情的风险度较低。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spacing w:line="320" w:lineRule="exact"/>
                    <w:jc w:val="both"/>
                    <w:rPr>
                      <w:rFonts w:hint="eastAsia" w:eastAsia="宋体"/>
                      <w:color w:val="auto"/>
                      <w:lang w:eastAsia="zh-CN"/>
                    </w:rPr>
                  </w:pPr>
                  <w:r>
                    <w:rPr>
                      <w:rFonts w:hint="eastAsia"/>
                      <w:color w:val="auto"/>
                    </w:rPr>
                    <w:t>填表说明（列出项目相关信息及评价说明）</w:t>
                  </w:r>
                  <w:r>
                    <w:rPr>
                      <w:rFonts w:hint="eastAsia"/>
                      <w:color w:val="auto"/>
                      <w:lang w:eastAsia="zh-CN"/>
                    </w:rPr>
                    <w:t>：</w:t>
                  </w:r>
                  <w:r>
                    <w:rPr>
                      <w:rFonts w:hint="eastAsia"/>
                      <w:color w:val="auto"/>
                    </w:rPr>
                    <w:t>本项目涉及附录B中的风险物质主要为</w:t>
                  </w:r>
                  <w:r>
                    <w:rPr>
                      <w:rFonts w:hint="eastAsia"/>
                      <w:color w:val="auto"/>
                      <w:lang w:val="en-US" w:eastAsia="zh-CN"/>
                    </w:rPr>
                    <w:t>次氯酸钠、废机油</w:t>
                  </w:r>
                  <w:r>
                    <w:rPr>
                      <w:rFonts w:hint="eastAsia"/>
                      <w:color w:val="auto"/>
                      <w:lang w:eastAsia="zh-CN"/>
                    </w:rPr>
                    <w:t>。</w:t>
                  </w:r>
                </w:p>
              </w:tc>
            </w:tr>
          </w:tbl>
          <w:p>
            <w:pPr>
              <w:adjustRightInd w:val="0"/>
              <w:snapToGrid w:val="0"/>
              <w:spacing w:line="480" w:lineRule="exact"/>
              <w:ind w:firstLine="482" w:firstLineChars="200"/>
              <w:rPr>
                <w:color w:val="auto"/>
                <w:sz w:val="24"/>
              </w:rPr>
            </w:pPr>
            <w:r>
              <w:rPr>
                <w:rFonts w:hint="eastAsia"/>
                <w:b/>
                <w:bCs/>
                <w:color w:val="auto"/>
                <w:sz w:val="24"/>
              </w:rPr>
              <w:t>9、</w:t>
            </w:r>
            <w:r>
              <w:rPr>
                <w:rFonts w:hint="eastAsia" w:hAnsi="宋体"/>
                <w:b/>
                <w:color w:val="auto"/>
                <w:sz w:val="24"/>
                <w:szCs w:val="20"/>
              </w:rPr>
              <w:t>环保设备投资估算</w:t>
            </w:r>
          </w:p>
          <w:p>
            <w:pPr>
              <w:adjustRightInd w:val="0"/>
              <w:snapToGrid w:val="0"/>
              <w:spacing w:line="480" w:lineRule="exact"/>
              <w:ind w:firstLine="480" w:firstLineChars="200"/>
              <w:rPr>
                <w:color w:val="auto"/>
                <w:sz w:val="24"/>
              </w:rPr>
            </w:pPr>
            <w:r>
              <w:rPr>
                <w:rFonts w:hint="eastAsia"/>
                <w:color w:val="auto"/>
                <w:sz w:val="24"/>
              </w:rPr>
              <w:t>本项目主要环保投资估算见下表。</w:t>
            </w:r>
          </w:p>
          <w:p>
            <w:pPr>
              <w:pStyle w:val="88"/>
              <w:spacing w:line="480" w:lineRule="exact"/>
              <w:ind w:firstLine="480"/>
              <w:rPr>
                <w:rFonts w:ascii="黑体" w:hAnsi="黑体" w:eastAsia="黑体"/>
                <w:color w:val="auto"/>
              </w:rPr>
            </w:pPr>
            <w:r>
              <w:rPr>
                <w:rFonts w:hint="eastAsia" w:ascii="黑体" w:hAnsi="黑体" w:eastAsia="黑体"/>
                <w:color w:val="auto"/>
              </w:rPr>
              <w:t>表4-</w:t>
            </w:r>
            <w:r>
              <w:rPr>
                <w:rFonts w:hint="eastAsia" w:ascii="黑体" w:hAnsi="黑体" w:eastAsia="黑体"/>
                <w:color w:val="auto"/>
                <w:lang w:val="en-US" w:eastAsia="zh-CN"/>
              </w:rPr>
              <w:t xml:space="preserve">18 </w:t>
            </w:r>
            <w:r>
              <w:rPr>
                <w:rFonts w:hint="eastAsia" w:ascii="黑体" w:hAnsi="黑体" w:eastAsia="黑体"/>
                <w:color w:val="auto"/>
              </w:rPr>
              <w:t xml:space="preserve"> 本项目环保设备投资估算表 （万元）</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075"/>
              <w:gridCol w:w="1225"/>
              <w:gridCol w:w="5201"/>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spacing w:line="320" w:lineRule="exact"/>
                    <w:jc w:val="center"/>
                    <w:rPr>
                      <w:bCs/>
                      <w:color w:val="auto"/>
                    </w:rPr>
                  </w:pPr>
                  <w:r>
                    <w:rPr>
                      <w:rFonts w:hint="eastAsia"/>
                      <w:bCs/>
                      <w:color w:val="auto"/>
                    </w:rPr>
                    <w:t>项目</w:t>
                  </w:r>
                </w:p>
              </w:tc>
              <w:tc>
                <w:tcPr>
                  <w:tcW w:w="608" w:type="pct"/>
                  <w:vAlign w:val="center"/>
                </w:tcPr>
                <w:p>
                  <w:pPr>
                    <w:spacing w:line="320" w:lineRule="exact"/>
                    <w:jc w:val="center"/>
                    <w:rPr>
                      <w:bCs/>
                      <w:color w:val="auto"/>
                    </w:rPr>
                  </w:pPr>
                  <w:r>
                    <w:rPr>
                      <w:rFonts w:hint="eastAsia"/>
                      <w:bCs/>
                      <w:color w:val="auto"/>
                    </w:rPr>
                    <w:t>污染环节</w:t>
                  </w:r>
                </w:p>
              </w:tc>
              <w:tc>
                <w:tcPr>
                  <w:tcW w:w="693" w:type="pct"/>
                  <w:vAlign w:val="center"/>
                </w:tcPr>
                <w:p>
                  <w:pPr>
                    <w:spacing w:line="320" w:lineRule="exact"/>
                    <w:jc w:val="center"/>
                    <w:rPr>
                      <w:bCs/>
                      <w:color w:val="auto"/>
                    </w:rPr>
                  </w:pPr>
                  <w:r>
                    <w:rPr>
                      <w:rFonts w:hint="eastAsia"/>
                      <w:bCs/>
                      <w:color w:val="auto"/>
                    </w:rPr>
                    <w:t>污染物</w:t>
                  </w:r>
                </w:p>
              </w:tc>
              <w:tc>
                <w:tcPr>
                  <w:tcW w:w="2943" w:type="pct"/>
                  <w:vAlign w:val="center"/>
                </w:tcPr>
                <w:p>
                  <w:pPr>
                    <w:spacing w:line="320" w:lineRule="exact"/>
                    <w:jc w:val="center"/>
                    <w:rPr>
                      <w:bCs/>
                      <w:color w:val="auto"/>
                    </w:rPr>
                  </w:pPr>
                  <w:r>
                    <w:rPr>
                      <w:rFonts w:hint="eastAsia"/>
                      <w:bCs/>
                      <w:color w:val="auto"/>
                    </w:rPr>
                    <w:t>环保设施</w:t>
                  </w:r>
                </w:p>
              </w:tc>
              <w:tc>
                <w:tcPr>
                  <w:tcW w:w="529" w:type="pct"/>
                  <w:vAlign w:val="center"/>
                </w:tcPr>
                <w:p>
                  <w:pPr>
                    <w:jc w:val="center"/>
                    <w:rPr>
                      <w:bCs/>
                      <w:color w:val="auto"/>
                    </w:rPr>
                  </w:pPr>
                  <w:r>
                    <w:rPr>
                      <w:rFonts w:hint="eastAsia"/>
                      <w:bCs/>
                      <w:color w:val="auto"/>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spacing w:line="320" w:lineRule="exact"/>
                    <w:jc w:val="center"/>
                    <w:rPr>
                      <w:bCs/>
                      <w:color w:val="auto"/>
                    </w:rPr>
                  </w:pPr>
                  <w:r>
                    <w:rPr>
                      <w:rFonts w:hint="eastAsia"/>
                      <w:bCs/>
                      <w:color w:val="auto"/>
                    </w:rPr>
                    <w:t>废气</w:t>
                  </w:r>
                </w:p>
              </w:tc>
              <w:tc>
                <w:tcPr>
                  <w:tcW w:w="608" w:type="pct"/>
                  <w:vAlign w:val="center"/>
                </w:tcPr>
                <w:p>
                  <w:pPr>
                    <w:spacing w:line="320" w:lineRule="exact"/>
                    <w:jc w:val="center"/>
                    <w:rPr>
                      <w:color w:val="auto"/>
                      <w:szCs w:val="18"/>
                    </w:rPr>
                  </w:pPr>
                  <w:r>
                    <w:rPr>
                      <w:rFonts w:hint="eastAsia" w:ascii="Times New Roman" w:hAnsi="Times New Roman" w:eastAsia="宋体" w:cs="Times New Roman"/>
                      <w:color w:val="auto"/>
                      <w:sz w:val="21"/>
                      <w:szCs w:val="21"/>
                      <w:lang w:val="en-US" w:eastAsia="zh-CN"/>
                    </w:rPr>
                    <w:t>污水处理厂构建筑物</w:t>
                  </w:r>
                </w:p>
              </w:tc>
              <w:tc>
                <w:tcPr>
                  <w:tcW w:w="693" w:type="pct"/>
                  <w:vAlign w:val="center"/>
                </w:tcPr>
                <w:p>
                  <w:pPr>
                    <w:spacing w:line="320" w:lineRule="exact"/>
                    <w:jc w:val="center"/>
                    <w:rPr>
                      <w:rFonts w:hint="default" w:eastAsia="宋体"/>
                      <w:bCs/>
                      <w:color w:val="auto"/>
                      <w:lang w:val="en-US" w:eastAsia="zh-CN"/>
                    </w:rPr>
                  </w:pPr>
                  <w:r>
                    <w:rPr>
                      <w:rFonts w:hint="eastAsia"/>
                      <w:bCs/>
                      <w:color w:val="auto"/>
                      <w:lang w:val="en-US" w:eastAsia="zh-CN"/>
                    </w:rPr>
                    <w:t>硫化氢、氨、臭气浓度</w:t>
                  </w:r>
                </w:p>
              </w:tc>
              <w:tc>
                <w:tcPr>
                  <w:tcW w:w="2943" w:type="pct"/>
                  <w:vAlign w:val="center"/>
                </w:tcPr>
                <w:p>
                  <w:pPr>
                    <w:spacing w:line="360" w:lineRule="exact"/>
                    <w:rPr>
                      <w:rFonts w:hint="eastAsia" w:eastAsia="宋体"/>
                      <w:bCs/>
                      <w:color w:val="auto"/>
                      <w:lang w:eastAsia="zh-CN"/>
                    </w:rPr>
                  </w:pPr>
                  <w:r>
                    <w:rPr>
                      <w:rFonts w:hint="default" w:ascii="Times New Roman" w:hAnsi="Times New Roman" w:eastAsia="宋体" w:cs="Times New Roman"/>
                      <w:color w:val="auto"/>
                      <w:sz w:val="21"/>
                      <w:szCs w:val="21"/>
                      <w:lang w:val="en-GB"/>
                    </w:rPr>
                    <w:t>粗格栅及提升井、细格栅、沉砂池、初沉池、厌氧池、缺氧池、储泥池及污水脱水机</w:t>
                  </w:r>
                  <w:r>
                    <w:rPr>
                      <w:rFonts w:hint="default" w:ascii="Times New Roman" w:hAnsi="Times New Roman" w:eastAsia="宋体" w:cs="Times New Roman"/>
                      <w:color w:val="auto"/>
                      <w:sz w:val="21"/>
                      <w:szCs w:val="21"/>
                    </w:rPr>
                    <w:t>产臭点全部封闭，</w:t>
                  </w:r>
                  <w:r>
                    <w:rPr>
                      <w:rFonts w:hint="default" w:ascii="Times New Roman" w:hAnsi="Times New Roman" w:eastAsia="宋体" w:cs="Times New Roman"/>
                      <w:color w:val="auto"/>
                      <w:sz w:val="21"/>
                      <w:szCs w:val="21"/>
                      <w:lang w:val="en-GB"/>
                    </w:rPr>
                    <w:t>臭气通过管道引至1套生物滤池除臭装置进行处理，处理后经15m高排气筒排放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GB"/>
                    </w:rPr>
                    <w:t>生物滤池除臭装置</w:t>
                  </w:r>
                  <w:r>
                    <w:rPr>
                      <w:rFonts w:hint="default" w:ascii="Times New Roman" w:hAnsi="Times New Roman" w:eastAsia="宋体" w:cs="Times New Roman"/>
                      <w:color w:val="auto"/>
                      <w:sz w:val="21"/>
                      <w:szCs w:val="21"/>
                    </w:rPr>
                    <w:t>处理规模为</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GB"/>
                    </w:rPr>
                    <w:t>硫化氢和氨的去除率可以达到90%以上</w:t>
                  </w:r>
                  <w:r>
                    <w:rPr>
                      <w:rFonts w:hint="eastAsia" w:cs="Times New Roman"/>
                      <w:color w:val="auto"/>
                      <w:sz w:val="21"/>
                      <w:szCs w:val="21"/>
                      <w:lang w:val="en-GB" w:eastAsia="zh-CN"/>
                    </w:rPr>
                    <w:t>。</w:t>
                  </w:r>
                </w:p>
              </w:tc>
              <w:tc>
                <w:tcPr>
                  <w:tcW w:w="529" w:type="pct"/>
                  <w:vAlign w:val="center"/>
                </w:tcPr>
                <w:p>
                  <w:pPr>
                    <w:jc w:val="center"/>
                    <w:rPr>
                      <w:rFonts w:hint="default" w:eastAsia="宋体"/>
                      <w:bCs/>
                      <w:color w:val="auto"/>
                      <w:lang w:val="en-US" w:eastAsia="zh-CN"/>
                    </w:rPr>
                  </w:pPr>
                  <w:r>
                    <w:rPr>
                      <w:rFonts w:hint="eastAsia"/>
                      <w:bCs/>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restart"/>
                  <w:vAlign w:val="center"/>
                </w:tcPr>
                <w:p>
                  <w:pPr>
                    <w:spacing w:line="320" w:lineRule="exact"/>
                    <w:jc w:val="center"/>
                    <w:rPr>
                      <w:bCs/>
                      <w:color w:val="auto"/>
                    </w:rPr>
                  </w:pPr>
                  <w:r>
                    <w:rPr>
                      <w:rFonts w:hint="eastAsia"/>
                      <w:bCs/>
                      <w:color w:val="auto"/>
                    </w:rPr>
                    <w:t>水污染</w:t>
                  </w:r>
                </w:p>
              </w:tc>
              <w:tc>
                <w:tcPr>
                  <w:tcW w:w="608" w:type="pct"/>
                  <w:vAlign w:val="center"/>
                </w:tcPr>
                <w:p>
                  <w:pPr>
                    <w:spacing w:line="360" w:lineRule="exact"/>
                    <w:jc w:val="center"/>
                    <w:rPr>
                      <w:color w:val="auto"/>
                    </w:rPr>
                  </w:pPr>
                  <w:r>
                    <w:rPr>
                      <w:rFonts w:hint="default"/>
                      <w:color w:val="auto"/>
                      <w:lang w:val="en-GB"/>
                    </w:rPr>
                    <w:t>污泥脱水间滤液</w:t>
                  </w:r>
                </w:p>
              </w:tc>
              <w:tc>
                <w:tcPr>
                  <w:tcW w:w="693" w:type="pct"/>
                  <w:vAlign w:val="center"/>
                </w:tcPr>
                <w:p>
                  <w:pPr>
                    <w:spacing w:line="320" w:lineRule="exact"/>
                    <w:jc w:val="center"/>
                    <w:rPr>
                      <w:rFonts w:hint="eastAsia" w:eastAsia="宋体"/>
                      <w:bCs/>
                      <w:color w:val="auto"/>
                      <w:lang w:val="en-US" w:eastAsia="zh-CN"/>
                    </w:rPr>
                  </w:pPr>
                  <w:r>
                    <w:rPr>
                      <w:rFonts w:hint="eastAsia"/>
                      <w:bCs/>
                      <w:color w:val="auto"/>
                    </w:rPr>
                    <w:t>COD、BOD、氨氮、SS</w:t>
                  </w:r>
                  <w:r>
                    <w:rPr>
                      <w:rFonts w:hint="eastAsia"/>
                      <w:bCs/>
                      <w:color w:val="auto"/>
                      <w:lang w:val="en-US" w:eastAsia="zh-CN"/>
                    </w:rPr>
                    <w:t>等</w:t>
                  </w:r>
                </w:p>
              </w:tc>
              <w:tc>
                <w:tcPr>
                  <w:tcW w:w="2943" w:type="pct"/>
                  <w:vAlign w:val="center"/>
                </w:tcPr>
                <w:p>
                  <w:pPr>
                    <w:spacing w:line="360" w:lineRule="exact"/>
                    <w:rPr>
                      <w:rFonts w:hint="eastAsia" w:eastAsia="宋体"/>
                      <w:bCs/>
                      <w:color w:val="auto"/>
                      <w:lang w:eastAsia="zh-CN"/>
                    </w:rPr>
                  </w:pPr>
                  <w:r>
                    <w:rPr>
                      <w:rFonts w:hint="default"/>
                      <w:bCs/>
                      <w:color w:val="auto"/>
                      <w:lang w:val="en-GB"/>
                    </w:rPr>
                    <w:t>污泥脱水间滤液经管道返回厂内粗格栅进入污水处理系统</w:t>
                  </w:r>
                  <w:r>
                    <w:rPr>
                      <w:rFonts w:hint="eastAsia"/>
                      <w:bCs/>
                      <w:color w:val="auto"/>
                      <w:lang w:val="en-US" w:eastAsia="zh-CN"/>
                    </w:rPr>
                    <w:t>处理</w:t>
                  </w:r>
                  <w:r>
                    <w:rPr>
                      <w:rFonts w:hint="default"/>
                      <w:bCs/>
                      <w:color w:val="auto"/>
                      <w:lang w:val="en-GB"/>
                    </w:rPr>
                    <w:t>，不外排</w:t>
                  </w:r>
                  <w:r>
                    <w:rPr>
                      <w:rFonts w:hint="eastAsia"/>
                      <w:bCs/>
                      <w:color w:val="auto"/>
                      <w:lang w:val="en-GB" w:eastAsia="zh-CN"/>
                    </w:rPr>
                    <w:t>。</w:t>
                  </w:r>
                </w:p>
              </w:tc>
              <w:tc>
                <w:tcPr>
                  <w:tcW w:w="529" w:type="pct"/>
                  <w:vAlign w:val="center"/>
                </w:tcPr>
                <w:p>
                  <w:pPr>
                    <w:jc w:val="center"/>
                    <w:rPr>
                      <w:rFonts w:hint="default" w:eastAsia="宋体"/>
                      <w:bCs/>
                      <w:color w:val="auto"/>
                      <w:lang w:val="en-US" w:eastAsia="zh-CN"/>
                    </w:rPr>
                  </w:pPr>
                  <w:r>
                    <w:rPr>
                      <w:rFonts w:hint="eastAsia"/>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vAlign w:val="center"/>
                </w:tcPr>
                <w:p>
                  <w:pPr>
                    <w:spacing w:line="320" w:lineRule="exact"/>
                    <w:jc w:val="center"/>
                    <w:rPr>
                      <w:rFonts w:hint="eastAsia"/>
                      <w:bCs/>
                      <w:color w:val="auto"/>
                    </w:rPr>
                  </w:pPr>
                </w:p>
              </w:tc>
              <w:tc>
                <w:tcPr>
                  <w:tcW w:w="608" w:type="pct"/>
                  <w:vAlign w:val="center"/>
                </w:tcPr>
                <w:p>
                  <w:pPr>
                    <w:spacing w:line="360" w:lineRule="exact"/>
                    <w:jc w:val="center"/>
                    <w:rPr>
                      <w:rFonts w:hint="eastAsia"/>
                      <w:color w:val="auto"/>
                    </w:rPr>
                  </w:pPr>
                  <w:r>
                    <w:rPr>
                      <w:rFonts w:hint="eastAsia"/>
                      <w:color w:val="auto"/>
                      <w:lang w:val="en-GB"/>
                    </w:rPr>
                    <w:t>生物滤池除臭装置排水</w:t>
                  </w:r>
                </w:p>
              </w:tc>
              <w:tc>
                <w:tcPr>
                  <w:tcW w:w="693" w:type="pct"/>
                  <w:vAlign w:val="center"/>
                </w:tcPr>
                <w:p>
                  <w:pPr>
                    <w:spacing w:line="320" w:lineRule="exact"/>
                    <w:jc w:val="center"/>
                    <w:rPr>
                      <w:rFonts w:hint="eastAsia"/>
                      <w:bCs/>
                      <w:color w:val="auto"/>
                    </w:rPr>
                  </w:pPr>
                  <w:r>
                    <w:rPr>
                      <w:rFonts w:hint="eastAsia"/>
                      <w:bCs/>
                      <w:color w:val="auto"/>
                    </w:rPr>
                    <w:t>COD、BOD、氨氮、SS</w:t>
                  </w:r>
                  <w:r>
                    <w:rPr>
                      <w:rFonts w:hint="eastAsia"/>
                      <w:bCs/>
                      <w:color w:val="auto"/>
                      <w:lang w:val="en-US" w:eastAsia="zh-CN"/>
                    </w:rPr>
                    <w:t>等</w:t>
                  </w:r>
                </w:p>
              </w:tc>
              <w:tc>
                <w:tcPr>
                  <w:tcW w:w="2943" w:type="pct"/>
                  <w:vAlign w:val="center"/>
                </w:tcPr>
                <w:p>
                  <w:pPr>
                    <w:spacing w:line="360" w:lineRule="exact"/>
                    <w:rPr>
                      <w:bCs/>
                      <w:color w:val="auto"/>
                    </w:rPr>
                  </w:pPr>
                  <w:r>
                    <w:rPr>
                      <w:rFonts w:hint="default" w:ascii="Times New Roman" w:hAnsi="Times New Roman" w:eastAsia="宋体" w:cs="Times New Roman"/>
                    </w:rPr>
                    <w:t>生物滤池除臭系统排水经管道排至至粗格栅间，进入污水处理系统处理</w:t>
                  </w:r>
                  <w:r>
                    <w:rPr>
                      <w:rFonts w:hint="default"/>
                      <w:bCs/>
                      <w:color w:val="auto"/>
                      <w:lang w:val="en-GB"/>
                    </w:rPr>
                    <w:t>，不外排</w:t>
                  </w:r>
                  <w:r>
                    <w:rPr>
                      <w:rFonts w:hint="eastAsia"/>
                      <w:bCs/>
                      <w:color w:val="auto"/>
                      <w:lang w:val="en-GB" w:eastAsia="zh-CN"/>
                    </w:rPr>
                    <w:t>。</w:t>
                  </w:r>
                </w:p>
              </w:tc>
              <w:tc>
                <w:tcPr>
                  <w:tcW w:w="529" w:type="pct"/>
                  <w:vAlign w:val="center"/>
                </w:tcPr>
                <w:p>
                  <w:pPr>
                    <w:jc w:val="center"/>
                    <w:rPr>
                      <w:rFonts w:hint="default"/>
                      <w:bCs/>
                      <w:color w:val="auto"/>
                      <w:lang w:val="en-US" w:eastAsia="zh-CN"/>
                    </w:rPr>
                  </w:pPr>
                  <w:r>
                    <w:rPr>
                      <w:rFonts w:hint="eastAsia"/>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vAlign w:val="center"/>
                </w:tcPr>
                <w:p>
                  <w:pPr>
                    <w:spacing w:line="320" w:lineRule="exact"/>
                    <w:jc w:val="center"/>
                    <w:rPr>
                      <w:bCs/>
                      <w:color w:val="auto"/>
                    </w:rPr>
                  </w:pPr>
                </w:p>
              </w:tc>
              <w:tc>
                <w:tcPr>
                  <w:tcW w:w="608" w:type="pct"/>
                  <w:vAlign w:val="center"/>
                </w:tcPr>
                <w:p>
                  <w:pPr>
                    <w:spacing w:line="360" w:lineRule="exact"/>
                    <w:jc w:val="center"/>
                    <w:rPr>
                      <w:color w:val="auto"/>
                      <w:szCs w:val="18"/>
                    </w:rPr>
                  </w:pPr>
                  <w:r>
                    <w:rPr>
                      <w:rFonts w:hint="default"/>
                      <w:color w:val="auto"/>
                      <w:szCs w:val="18"/>
                      <w:lang w:val="en-GB"/>
                    </w:rPr>
                    <w:t>职工生活污水</w:t>
                  </w:r>
                </w:p>
              </w:tc>
              <w:tc>
                <w:tcPr>
                  <w:tcW w:w="693" w:type="pct"/>
                  <w:vAlign w:val="center"/>
                </w:tcPr>
                <w:p>
                  <w:pPr>
                    <w:spacing w:line="320" w:lineRule="exact"/>
                    <w:jc w:val="center"/>
                    <w:rPr>
                      <w:bCs/>
                      <w:color w:val="auto"/>
                    </w:rPr>
                  </w:pPr>
                  <w:r>
                    <w:rPr>
                      <w:rFonts w:hint="eastAsia"/>
                      <w:bCs/>
                      <w:color w:val="auto"/>
                    </w:rPr>
                    <w:t>COD、BOD、氨氮、SS</w:t>
                  </w:r>
                  <w:r>
                    <w:rPr>
                      <w:rFonts w:hint="eastAsia"/>
                      <w:bCs/>
                      <w:color w:val="auto"/>
                      <w:lang w:val="en-US" w:eastAsia="zh-CN"/>
                    </w:rPr>
                    <w:t>等</w:t>
                  </w:r>
                </w:p>
              </w:tc>
              <w:tc>
                <w:tcPr>
                  <w:tcW w:w="2943" w:type="pct"/>
                  <w:vAlign w:val="center"/>
                </w:tcPr>
                <w:p>
                  <w:pPr>
                    <w:spacing w:line="360" w:lineRule="exact"/>
                    <w:rPr>
                      <w:color w:val="auto"/>
                    </w:rPr>
                  </w:pPr>
                  <w:r>
                    <w:rPr>
                      <w:rFonts w:hint="default" w:ascii="Times New Roman" w:hAnsi="Times New Roman" w:eastAsia="宋体" w:cs="Times New Roman"/>
                    </w:rPr>
                    <w:t>职工生活经化粪池处理后排至粗格栅间，进入污水处理系统处理。</w:t>
                  </w:r>
                </w:p>
              </w:tc>
              <w:tc>
                <w:tcPr>
                  <w:tcW w:w="529" w:type="pct"/>
                  <w:vAlign w:val="center"/>
                </w:tcPr>
                <w:p>
                  <w:pPr>
                    <w:jc w:val="center"/>
                    <w:rPr>
                      <w:rFonts w:hint="eastAsia" w:eastAsia="宋体"/>
                      <w:bCs/>
                      <w:color w:val="auto"/>
                      <w:lang w:eastAsia="zh-CN"/>
                    </w:rPr>
                  </w:pPr>
                  <w:r>
                    <w:rPr>
                      <w:rFonts w:hint="eastAsia"/>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vAlign w:val="center"/>
                </w:tcPr>
                <w:p>
                  <w:pPr>
                    <w:spacing w:line="320" w:lineRule="exact"/>
                    <w:jc w:val="center"/>
                    <w:rPr>
                      <w:bCs/>
                      <w:color w:val="auto"/>
                    </w:rPr>
                  </w:pPr>
                </w:p>
              </w:tc>
              <w:tc>
                <w:tcPr>
                  <w:tcW w:w="608" w:type="pct"/>
                  <w:vAlign w:val="center"/>
                </w:tcPr>
                <w:p>
                  <w:pPr>
                    <w:spacing w:line="360" w:lineRule="exact"/>
                    <w:jc w:val="center"/>
                    <w:rPr>
                      <w:rFonts w:hint="default" w:eastAsia="宋体"/>
                      <w:color w:val="auto"/>
                      <w:szCs w:val="18"/>
                      <w:lang w:val="en-US" w:eastAsia="zh-CN"/>
                    </w:rPr>
                  </w:pPr>
                  <w:r>
                    <w:rPr>
                      <w:rFonts w:hint="eastAsia"/>
                      <w:color w:val="auto"/>
                      <w:szCs w:val="18"/>
                      <w:lang w:val="en-US" w:eastAsia="zh-CN"/>
                    </w:rPr>
                    <w:t>污水处理厂尾水</w:t>
                  </w:r>
                </w:p>
              </w:tc>
              <w:tc>
                <w:tcPr>
                  <w:tcW w:w="693" w:type="pct"/>
                  <w:vAlign w:val="center"/>
                </w:tcPr>
                <w:p>
                  <w:pPr>
                    <w:spacing w:line="320" w:lineRule="exact"/>
                    <w:jc w:val="center"/>
                    <w:rPr>
                      <w:rFonts w:hint="eastAsia"/>
                      <w:bCs/>
                      <w:color w:val="auto"/>
                    </w:rPr>
                  </w:pPr>
                  <w:r>
                    <w:rPr>
                      <w:rFonts w:hint="eastAsia"/>
                      <w:bCs/>
                      <w:color w:val="auto"/>
                    </w:rPr>
                    <w:t>COD、BOD、氨氮、SS</w:t>
                  </w:r>
                  <w:r>
                    <w:rPr>
                      <w:rFonts w:hint="eastAsia"/>
                      <w:bCs/>
                      <w:color w:val="auto"/>
                      <w:lang w:val="en-US" w:eastAsia="zh-CN"/>
                    </w:rPr>
                    <w:t>等</w:t>
                  </w:r>
                </w:p>
              </w:tc>
              <w:tc>
                <w:tcPr>
                  <w:tcW w:w="2943" w:type="pct"/>
                  <w:vAlign w:val="center"/>
                </w:tcPr>
                <w:p>
                  <w:pPr>
                    <w:spacing w:line="360" w:lineRule="exact"/>
                    <w:rPr>
                      <w:rFonts w:hint="default" w:ascii="Times New Roman" w:hAnsi="Times New Roman" w:eastAsia="宋体" w:cs="Times New Roman"/>
                    </w:rPr>
                  </w:pPr>
                  <w:r>
                    <w:rPr>
                      <w:rFonts w:hint="default" w:ascii="Times New Roman" w:hAnsi="Times New Roman" w:eastAsia="宋体" w:cs="Times New Roman"/>
                      <w:lang w:val="en-GB"/>
                    </w:rPr>
                    <w:t>污水处理厂运行时，尾水排放量约为</w:t>
                  </w:r>
                  <w:r>
                    <w:rPr>
                      <w:rFonts w:hint="default" w:ascii="Times New Roman" w:hAnsi="Times New Roman" w:eastAsia="宋体" w:cs="Times New Roman"/>
                      <w:lang w:val="en-US" w:eastAsia="zh-CN"/>
                    </w:rPr>
                    <w:t>2000</w:t>
                  </w:r>
                  <w:r>
                    <w:rPr>
                      <w:rFonts w:hint="default" w:ascii="Times New Roman" w:hAnsi="Times New Roman" w:eastAsia="宋体" w:cs="Times New Roman"/>
                      <w:lang w:val="en-GB"/>
                    </w:rPr>
                    <w:t>m</w:t>
                  </w:r>
                  <w:r>
                    <w:rPr>
                      <w:rFonts w:hint="default" w:ascii="Times New Roman" w:hAnsi="Times New Roman" w:eastAsia="宋体" w:cs="Times New Roman"/>
                      <w:vertAlign w:val="superscript"/>
                      <w:lang w:val="en-GB"/>
                    </w:rPr>
                    <w:t>3</w:t>
                  </w:r>
                  <w:r>
                    <w:rPr>
                      <w:rFonts w:hint="default" w:ascii="Times New Roman" w:hAnsi="Times New Roman" w:eastAsia="宋体" w:cs="Times New Roman"/>
                      <w:lang w:val="en-GB"/>
                    </w:rPr>
                    <w:t>/d，尾水中</w:t>
                  </w:r>
                  <w:r>
                    <w:rPr>
                      <w:rFonts w:hint="default" w:ascii="Times New Roman" w:hAnsi="Times New Roman" w:eastAsia="宋体" w:cs="Times New Roman"/>
                    </w:rPr>
                    <w:t>COD、氨氮、总磷满足</w:t>
                  </w:r>
                  <w:r>
                    <w:rPr>
                      <w:rFonts w:hint="default" w:ascii="Times New Roman" w:hAnsi="Times New Roman" w:eastAsia="宋体" w:cs="Times New Roman"/>
                      <w:lang w:val="en-US" w:eastAsia="zh-CN"/>
                    </w:rPr>
                    <w:t>山西省地方标准《污水综合排放标准》（DB14/1928-2019）</w:t>
                  </w:r>
                  <w:r>
                    <w:rPr>
                      <w:rFonts w:hint="default" w:ascii="Times New Roman" w:hAnsi="Times New Roman" w:eastAsia="宋体" w:cs="Times New Roman"/>
                    </w:rPr>
                    <w:t>中</w:t>
                  </w:r>
                  <w:r>
                    <w:rPr>
                      <w:rFonts w:hint="default" w:ascii="Times New Roman" w:hAnsi="Times New Roman" w:eastAsia="宋体" w:cs="Times New Roman"/>
                      <w:lang w:val="en-US" w:eastAsia="zh-CN"/>
                    </w:rPr>
                    <w:t>表2中的限值</w:t>
                  </w:r>
                  <w:r>
                    <w:rPr>
                      <w:rFonts w:hint="default" w:ascii="Times New Roman" w:hAnsi="Times New Roman" w:eastAsia="宋体" w:cs="Times New Roman"/>
                    </w:rPr>
                    <w:t>，</w:t>
                  </w:r>
                  <w:r>
                    <w:rPr>
                      <w:rFonts w:hint="default" w:ascii="Times New Roman" w:hAnsi="Times New Roman" w:eastAsia="宋体" w:cs="Times New Roman"/>
                      <w:lang w:val="en-US" w:eastAsia="zh-CN"/>
                    </w:rPr>
                    <w:t>BOD、</w:t>
                  </w:r>
                  <w:r>
                    <w:rPr>
                      <w:rFonts w:hint="default" w:ascii="Times New Roman" w:hAnsi="Times New Roman" w:eastAsia="宋体" w:cs="Times New Roman"/>
                    </w:rPr>
                    <w:t>SS、</w:t>
                  </w:r>
                  <w:r>
                    <w:rPr>
                      <w:rFonts w:hint="default" w:ascii="Times New Roman" w:hAnsi="Times New Roman" w:eastAsia="宋体" w:cs="Times New Roman"/>
                      <w:lang w:val="en-US" w:eastAsia="zh-CN"/>
                    </w:rPr>
                    <w:t>动植物油、石油类、阴离子表面活性剂、总氮、色度、pH、粪大肠菌群数满</w:t>
                  </w:r>
                  <w:r>
                    <w:rPr>
                      <w:rFonts w:hint="default" w:ascii="Times New Roman" w:hAnsi="Times New Roman" w:eastAsia="宋体" w:cs="Times New Roman"/>
                    </w:rPr>
                    <w:t>足《城镇污水处理厂污染物排放标准》（GB18918-2002）及修改单中的一级A标准限值，</w:t>
                  </w:r>
                  <w:r>
                    <w:rPr>
                      <w:rFonts w:hint="default" w:ascii="Times New Roman" w:hAnsi="Times New Roman" w:eastAsia="宋体" w:cs="Times New Roman"/>
                      <w:lang w:val="en-US" w:eastAsia="zh-CN"/>
                    </w:rPr>
                    <w:t>首先用于市政绿化、道路浇洒、农田灌溉等，剩余尾水排入滹沱河</w:t>
                  </w:r>
                  <w:r>
                    <w:rPr>
                      <w:rFonts w:hint="default" w:ascii="Times New Roman" w:hAnsi="Times New Roman" w:eastAsia="宋体" w:cs="Times New Roman"/>
                    </w:rPr>
                    <w:t>。</w:t>
                  </w:r>
                </w:p>
              </w:tc>
              <w:tc>
                <w:tcPr>
                  <w:tcW w:w="529" w:type="pct"/>
                  <w:vAlign w:val="center"/>
                </w:tcPr>
                <w:p>
                  <w:pPr>
                    <w:jc w:val="center"/>
                    <w:rPr>
                      <w:rFonts w:hint="eastAsia"/>
                      <w:bCs/>
                      <w:color w:val="auto"/>
                      <w:lang w:val="en-US" w:eastAsia="zh-CN"/>
                    </w:rPr>
                  </w:pPr>
                  <w:r>
                    <w:rPr>
                      <w:rFonts w:hint="eastAsia"/>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restart"/>
                  <w:vAlign w:val="center"/>
                </w:tcPr>
                <w:p>
                  <w:pPr>
                    <w:spacing w:line="320" w:lineRule="exact"/>
                    <w:jc w:val="center"/>
                    <w:rPr>
                      <w:bCs/>
                      <w:color w:val="auto"/>
                    </w:rPr>
                  </w:pPr>
                  <w:r>
                    <w:rPr>
                      <w:rFonts w:hint="eastAsia"/>
                      <w:bCs/>
                      <w:color w:val="auto"/>
                    </w:rPr>
                    <w:t>固废</w:t>
                  </w:r>
                </w:p>
              </w:tc>
              <w:tc>
                <w:tcPr>
                  <w:tcW w:w="1301" w:type="pct"/>
                  <w:gridSpan w:val="2"/>
                  <w:vAlign w:val="center"/>
                </w:tcPr>
                <w:p>
                  <w:pPr>
                    <w:autoSpaceDE w:val="0"/>
                    <w:autoSpaceDN w:val="0"/>
                    <w:adjustRightInd w:val="0"/>
                    <w:jc w:val="center"/>
                    <w:rPr>
                      <w:rFonts w:hint="default" w:eastAsia="宋体"/>
                      <w:bCs/>
                      <w:color w:val="auto"/>
                      <w:lang w:val="en-US" w:eastAsia="zh-CN"/>
                    </w:rPr>
                  </w:pPr>
                  <w:r>
                    <w:rPr>
                      <w:rFonts w:hint="default" w:hAnsi="宋体" w:eastAsia="宋体"/>
                      <w:color w:val="auto"/>
                      <w:lang w:val="en-US" w:eastAsia="zh-CN"/>
                    </w:rPr>
                    <w:t>粗格栅和细格栅产生的栅渣</w:t>
                  </w:r>
                </w:p>
              </w:tc>
              <w:tc>
                <w:tcPr>
                  <w:tcW w:w="2943" w:type="pct"/>
                  <w:vMerge w:val="restart"/>
                  <w:vAlign w:val="center"/>
                </w:tcPr>
                <w:p>
                  <w:pPr>
                    <w:autoSpaceDE w:val="0"/>
                    <w:autoSpaceDN w:val="0"/>
                    <w:adjustRightInd w:val="0"/>
                    <w:jc w:val="both"/>
                    <w:rPr>
                      <w:color w:val="auto"/>
                    </w:rPr>
                  </w:pPr>
                  <w:r>
                    <w:rPr>
                      <w:rFonts w:hint="default" w:hAnsi="宋体" w:eastAsia="宋体"/>
                      <w:color w:val="auto"/>
                      <w:lang w:val="en-US" w:eastAsia="zh-CN"/>
                    </w:rPr>
                    <w:t>污水处理厂产生的栅渣和沉砂委托当地环卫部门统一清运处置，要求日产日清</w:t>
                  </w:r>
                  <w:r>
                    <w:rPr>
                      <w:rFonts w:hint="eastAsia" w:hAnsi="宋体"/>
                      <w:color w:val="auto"/>
                      <w:lang w:val="en-US" w:eastAsia="zh-CN"/>
                    </w:rPr>
                    <w:t>。</w:t>
                  </w:r>
                </w:p>
              </w:tc>
              <w:tc>
                <w:tcPr>
                  <w:tcW w:w="529" w:type="pct"/>
                  <w:vMerge w:val="restart"/>
                  <w:vAlign w:val="center"/>
                </w:tcPr>
                <w:p>
                  <w:pPr>
                    <w:jc w:val="center"/>
                    <w:rPr>
                      <w:rFonts w:hint="default" w:eastAsia="宋体"/>
                      <w:bCs/>
                      <w:color w:val="auto"/>
                      <w:lang w:val="en-US" w:eastAsia="zh-CN"/>
                    </w:rPr>
                  </w:pPr>
                  <w:r>
                    <w:rPr>
                      <w:rFonts w:hint="eastAsia"/>
                      <w:bCs/>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vAlign w:val="center"/>
                </w:tcPr>
                <w:p>
                  <w:pPr>
                    <w:spacing w:line="320" w:lineRule="exact"/>
                    <w:jc w:val="center"/>
                    <w:rPr>
                      <w:rFonts w:hint="eastAsia"/>
                      <w:bCs/>
                      <w:color w:val="auto"/>
                    </w:rPr>
                  </w:pPr>
                </w:p>
              </w:tc>
              <w:tc>
                <w:tcPr>
                  <w:tcW w:w="1301" w:type="pct"/>
                  <w:gridSpan w:val="2"/>
                  <w:vAlign w:val="center"/>
                </w:tcPr>
                <w:p>
                  <w:pPr>
                    <w:autoSpaceDE w:val="0"/>
                    <w:autoSpaceDN w:val="0"/>
                    <w:jc w:val="center"/>
                    <w:rPr>
                      <w:rFonts w:hint="eastAsia"/>
                      <w:color w:val="auto"/>
                    </w:rPr>
                  </w:pPr>
                  <w:r>
                    <w:rPr>
                      <w:rFonts w:hint="eastAsia"/>
                      <w:color w:val="auto"/>
                      <w:lang w:val="en-US" w:eastAsia="zh-CN"/>
                    </w:rPr>
                    <w:t>曝气沉砂池产生的沉砂</w:t>
                  </w:r>
                </w:p>
              </w:tc>
              <w:tc>
                <w:tcPr>
                  <w:tcW w:w="2943" w:type="pct"/>
                  <w:vMerge w:val="continue"/>
                  <w:vAlign w:val="center"/>
                </w:tcPr>
                <w:p>
                  <w:pPr>
                    <w:jc w:val="both"/>
                    <w:rPr>
                      <w:rFonts w:hint="eastAsia"/>
                      <w:color w:val="auto"/>
                    </w:rPr>
                  </w:pPr>
                </w:p>
              </w:tc>
              <w:tc>
                <w:tcPr>
                  <w:tcW w:w="529" w:type="pct"/>
                  <w:vMerge w:val="continue"/>
                  <w:vAlign w:val="center"/>
                </w:tcPr>
                <w:p>
                  <w:pPr>
                    <w:jc w:val="center"/>
                    <w:rPr>
                      <w:rFonts w:hint="eastAsia"/>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vAlign w:val="center"/>
                </w:tcPr>
                <w:p>
                  <w:pPr>
                    <w:spacing w:line="320" w:lineRule="exact"/>
                    <w:jc w:val="center"/>
                    <w:rPr>
                      <w:rFonts w:hint="eastAsia"/>
                      <w:bCs/>
                      <w:color w:val="auto"/>
                    </w:rPr>
                  </w:pPr>
                </w:p>
              </w:tc>
              <w:tc>
                <w:tcPr>
                  <w:tcW w:w="1301" w:type="pct"/>
                  <w:gridSpan w:val="2"/>
                  <w:vAlign w:val="center"/>
                </w:tcPr>
                <w:p>
                  <w:pPr>
                    <w:autoSpaceDE w:val="0"/>
                    <w:autoSpaceDN w:val="0"/>
                    <w:jc w:val="center"/>
                    <w:rPr>
                      <w:rFonts w:hint="eastAsia"/>
                      <w:color w:val="auto"/>
                    </w:rPr>
                  </w:pPr>
                  <w:r>
                    <w:rPr>
                      <w:rFonts w:hint="default" w:eastAsia="宋体"/>
                      <w:color w:val="auto"/>
                      <w:lang w:val="en-US" w:eastAsia="zh-CN"/>
                    </w:rPr>
                    <w:t>污泥浓缩脱水机产生的污泥</w:t>
                  </w:r>
                </w:p>
              </w:tc>
              <w:tc>
                <w:tcPr>
                  <w:tcW w:w="2943" w:type="pct"/>
                  <w:vAlign w:val="center"/>
                </w:tcPr>
                <w:p>
                  <w:pPr>
                    <w:jc w:val="both"/>
                    <w:rPr>
                      <w:rFonts w:hint="eastAsia"/>
                      <w:color w:val="auto"/>
                    </w:rPr>
                  </w:pPr>
                  <w:r>
                    <w:rPr>
                      <w:rFonts w:hint="eastAsia"/>
                      <w:color w:val="auto"/>
                      <w:lang w:val="en-US" w:eastAsia="zh-CN"/>
                    </w:rPr>
                    <w:t>污泥脱水后运至五台县垃圾填埋场填埋处理。</w:t>
                  </w:r>
                </w:p>
              </w:tc>
              <w:tc>
                <w:tcPr>
                  <w:tcW w:w="529" w:type="pct"/>
                  <w:vAlign w:val="center"/>
                </w:tcPr>
                <w:p>
                  <w:pPr>
                    <w:jc w:val="center"/>
                    <w:rPr>
                      <w:rFonts w:hint="default" w:eastAsia="宋体"/>
                      <w:bCs/>
                      <w:color w:val="auto"/>
                      <w:lang w:val="en-US" w:eastAsia="zh-CN"/>
                    </w:rPr>
                  </w:pPr>
                  <w:r>
                    <w:rPr>
                      <w:rFonts w:hint="eastAsia"/>
                      <w:bCs/>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vAlign w:val="center"/>
                </w:tcPr>
                <w:p>
                  <w:pPr>
                    <w:spacing w:line="320" w:lineRule="exact"/>
                    <w:jc w:val="center"/>
                    <w:rPr>
                      <w:rFonts w:hint="eastAsia"/>
                      <w:bCs/>
                      <w:color w:val="auto"/>
                    </w:rPr>
                  </w:pPr>
                </w:p>
              </w:tc>
              <w:tc>
                <w:tcPr>
                  <w:tcW w:w="2300" w:type="dxa"/>
                  <w:gridSpan w:val="2"/>
                  <w:vAlign w:val="center"/>
                </w:tcPr>
                <w:p>
                  <w:pPr>
                    <w:spacing w:line="320" w:lineRule="exact"/>
                    <w:jc w:val="center"/>
                    <w:rPr>
                      <w:rFonts w:hint="default" w:eastAsia="宋体"/>
                      <w:color w:val="auto"/>
                      <w:lang w:val="en-US" w:eastAsia="zh-CN"/>
                    </w:rPr>
                  </w:pPr>
                  <w:r>
                    <w:rPr>
                      <w:rFonts w:hint="eastAsia"/>
                      <w:color w:val="auto"/>
                    </w:rPr>
                    <w:t>设备维修保养产生的废</w:t>
                  </w:r>
                  <w:r>
                    <w:rPr>
                      <w:rFonts w:hint="eastAsia"/>
                      <w:color w:val="auto"/>
                      <w:lang w:val="en-US" w:eastAsia="zh-CN"/>
                    </w:rPr>
                    <w:t>矿物</w:t>
                  </w:r>
                  <w:r>
                    <w:rPr>
                      <w:rFonts w:hint="eastAsia"/>
                      <w:color w:val="auto"/>
                    </w:rPr>
                    <w:t>油、废棉纱、废手套、废机油桶</w:t>
                  </w:r>
                </w:p>
              </w:tc>
              <w:tc>
                <w:tcPr>
                  <w:tcW w:w="5201" w:type="dxa"/>
                  <w:vAlign w:val="center"/>
                </w:tcPr>
                <w:p>
                  <w:pPr>
                    <w:jc w:val="both"/>
                    <w:rPr>
                      <w:rFonts w:hint="eastAsia"/>
                      <w:color w:val="auto"/>
                      <w:lang w:val="en-US" w:eastAsia="zh-CN"/>
                    </w:rPr>
                  </w:pPr>
                  <w:r>
                    <w:rPr>
                      <w:rFonts w:hint="eastAsia" w:hAnsi="宋体"/>
                      <w:color w:val="auto"/>
                    </w:rPr>
                    <w:t>收集后在厂区内新建的危险废物暂存间进行暂存，最后由有资质的单位进行收集处置；设置1座</w:t>
                  </w:r>
                  <w:r>
                    <w:rPr>
                      <w:rFonts w:hint="eastAsia" w:hAnsi="宋体"/>
                      <w:color w:val="auto"/>
                      <w:lang w:val="en-US" w:eastAsia="zh-CN"/>
                    </w:rPr>
                    <w:t>20</w:t>
                  </w:r>
                  <w:r>
                    <w:rPr>
                      <w:rFonts w:hint="eastAsia" w:hAnsi="宋体"/>
                      <w:color w:val="auto"/>
                    </w:rPr>
                    <w:t>m</w:t>
                  </w:r>
                  <w:r>
                    <w:rPr>
                      <w:rFonts w:hint="eastAsia" w:hAnsi="宋体"/>
                      <w:color w:val="auto"/>
                      <w:vertAlign w:val="superscript"/>
                    </w:rPr>
                    <w:t>2</w:t>
                  </w:r>
                  <w:r>
                    <w:rPr>
                      <w:rFonts w:hint="eastAsia" w:hAnsi="宋体"/>
                      <w:color w:val="auto"/>
                    </w:rPr>
                    <w:t>危废暂存间</w:t>
                  </w:r>
                  <w:r>
                    <w:rPr>
                      <w:rFonts w:hint="eastAsia" w:hAnsi="宋体"/>
                      <w:color w:val="auto"/>
                      <w:lang w:eastAsia="zh-CN"/>
                    </w:rPr>
                    <w:t>。</w:t>
                  </w:r>
                </w:p>
              </w:tc>
              <w:tc>
                <w:tcPr>
                  <w:tcW w:w="529" w:type="pct"/>
                  <w:vAlign w:val="center"/>
                </w:tcPr>
                <w:p>
                  <w:pPr>
                    <w:jc w:val="center"/>
                    <w:rPr>
                      <w:rFonts w:hint="default"/>
                      <w:bCs/>
                      <w:color w:val="auto"/>
                      <w:lang w:val="en-US" w:eastAsia="zh-CN"/>
                    </w:rPr>
                  </w:pPr>
                  <w:r>
                    <w:rPr>
                      <w:rFonts w:hint="eastAsia"/>
                      <w:bCs/>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vAlign w:val="center"/>
                </w:tcPr>
                <w:p>
                  <w:pPr>
                    <w:spacing w:line="320" w:lineRule="exact"/>
                    <w:jc w:val="center"/>
                    <w:rPr>
                      <w:bCs/>
                      <w:color w:val="auto"/>
                    </w:rPr>
                  </w:pPr>
                </w:p>
              </w:tc>
              <w:tc>
                <w:tcPr>
                  <w:tcW w:w="1301" w:type="pct"/>
                  <w:gridSpan w:val="2"/>
                  <w:vAlign w:val="center"/>
                </w:tcPr>
                <w:p>
                  <w:pPr>
                    <w:spacing w:line="320" w:lineRule="exact"/>
                    <w:jc w:val="center"/>
                    <w:rPr>
                      <w:color w:val="auto"/>
                    </w:rPr>
                  </w:pPr>
                  <w:r>
                    <w:rPr>
                      <w:rFonts w:hint="eastAsia"/>
                      <w:color w:val="auto"/>
                    </w:rPr>
                    <w:t>生活垃圾</w:t>
                  </w:r>
                </w:p>
              </w:tc>
              <w:tc>
                <w:tcPr>
                  <w:tcW w:w="2943" w:type="pct"/>
                  <w:vAlign w:val="center"/>
                </w:tcPr>
                <w:p>
                  <w:pPr>
                    <w:autoSpaceDE w:val="0"/>
                    <w:autoSpaceDN w:val="0"/>
                    <w:spacing w:line="320" w:lineRule="exact"/>
                    <w:rPr>
                      <w:color w:val="auto"/>
                    </w:rPr>
                  </w:pPr>
                  <w:r>
                    <w:rPr>
                      <w:color w:val="auto"/>
                      <w:lang w:bidi="ar"/>
                    </w:rPr>
                    <w:t>在厂区内设封闭式垃圾收集箱，收集后送当地环卫部门指定地点统一处理</w:t>
                  </w:r>
                  <w:r>
                    <w:rPr>
                      <w:rFonts w:hint="eastAsia"/>
                      <w:bCs/>
                      <w:color w:val="auto"/>
                    </w:rPr>
                    <w:t>。</w:t>
                  </w:r>
                </w:p>
              </w:tc>
              <w:tc>
                <w:tcPr>
                  <w:tcW w:w="529" w:type="pct"/>
                  <w:vAlign w:val="center"/>
                </w:tcPr>
                <w:p>
                  <w:pPr>
                    <w:jc w:val="center"/>
                    <w:rPr>
                      <w:rFonts w:hint="eastAsia" w:eastAsia="宋体"/>
                      <w:bCs/>
                      <w:color w:val="auto"/>
                      <w:lang w:eastAsia="zh-CN"/>
                    </w:rPr>
                  </w:pPr>
                  <w:r>
                    <w:rPr>
                      <w:rFonts w:hint="eastAsia"/>
                      <w:bCs/>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spacing w:line="320" w:lineRule="exact"/>
                    <w:jc w:val="center"/>
                    <w:rPr>
                      <w:bCs/>
                      <w:color w:val="auto"/>
                    </w:rPr>
                  </w:pPr>
                  <w:r>
                    <w:rPr>
                      <w:rFonts w:hint="eastAsia"/>
                      <w:bCs/>
                      <w:color w:val="auto"/>
                    </w:rPr>
                    <w:t>噪声</w:t>
                  </w:r>
                </w:p>
              </w:tc>
              <w:tc>
                <w:tcPr>
                  <w:tcW w:w="1301" w:type="pct"/>
                  <w:gridSpan w:val="2"/>
                  <w:vAlign w:val="center"/>
                </w:tcPr>
                <w:p>
                  <w:pPr>
                    <w:spacing w:line="320" w:lineRule="exact"/>
                    <w:jc w:val="center"/>
                    <w:rPr>
                      <w:color w:val="auto"/>
                    </w:rPr>
                  </w:pPr>
                  <w:r>
                    <w:rPr>
                      <w:rFonts w:hint="eastAsia"/>
                      <w:color w:val="auto"/>
                    </w:rPr>
                    <w:t>设备</w:t>
                  </w:r>
                  <w:r>
                    <w:rPr>
                      <w:rFonts w:hint="eastAsia"/>
                      <w:bCs/>
                      <w:color w:val="auto"/>
                    </w:rPr>
                    <w:t>噪声</w:t>
                  </w:r>
                </w:p>
              </w:tc>
              <w:tc>
                <w:tcPr>
                  <w:tcW w:w="2943" w:type="pct"/>
                  <w:vAlign w:val="center"/>
                </w:tcPr>
                <w:p>
                  <w:pPr>
                    <w:spacing w:line="320" w:lineRule="exact"/>
                    <w:rPr>
                      <w:color w:val="auto"/>
                    </w:rPr>
                  </w:pPr>
                  <w:r>
                    <w:rPr>
                      <w:rFonts w:hint="eastAsia"/>
                      <w:bCs/>
                      <w:color w:val="auto"/>
                      <w:spacing w:val="4"/>
                    </w:rPr>
                    <w:t>选用低噪声设备，隔声、基础减振，定期维护；加强管理。</w:t>
                  </w:r>
                </w:p>
              </w:tc>
              <w:tc>
                <w:tcPr>
                  <w:tcW w:w="529" w:type="pct"/>
                  <w:vAlign w:val="center"/>
                </w:tcPr>
                <w:p>
                  <w:pPr>
                    <w:jc w:val="center"/>
                    <w:rPr>
                      <w:rFonts w:hint="eastAsia" w:eastAsia="宋体"/>
                      <w:bCs/>
                      <w:color w:val="auto"/>
                      <w:lang w:eastAsia="zh-CN"/>
                    </w:rPr>
                  </w:pPr>
                  <w:r>
                    <w:rPr>
                      <w:rFonts w:hint="eastAsia"/>
                      <w:bCs/>
                      <w:color w:val="auto"/>
                    </w:rPr>
                    <w:t>1</w:t>
                  </w:r>
                  <w:r>
                    <w:rPr>
                      <w:rFonts w:hint="eastAsia"/>
                      <w:bCs/>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7" w:type="pct"/>
                  <w:gridSpan w:val="3"/>
                  <w:vAlign w:val="center"/>
                </w:tcPr>
                <w:p>
                  <w:pPr>
                    <w:spacing w:line="320" w:lineRule="exact"/>
                    <w:jc w:val="center"/>
                    <w:rPr>
                      <w:rFonts w:hint="eastAsia"/>
                      <w:color w:val="auto"/>
                    </w:rPr>
                  </w:pPr>
                  <w:r>
                    <w:rPr>
                      <w:rFonts w:hint="eastAsia"/>
                      <w:bCs/>
                      <w:color w:val="auto"/>
                      <w:lang w:val="en-US" w:eastAsia="zh-CN"/>
                    </w:rPr>
                    <w:t>地下水和土壤</w:t>
                  </w:r>
                </w:p>
              </w:tc>
              <w:tc>
                <w:tcPr>
                  <w:tcW w:w="2943" w:type="pct"/>
                  <w:vAlign w:val="center"/>
                </w:tcPr>
                <w:p>
                  <w:pPr>
                    <w:spacing w:line="320" w:lineRule="exact"/>
                    <w:rPr>
                      <w:rFonts w:hint="eastAsia"/>
                      <w:bCs/>
                      <w:color w:val="auto"/>
                      <w:spacing w:val="4"/>
                    </w:rPr>
                  </w:pPr>
                  <w:r>
                    <w:rPr>
                      <w:rFonts w:hint="eastAsia"/>
                      <w:bCs/>
                      <w:color w:val="auto"/>
                      <w:spacing w:val="4"/>
                    </w:rPr>
                    <w:t>厂区进行分区防渗，分为重点防渗区和简单防渗区；</w:t>
                  </w:r>
                </w:p>
                <w:p>
                  <w:pPr>
                    <w:spacing w:line="320" w:lineRule="exact"/>
                    <w:rPr>
                      <w:rFonts w:hint="eastAsia"/>
                      <w:bCs/>
                      <w:color w:val="auto"/>
                      <w:spacing w:val="4"/>
                    </w:rPr>
                  </w:pPr>
                  <w:r>
                    <w:rPr>
                      <w:rFonts w:hint="eastAsia"/>
                      <w:bCs/>
                      <w:color w:val="auto"/>
                      <w:spacing w:val="4"/>
                    </w:rPr>
                    <w:t>重点防渗区主要是粗格栅间、提升泵房、细格栅间、曝气沉砂池、初沉池、生化池、</w:t>
                  </w:r>
                  <w:r>
                    <w:rPr>
                      <w:rFonts w:hint="eastAsia"/>
                      <w:bCs/>
                      <w:color w:val="auto"/>
                      <w:spacing w:val="4"/>
                      <w:lang w:val="en-US" w:eastAsia="zh-CN"/>
                    </w:rPr>
                    <w:t>二沉池</w:t>
                  </w:r>
                  <w:r>
                    <w:rPr>
                      <w:rFonts w:hint="eastAsia"/>
                      <w:bCs/>
                      <w:color w:val="auto"/>
                      <w:spacing w:val="4"/>
                    </w:rPr>
                    <w:t>、储泥池、污泥浓缩脱水车间、储药间、加药间、化粪池、厂内污水管线基础，要求等效黏土防渗层Mb≥6.0m，K&lt;10</w:t>
                  </w:r>
                  <w:r>
                    <w:rPr>
                      <w:rFonts w:hint="eastAsia"/>
                      <w:bCs/>
                      <w:color w:val="auto"/>
                      <w:spacing w:val="4"/>
                      <w:vertAlign w:val="superscript"/>
                    </w:rPr>
                    <w:t>-7</w:t>
                  </w:r>
                  <w:r>
                    <w:rPr>
                      <w:rFonts w:hint="eastAsia"/>
                      <w:bCs/>
                      <w:color w:val="auto"/>
                      <w:spacing w:val="4"/>
                    </w:rPr>
                    <w:t>cm/s，混凝土池体采用防渗钢筋混凝土，池体内表面涂刷水泥基渗透结晶型防水涂料（渗透系数不大于1.0×10</w:t>
                  </w:r>
                  <w:r>
                    <w:rPr>
                      <w:rFonts w:hint="eastAsia"/>
                      <w:bCs/>
                      <w:color w:val="auto"/>
                      <w:spacing w:val="4"/>
                      <w:vertAlign w:val="superscript"/>
                    </w:rPr>
                    <w:t>-7</w:t>
                  </w:r>
                  <w:r>
                    <w:rPr>
                      <w:rFonts w:hint="eastAsia"/>
                      <w:bCs/>
                      <w:color w:val="auto"/>
                      <w:spacing w:val="4"/>
                    </w:rPr>
                    <w:t>cm/s)，池底采用“抗渗钢筋混凝土整体基础+素混凝土垫层+长丝无纺土工布+原土夯实”，混凝土强度等级不低于C30，结构厚度不小于250mm，混凝土的抗渗等级不低于P8，水泥基渗透结晶型防水涂料厚度不小于1.0mm；</w:t>
                  </w:r>
                </w:p>
                <w:p>
                  <w:pPr>
                    <w:spacing w:line="320" w:lineRule="exact"/>
                    <w:rPr>
                      <w:rFonts w:hint="eastAsia"/>
                      <w:bCs/>
                      <w:color w:val="auto"/>
                      <w:spacing w:val="4"/>
                    </w:rPr>
                  </w:pPr>
                  <w:r>
                    <w:rPr>
                      <w:rFonts w:hint="eastAsia"/>
                      <w:bCs/>
                      <w:color w:val="auto"/>
                      <w:spacing w:val="4"/>
                    </w:rPr>
                    <w:t>简单防渗区包括风机房、综合办公楼、仓库、配电室、门卫、厂内道路，要求进行一般地面硬化。</w:t>
                  </w:r>
                </w:p>
              </w:tc>
              <w:tc>
                <w:tcPr>
                  <w:tcW w:w="529" w:type="pct"/>
                  <w:vAlign w:val="center"/>
                </w:tcPr>
                <w:p>
                  <w:pPr>
                    <w:jc w:val="center"/>
                    <w:rPr>
                      <w:rFonts w:hint="default" w:eastAsia="宋体"/>
                      <w:bCs/>
                      <w:color w:val="auto"/>
                      <w:lang w:val="en-US" w:eastAsia="zh-CN"/>
                    </w:rPr>
                  </w:pPr>
                  <w:r>
                    <w:rPr>
                      <w:rFonts w:hint="eastAsia"/>
                      <w:bCs/>
                      <w:color w:val="auto"/>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7" w:type="pct"/>
                  <w:gridSpan w:val="3"/>
                  <w:vAlign w:val="center"/>
                </w:tcPr>
                <w:p>
                  <w:pPr>
                    <w:spacing w:line="320" w:lineRule="exact"/>
                    <w:jc w:val="center"/>
                    <w:rPr>
                      <w:rFonts w:hint="eastAsia" w:eastAsia="宋体"/>
                      <w:color w:val="auto"/>
                      <w:lang w:val="en-US" w:eastAsia="zh-CN"/>
                    </w:rPr>
                  </w:pPr>
                  <w:r>
                    <w:rPr>
                      <w:rFonts w:hint="eastAsia"/>
                      <w:color w:val="auto"/>
                      <w:lang w:val="en-US" w:eastAsia="zh-CN"/>
                    </w:rPr>
                    <w:t>生态</w:t>
                  </w:r>
                </w:p>
              </w:tc>
              <w:tc>
                <w:tcPr>
                  <w:tcW w:w="2943" w:type="pct"/>
                  <w:vAlign w:val="center"/>
                </w:tcPr>
                <w:p>
                  <w:pPr>
                    <w:spacing w:line="320" w:lineRule="exact"/>
                    <w:rPr>
                      <w:rFonts w:hint="eastAsia"/>
                      <w:bCs/>
                      <w:color w:val="auto"/>
                      <w:spacing w:val="4"/>
                    </w:rPr>
                  </w:pPr>
                  <w:r>
                    <w:rPr>
                      <w:rFonts w:hint="eastAsia"/>
                    </w:rPr>
                    <w:t>厂区内硬化绿化，硬化面积</w:t>
                  </w:r>
                  <w:r>
                    <w:rPr>
                      <w:rFonts w:hint="eastAsia"/>
                      <w:lang w:val="en-US" w:eastAsia="zh-CN"/>
                    </w:rPr>
                    <w:t>2000</w:t>
                  </w:r>
                  <w:r>
                    <w:rPr>
                      <w:rFonts w:hint="eastAsia"/>
                    </w:rPr>
                    <w:t>m</w:t>
                  </w:r>
                  <w:r>
                    <w:rPr>
                      <w:vertAlign w:val="superscript"/>
                    </w:rPr>
                    <w:t>2</w:t>
                  </w:r>
                  <w:r>
                    <w:rPr>
                      <w:rFonts w:hint="eastAsia"/>
                    </w:rPr>
                    <w:t>，绿化面积</w:t>
                  </w:r>
                  <w:r>
                    <w:rPr>
                      <w:rFonts w:hint="eastAsia"/>
                      <w:lang w:val="en-US" w:eastAsia="zh-CN"/>
                    </w:rPr>
                    <w:t>2700</w:t>
                  </w:r>
                  <w:r>
                    <w:t>m</w:t>
                  </w:r>
                  <w:r>
                    <w:rPr>
                      <w:vertAlign w:val="superscript"/>
                    </w:rPr>
                    <w:t>2</w:t>
                  </w:r>
                  <w:r>
                    <w:rPr>
                      <w:rFonts w:hint="eastAsia"/>
                    </w:rPr>
                    <w:t>。</w:t>
                  </w:r>
                </w:p>
              </w:tc>
              <w:tc>
                <w:tcPr>
                  <w:tcW w:w="529" w:type="pct"/>
                  <w:vAlign w:val="center"/>
                </w:tcPr>
                <w:p>
                  <w:pPr>
                    <w:jc w:val="center"/>
                    <w:rPr>
                      <w:rFonts w:hint="default" w:eastAsia="宋体"/>
                      <w:bCs/>
                      <w:color w:val="auto"/>
                      <w:lang w:val="en-US" w:eastAsia="zh-CN"/>
                    </w:rPr>
                  </w:pPr>
                  <w:r>
                    <w:rPr>
                      <w:rFonts w:hint="eastAsia"/>
                      <w:bCs/>
                      <w:color w:val="auto"/>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0" w:type="pct"/>
                  <w:gridSpan w:val="4"/>
                  <w:vAlign w:val="center"/>
                </w:tcPr>
                <w:p>
                  <w:pPr>
                    <w:spacing w:line="320" w:lineRule="exact"/>
                    <w:jc w:val="center"/>
                    <w:rPr>
                      <w:bCs/>
                      <w:color w:val="auto"/>
                    </w:rPr>
                  </w:pPr>
                  <w:r>
                    <w:rPr>
                      <w:rFonts w:hint="eastAsia"/>
                      <w:bCs/>
                      <w:color w:val="auto"/>
                    </w:rPr>
                    <w:t>合计</w:t>
                  </w:r>
                </w:p>
              </w:tc>
              <w:tc>
                <w:tcPr>
                  <w:tcW w:w="529" w:type="pct"/>
                  <w:vAlign w:val="center"/>
                </w:tcPr>
                <w:p>
                  <w:pPr>
                    <w:jc w:val="center"/>
                    <w:rPr>
                      <w:rFonts w:hint="default" w:eastAsia="宋体"/>
                      <w:bCs/>
                      <w:color w:val="auto"/>
                      <w:lang w:val="en-US" w:eastAsia="zh-CN"/>
                    </w:rPr>
                  </w:pPr>
                  <w:r>
                    <w:rPr>
                      <w:rFonts w:hint="eastAsia"/>
                      <w:bCs/>
                      <w:color w:val="auto"/>
                      <w:lang w:val="en-US" w:eastAsia="zh-CN"/>
                    </w:rPr>
                    <w:t>282</w:t>
                  </w:r>
                </w:p>
              </w:tc>
            </w:tr>
          </w:tbl>
          <w:p>
            <w:pPr>
              <w:adjustRightInd w:val="0"/>
              <w:snapToGrid w:val="0"/>
              <w:spacing w:line="480" w:lineRule="exact"/>
              <w:ind w:firstLine="480" w:firstLineChars="200"/>
              <w:rPr>
                <w:rFonts w:hint="eastAsia"/>
                <w:color w:val="auto"/>
                <w:sz w:val="24"/>
              </w:rPr>
            </w:pPr>
            <w:r>
              <w:rPr>
                <w:rFonts w:hint="eastAsia"/>
                <w:color w:val="auto"/>
                <w:sz w:val="24"/>
              </w:rPr>
              <w:t>综上，本项目环保投资为</w:t>
            </w:r>
            <w:r>
              <w:rPr>
                <w:rFonts w:hint="eastAsia"/>
                <w:color w:val="auto"/>
                <w:sz w:val="24"/>
                <w:lang w:val="en-US" w:eastAsia="zh-CN"/>
              </w:rPr>
              <w:t>282</w:t>
            </w:r>
            <w:r>
              <w:rPr>
                <w:rFonts w:hint="eastAsia"/>
                <w:color w:val="auto"/>
                <w:sz w:val="24"/>
              </w:rPr>
              <w:t>万元，占总投资的</w:t>
            </w:r>
            <w:r>
              <w:rPr>
                <w:rFonts w:hint="eastAsia"/>
                <w:color w:val="auto"/>
                <w:sz w:val="24"/>
                <w:lang w:val="en-US" w:eastAsia="zh-CN"/>
              </w:rPr>
              <w:t>1.18</w:t>
            </w:r>
            <w:r>
              <w:rPr>
                <w:rFonts w:hint="eastAsia"/>
                <w:color w:val="auto"/>
                <w:sz w:val="24"/>
              </w:rPr>
              <w:t>%。</w:t>
            </w: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lang w:val="en-US" w:eastAsia="zh-CN"/>
              </w:rPr>
            </w:pPr>
          </w:p>
          <w:p>
            <w:pPr>
              <w:adjustRightInd w:val="0"/>
              <w:snapToGrid w:val="0"/>
              <w:spacing w:line="480" w:lineRule="exact"/>
              <w:ind w:firstLine="480" w:firstLineChars="200"/>
              <w:rPr>
                <w:rFonts w:hint="eastAsia" w:eastAsia="宋体"/>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0" w:lineRule="exact"/>
        <w:textAlignment w:val="auto"/>
        <w:rPr>
          <w:rFonts w:hint="eastAsia" w:eastAsia="宋体"/>
          <w:color w:val="auto"/>
          <w:lang w:val="en-US" w:eastAsia="zh-CN"/>
        </w:rPr>
      </w:pPr>
    </w:p>
    <w:p>
      <w:pPr>
        <w:keepNext w:val="0"/>
        <w:keepLines w:val="0"/>
        <w:pageBreakBefore w:val="0"/>
        <w:widowControl w:val="0"/>
        <w:kinsoku/>
        <w:wordWrap/>
        <w:overflowPunct/>
        <w:topLinePunct w:val="0"/>
        <w:autoSpaceDE/>
        <w:autoSpaceDN/>
        <w:bidi w:val="0"/>
        <w:adjustRightInd/>
        <w:snapToGrid/>
        <w:spacing w:line="40" w:lineRule="exact"/>
        <w:textAlignment w:val="auto"/>
        <w:rPr>
          <w:color w:val="auto"/>
        </w:rPr>
        <w:sectPr>
          <w:pgSz w:w="11906" w:h="16838"/>
          <w:pgMar w:top="1701" w:right="1531" w:bottom="1701" w:left="1531" w:header="1134" w:footer="992" w:gutter="0"/>
          <w:cols w:space="425" w:num="1"/>
          <w:docGrid w:type="lines" w:linePitch="312" w:charSpace="0"/>
        </w:sectPr>
      </w:pPr>
    </w:p>
    <w:p>
      <w:pPr>
        <w:pStyle w:val="23"/>
        <w:spacing w:before="0" w:beforeAutospacing="0" w:after="0" w:afterAutospacing="0"/>
        <w:jc w:val="center"/>
        <w:outlineLvl w:val="0"/>
        <w:rPr>
          <w:rFonts w:ascii="黑体" w:hAnsi="黑体" w:eastAsia="黑体"/>
          <w:color w:val="auto"/>
          <w:sz w:val="30"/>
          <w:szCs w:val="30"/>
        </w:rPr>
      </w:pPr>
      <w:bookmarkStart w:id="10" w:name="_Toc3007"/>
      <w:r>
        <w:rPr>
          <w:rFonts w:hint="eastAsia" w:ascii="黑体" w:hAnsi="黑体" w:eastAsia="黑体"/>
          <w:color w:val="auto"/>
          <w:sz w:val="30"/>
          <w:szCs w:val="30"/>
        </w:rPr>
        <w:t>五、</w:t>
      </w:r>
      <w:bookmarkStart w:id="11" w:name="_Hlk54167917"/>
      <w:r>
        <w:rPr>
          <w:rFonts w:hint="eastAsia" w:ascii="黑体" w:hAnsi="黑体" w:eastAsia="黑体"/>
          <w:snapToGrid w:val="0"/>
          <w:color w:val="auto"/>
          <w:sz w:val="30"/>
          <w:szCs w:val="30"/>
        </w:rPr>
        <w:t>环境保护措施监督检查清单</w:t>
      </w:r>
      <w:bookmarkEnd w:id="10"/>
      <w:bookmarkEnd w:id="11"/>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223"/>
        <w:gridCol w:w="1317"/>
        <w:gridCol w:w="3871"/>
        <w:gridCol w:w="15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tcBorders>
              <w:tl2br w:val="single" w:color="auto" w:sz="4" w:space="0"/>
            </w:tcBorders>
            <w:vAlign w:val="center"/>
          </w:tcPr>
          <w:p>
            <w:pPr>
              <w:adjustRightInd w:val="0"/>
              <w:snapToGrid w:val="0"/>
              <w:ind w:firstLine="420" w:firstLineChars="200"/>
              <w:rPr>
                <w:color w:val="auto"/>
              </w:rPr>
            </w:pPr>
            <w:r>
              <w:rPr>
                <w:rFonts w:hint="eastAsia"/>
                <w:color w:val="auto"/>
              </w:rPr>
              <w:t>内容</w:t>
            </w:r>
          </w:p>
          <w:p>
            <w:pPr>
              <w:adjustRightInd w:val="0"/>
              <w:snapToGrid w:val="0"/>
              <w:rPr>
                <w:color w:val="auto"/>
              </w:rPr>
            </w:pPr>
            <w:r>
              <w:rPr>
                <w:rFonts w:hint="eastAsia"/>
                <w:color w:val="auto"/>
              </w:rPr>
              <w:t>要素</w:t>
            </w:r>
          </w:p>
        </w:tc>
        <w:tc>
          <w:tcPr>
            <w:tcW w:w="1223" w:type="dxa"/>
            <w:vAlign w:val="center"/>
          </w:tcPr>
          <w:p>
            <w:pPr>
              <w:adjustRightInd w:val="0"/>
              <w:snapToGrid w:val="0"/>
              <w:jc w:val="center"/>
              <w:rPr>
                <w:color w:val="auto"/>
              </w:rPr>
            </w:pPr>
            <w:r>
              <w:rPr>
                <w:rFonts w:hint="eastAsia"/>
                <w:color w:val="auto"/>
              </w:rPr>
              <w:t>排放口(编号、名称)/污染源</w:t>
            </w:r>
          </w:p>
        </w:tc>
        <w:tc>
          <w:tcPr>
            <w:tcW w:w="1317" w:type="dxa"/>
            <w:vAlign w:val="center"/>
          </w:tcPr>
          <w:p>
            <w:pPr>
              <w:adjustRightInd w:val="0"/>
              <w:snapToGrid w:val="0"/>
              <w:jc w:val="center"/>
              <w:rPr>
                <w:color w:val="auto"/>
              </w:rPr>
            </w:pPr>
            <w:r>
              <w:rPr>
                <w:rFonts w:hint="eastAsia"/>
                <w:color w:val="auto"/>
              </w:rPr>
              <w:t>污染物项目</w:t>
            </w:r>
          </w:p>
        </w:tc>
        <w:tc>
          <w:tcPr>
            <w:tcW w:w="3871" w:type="dxa"/>
            <w:vAlign w:val="center"/>
          </w:tcPr>
          <w:p>
            <w:pPr>
              <w:adjustRightInd w:val="0"/>
              <w:snapToGrid w:val="0"/>
              <w:jc w:val="center"/>
              <w:rPr>
                <w:color w:val="auto"/>
              </w:rPr>
            </w:pPr>
            <w:r>
              <w:rPr>
                <w:rFonts w:hint="eastAsia"/>
                <w:color w:val="auto"/>
              </w:rPr>
              <w:t>环境保护措施</w:t>
            </w:r>
          </w:p>
        </w:tc>
        <w:tc>
          <w:tcPr>
            <w:tcW w:w="1536" w:type="dxa"/>
            <w:vAlign w:val="center"/>
          </w:tcPr>
          <w:p>
            <w:pPr>
              <w:adjustRightInd w:val="0"/>
              <w:snapToGrid w:val="0"/>
              <w:jc w:val="center"/>
              <w:rPr>
                <w:color w:val="auto"/>
              </w:rPr>
            </w:pPr>
            <w:r>
              <w:rPr>
                <w:rFonts w:hint="eastAsia"/>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大气环境</w:t>
            </w:r>
          </w:p>
        </w:tc>
        <w:tc>
          <w:tcPr>
            <w:tcW w:w="1223" w:type="dxa"/>
            <w:vAlign w:val="center"/>
          </w:tcPr>
          <w:p>
            <w:pPr>
              <w:spacing w:line="320" w:lineRule="exact"/>
              <w:jc w:val="center"/>
              <w:rPr>
                <w:color w:val="auto"/>
              </w:rPr>
            </w:pPr>
            <w:r>
              <w:rPr>
                <w:rFonts w:hint="eastAsia" w:ascii="Times New Roman" w:hAnsi="Times New Roman" w:eastAsia="宋体" w:cs="Times New Roman"/>
                <w:color w:val="auto"/>
                <w:sz w:val="21"/>
                <w:szCs w:val="21"/>
                <w:lang w:val="en-US" w:eastAsia="zh-CN"/>
              </w:rPr>
              <w:t>污水处理厂构建筑物</w:t>
            </w:r>
          </w:p>
        </w:tc>
        <w:tc>
          <w:tcPr>
            <w:tcW w:w="1317" w:type="dxa"/>
            <w:vAlign w:val="center"/>
          </w:tcPr>
          <w:p>
            <w:pPr>
              <w:spacing w:line="320" w:lineRule="exact"/>
              <w:jc w:val="center"/>
              <w:rPr>
                <w:color w:val="auto"/>
              </w:rPr>
            </w:pPr>
            <w:r>
              <w:rPr>
                <w:rFonts w:hint="eastAsia"/>
                <w:bCs/>
                <w:color w:val="auto"/>
                <w:lang w:val="en-US" w:eastAsia="zh-CN"/>
              </w:rPr>
              <w:t>硫化氢、氨、臭气浓度</w:t>
            </w:r>
          </w:p>
        </w:tc>
        <w:tc>
          <w:tcPr>
            <w:tcW w:w="3871" w:type="dxa"/>
            <w:vAlign w:val="center"/>
          </w:tcPr>
          <w:p>
            <w:pPr>
              <w:spacing w:line="360" w:lineRule="exact"/>
              <w:rPr>
                <w:color w:val="auto"/>
              </w:rPr>
            </w:pPr>
            <w:r>
              <w:rPr>
                <w:rFonts w:hint="default" w:ascii="Times New Roman" w:hAnsi="Times New Roman" w:eastAsia="宋体" w:cs="Times New Roman"/>
                <w:color w:val="auto"/>
                <w:sz w:val="21"/>
                <w:szCs w:val="21"/>
                <w:lang w:val="en-GB"/>
              </w:rPr>
              <w:t>粗格栅及提升井、细格栅、沉砂池、初沉池、厌氧池、缺氧池、储泥池及污水脱水机</w:t>
            </w:r>
            <w:r>
              <w:rPr>
                <w:rFonts w:hint="default" w:ascii="Times New Roman" w:hAnsi="Times New Roman" w:eastAsia="宋体" w:cs="Times New Roman"/>
                <w:color w:val="auto"/>
                <w:sz w:val="21"/>
                <w:szCs w:val="21"/>
              </w:rPr>
              <w:t>产臭点全部封闭，</w:t>
            </w:r>
            <w:r>
              <w:rPr>
                <w:rFonts w:hint="default" w:ascii="Times New Roman" w:hAnsi="Times New Roman" w:eastAsia="宋体" w:cs="Times New Roman"/>
                <w:color w:val="auto"/>
                <w:sz w:val="21"/>
                <w:szCs w:val="21"/>
                <w:lang w:val="en-GB"/>
              </w:rPr>
              <w:t>臭气通过管道引至1套生物滤池除臭装置进行处理，处理后经15m高排气筒排放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GB"/>
              </w:rPr>
              <w:t>生物滤池除臭装置</w:t>
            </w:r>
            <w:r>
              <w:rPr>
                <w:rFonts w:hint="default" w:ascii="Times New Roman" w:hAnsi="Times New Roman" w:eastAsia="宋体" w:cs="Times New Roman"/>
                <w:color w:val="auto"/>
                <w:sz w:val="21"/>
                <w:szCs w:val="21"/>
              </w:rPr>
              <w:t>处理规模为</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GB"/>
              </w:rPr>
              <w:t>硫化氢和氨的去除率可以达到90%以上</w:t>
            </w:r>
            <w:r>
              <w:rPr>
                <w:rFonts w:hint="eastAsia" w:cs="Times New Roman"/>
                <w:color w:val="auto"/>
                <w:sz w:val="21"/>
                <w:szCs w:val="21"/>
                <w:lang w:val="en-GB" w:eastAsia="zh-CN"/>
              </w:rPr>
              <w:t>。</w:t>
            </w:r>
          </w:p>
        </w:tc>
        <w:tc>
          <w:tcPr>
            <w:tcW w:w="1536" w:type="dxa"/>
            <w:vAlign w:val="center"/>
          </w:tcPr>
          <w:p>
            <w:pPr>
              <w:adjustRightInd w:val="0"/>
              <w:snapToGrid w:val="0"/>
              <w:jc w:val="center"/>
              <w:rPr>
                <w:color w:val="auto"/>
              </w:rPr>
            </w:pPr>
            <w:r>
              <w:rPr>
                <w:rFonts w:hint="eastAsia"/>
                <w:color w:val="auto"/>
              </w:rPr>
              <w:t>《恶臭污染物排放标准》（GB</w:t>
            </w:r>
            <w:r>
              <w:rPr>
                <w:rFonts w:hint="eastAsia"/>
                <w:color w:val="auto"/>
                <w:lang w:val="en-US" w:eastAsia="zh-CN"/>
              </w:rPr>
              <w:t>14554-93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restart"/>
            <w:vAlign w:val="center"/>
          </w:tcPr>
          <w:p>
            <w:pPr>
              <w:adjustRightInd w:val="0"/>
              <w:snapToGrid w:val="0"/>
              <w:jc w:val="center"/>
              <w:rPr>
                <w:color w:val="auto"/>
              </w:rPr>
            </w:pPr>
            <w:r>
              <w:rPr>
                <w:rFonts w:hint="eastAsia"/>
                <w:color w:val="auto"/>
              </w:rPr>
              <w:t>地表水环境</w:t>
            </w:r>
          </w:p>
        </w:tc>
        <w:tc>
          <w:tcPr>
            <w:tcW w:w="1223" w:type="dxa"/>
            <w:vAlign w:val="center"/>
          </w:tcPr>
          <w:p>
            <w:pPr>
              <w:spacing w:line="360" w:lineRule="exact"/>
              <w:jc w:val="center"/>
              <w:rPr>
                <w:color w:val="auto"/>
              </w:rPr>
            </w:pPr>
            <w:r>
              <w:rPr>
                <w:rFonts w:hint="default"/>
                <w:color w:val="auto"/>
                <w:lang w:val="en-GB"/>
              </w:rPr>
              <w:t>污泥脱水间滤液</w:t>
            </w:r>
          </w:p>
        </w:tc>
        <w:tc>
          <w:tcPr>
            <w:tcW w:w="1317" w:type="dxa"/>
            <w:vAlign w:val="center"/>
          </w:tcPr>
          <w:p>
            <w:pPr>
              <w:spacing w:line="320" w:lineRule="exact"/>
              <w:jc w:val="center"/>
              <w:rPr>
                <w:bCs/>
                <w:color w:val="auto"/>
              </w:rPr>
            </w:pPr>
            <w:r>
              <w:rPr>
                <w:rFonts w:hint="eastAsia"/>
                <w:bCs/>
                <w:color w:val="auto"/>
              </w:rPr>
              <w:t>COD、BOD、氨氮、SS</w:t>
            </w:r>
            <w:r>
              <w:rPr>
                <w:rFonts w:hint="eastAsia"/>
                <w:bCs/>
                <w:color w:val="auto"/>
                <w:lang w:val="en-US" w:eastAsia="zh-CN"/>
              </w:rPr>
              <w:t>等</w:t>
            </w:r>
          </w:p>
        </w:tc>
        <w:tc>
          <w:tcPr>
            <w:tcW w:w="3871" w:type="dxa"/>
            <w:vAlign w:val="center"/>
          </w:tcPr>
          <w:p>
            <w:pPr>
              <w:spacing w:line="360" w:lineRule="exact"/>
              <w:rPr>
                <w:bCs/>
                <w:color w:val="auto"/>
              </w:rPr>
            </w:pPr>
            <w:r>
              <w:rPr>
                <w:rFonts w:hint="default"/>
                <w:bCs/>
                <w:color w:val="auto"/>
                <w:lang w:val="en-GB"/>
              </w:rPr>
              <w:t>污泥脱水间滤液经管道返回厂内粗格栅进入污水处理系统</w:t>
            </w:r>
            <w:r>
              <w:rPr>
                <w:rFonts w:hint="eastAsia"/>
                <w:bCs/>
                <w:color w:val="auto"/>
                <w:lang w:val="en-US" w:eastAsia="zh-CN"/>
              </w:rPr>
              <w:t>处理</w:t>
            </w:r>
            <w:r>
              <w:rPr>
                <w:rFonts w:hint="default"/>
                <w:bCs/>
                <w:color w:val="auto"/>
                <w:lang w:val="en-GB"/>
              </w:rPr>
              <w:t>，不外排</w:t>
            </w:r>
            <w:r>
              <w:rPr>
                <w:rFonts w:hint="eastAsia"/>
                <w:bCs/>
                <w:color w:val="auto"/>
                <w:lang w:val="en-GB" w:eastAsia="zh-CN"/>
              </w:rPr>
              <w:t>。</w:t>
            </w:r>
          </w:p>
        </w:tc>
        <w:tc>
          <w:tcPr>
            <w:tcW w:w="1536" w:type="dxa"/>
            <w:vAlign w:val="center"/>
          </w:tcPr>
          <w:p>
            <w:pPr>
              <w:adjustRightInd w:val="0"/>
              <w:snapToGrid w:val="0"/>
              <w:jc w:val="center"/>
              <w:rPr>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continue"/>
            <w:vAlign w:val="center"/>
          </w:tcPr>
          <w:p>
            <w:pPr>
              <w:adjustRightInd w:val="0"/>
              <w:snapToGrid w:val="0"/>
              <w:jc w:val="center"/>
              <w:rPr>
                <w:rFonts w:hint="eastAsia"/>
                <w:color w:val="auto"/>
              </w:rPr>
            </w:pPr>
          </w:p>
        </w:tc>
        <w:tc>
          <w:tcPr>
            <w:tcW w:w="1223" w:type="dxa"/>
            <w:vAlign w:val="center"/>
          </w:tcPr>
          <w:p>
            <w:pPr>
              <w:spacing w:line="360" w:lineRule="exact"/>
              <w:jc w:val="center"/>
              <w:rPr>
                <w:rFonts w:hint="eastAsia"/>
                <w:color w:val="auto"/>
              </w:rPr>
            </w:pPr>
            <w:r>
              <w:rPr>
                <w:rFonts w:hint="eastAsia"/>
                <w:color w:val="auto"/>
                <w:lang w:val="en-GB"/>
              </w:rPr>
              <w:t>生物滤池除臭装置排水</w:t>
            </w:r>
          </w:p>
        </w:tc>
        <w:tc>
          <w:tcPr>
            <w:tcW w:w="1317" w:type="dxa"/>
            <w:vAlign w:val="center"/>
          </w:tcPr>
          <w:p>
            <w:pPr>
              <w:spacing w:line="320" w:lineRule="exact"/>
              <w:jc w:val="center"/>
              <w:rPr>
                <w:rFonts w:hint="eastAsia"/>
                <w:bCs/>
                <w:color w:val="auto"/>
              </w:rPr>
            </w:pPr>
            <w:r>
              <w:rPr>
                <w:rFonts w:hint="eastAsia"/>
                <w:bCs/>
                <w:color w:val="auto"/>
              </w:rPr>
              <w:t>COD、BOD、氨氮、SS</w:t>
            </w:r>
            <w:r>
              <w:rPr>
                <w:rFonts w:hint="eastAsia"/>
                <w:bCs/>
                <w:color w:val="auto"/>
                <w:lang w:val="en-US" w:eastAsia="zh-CN"/>
              </w:rPr>
              <w:t>等</w:t>
            </w:r>
          </w:p>
        </w:tc>
        <w:tc>
          <w:tcPr>
            <w:tcW w:w="3871" w:type="dxa"/>
            <w:vAlign w:val="center"/>
          </w:tcPr>
          <w:p>
            <w:pPr>
              <w:spacing w:line="360" w:lineRule="exact"/>
              <w:rPr>
                <w:bCs/>
                <w:color w:val="auto"/>
              </w:rPr>
            </w:pPr>
            <w:r>
              <w:rPr>
                <w:rFonts w:hint="default" w:ascii="Times New Roman" w:hAnsi="Times New Roman" w:eastAsia="宋体" w:cs="Times New Roman"/>
              </w:rPr>
              <w:t>生物滤池除臭系统排水经管道排至至粗格栅间，进入污水处理系统处理</w:t>
            </w:r>
            <w:r>
              <w:rPr>
                <w:rFonts w:hint="default"/>
                <w:bCs/>
                <w:color w:val="auto"/>
                <w:lang w:val="en-GB"/>
              </w:rPr>
              <w:t>，不外排</w:t>
            </w:r>
            <w:r>
              <w:rPr>
                <w:rFonts w:hint="eastAsia"/>
                <w:bCs/>
                <w:color w:val="auto"/>
                <w:lang w:val="en-GB" w:eastAsia="zh-CN"/>
              </w:rPr>
              <w:t>。</w:t>
            </w:r>
          </w:p>
        </w:tc>
        <w:tc>
          <w:tcPr>
            <w:tcW w:w="1536" w:type="dxa"/>
            <w:vAlign w:val="center"/>
          </w:tcPr>
          <w:p>
            <w:pPr>
              <w:adjustRightInd w:val="0"/>
              <w:snapToGrid w:val="0"/>
              <w:jc w:val="center"/>
              <w:rPr>
                <w:rFonts w:hint="eastAsia"/>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continue"/>
            <w:vAlign w:val="center"/>
          </w:tcPr>
          <w:p>
            <w:pPr>
              <w:adjustRightInd w:val="0"/>
              <w:snapToGrid w:val="0"/>
              <w:jc w:val="center"/>
              <w:rPr>
                <w:color w:val="auto"/>
              </w:rPr>
            </w:pPr>
          </w:p>
        </w:tc>
        <w:tc>
          <w:tcPr>
            <w:tcW w:w="1223" w:type="dxa"/>
            <w:vAlign w:val="center"/>
          </w:tcPr>
          <w:p>
            <w:pPr>
              <w:spacing w:line="360" w:lineRule="exact"/>
              <w:jc w:val="center"/>
              <w:rPr>
                <w:color w:val="auto"/>
                <w:szCs w:val="18"/>
              </w:rPr>
            </w:pPr>
            <w:r>
              <w:rPr>
                <w:rFonts w:hint="default"/>
                <w:color w:val="auto"/>
                <w:szCs w:val="18"/>
                <w:lang w:val="en-GB"/>
              </w:rPr>
              <w:t>职工生活污水</w:t>
            </w:r>
          </w:p>
        </w:tc>
        <w:tc>
          <w:tcPr>
            <w:tcW w:w="1317" w:type="dxa"/>
            <w:vAlign w:val="center"/>
          </w:tcPr>
          <w:p>
            <w:pPr>
              <w:spacing w:line="320" w:lineRule="exact"/>
              <w:jc w:val="center"/>
              <w:rPr>
                <w:bCs/>
                <w:color w:val="auto"/>
              </w:rPr>
            </w:pPr>
            <w:r>
              <w:rPr>
                <w:rFonts w:hint="eastAsia"/>
                <w:bCs/>
                <w:color w:val="auto"/>
              </w:rPr>
              <w:t>COD、BOD、氨氮、SS</w:t>
            </w:r>
            <w:r>
              <w:rPr>
                <w:rFonts w:hint="eastAsia"/>
                <w:bCs/>
                <w:color w:val="auto"/>
                <w:lang w:val="en-US" w:eastAsia="zh-CN"/>
              </w:rPr>
              <w:t>等</w:t>
            </w:r>
          </w:p>
        </w:tc>
        <w:tc>
          <w:tcPr>
            <w:tcW w:w="3871" w:type="dxa"/>
            <w:vAlign w:val="center"/>
          </w:tcPr>
          <w:p>
            <w:pPr>
              <w:spacing w:line="360" w:lineRule="exact"/>
              <w:rPr>
                <w:color w:val="auto"/>
              </w:rPr>
            </w:pPr>
            <w:r>
              <w:rPr>
                <w:rFonts w:hint="default" w:ascii="Times New Roman" w:hAnsi="Times New Roman" w:eastAsia="宋体" w:cs="Times New Roman"/>
              </w:rPr>
              <w:t>职工生活经化粪池处理后排至粗格栅间，进入污水处理系统处理。</w:t>
            </w:r>
          </w:p>
        </w:tc>
        <w:tc>
          <w:tcPr>
            <w:tcW w:w="1536" w:type="dxa"/>
            <w:vAlign w:val="center"/>
          </w:tcPr>
          <w:p>
            <w:pPr>
              <w:adjustRightInd w:val="0"/>
              <w:snapToGrid w:val="0"/>
              <w:jc w:val="center"/>
              <w:rPr>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Merge w:val="continue"/>
            <w:vAlign w:val="center"/>
          </w:tcPr>
          <w:p>
            <w:pPr>
              <w:adjustRightInd w:val="0"/>
              <w:snapToGrid w:val="0"/>
              <w:jc w:val="center"/>
              <w:rPr>
                <w:color w:val="auto"/>
              </w:rPr>
            </w:pPr>
          </w:p>
        </w:tc>
        <w:tc>
          <w:tcPr>
            <w:tcW w:w="1223" w:type="dxa"/>
            <w:vAlign w:val="center"/>
          </w:tcPr>
          <w:p>
            <w:pPr>
              <w:spacing w:line="360" w:lineRule="exact"/>
              <w:jc w:val="center"/>
              <w:rPr>
                <w:color w:val="auto"/>
              </w:rPr>
            </w:pPr>
            <w:r>
              <w:rPr>
                <w:rFonts w:hint="eastAsia"/>
                <w:color w:val="auto"/>
                <w:szCs w:val="18"/>
                <w:lang w:val="en-US" w:eastAsia="zh-CN"/>
              </w:rPr>
              <w:t>污水处理厂尾水</w:t>
            </w:r>
          </w:p>
        </w:tc>
        <w:tc>
          <w:tcPr>
            <w:tcW w:w="1317" w:type="dxa"/>
            <w:vAlign w:val="center"/>
          </w:tcPr>
          <w:p>
            <w:pPr>
              <w:spacing w:line="320" w:lineRule="exact"/>
              <w:jc w:val="center"/>
              <w:rPr>
                <w:color w:val="auto"/>
              </w:rPr>
            </w:pPr>
            <w:r>
              <w:rPr>
                <w:rFonts w:hint="eastAsia"/>
                <w:bCs/>
                <w:color w:val="auto"/>
              </w:rPr>
              <w:t>COD、BOD、氨氮、SS</w:t>
            </w:r>
            <w:r>
              <w:rPr>
                <w:rFonts w:hint="eastAsia"/>
                <w:bCs/>
                <w:color w:val="auto"/>
                <w:lang w:val="en-US" w:eastAsia="zh-CN"/>
              </w:rPr>
              <w:t>等</w:t>
            </w:r>
          </w:p>
        </w:tc>
        <w:tc>
          <w:tcPr>
            <w:tcW w:w="3871" w:type="dxa"/>
            <w:vAlign w:val="center"/>
          </w:tcPr>
          <w:p>
            <w:pPr>
              <w:spacing w:line="360" w:lineRule="exact"/>
              <w:rPr>
                <w:color w:val="auto"/>
              </w:rPr>
            </w:pPr>
            <w:r>
              <w:rPr>
                <w:rFonts w:hint="default" w:ascii="Times New Roman" w:hAnsi="Times New Roman" w:eastAsia="宋体" w:cs="Times New Roman"/>
                <w:lang w:val="en-GB"/>
              </w:rPr>
              <w:t>污水处理厂运行时，尾水排放量约为</w:t>
            </w:r>
            <w:r>
              <w:rPr>
                <w:rFonts w:hint="default" w:ascii="Times New Roman" w:hAnsi="Times New Roman" w:eastAsia="宋体" w:cs="Times New Roman"/>
                <w:lang w:val="en-US" w:eastAsia="zh-CN"/>
              </w:rPr>
              <w:t>2000</w:t>
            </w:r>
            <w:r>
              <w:rPr>
                <w:rFonts w:hint="default" w:ascii="Times New Roman" w:hAnsi="Times New Roman" w:eastAsia="宋体" w:cs="Times New Roman"/>
                <w:lang w:val="en-GB"/>
              </w:rPr>
              <w:t>m</w:t>
            </w:r>
            <w:r>
              <w:rPr>
                <w:rFonts w:hint="default" w:ascii="Times New Roman" w:hAnsi="Times New Roman" w:eastAsia="宋体" w:cs="Times New Roman"/>
                <w:vertAlign w:val="superscript"/>
                <w:lang w:val="en-GB"/>
              </w:rPr>
              <w:t>3</w:t>
            </w:r>
            <w:r>
              <w:rPr>
                <w:rFonts w:hint="default" w:ascii="Times New Roman" w:hAnsi="Times New Roman" w:eastAsia="宋体" w:cs="Times New Roman"/>
                <w:lang w:val="en-GB"/>
              </w:rPr>
              <w:t>/d，尾水中</w:t>
            </w:r>
            <w:r>
              <w:rPr>
                <w:rFonts w:hint="default" w:ascii="Times New Roman" w:hAnsi="Times New Roman" w:eastAsia="宋体" w:cs="Times New Roman"/>
              </w:rPr>
              <w:t>COD、氨氮、总磷满足</w:t>
            </w:r>
            <w:r>
              <w:rPr>
                <w:rFonts w:hint="default" w:ascii="Times New Roman" w:hAnsi="Times New Roman" w:eastAsia="宋体" w:cs="Times New Roman"/>
                <w:lang w:val="en-US" w:eastAsia="zh-CN"/>
              </w:rPr>
              <w:t>山西省地方标准《污水综合排放标准》（DB14/1928-2019）</w:t>
            </w:r>
            <w:r>
              <w:rPr>
                <w:rFonts w:hint="default" w:ascii="Times New Roman" w:hAnsi="Times New Roman" w:eastAsia="宋体" w:cs="Times New Roman"/>
              </w:rPr>
              <w:t>中</w:t>
            </w:r>
            <w:r>
              <w:rPr>
                <w:rFonts w:hint="default" w:ascii="Times New Roman" w:hAnsi="Times New Roman" w:eastAsia="宋体" w:cs="Times New Roman"/>
                <w:lang w:val="en-US" w:eastAsia="zh-CN"/>
              </w:rPr>
              <w:t>表2中的限值</w:t>
            </w:r>
            <w:r>
              <w:rPr>
                <w:rFonts w:hint="default" w:ascii="Times New Roman" w:hAnsi="Times New Roman" w:eastAsia="宋体" w:cs="Times New Roman"/>
              </w:rPr>
              <w:t>，</w:t>
            </w:r>
            <w:r>
              <w:rPr>
                <w:rFonts w:hint="default" w:ascii="Times New Roman" w:hAnsi="Times New Roman" w:eastAsia="宋体" w:cs="Times New Roman"/>
                <w:lang w:val="en-US" w:eastAsia="zh-CN"/>
              </w:rPr>
              <w:t>BOD、</w:t>
            </w:r>
            <w:r>
              <w:rPr>
                <w:rFonts w:hint="default" w:ascii="Times New Roman" w:hAnsi="Times New Roman" w:eastAsia="宋体" w:cs="Times New Roman"/>
              </w:rPr>
              <w:t>SS、</w:t>
            </w:r>
            <w:r>
              <w:rPr>
                <w:rFonts w:hint="default" w:ascii="Times New Roman" w:hAnsi="Times New Roman" w:eastAsia="宋体" w:cs="Times New Roman"/>
                <w:lang w:val="en-US" w:eastAsia="zh-CN"/>
              </w:rPr>
              <w:t>动植物油、石油类、阴离子表面活性剂、总氮、色度、pH、粪大肠菌群数满</w:t>
            </w:r>
            <w:r>
              <w:rPr>
                <w:rFonts w:hint="default" w:ascii="Times New Roman" w:hAnsi="Times New Roman" w:eastAsia="宋体" w:cs="Times New Roman"/>
              </w:rPr>
              <w:t>足《城镇污水处理厂污染物排放标准》（GB18918-2002）及修改单中的一级A标准限值，</w:t>
            </w:r>
            <w:r>
              <w:rPr>
                <w:rFonts w:hint="default" w:ascii="Times New Roman" w:hAnsi="Times New Roman" w:eastAsia="宋体" w:cs="Times New Roman"/>
                <w:lang w:val="en-US" w:eastAsia="zh-CN"/>
              </w:rPr>
              <w:t>首先用于市政绿化、道路浇洒、农田灌溉等，剩余尾水排入滹沱河</w:t>
            </w:r>
            <w:r>
              <w:rPr>
                <w:rFonts w:hint="default" w:ascii="Times New Roman" w:hAnsi="Times New Roman" w:eastAsia="宋体" w:cs="Times New Roman"/>
              </w:rPr>
              <w:t>。</w:t>
            </w:r>
          </w:p>
        </w:tc>
        <w:tc>
          <w:tcPr>
            <w:tcW w:w="1536" w:type="dxa"/>
            <w:vAlign w:val="center"/>
          </w:tcPr>
          <w:p>
            <w:pPr>
              <w:adjustRightInd w:val="0"/>
              <w:snapToGrid w:val="0"/>
              <w:jc w:val="center"/>
              <w:rPr>
                <w:rFonts w:hint="default"/>
                <w:color w:val="auto"/>
                <w:lang w:val="en-US"/>
              </w:rPr>
            </w:pPr>
            <w:r>
              <w:rPr>
                <w:rFonts w:hint="eastAsia"/>
                <w:color w:val="auto"/>
                <w:lang w:val="en-US" w:eastAsia="zh-CN"/>
              </w:rPr>
              <w:t>《污水综合排放标准》（DB14/1928-2019）和《城镇污水处理厂污染物排放标准》（GB18918-2002）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声环境</w:t>
            </w:r>
          </w:p>
        </w:tc>
        <w:tc>
          <w:tcPr>
            <w:tcW w:w="1223" w:type="dxa"/>
            <w:vAlign w:val="center"/>
          </w:tcPr>
          <w:p>
            <w:pPr>
              <w:adjustRightInd w:val="0"/>
              <w:snapToGrid w:val="0"/>
              <w:jc w:val="center"/>
              <w:rPr>
                <w:color w:val="auto"/>
              </w:rPr>
            </w:pPr>
            <w:r>
              <w:rPr>
                <w:rFonts w:hint="eastAsia"/>
                <w:color w:val="auto"/>
              </w:rPr>
              <w:t>设备</w:t>
            </w:r>
            <w:r>
              <w:rPr>
                <w:rFonts w:hint="eastAsia"/>
                <w:bCs/>
                <w:color w:val="auto"/>
              </w:rPr>
              <w:t>噪声</w:t>
            </w:r>
          </w:p>
        </w:tc>
        <w:tc>
          <w:tcPr>
            <w:tcW w:w="1317" w:type="dxa"/>
            <w:vAlign w:val="center"/>
          </w:tcPr>
          <w:p>
            <w:pPr>
              <w:adjustRightInd w:val="0"/>
              <w:snapToGrid w:val="0"/>
              <w:jc w:val="center"/>
              <w:rPr>
                <w:color w:val="auto"/>
              </w:rPr>
            </w:pPr>
            <w:r>
              <w:rPr>
                <w:rFonts w:hint="eastAsia"/>
                <w:color w:val="auto"/>
              </w:rPr>
              <w:t>噪声</w:t>
            </w:r>
          </w:p>
        </w:tc>
        <w:tc>
          <w:tcPr>
            <w:tcW w:w="3871" w:type="dxa"/>
            <w:vAlign w:val="center"/>
          </w:tcPr>
          <w:p>
            <w:pPr>
              <w:adjustRightInd w:val="0"/>
              <w:snapToGrid w:val="0"/>
              <w:rPr>
                <w:color w:val="auto"/>
              </w:rPr>
            </w:pPr>
            <w:r>
              <w:rPr>
                <w:rFonts w:hint="eastAsia"/>
                <w:bCs/>
                <w:color w:val="auto"/>
                <w:spacing w:val="4"/>
              </w:rPr>
              <w:t>选用低噪声设备，隔声、基础减振，定期维护；加强管理。</w:t>
            </w:r>
          </w:p>
        </w:tc>
        <w:tc>
          <w:tcPr>
            <w:tcW w:w="1536" w:type="dxa"/>
            <w:vAlign w:val="center"/>
          </w:tcPr>
          <w:p>
            <w:pPr>
              <w:adjustRightInd w:val="0"/>
              <w:snapToGrid w:val="0"/>
              <w:jc w:val="center"/>
              <w:rPr>
                <w:color w:val="auto"/>
              </w:rPr>
            </w:pPr>
            <w:r>
              <w:rPr>
                <w:rFonts w:hint="eastAsia"/>
                <w:color w:val="auto"/>
              </w:rPr>
              <w:t>《工业企业厂界环境噪声排放标准》（GB12348-2008）中2类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电磁辐射</w:t>
            </w:r>
          </w:p>
        </w:tc>
        <w:tc>
          <w:tcPr>
            <w:tcW w:w="1223" w:type="dxa"/>
            <w:vAlign w:val="center"/>
          </w:tcPr>
          <w:p>
            <w:pPr>
              <w:adjustRightInd w:val="0"/>
              <w:snapToGrid w:val="0"/>
              <w:jc w:val="center"/>
              <w:rPr>
                <w:color w:val="auto"/>
              </w:rPr>
            </w:pPr>
            <w:r>
              <w:rPr>
                <w:rFonts w:hint="eastAsia"/>
                <w:color w:val="auto"/>
              </w:rPr>
              <w:t>/</w:t>
            </w:r>
          </w:p>
        </w:tc>
        <w:tc>
          <w:tcPr>
            <w:tcW w:w="1317" w:type="dxa"/>
            <w:vAlign w:val="center"/>
          </w:tcPr>
          <w:p>
            <w:pPr>
              <w:adjustRightInd w:val="0"/>
              <w:snapToGrid w:val="0"/>
              <w:jc w:val="center"/>
              <w:rPr>
                <w:color w:val="auto"/>
              </w:rPr>
            </w:pPr>
            <w:r>
              <w:rPr>
                <w:rFonts w:hint="eastAsia"/>
                <w:color w:val="auto"/>
              </w:rPr>
              <w:t>/</w:t>
            </w:r>
          </w:p>
        </w:tc>
        <w:tc>
          <w:tcPr>
            <w:tcW w:w="3871" w:type="dxa"/>
            <w:vAlign w:val="center"/>
          </w:tcPr>
          <w:p>
            <w:pPr>
              <w:adjustRightInd w:val="0"/>
              <w:snapToGrid w:val="0"/>
              <w:jc w:val="center"/>
              <w:rPr>
                <w:color w:val="auto"/>
              </w:rPr>
            </w:pPr>
            <w:r>
              <w:rPr>
                <w:rFonts w:hint="eastAsia"/>
                <w:color w:val="auto"/>
              </w:rPr>
              <w:t>/</w:t>
            </w:r>
          </w:p>
        </w:tc>
        <w:tc>
          <w:tcPr>
            <w:tcW w:w="1536" w:type="dxa"/>
            <w:vAlign w:val="center"/>
          </w:tcPr>
          <w:p>
            <w:pPr>
              <w:adjustRightInd w:val="0"/>
              <w:snapToGrid w:val="0"/>
              <w:jc w:val="center"/>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固体废物</w:t>
            </w:r>
          </w:p>
        </w:tc>
        <w:tc>
          <w:tcPr>
            <w:tcW w:w="7947" w:type="dxa"/>
            <w:gridSpan w:val="4"/>
            <w:vAlign w:val="center"/>
          </w:tcPr>
          <w:p>
            <w:pPr>
              <w:adjustRightInd w:val="0"/>
              <w:snapToGrid w:val="0"/>
              <w:spacing w:line="480" w:lineRule="exact"/>
              <w:rPr>
                <w:rFonts w:hint="eastAsia"/>
                <w:color w:val="auto"/>
              </w:rPr>
            </w:pPr>
            <w:r>
              <w:rPr>
                <w:rFonts w:hint="eastAsia"/>
                <w:color w:val="auto"/>
              </w:rPr>
              <w:t>①</w:t>
            </w:r>
            <w:r>
              <w:rPr>
                <w:rFonts w:hint="default" w:hAnsi="宋体" w:eastAsia="宋体"/>
                <w:color w:val="auto"/>
                <w:lang w:val="en-US" w:eastAsia="zh-CN"/>
              </w:rPr>
              <w:t>粗格栅和细格栅产生的栅渣</w:t>
            </w:r>
            <w:r>
              <w:rPr>
                <w:rFonts w:hint="eastAsia" w:hAnsi="宋体"/>
                <w:color w:val="auto"/>
                <w:lang w:val="en-US" w:eastAsia="zh-CN"/>
              </w:rPr>
              <w:t>、</w:t>
            </w:r>
            <w:r>
              <w:rPr>
                <w:rFonts w:hint="eastAsia"/>
                <w:color w:val="auto"/>
                <w:lang w:val="en-US" w:eastAsia="zh-CN"/>
              </w:rPr>
              <w:t>曝气沉砂池产生的沉砂</w:t>
            </w:r>
            <w:r>
              <w:rPr>
                <w:rFonts w:hint="default" w:hAnsi="宋体" w:eastAsia="宋体"/>
                <w:color w:val="auto"/>
                <w:lang w:val="en-US" w:eastAsia="zh-CN"/>
              </w:rPr>
              <w:t>委托当地环卫部门统一清运处置，要求日产日清</w:t>
            </w:r>
            <w:r>
              <w:rPr>
                <w:rFonts w:hint="eastAsia" w:hAnsi="宋体"/>
                <w:color w:val="auto"/>
                <w:lang w:val="en-US" w:eastAsia="zh-CN"/>
              </w:rPr>
              <w:t>。</w:t>
            </w:r>
          </w:p>
          <w:p>
            <w:pPr>
              <w:adjustRightInd w:val="0"/>
              <w:snapToGrid w:val="0"/>
              <w:spacing w:line="480" w:lineRule="exact"/>
              <w:rPr>
                <w:rFonts w:hint="eastAsia"/>
                <w:color w:val="auto"/>
              </w:rPr>
            </w:pPr>
            <w:r>
              <w:rPr>
                <w:rFonts w:hint="eastAsia"/>
                <w:color w:val="auto"/>
              </w:rPr>
              <w:t>②</w:t>
            </w:r>
            <w:r>
              <w:rPr>
                <w:rFonts w:hint="default" w:eastAsia="宋体"/>
                <w:color w:val="auto"/>
                <w:lang w:val="en-US" w:eastAsia="zh-CN"/>
              </w:rPr>
              <w:t>污泥浓缩脱水机产生的污泥</w:t>
            </w:r>
            <w:r>
              <w:rPr>
                <w:rFonts w:hint="eastAsia"/>
                <w:color w:val="auto"/>
                <w:lang w:val="en-US" w:eastAsia="zh-CN"/>
              </w:rPr>
              <w:t>运至五台县垃圾填埋场填埋处理。</w:t>
            </w:r>
          </w:p>
          <w:p>
            <w:pPr>
              <w:adjustRightInd w:val="0"/>
              <w:snapToGrid w:val="0"/>
              <w:spacing w:line="480" w:lineRule="exact"/>
              <w:rPr>
                <w:rFonts w:hint="eastAsia" w:eastAsia="宋体"/>
                <w:color w:val="auto"/>
                <w:lang w:val="en-US" w:eastAsia="zh-CN"/>
              </w:rPr>
            </w:pPr>
            <w:r>
              <w:rPr>
                <w:rFonts w:hint="eastAsia"/>
                <w:color w:val="auto"/>
                <w:lang w:val="en-US" w:eastAsia="zh-CN"/>
              </w:rPr>
              <w:t>③</w:t>
            </w:r>
            <w:r>
              <w:rPr>
                <w:rFonts w:hint="eastAsia"/>
                <w:color w:val="auto"/>
              </w:rPr>
              <w:t>设备维修保养产生的废机油、废棉纱、废手套、废机油桶</w:t>
            </w:r>
            <w:r>
              <w:rPr>
                <w:rFonts w:hint="eastAsia" w:hAnsi="宋体"/>
                <w:color w:val="auto"/>
              </w:rPr>
              <w:t>收集后在厂区内新建的危险废物暂存间进行暂存，最后由有资质的单位进行收集处置；设置1座</w:t>
            </w:r>
            <w:r>
              <w:rPr>
                <w:rFonts w:hint="eastAsia" w:hAnsi="宋体"/>
                <w:color w:val="auto"/>
                <w:lang w:val="en-US" w:eastAsia="zh-CN"/>
              </w:rPr>
              <w:t>20</w:t>
            </w:r>
            <w:r>
              <w:rPr>
                <w:rFonts w:hint="eastAsia" w:hAnsi="宋体"/>
                <w:color w:val="auto"/>
              </w:rPr>
              <w:t>m</w:t>
            </w:r>
            <w:r>
              <w:rPr>
                <w:rFonts w:hint="eastAsia" w:hAnsi="宋体"/>
                <w:color w:val="auto"/>
                <w:vertAlign w:val="superscript"/>
              </w:rPr>
              <w:t>2</w:t>
            </w:r>
            <w:r>
              <w:rPr>
                <w:rFonts w:hint="eastAsia" w:hAnsi="宋体"/>
                <w:color w:val="auto"/>
              </w:rPr>
              <w:t>危废暂存间</w:t>
            </w:r>
            <w:r>
              <w:rPr>
                <w:rFonts w:hint="eastAsia" w:hAnsi="宋体"/>
                <w:color w:val="auto"/>
                <w:lang w:eastAsia="zh-CN"/>
              </w:rPr>
              <w:t>。</w:t>
            </w:r>
          </w:p>
          <w:p>
            <w:pPr>
              <w:adjustRightInd w:val="0"/>
              <w:snapToGrid w:val="0"/>
              <w:spacing w:line="480" w:lineRule="exact"/>
              <w:rPr>
                <w:color w:val="auto"/>
              </w:rPr>
            </w:pPr>
            <w:r>
              <w:rPr>
                <w:rFonts w:hint="eastAsia"/>
                <w:color w:val="auto"/>
                <w:lang w:val="en-US" w:eastAsia="zh-CN"/>
              </w:rPr>
              <w:t>④</w:t>
            </w:r>
            <w:r>
              <w:rPr>
                <w:color w:val="auto"/>
                <w:lang w:bidi="ar"/>
              </w:rPr>
              <w:t>在厂区内设封闭式垃圾收集箱，收集后送当地环卫部门指定地点统一处理</w:t>
            </w:r>
            <w:r>
              <w:rPr>
                <w:rFonts w:hint="eastAsia"/>
                <w:bCs/>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土壤及地下水污染防治措施</w:t>
            </w:r>
          </w:p>
        </w:tc>
        <w:tc>
          <w:tcPr>
            <w:tcW w:w="7947" w:type="dxa"/>
            <w:gridSpan w:val="4"/>
            <w:vAlign w:val="center"/>
          </w:tcPr>
          <w:p>
            <w:pPr>
              <w:adjustRightInd w:val="0"/>
              <w:snapToGrid w:val="0"/>
              <w:spacing w:line="480" w:lineRule="exact"/>
              <w:rPr>
                <w:rFonts w:hint="eastAsia"/>
                <w:color w:val="auto"/>
              </w:rPr>
            </w:pPr>
            <w:r>
              <w:rPr>
                <w:rFonts w:hint="eastAsia"/>
                <w:color w:val="auto"/>
              </w:rPr>
              <w:t>厂区进行分区防渗，分为重点防渗区和简单防渗区；</w:t>
            </w:r>
          </w:p>
          <w:p>
            <w:pPr>
              <w:adjustRightInd w:val="0"/>
              <w:snapToGrid w:val="0"/>
              <w:spacing w:line="480" w:lineRule="exact"/>
              <w:rPr>
                <w:rFonts w:hint="eastAsia"/>
                <w:color w:val="auto"/>
              </w:rPr>
            </w:pPr>
            <w:r>
              <w:rPr>
                <w:rFonts w:hint="eastAsia"/>
                <w:color w:val="auto"/>
              </w:rPr>
              <w:t>重点防渗区主要是粗格栅间、提升泵房、细格栅间、曝气沉砂池、初沉池、生化池、</w:t>
            </w:r>
            <w:r>
              <w:rPr>
                <w:rFonts w:hint="eastAsia"/>
                <w:color w:val="auto"/>
                <w:lang w:val="en-US" w:eastAsia="zh-CN"/>
              </w:rPr>
              <w:t>二沉池</w:t>
            </w:r>
            <w:r>
              <w:rPr>
                <w:rFonts w:hint="eastAsia"/>
                <w:color w:val="auto"/>
              </w:rPr>
              <w:t>、储泥池、污泥浓缩脱水车间、储药间、加药间、化粪池、厂内污水管线基础，要求等效黏土防渗层Mb≥6.0m，K&lt;10</w:t>
            </w:r>
            <w:r>
              <w:rPr>
                <w:rFonts w:hint="eastAsia"/>
                <w:color w:val="auto"/>
                <w:vertAlign w:val="superscript"/>
              </w:rPr>
              <w:t>-7</w:t>
            </w:r>
            <w:r>
              <w:rPr>
                <w:rFonts w:hint="eastAsia"/>
                <w:color w:val="auto"/>
              </w:rPr>
              <w:t>cm/s，混凝土池体采用防渗钢筋混凝土，池体内表面涂刷水泥基渗透结晶型防水涂料（渗透系数不大于1.0×10</w:t>
            </w:r>
            <w:r>
              <w:rPr>
                <w:rFonts w:hint="eastAsia"/>
                <w:color w:val="auto"/>
                <w:vertAlign w:val="superscript"/>
              </w:rPr>
              <w:t>-7</w:t>
            </w:r>
            <w:r>
              <w:rPr>
                <w:rFonts w:hint="eastAsia"/>
                <w:color w:val="auto"/>
              </w:rPr>
              <w:t>cm/s)，池底采用“抗渗钢筋混凝土整体基础+素混凝土垫层+长丝无纺土工布+原土夯实”，混凝土强度等级不低于C30，结构厚度不小于250mm，混凝土的抗渗等级不低于P8，水泥基渗透结晶型防水涂料厚度不小于1.0mm；</w:t>
            </w:r>
          </w:p>
          <w:p>
            <w:pPr>
              <w:adjustRightInd w:val="0"/>
              <w:snapToGrid w:val="0"/>
              <w:spacing w:line="480" w:lineRule="exact"/>
              <w:rPr>
                <w:color w:val="auto"/>
              </w:rPr>
            </w:pPr>
            <w:r>
              <w:rPr>
                <w:rFonts w:hint="eastAsia"/>
                <w:color w:val="auto"/>
              </w:rPr>
              <w:t>简单防渗区包括风机房、综合办公楼、仓库、配电室、门卫、厂内道路，要求进行一般地面硬化。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rPr>
            </w:pPr>
            <w:r>
              <w:rPr>
                <w:rFonts w:hint="eastAsia"/>
                <w:color w:val="auto"/>
              </w:rPr>
              <w:t>生态保护措施</w:t>
            </w:r>
          </w:p>
        </w:tc>
        <w:tc>
          <w:tcPr>
            <w:tcW w:w="7947" w:type="dxa"/>
            <w:gridSpan w:val="4"/>
            <w:vAlign w:val="center"/>
          </w:tcPr>
          <w:p>
            <w:pPr>
              <w:adjustRightInd w:val="0"/>
              <w:snapToGrid w:val="0"/>
              <w:spacing w:line="480" w:lineRule="exact"/>
              <w:rPr>
                <w:color w:val="auto"/>
              </w:rPr>
            </w:pPr>
            <w:r>
              <w:rPr>
                <w:rFonts w:hint="eastAsia"/>
                <w:color w:val="auto"/>
              </w:rPr>
              <w:t>为美化环境和减少污染，道路两侧地面进行绿化，绿化系数</w:t>
            </w:r>
            <w:r>
              <w:rPr>
                <w:rFonts w:hint="eastAsia"/>
                <w:color w:val="auto"/>
                <w:lang w:val="en-US" w:eastAsia="zh-CN"/>
              </w:rPr>
              <w:t>3</w:t>
            </w:r>
            <w:r>
              <w:rPr>
                <w:rFonts w:hint="eastAsia"/>
                <w:color w:val="auto"/>
              </w:rPr>
              <w:t>0%以上，特别是在生产区和厂前区应设绿化带，选择易管理、成活率较高的树种，同时采用常绿树与落叶树搭配的方式种植。厂前区、道路两侧空地以常青树、绿地、观赏树种为主，生产区种植防尘树种，以达到减弱噪声、防风固沙、调节气温、保持水土、改良气候的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spacing w:val="-8"/>
              </w:rPr>
            </w:pPr>
            <w:r>
              <w:rPr>
                <w:rFonts w:hint="eastAsia"/>
                <w:color w:val="auto"/>
                <w:spacing w:val="-8"/>
              </w:rPr>
              <w:t>环境风险</w:t>
            </w:r>
          </w:p>
          <w:p>
            <w:pPr>
              <w:adjustRightInd w:val="0"/>
              <w:snapToGrid w:val="0"/>
              <w:jc w:val="center"/>
              <w:rPr>
                <w:color w:val="auto"/>
                <w:spacing w:val="-8"/>
              </w:rPr>
            </w:pPr>
            <w:r>
              <w:rPr>
                <w:rFonts w:hint="eastAsia"/>
                <w:color w:val="auto"/>
                <w:spacing w:val="-8"/>
              </w:rPr>
              <w:t>防范措施</w:t>
            </w:r>
          </w:p>
        </w:tc>
        <w:tc>
          <w:tcPr>
            <w:tcW w:w="7947" w:type="dxa"/>
            <w:gridSpan w:val="4"/>
            <w:vAlign w:val="center"/>
          </w:tcPr>
          <w:p>
            <w:pPr>
              <w:adjustRightInd w:val="0"/>
              <w:snapToGrid w:val="0"/>
              <w:spacing w:line="480" w:lineRule="exact"/>
              <w:rPr>
                <w:rFonts w:hint="eastAsia"/>
                <w:color w:val="auto"/>
                <w:lang w:val="en-US" w:eastAsia="zh-CN"/>
              </w:rPr>
            </w:pPr>
            <w:r>
              <w:rPr>
                <w:rFonts w:hint="eastAsia"/>
                <w:color w:val="auto"/>
                <w:lang w:val="en-US" w:eastAsia="zh-CN"/>
              </w:rPr>
              <w:t>1）NaClO全部按照规定存储在专用的储罐内，储罐外粘贴药剂名称，危险特性及注意事项；生产过程中应合理分批次购买，防止大量存储药剂；</w:t>
            </w:r>
          </w:p>
          <w:p>
            <w:pPr>
              <w:adjustRightInd w:val="0"/>
              <w:snapToGrid w:val="0"/>
              <w:spacing w:line="480" w:lineRule="exact"/>
              <w:rPr>
                <w:rFonts w:hint="eastAsia"/>
                <w:color w:val="auto"/>
                <w:lang w:val="en-US" w:eastAsia="zh-CN"/>
              </w:rPr>
            </w:pPr>
            <w:r>
              <w:rPr>
                <w:rFonts w:hint="eastAsia"/>
                <w:color w:val="auto"/>
                <w:lang w:val="en-US" w:eastAsia="zh-CN"/>
              </w:rPr>
              <w:t>2）NaClO储药罐及加药装置所在房间设围堰，防止泄漏时进一步扩散；</w:t>
            </w:r>
          </w:p>
          <w:p>
            <w:pPr>
              <w:adjustRightInd w:val="0"/>
              <w:snapToGrid w:val="0"/>
              <w:spacing w:line="480" w:lineRule="exact"/>
              <w:rPr>
                <w:rFonts w:hint="eastAsia"/>
                <w:color w:val="auto"/>
                <w:lang w:val="en-US" w:eastAsia="zh-CN"/>
              </w:rPr>
            </w:pPr>
            <w:r>
              <w:rPr>
                <w:rFonts w:hint="eastAsia"/>
                <w:color w:val="auto"/>
                <w:lang w:val="en-US" w:eastAsia="zh-CN"/>
              </w:rPr>
              <w:t>3）NaClO储药罐及加药装置所在房间设耐腐蚀的硬化地面，且表面无裂隙，并在地面加设防渗材料，要求防渗层渗透系数≤10-10cm/s；</w:t>
            </w:r>
          </w:p>
          <w:p>
            <w:pPr>
              <w:adjustRightInd w:val="0"/>
              <w:snapToGrid w:val="0"/>
              <w:spacing w:line="480" w:lineRule="exact"/>
              <w:rPr>
                <w:rFonts w:hint="eastAsia"/>
                <w:color w:val="auto"/>
                <w:lang w:val="en-US" w:eastAsia="zh-CN"/>
              </w:rPr>
            </w:pPr>
            <w:r>
              <w:rPr>
                <w:rFonts w:hint="eastAsia"/>
                <w:color w:val="auto"/>
                <w:lang w:val="en-US" w:eastAsia="zh-CN"/>
              </w:rPr>
              <w:t>4）加强药剂的管理和使用，建立健全安全规程和操作规程，避免热源与火源，配备相应数量的消防器材；</w:t>
            </w:r>
          </w:p>
          <w:p>
            <w:pPr>
              <w:adjustRightInd w:val="0"/>
              <w:snapToGrid w:val="0"/>
              <w:spacing w:line="480" w:lineRule="exact"/>
              <w:rPr>
                <w:rFonts w:hint="eastAsia"/>
                <w:color w:val="auto"/>
                <w:lang w:val="en-US" w:eastAsia="zh-CN"/>
              </w:rPr>
            </w:pPr>
            <w:r>
              <w:rPr>
                <w:rFonts w:hint="eastAsia"/>
                <w:color w:val="auto"/>
                <w:lang w:val="en-US" w:eastAsia="zh-CN"/>
              </w:rPr>
              <w:t>5）加强设备的日常管理与维护，定期检查，发现问题应及时处理。</w:t>
            </w:r>
          </w:p>
          <w:p>
            <w:pPr>
              <w:adjustRightInd w:val="0"/>
              <w:snapToGrid w:val="0"/>
              <w:spacing w:line="480" w:lineRule="exact"/>
              <w:rPr>
                <w:rFonts w:hint="default"/>
                <w:color w:val="auto"/>
                <w:lang w:val="en-US"/>
              </w:rPr>
            </w:pPr>
            <w:r>
              <w:rPr>
                <w:rFonts w:hint="eastAsia"/>
                <w:color w:val="auto"/>
              </w:rPr>
              <w:t>本项目使用矿物油（机油、润滑油）的设备底部均进行防渗、并设置钢制托盘收集废油，危废暂存间建成具有防水、防渗、防流失、防晒的专用危险废物贮存设施贮存危险废物。贮存设施必须防渗，基础必须防渗，防渗层为至少1米厚粘土层（渗透系数≤10-7cm/s)，或2毫米厚高密度聚乙烯，或至少2毫米厚的其它人工材料，渗透系数≤10-10cm/s。有足够地面承载能力，并能确保雨水不会流至贮存设施内，贮存设施应封闭，以防风、防雨、防晒、防渗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pPr>
              <w:adjustRightInd w:val="0"/>
              <w:snapToGrid w:val="0"/>
              <w:jc w:val="center"/>
              <w:rPr>
                <w:color w:val="auto"/>
                <w:spacing w:val="-8"/>
              </w:rPr>
            </w:pPr>
            <w:r>
              <w:rPr>
                <w:rFonts w:hint="eastAsia"/>
                <w:color w:val="auto"/>
                <w:spacing w:val="-8"/>
              </w:rPr>
              <w:t>其他环境</w:t>
            </w:r>
          </w:p>
          <w:p>
            <w:pPr>
              <w:adjustRightInd w:val="0"/>
              <w:snapToGrid w:val="0"/>
              <w:jc w:val="center"/>
              <w:rPr>
                <w:color w:val="auto"/>
                <w:spacing w:val="-8"/>
              </w:rPr>
            </w:pPr>
            <w:r>
              <w:rPr>
                <w:rFonts w:hint="eastAsia"/>
                <w:color w:val="auto"/>
                <w:spacing w:val="-8"/>
              </w:rPr>
              <w:t>管理要求</w:t>
            </w:r>
          </w:p>
        </w:tc>
        <w:tc>
          <w:tcPr>
            <w:tcW w:w="7947" w:type="dxa"/>
            <w:gridSpan w:val="4"/>
            <w:vAlign w:val="center"/>
          </w:tcPr>
          <w:p>
            <w:pPr>
              <w:adjustRightInd w:val="0"/>
              <w:snapToGrid w:val="0"/>
              <w:spacing w:line="480" w:lineRule="exact"/>
              <w:ind w:firstLine="420" w:firstLineChars="200"/>
              <w:rPr>
                <w:b/>
                <w:color w:val="auto"/>
                <w:szCs w:val="18"/>
              </w:rPr>
            </w:pPr>
            <w:r>
              <w:rPr>
                <w:rFonts w:hint="eastAsia"/>
                <w:color w:val="auto"/>
                <w:szCs w:val="18"/>
              </w:rPr>
              <w:t>1、</w:t>
            </w:r>
            <w:r>
              <w:rPr>
                <w:rFonts w:hint="eastAsia"/>
                <w:b/>
                <w:color w:val="auto"/>
                <w:szCs w:val="18"/>
              </w:rPr>
              <w:t>环境管理计划</w:t>
            </w:r>
          </w:p>
          <w:p>
            <w:pPr>
              <w:adjustRightInd w:val="0"/>
              <w:snapToGrid w:val="0"/>
              <w:spacing w:line="480" w:lineRule="exact"/>
              <w:ind w:firstLine="420" w:firstLineChars="200"/>
              <w:rPr>
                <w:b/>
                <w:color w:val="auto"/>
                <w:szCs w:val="18"/>
              </w:rPr>
            </w:pPr>
            <w:r>
              <w:rPr>
                <w:rFonts w:hint="eastAsia"/>
                <w:bCs/>
                <w:color w:val="auto"/>
                <w:szCs w:val="18"/>
              </w:rPr>
              <w:t>本工程环境管理工作计划见表5-1。</w:t>
            </w:r>
          </w:p>
          <w:p>
            <w:pPr>
              <w:autoSpaceDE w:val="0"/>
              <w:autoSpaceDN w:val="0"/>
              <w:adjustRightInd w:val="0"/>
              <w:snapToGrid w:val="0"/>
              <w:spacing w:line="480" w:lineRule="exact"/>
              <w:jc w:val="center"/>
              <w:rPr>
                <w:rFonts w:ascii="黑体" w:hAnsi="黑体" w:eastAsia="黑体"/>
                <w:bCs/>
                <w:color w:val="auto"/>
                <w:szCs w:val="18"/>
              </w:rPr>
            </w:pPr>
            <w:r>
              <w:rPr>
                <w:rFonts w:hint="eastAsia" w:ascii="黑体" w:hAnsi="黑体" w:eastAsia="黑体"/>
                <w:bCs/>
                <w:color w:val="auto"/>
                <w:szCs w:val="18"/>
              </w:rPr>
              <w:t>表5-1  环境管理工作计划表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6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4" w:type="pct"/>
                  <w:vAlign w:val="center"/>
                </w:tcPr>
                <w:p>
                  <w:pPr>
                    <w:pStyle w:val="16"/>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阶段</w:t>
                  </w:r>
                </w:p>
              </w:tc>
              <w:tc>
                <w:tcPr>
                  <w:tcW w:w="3946" w:type="pct"/>
                  <w:vAlign w:val="center"/>
                </w:tcPr>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环境管理工作主要内容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6"/>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环境管理</w:t>
                  </w:r>
                </w:p>
                <w:p>
                  <w:pPr>
                    <w:pStyle w:val="16"/>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机构的职能</w:t>
                  </w:r>
                </w:p>
              </w:tc>
              <w:tc>
                <w:tcPr>
                  <w:tcW w:w="3946" w:type="pct"/>
                  <w:vAlign w:val="center"/>
                </w:tcPr>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根据国家建设目环境管理规定，认真落实各项环保手续，完成各级环保主管部门对企业提出的环境要求，对企业内部各项管理计划的执行及完成情况进行监督，确保环境管理工作真正发挥作用。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6"/>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建设期</w:t>
                  </w:r>
                </w:p>
              </w:tc>
              <w:tc>
                <w:tcPr>
                  <w:tcW w:w="3946" w:type="pct"/>
                  <w:vAlign w:val="center"/>
                </w:tcPr>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1、合理选址，减少用地。</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2、施工便道定期洒水。</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3、临时用地恢复绿化。</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4、路基防护与加固</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5、夜间严禁进行打桩等噪声大的施工作业。</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6、施工营地加强环境管理。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6"/>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调试期</w:t>
                  </w:r>
                </w:p>
              </w:tc>
              <w:tc>
                <w:tcPr>
                  <w:tcW w:w="3946" w:type="pct"/>
                  <w:vAlign w:val="center"/>
                </w:tcPr>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1、申领排污许可证。</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2、对噪声防治效果进行检测。</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3、对各设施不定期进行检查。</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4、记录各项环保设施的试运行状况，针对出现问题提出完善意见。</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5、总结试运行期的生产经验，健全前期制定各项管理制度。</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6、生产装置生产三个月内，进行环保设施的竣工验收。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6"/>
                    <w:spacing w:line="360" w:lineRule="exact"/>
                    <w:ind w:firstLine="0" w:firstLineChars="0"/>
                    <w:jc w:val="center"/>
                    <w:rPr>
                      <w:rFonts w:ascii="Times New Roman" w:hAnsi="Times New Roman" w:cs="Times New Roman"/>
                      <w:bCs/>
                      <w:color w:val="auto"/>
                    </w:rPr>
                  </w:pPr>
                  <w:r>
                    <w:rPr>
                      <w:rFonts w:hint="eastAsia" w:ascii="Times New Roman" w:hAnsi="Times New Roman" w:cs="Times New Roman"/>
                      <w:bCs/>
                      <w:color w:val="auto"/>
                    </w:rPr>
                    <w:t>生产运行期</w:t>
                  </w:r>
                </w:p>
              </w:tc>
              <w:tc>
                <w:tcPr>
                  <w:tcW w:w="3946" w:type="pct"/>
                  <w:vAlign w:val="center"/>
                </w:tcPr>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1、严格执行各项生产及环境管理制度，保证生产的正常进行。</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2、设立环保设施运行卡，对环保设施定期进行检查维护，做到勤查、勤记、勤养护。</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3、按照监测计划组织厂内的污染源监测，对不达标装置立即寻找原因，及时处理。</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4、不断加强技术培训，组织企业技术交流，提高操作水平，保持操作工人队伍稳定。</w:t>
                  </w:r>
                </w:p>
                <w:p>
                  <w:pPr>
                    <w:pStyle w:val="16"/>
                    <w:spacing w:line="360" w:lineRule="exact"/>
                    <w:ind w:firstLine="0" w:firstLineChars="0"/>
                    <w:rPr>
                      <w:rFonts w:ascii="Times New Roman" w:hAnsi="Times New Roman" w:cs="Times New Roman"/>
                      <w:bCs/>
                      <w:color w:val="auto"/>
                    </w:rPr>
                  </w:pPr>
                  <w:r>
                    <w:rPr>
                      <w:rFonts w:hint="eastAsia" w:ascii="Times New Roman" w:hAnsi="Times New Roman" w:cs="Times New Roman"/>
                      <w:bCs/>
                      <w:color w:val="auto"/>
                    </w:rPr>
                    <w:t>5、建立环境管理台账制度，应真实记录基本信息、产污设施运行管理信息、污染防治设施运行管理信息、监测记录信息及其他环境管理信息等；按照电子台账和纸质台账两种记录形式同步管理。</w:t>
                  </w:r>
                </w:p>
              </w:tc>
            </w:tr>
          </w:tbl>
          <w:p>
            <w:pPr>
              <w:adjustRightInd w:val="0"/>
              <w:snapToGrid w:val="0"/>
              <w:spacing w:line="480" w:lineRule="exact"/>
              <w:ind w:firstLine="422" w:firstLineChars="200"/>
              <w:rPr>
                <w:b/>
                <w:bCs/>
                <w:color w:val="auto"/>
                <w:szCs w:val="18"/>
              </w:rPr>
            </w:pPr>
            <w:bookmarkStart w:id="12" w:name="_Toc15842"/>
            <w:r>
              <w:rPr>
                <w:rFonts w:hint="eastAsia"/>
                <w:b/>
                <w:bCs/>
                <w:color w:val="auto"/>
                <w:szCs w:val="18"/>
              </w:rPr>
              <w:t>2、排污口规范化设置</w:t>
            </w:r>
            <w:bookmarkEnd w:id="12"/>
          </w:p>
          <w:p>
            <w:pPr>
              <w:adjustRightInd w:val="0"/>
              <w:snapToGrid w:val="0"/>
              <w:spacing w:line="480" w:lineRule="exact"/>
              <w:ind w:firstLine="420" w:firstLineChars="200"/>
              <w:rPr>
                <w:bCs/>
                <w:color w:val="auto"/>
                <w:szCs w:val="18"/>
              </w:rPr>
            </w:pPr>
            <w:r>
              <w:rPr>
                <w:rFonts w:hint="eastAsia"/>
                <w:bCs/>
                <w:color w:val="auto"/>
                <w:szCs w:val="18"/>
              </w:rPr>
              <w:t>项目需要按照要求设立排污口。废气、废水排放口应进行规范化设计，具备采样、监测条件，排放口附近树立环保图形标志牌。排污口应符合“一明显、二合理、三便于”的要求，即环保标志明显，排污口设置合理，排污去向合理，便于采集样品，便于监测计量，便于公众监督管理。</w:t>
            </w:r>
          </w:p>
          <w:p>
            <w:pPr>
              <w:adjustRightInd w:val="0"/>
              <w:snapToGrid w:val="0"/>
              <w:spacing w:line="480" w:lineRule="exact"/>
              <w:ind w:firstLine="420" w:firstLineChars="200"/>
              <w:rPr>
                <w:bCs/>
                <w:color w:val="auto"/>
                <w:szCs w:val="18"/>
              </w:rPr>
            </w:pPr>
            <w:r>
              <w:rPr>
                <w:rFonts w:hint="eastAsia"/>
                <w:bCs/>
                <w:color w:val="auto"/>
                <w:szCs w:val="18"/>
              </w:rPr>
              <w:t>按照国家环境保护总局制定的《（环境保护图形标志）实施细则（试行）》（环监[1996]463号）的规定，在各排污口树立响应的环境保护图形标志牌，具体要求见表5-2。</w:t>
            </w:r>
          </w:p>
          <w:p>
            <w:pPr>
              <w:autoSpaceDE w:val="0"/>
              <w:autoSpaceDN w:val="0"/>
              <w:adjustRightInd w:val="0"/>
              <w:snapToGrid w:val="0"/>
              <w:spacing w:line="480" w:lineRule="exact"/>
              <w:jc w:val="center"/>
              <w:rPr>
                <w:rFonts w:ascii="黑体" w:hAnsi="黑体" w:eastAsia="黑体"/>
                <w:bCs/>
                <w:color w:val="auto"/>
                <w:szCs w:val="18"/>
              </w:rPr>
            </w:pPr>
            <w:r>
              <w:rPr>
                <w:rFonts w:hint="eastAsia" w:ascii="黑体" w:hAnsi="黑体" w:eastAsia="黑体"/>
                <w:bCs/>
                <w:color w:val="auto"/>
                <w:szCs w:val="18"/>
              </w:rPr>
              <w:t>表5-2  环境保护图形标志</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2386"/>
              <w:gridCol w:w="1640"/>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018" w:type="pct"/>
                  <w:vAlign w:val="center"/>
                </w:tcPr>
                <w:p>
                  <w:pPr>
                    <w:rPr>
                      <w:color w:val="auto"/>
                    </w:rPr>
                  </w:pPr>
                  <w:r>
                    <w:rPr>
                      <w:color w:val="auto"/>
                    </w:rPr>
                    <w:fldChar w:fldCharType="begin"/>
                  </w:r>
                  <w:r>
                    <w:rPr>
                      <w:color w:val="auto"/>
                    </w:rPr>
                    <w:instrText xml:space="preserve"> HYPERLINK "http://www.biaozhi.net/eNews/news/200602/0029_0000000905.shtml" \t "_blank" </w:instrText>
                  </w:r>
                  <w:r>
                    <w:rPr>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"http://www.biaozhi.net/enews/UploadFiles/smallImg/781.gif" \* MERGEFORMATINET </w:instrText>
                  </w:r>
                  <w:r>
                    <w:rPr>
                      <w:rFonts w:hint="eastAsia"/>
                      <w:color w:val="auto"/>
                    </w:rPr>
                    <w:fldChar w:fldCharType="separate"/>
                  </w:r>
                  <w:r>
                    <w:rPr>
                      <w:color w:val="auto"/>
                    </w:rPr>
                    <w:fldChar w:fldCharType="begin"/>
                  </w:r>
                  <w:r>
                    <w:rPr>
                      <w:color w:val="auto"/>
                    </w:rPr>
                    <w:instrText xml:space="preserve"> INCLUDEPICTURE  "http://www.biaozhi.net/enews/UploadFiles/smallImg/781.gif" \* MERGEFORMATINET </w:instrText>
                  </w:r>
                  <w:r>
                    <w:rPr>
                      <w:color w:val="auto"/>
                    </w:rPr>
                    <w:fldChar w:fldCharType="separate"/>
                  </w:r>
                  <w:r>
                    <w:rPr>
                      <w:color w:val="auto"/>
                    </w:rPr>
                    <w:pict>
                      <v:shape id="_x0000_i1028" o:spt="75" alt="点击看大图及详细资料" type="#_x0000_t75" style="height:72pt;width:72pt;" filled="f" o:preferrelative="t" stroked="f" coordsize="21600,21600">
                        <v:path/>
                        <v:fill on="f" focussize="0,0"/>
                        <v:stroke on="f" joinstyle="miter"/>
                        <v:imagedata r:id="rId23" r:href="rId24" o:title=""/>
                        <o:lock v:ext="edit" aspectratio="t"/>
                        <w10:wrap type="none"/>
                        <w10:anchorlock/>
                      </v:shape>
                    </w:pict>
                  </w:r>
                  <w:r>
                    <w:rPr>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p>
              </w:tc>
              <w:tc>
                <w:tcPr>
                  <w:tcW w:w="1545" w:type="pct"/>
                  <w:vAlign w:val="center"/>
                </w:tcPr>
                <w:p>
                  <w:pPr>
                    <w:rPr>
                      <w:color w:val="auto"/>
                    </w:rPr>
                  </w:pPr>
                  <w:r>
                    <w:rPr>
                      <w:rFonts w:hint="eastAsia"/>
                      <w:color w:val="auto"/>
                    </w:rPr>
                    <w:t>简介：污水排放口</w:t>
                  </w:r>
                </w:p>
                <w:p>
                  <w:pPr>
                    <w:rPr>
                      <w:color w:val="auto"/>
                    </w:rPr>
                  </w:pPr>
                  <w:r>
                    <w:rPr>
                      <w:rFonts w:hint="eastAsia"/>
                      <w:color w:val="auto"/>
                    </w:rPr>
                    <w:t>污水排放口提示图形符号</w:t>
                  </w:r>
                </w:p>
                <w:p>
                  <w:pPr>
                    <w:rPr>
                      <w:color w:val="auto"/>
                    </w:rPr>
                  </w:pPr>
                  <w:r>
                    <w:rPr>
                      <w:rFonts w:hint="eastAsia"/>
                      <w:color w:val="auto"/>
                    </w:rPr>
                    <w:t>污水排放口</w:t>
                  </w:r>
                </w:p>
                <w:p>
                  <w:pPr>
                    <w:rPr>
                      <w:color w:val="auto"/>
                    </w:rPr>
                  </w:pPr>
                  <w:r>
                    <w:rPr>
                      <w:rFonts w:hint="eastAsia"/>
                      <w:color w:val="auto"/>
                    </w:rPr>
                    <w:t>表示污水向水体排放</w:t>
                  </w:r>
                </w:p>
              </w:tc>
              <w:tc>
                <w:tcPr>
                  <w:tcW w:w="1062" w:type="pct"/>
                  <w:vAlign w:val="center"/>
                </w:tcPr>
                <w:p>
                  <w:pPr>
                    <w:rPr>
                      <w:color w:val="auto"/>
                    </w:rPr>
                  </w:pPr>
                  <w:r>
                    <w:rPr>
                      <w:color w:val="auto"/>
                    </w:rPr>
                    <w:fldChar w:fldCharType="begin"/>
                  </w:r>
                  <w:r>
                    <w:rPr>
                      <w:color w:val="auto"/>
                    </w:rPr>
                    <w:instrText xml:space="preserve"> HYPERLINK "http://www.biaozhi.net/eNews/news/200602/0029_0000000909.shtml" \t "_blank" </w:instrText>
                  </w:r>
                  <w:r>
                    <w:rPr>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"http://www.biaozhi.net/enews/UploadFiles/smallImg/785.gif" \* MERGEFORMATINET </w:instrText>
                  </w:r>
                  <w:r>
                    <w:rPr>
                      <w:rFonts w:hint="eastAsia"/>
                      <w:color w:val="auto"/>
                    </w:rPr>
                    <w:fldChar w:fldCharType="separate"/>
                  </w:r>
                  <w:r>
                    <w:rPr>
                      <w:color w:val="auto"/>
                    </w:rPr>
                    <w:fldChar w:fldCharType="begin"/>
                  </w:r>
                  <w:r>
                    <w:rPr>
                      <w:color w:val="auto"/>
                    </w:rPr>
                    <w:instrText xml:space="preserve"> INCLUDEPICTURE  "http://www.biaozhi.net/enews/UploadFiles/smallImg/785.gif" \* MERGEFORMATINET </w:instrText>
                  </w:r>
                  <w:r>
                    <w:rPr>
                      <w:color w:val="auto"/>
                    </w:rPr>
                    <w:fldChar w:fldCharType="separate"/>
                  </w:r>
                  <w:r>
                    <w:rPr>
                      <w:color w:val="auto"/>
                    </w:rPr>
                    <w:pict>
                      <v:shape id="_x0000_i1029" o:spt="75" alt="点击看大图及详细资料" type="#_x0000_t75" style="height:72pt;width:72pt;" filled="f" o:preferrelative="t" stroked="f" coordsize="21600,21600">
                        <v:path/>
                        <v:fill on="f" focussize="0,0"/>
                        <v:stroke on="f" joinstyle="miter"/>
                        <v:imagedata r:id="rId25" r:href="rId26" o:title=""/>
                        <o:lock v:ext="edit" aspectratio="t"/>
                        <w10:wrap type="none"/>
                        <w10:anchorlock/>
                      </v:shape>
                    </w:pict>
                  </w:r>
                  <w:r>
                    <w:rPr>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p>
              </w:tc>
              <w:tc>
                <w:tcPr>
                  <w:tcW w:w="1376" w:type="pct"/>
                  <w:vAlign w:val="center"/>
                </w:tcPr>
                <w:p>
                  <w:pPr>
                    <w:rPr>
                      <w:color w:val="auto"/>
                    </w:rPr>
                  </w:pPr>
                  <w:r>
                    <w:rPr>
                      <w:rFonts w:hint="eastAsia"/>
                      <w:color w:val="auto"/>
                    </w:rPr>
                    <w:t>简介：噪声排放源</w:t>
                  </w:r>
                </w:p>
                <w:p>
                  <w:pPr>
                    <w:rPr>
                      <w:color w:val="auto"/>
                    </w:rPr>
                  </w:pPr>
                  <w:r>
                    <w:rPr>
                      <w:rFonts w:hint="eastAsia"/>
                      <w:color w:val="auto"/>
                    </w:rPr>
                    <w:t>提示图形符号</w:t>
                  </w:r>
                </w:p>
                <w:p>
                  <w:pPr>
                    <w:rPr>
                      <w:color w:val="auto"/>
                    </w:rPr>
                  </w:pPr>
                  <w:r>
                    <w:rPr>
                      <w:rFonts w:hint="eastAsia"/>
                      <w:color w:val="auto"/>
                    </w:rPr>
                    <w:t>噪声排放源</w:t>
                  </w:r>
                </w:p>
                <w:p>
                  <w:pPr>
                    <w:rPr>
                      <w:color w:val="auto"/>
                    </w:rPr>
                  </w:pPr>
                  <w:r>
                    <w:rPr>
                      <w:rFonts w:hint="eastAsia"/>
                      <w:color w:val="auto"/>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018" w:type="pct"/>
                  <w:vAlign w:val="center"/>
                </w:tcPr>
                <w:p>
                  <w:pPr>
                    <w:rPr>
                      <w:color w:val="auto"/>
                    </w:rPr>
                  </w:pPr>
                  <w:r>
                    <w:rPr>
                      <w:color w:val="auto"/>
                    </w:rPr>
                    <w:fldChar w:fldCharType="begin"/>
                  </w:r>
                  <w:r>
                    <w:rPr>
                      <w:color w:val="auto"/>
                    </w:rPr>
                    <w:instrText xml:space="preserve"> HYPERLINK "http://www.biaozhi.net/eNews/news/200602/0029_0000000907.shtml" \t "_blank" </w:instrText>
                  </w:r>
                  <w:r>
                    <w:rPr>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"http://www.biaozhi.net/enews/UploadFiles/smallImg/783.gif" \* MERGEFORMATINET </w:instrText>
                  </w:r>
                  <w:r>
                    <w:rPr>
                      <w:rFonts w:hint="eastAsia"/>
                      <w:color w:val="auto"/>
                    </w:rPr>
                    <w:fldChar w:fldCharType="separate"/>
                  </w:r>
                  <w:r>
                    <w:rPr>
                      <w:color w:val="auto"/>
                    </w:rPr>
                    <w:fldChar w:fldCharType="begin"/>
                  </w:r>
                  <w:r>
                    <w:rPr>
                      <w:color w:val="auto"/>
                    </w:rPr>
                    <w:instrText xml:space="preserve"> INCLUDEPICTURE  "http://www.biaozhi.net/enews/UploadFiles/smallImg/783.gif" \* MERGEFORMATINET </w:instrText>
                  </w:r>
                  <w:r>
                    <w:rPr>
                      <w:color w:val="auto"/>
                    </w:rPr>
                    <w:fldChar w:fldCharType="separate"/>
                  </w:r>
                  <w:r>
                    <w:rPr>
                      <w:color w:val="auto"/>
                    </w:rPr>
                    <w:pict>
                      <v:shape id="_x0000_i1030" o:spt="75" alt="点击看大图及详细资料" type="#_x0000_t75" style="height:72pt;width:72pt;" filled="f" o:preferrelative="t" stroked="f" coordsize="21600,21600">
                        <v:path/>
                        <v:fill on="f" focussize="0,0"/>
                        <v:stroke on="f" joinstyle="miter"/>
                        <v:imagedata r:id="rId27" r:href="rId28" o:title=""/>
                        <o:lock v:ext="edit" aspectratio="t"/>
                        <w10:wrap type="none"/>
                        <w10:anchorlock/>
                      </v:shape>
                    </w:pict>
                  </w:r>
                  <w:r>
                    <w:rPr>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p>
              </w:tc>
              <w:tc>
                <w:tcPr>
                  <w:tcW w:w="1545" w:type="pct"/>
                  <w:vAlign w:val="center"/>
                </w:tcPr>
                <w:p>
                  <w:pPr>
                    <w:rPr>
                      <w:color w:val="auto"/>
                    </w:rPr>
                  </w:pPr>
                  <w:r>
                    <w:rPr>
                      <w:rFonts w:hint="eastAsia"/>
                      <w:color w:val="auto"/>
                    </w:rPr>
                    <w:t>简介：废气排放口</w:t>
                  </w:r>
                </w:p>
                <w:p>
                  <w:pPr>
                    <w:rPr>
                      <w:color w:val="auto"/>
                    </w:rPr>
                  </w:pPr>
                  <w:r>
                    <w:rPr>
                      <w:rFonts w:hint="eastAsia"/>
                      <w:color w:val="auto"/>
                    </w:rPr>
                    <w:t>提示图形符号</w:t>
                  </w:r>
                </w:p>
                <w:p>
                  <w:pPr>
                    <w:rPr>
                      <w:color w:val="auto"/>
                    </w:rPr>
                  </w:pPr>
                  <w:r>
                    <w:rPr>
                      <w:rFonts w:hint="eastAsia"/>
                      <w:color w:val="auto"/>
                    </w:rPr>
                    <w:t>废气排放口</w:t>
                  </w:r>
                </w:p>
                <w:p>
                  <w:pPr>
                    <w:rPr>
                      <w:color w:val="auto"/>
                    </w:rPr>
                  </w:pPr>
                  <w:r>
                    <w:rPr>
                      <w:rFonts w:hint="eastAsia"/>
                      <w:color w:val="auto"/>
                    </w:rPr>
                    <w:t>表示废气向大气环境排放</w:t>
                  </w:r>
                </w:p>
              </w:tc>
              <w:tc>
                <w:tcPr>
                  <w:tcW w:w="1062" w:type="pct"/>
                  <w:vAlign w:val="center"/>
                </w:tcPr>
                <w:p>
                  <w:pPr>
                    <w:rPr>
                      <w:color w:val="auto"/>
                    </w:rPr>
                  </w:pP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"C:\\..\\..\\Administrator\\AppData\\Roaming\\Tencent\\Users\\1049960459\\TIM\\WinTemp\\RichOle\\[2OM$Q~9VA`3U0OK~8X)9(6.png"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"C:\\Users\\zgl\\Documents\\Administrator\\AppData\\Roaming\\Tencent\\Users\\1049960459\\TIM\\WinTemp\\RichOle\\%5b2OM$Q~9VA%603U0OK~8X)9(6.png"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"H:\\..\\Administrator\\AppData\\Roaming\\Tencent\\Users\\1049960459\\TIM\\WinTemp\\RichOle\\%5b2OM$Q~9VA%603U0OK~8X)9(6.png"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"C:\\..\\..\\Administrator\\AppData\\Roaming\\Tencent\\Users\\1049960459\\TIM\\WinTemp\\RichOle\\%255b2OM$Q~9VA%25603U0OK~8X)9(6.png"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"H:\\环评报告\\Administrator\\AppData\\Roaming\\Tencent\\Users\\1049960459\\TIM\\WinTemp\\RichOle\\%255b2OM$Q~9VA%25603U0OK~8X)9(6.png" \* MERGEFORMATINET </w:instrText>
                  </w:r>
                  <w:r>
                    <w:rPr>
                      <w:rFonts w:hint="eastAsia"/>
                      <w:color w:val="auto"/>
                    </w:rPr>
                    <w:fldChar w:fldCharType="separate"/>
                  </w:r>
                  <w:r>
                    <w:rPr>
                      <w:rFonts w:hint="eastAsia"/>
                      <w:color w:val="auto"/>
                    </w:rPr>
                    <w:fldChar w:fldCharType="begin"/>
                  </w:r>
                  <w:r>
                    <w:rPr>
                      <w:rFonts w:hint="eastAsia"/>
                      <w:color w:val="auto"/>
                    </w:rPr>
                    <w:instrText xml:space="preserve"> INCLUDEPICTURE  "F:\\环评报告\\Administrator\\AppData\\Roaming\\Tencent\\Users\\1049960459\\TIM\\WinTemp\\RichOle\\%255b2OM$Q~9VA%25603U0OK~8X)9(6.png" \* MERGEFORMATINET </w:instrText>
                  </w:r>
                  <w:r>
                    <w:rPr>
                      <w:rFonts w:hint="eastAsia"/>
                      <w:color w:val="auto"/>
                    </w:rPr>
                    <w:fldChar w:fldCharType="separate"/>
                  </w:r>
                  <w:r>
                    <w:rPr>
                      <w:color w:val="auto"/>
                    </w:rPr>
                    <w:fldChar w:fldCharType="begin"/>
                  </w:r>
                  <w:r>
                    <w:rPr>
                      <w:color w:val="auto"/>
                    </w:rPr>
                    <w:instrText xml:space="preserve"> </w:instrText>
                  </w:r>
                  <w:r>
                    <w:rPr>
                      <w:rFonts w:hint="eastAsia"/>
                      <w:color w:val="auto"/>
                    </w:rPr>
                    <w:instrText xml:space="preserve">INCLUDEPICTURE  "F:\\环评报告\\Administrator\\AppData\\Roaming\\Tencent\\Users\\1049960459\\TIM\\WinTemp\\RichOle\\%2525252525252525252525252525252525255b2OM$Q~9VA%252525252525252525252525252525252525603U0OK~8X)9(6.png" \* MERGEFORMATINET</w:instrText>
                  </w:r>
                  <w:r>
                    <w:rPr>
                      <w:color w:val="auto"/>
                    </w:rPr>
                    <w:instrText xml:space="preserve"> </w:instrText>
                  </w:r>
                  <w:r>
                    <w:rPr>
                      <w:color w:val="auto"/>
                    </w:rPr>
                    <w:fldChar w:fldCharType="separate"/>
                  </w:r>
                  <w:r>
                    <w:rPr>
                      <w:color w:val="auto"/>
                    </w:rPr>
                    <w:pict>
                      <v:shape id="_x0000_i1031" o:spt="75" alt="[2OM$Q~9VA`3U0OK~8X)9(6" type="#_x0000_t75" style="height:72pt;width:72pt;" filled="f" o:preferrelative="t" stroked="f" coordsize="21600,21600">
                        <v:path/>
                        <v:fill on="f" focussize="0,0"/>
                        <v:stroke on="f" joinstyle="miter"/>
                        <v:imagedata r:id="rId29" r:href="rId30" o:title=""/>
                        <o:lock v:ext="edit" aspectratio="t"/>
                        <w10:wrap type="none"/>
                        <w10:anchorlock/>
                      </v:shape>
                    </w:pict>
                  </w:r>
                  <w:r>
                    <w:rPr>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r>
                    <w:rPr>
                      <w:rFonts w:hint="eastAsia"/>
                      <w:color w:val="auto"/>
                    </w:rPr>
                    <w:fldChar w:fldCharType="end"/>
                  </w:r>
                </w:p>
              </w:tc>
              <w:tc>
                <w:tcPr>
                  <w:tcW w:w="1376" w:type="pct"/>
                  <w:vAlign w:val="center"/>
                </w:tcPr>
                <w:p>
                  <w:pPr>
                    <w:rPr>
                      <w:color w:val="auto"/>
                    </w:rPr>
                  </w:pPr>
                  <w:r>
                    <w:rPr>
                      <w:rFonts w:hint="eastAsia"/>
                      <w:color w:val="auto"/>
                    </w:rPr>
                    <w:t>简介：一般固体废弃物</w:t>
                  </w:r>
                </w:p>
                <w:p>
                  <w:pPr>
                    <w:rPr>
                      <w:color w:val="auto"/>
                    </w:rPr>
                  </w:pPr>
                  <w:r>
                    <w:rPr>
                      <w:rFonts w:hint="eastAsia"/>
                      <w:color w:val="auto"/>
                    </w:rPr>
                    <w:t>提示图形符号</w:t>
                  </w:r>
                </w:p>
                <w:p>
                  <w:pPr>
                    <w:rPr>
                      <w:color w:val="auto"/>
                    </w:rPr>
                  </w:pPr>
                  <w:r>
                    <w:rPr>
                      <w:rFonts w:hint="eastAsia"/>
                      <w:color w:val="auto"/>
                    </w:rPr>
                    <w:t>表示一般固体废弃物贮存、处置场</w:t>
                  </w:r>
                </w:p>
              </w:tc>
            </w:tr>
          </w:tbl>
          <w:p>
            <w:pPr>
              <w:pStyle w:val="91"/>
              <w:numPr>
                <w:ilvl w:val="0"/>
                <w:numId w:val="0"/>
              </w:numPr>
              <w:spacing w:line="480" w:lineRule="exact"/>
              <w:ind w:firstLine="422" w:firstLineChars="20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本项目废气排放口</w:t>
            </w:r>
          </w:p>
          <w:p>
            <w:pPr>
              <w:autoSpaceDE w:val="0"/>
              <w:autoSpaceDN w:val="0"/>
              <w:adjustRightInd w:val="0"/>
              <w:snapToGrid w:val="0"/>
              <w:spacing w:line="480" w:lineRule="exact"/>
              <w:jc w:val="center"/>
              <w:rPr>
                <w:rFonts w:hint="default" w:ascii="黑体" w:hAnsi="黑体" w:eastAsia="黑体"/>
                <w:bCs/>
                <w:color w:val="auto"/>
                <w:szCs w:val="18"/>
                <w:lang w:val="en-US" w:eastAsia="zh-CN"/>
              </w:rPr>
            </w:pPr>
            <w:r>
              <w:rPr>
                <w:rFonts w:hint="eastAsia" w:ascii="黑体" w:hAnsi="黑体" w:eastAsia="黑体"/>
                <w:bCs/>
                <w:color w:val="auto"/>
                <w:szCs w:val="18"/>
              </w:rPr>
              <w:t>表5-</w:t>
            </w:r>
            <w:r>
              <w:rPr>
                <w:rFonts w:hint="eastAsia" w:ascii="黑体" w:hAnsi="黑体" w:eastAsia="黑体"/>
                <w:bCs/>
                <w:color w:val="auto"/>
                <w:szCs w:val="18"/>
                <w:lang w:val="en-US" w:eastAsia="zh-CN"/>
              </w:rPr>
              <w:t>3</w:t>
            </w:r>
            <w:r>
              <w:rPr>
                <w:rFonts w:hint="eastAsia" w:ascii="黑体" w:hAnsi="黑体" w:eastAsia="黑体"/>
                <w:bCs/>
                <w:color w:val="auto"/>
                <w:szCs w:val="18"/>
              </w:rPr>
              <w:t xml:space="preserve">  </w:t>
            </w:r>
            <w:r>
              <w:rPr>
                <w:rFonts w:hint="eastAsia" w:ascii="黑体" w:hAnsi="黑体" w:eastAsia="黑体"/>
                <w:bCs/>
                <w:color w:val="auto"/>
                <w:szCs w:val="18"/>
                <w:lang w:val="en-US" w:eastAsia="zh-CN"/>
              </w:rPr>
              <w:t>大气排放口情况一览表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554"/>
              <w:gridCol w:w="2054"/>
              <w:gridCol w:w="758"/>
              <w:gridCol w:w="758"/>
              <w:gridCol w:w="758"/>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排放口编号</w:t>
                  </w:r>
                </w:p>
              </w:tc>
              <w:tc>
                <w:tcPr>
                  <w:tcW w:w="1006"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排放口</w:t>
                  </w:r>
                  <w:r>
                    <w:rPr>
                      <w:rFonts w:hint="eastAsia" w:ascii="Times New Roman" w:hAnsi="Times New Roman" w:eastAsia="宋体" w:cs="Times New Roman"/>
                      <w:color w:val="auto"/>
                      <w:sz w:val="21"/>
                      <w:szCs w:val="21"/>
                    </w:rPr>
                    <w:t>名称</w:t>
                  </w:r>
                </w:p>
              </w:tc>
              <w:tc>
                <w:tcPr>
                  <w:tcW w:w="1330"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地理坐标</w:t>
                  </w:r>
                </w:p>
              </w:tc>
              <w:tc>
                <w:tcPr>
                  <w:tcW w:w="490"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高度</w:t>
                  </w:r>
                </w:p>
              </w:tc>
              <w:tc>
                <w:tcPr>
                  <w:tcW w:w="490"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内径</w:t>
                  </w:r>
                </w:p>
              </w:tc>
              <w:tc>
                <w:tcPr>
                  <w:tcW w:w="490"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温度</w:t>
                  </w:r>
                </w:p>
              </w:tc>
              <w:tc>
                <w:tcPr>
                  <w:tcW w:w="601"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pPr>
                    <w:pStyle w:val="7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1</w:t>
                  </w:r>
                </w:p>
              </w:tc>
              <w:tc>
                <w:tcPr>
                  <w:tcW w:w="1006"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rPr>
                    <w:t>生物滤池除臭排气筒</w:t>
                  </w:r>
                </w:p>
              </w:tc>
              <w:tc>
                <w:tcPr>
                  <w:tcW w:w="1330"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E</w:t>
                  </w:r>
                  <w:r>
                    <w:rPr>
                      <w:rFonts w:hint="eastAsia" w:ascii="Times New Roman" w:hAnsi="Times New Roman" w:eastAsia="宋体" w:cs="Times New Roman"/>
                      <w:color w:val="auto"/>
                      <w:sz w:val="21"/>
                    </w:rPr>
                    <w:t xml:space="preserve"> 113°9'26.80"</w:t>
                  </w:r>
                </w:p>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N</w:t>
                  </w:r>
                  <w:r>
                    <w:rPr>
                      <w:rFonts w:hint="eastAsia" w:ascii="Times New Roman" w:hAnsi="Times New Roman" w:eastAsia="宋体" w:cs="Times New Roman"/>
                      <w:color w:val="auto"/>
                      <w:sz w:val="21"/>
                    </w:rPr>
                    <w:t xml:space="preserve"> 38°37'16.25"</w:t>
                  </w:r>
                </w:p>
              </w:tc>
              <w:tc>
                <w:tcPr>
                  <w:tcW w:w="490"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15m</w:t>
                  </w:r>
                </w:p>
              </w:tc>
              <w:tc>
                <w:tcPr>
                  <w:tcW w:w="490"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490" w:type="pct"/>
                  <w:vAlign w:val="center"/>
                </w:tcPr>
                <w:p>
                  <w:pPr>
                    <w:pStyle w:val="7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常温</w:t>
                  </w:r>
                </w:p>
              </w:tc>
              <w:tc>
                <w:tcPr>
                  <w:tcW w:w="601" w:type="pct"/>
                  <w:vAlign w:val="center"/>
                </w:tcPr>
                <w:p>
                  <w:pPr>
                    <w:pStyle w:val="7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一般排放口</w:t>
                  </w:r>
                </w:p>
              </w:tc>
            </w:tr>
          </w:tbl>
          <w:p>
            <w:pPr>
              <w:pStyle w:val="91"/>
              <w:numPr>
                <w:ilvl w:val="0"/>
                <w:numId w:val="0"/>
              </w:numPr>
              <w:spacing w:line="480" w:lineRule="exact"/>
              <w:ind w:firstLine="422" w:firstLineChars="200"/>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本项目废水排放口</w:t>
            </w:r>
          </w:p>
          <w:p>
            <w:pPr>
              <w:autoSpaceDE w:val="0"/>
              <w:autoSpaceDN w:val="0"/>
              <w:adjustRightInd w:val="0"/>
              <w:snapToGrid w:val="0"/>
              <w:spacing w:line="480" w:lineRule="exact"/>
              <w:jc w:val="center"/>
              <w:rPr>
                <w:rFonts w:hint="eastAsia" w:ascii="黑体" w:hAnsi="黑体" w:eastAsia="黑体"/>
                <w:bCs/>
                <w:color w:val="auto"/>
                <w:szCs w:val="18"/>
              </w:rPr>
            </w:pPr>
          </w:p>
          <w:p>
            <w:pPr>
              <w:autoSpaceDE w:val="0"/>
              <w:autoSpaceDN w:val="0"/>
              <w:adjustRightInd w:val="0"/>
              <w:snapToGrid w:val="0"/>
              <w:spacing w:line="480" w:lineRule="exact"/>
              <w:jc w:val="center"/>
              <w:rPr>
                <w:rFonts w:hint="eastAsia" w:ascii="黑体" w:hAnsi="黑体" w:eastAsia="黑体"/>
                <w:bCs/>
                <w:color w:val="auto"/>
                <w:szCs w:val="18"/>
              </w:rPr>
            </w:pPr>
          </w:p>
          <w:p>
            <w:pPr>
              <w:autoSpaceDE w:val="0"/>
              <w:autoSpaceDN w:val="0"/>
              <w:adjustRightInd w:val="0"/>
              <w:snapToGrid w:val="0"/>
              <w:spacing w:line="480" w:lineRule="exact"/>
              <w:jc w:val="center"/>
              <w:rPr>
                <w:rFonts w:hint="eastAsia" w:ascii="黑体" w:hAnsi="黑体" w:eastAsia="黑体"/>
                <w:bCs/>
                <w:color w:val="auto"/>
                <w:szCs w:val="18"/>
              </w:rPr>
            </w:pPr>
          </w:p>
          <w:p>
            <w:pPr>
              <w:autoSpaceDE w:val="0"/>
              <w:autoSpaceDN w:val="0"/>
              <w:adjustRightInd w:val="0"/>
              <w:snapToGrid w:val="0"/>
              <w:spacing w:line="480" w:lineRule="exact"/>
              <w:jc w:val="center"/>
              <w:rPr>
                <w:rFonts w:hint="default" w:ascii="黑体" w:hAnsi="黑体" w:eastAsia="黑体"/>
                <w:bCs/>
                <w:color w:val="auto"/>
                <w:szCs w:val="18"/>
                <w:lang w:val="en-US" w:eastAsia="zh-CN"/>
              </w:rPr>
            </w:pPr>
            <w:r>
              <w:rPr>
                <w:rFonts w:hint="eastAsia" w:ascii="黑体" w:hAnsi="黑体" w:eastAsia="黑体"/>
                <w:bCs/>
                <w:color w:val="auto"/>
                <w:szCs w:val="18"/>
              </w:rPr>
              <w:t>表5-</w:t>
            </w:r>
            <w:r>
              <w:rPr>
                <w:rFonts w:hint="eastAsia" w:ascii="黑体" w:hAnsi="黑体" w:eastAsia="黑体"/>
                <w:bCs/>
                <w:color w:val="auto"/>
                <w:szCs w:val="18"/>
                <w:lang w:val="en-US" w:eastAsia="zh-CN"/>
              </w:rPr>
              <w:t>4</w:t>
            </w:r>
            <w:r>
              <w:rPr>
                <w:rFonts w:hint="eastAsia" w:ascii="黑体" w:hAnsi="黑体" w:eastAsia="黑体"/>
                <w:bCs/>
                <w:color w:val="auto"/>
                <w:szCs w:val="18"/>
              </w:rPr>
              <w:t xml:space="preserve">  </w:t>
            </w:r>
            <w:r>
              <w:rPr>
                <w:rFonts w:hint="eastAsia" w:ascii="黑体" w:hAnsi="黑体" w:eastAsia="黑体"/>
                <w:bCs/>
                <w:color w:val="auto"/>
                <w:szCs w:val="18"/>
                <w:lang w:val="en-US" w:eastAsia="zh-CN"/>
              </w:rPr>
              <w:t>废水排放口情况一览表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356"/>
              <w:gridCol w:w="1617"/>
              <w:gridCol w:w="1294"/>
              <w:gridCol w:w="857"/>
              <w:gridCol w:w="758"/>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排放口编号</w:t>
                  </w:r>
                </w:p>
              </w:tc>
              <w:tc>
                <w:tcPr>
                  <w:tcW w:w="878"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排放口</w:t>
                  </w:r>
                  <w:r>
                    <w:rPr>
                      <w:rFonts w:hint="eastAsia" w:ascii="Times New Roman" w:hAnsi="Times New Roman" w:eastAsia="宋体" w:cs="Times New Roman"/>
                      <w:color w:val="auto"/>
                      <w:sz w:val="21"/>
                      <w:szCs w:val="21"/>
                    </w:rPr>
                    <w:t>名称</w:t>
                  </w:r>
                </w:p>
              </w:tc>
              <w:tc>
                <w:tcPr>
                  <w:tcW w:w="1047"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地理坐标</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rPr>
                  </w:pPr>
                  <w:r>
                    <w:rPr>
                      <w:rFonts w:hint="eastAsia"/>
                      <w:color w:val="auto"/>
                      <w:sz w:val="21"/>
                      <w:szCs w:val="21"/>
                      <w:vertAlign w:val="baseline"/>
                      <w:lang w:val="en-US" w:eastAsia="zh-CN"/>
                    </w:rPr>
                    <w:t>排放去向</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rPr>
                  </w:pPr>
                  <w:r>
                    <w:rPr>
                      <w:rFonts w:hint="eastAsia"/>
                      <w:color w:val="auto"/>
                      <w:sz w:val="21"/>
                      <w:szCs w:val="21"/>
                      <w:vertAlign w:val="baseline"/>
                      <w:lang w:val="en-US" w:eastAsia="zh-CN"/>
                    </w:rPr>
                    <w:t>排放规律</w:t>
                  </w:r>
                </w:p>
              </w:tc>
              <w:tc>
                <w:tcPr>
                  <w:tcW w:w="490"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受纳水体</w:t>
                  </w:r>
                </w:p>
              </w:tc>
              <w:tc>
                <w:tcPr>
                  <w:tcW w:w="601"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pPr>
                    <w:pStyle w:val="7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D</w:t>
                  </w:r>
                  <w:r>
                    <w:rPr>
                      <w:rFonts w:hint="eastAsia" w:ascii="Times New Roman" w:hAnsi="Times New Roman" w:eastAsia="宋体" w:cs="Times New Roman"/>
                      <w:color w:val="auto"/>
                      <w:sz w:val="21"/>
                      <w:szCs w:val="21"/>
                      <w:lang w:val="en-US" w:eastAsia="zh-CN"/>
                    </w:rPr>
                    <w:t>W</w:t>
                  </w:r>
                  <w:r>
                    <w:rPr>
                      <w:rFonts w:hint="eastAsia"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1</w:t>
                  </w:r>
                </w:p>
              </w:tc>
              <w:tc>
                <w:tcPr>
                  <w:tcW w:w="878" w:type="pct"/>
                  <w:vAlign w:val="center"/>
                </w:tcPr>
                <w:p>
                  <w:pPr>
                    <w:pStyle w:val="7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城镇污水处理厂排放口</w:t>
                  </w:r>
                </w:p>
              </w:tc>
              <w:tc>
                <w:tcPr>
                  <w:tcW w:w="10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E 113</w:t>
                  </w:r>
                  <w:r>
                    <w:rPr>
                      <w:rFonts w:hint="default" w:ascii="Times New Roman" w:hAnsi="Times New Roman" w:cs="Times New Roman"/>
                      <w:color w:val="auto"/>
                      <w:sz w:val="21"/>
                      <w:szCs w:val="21"/>
                      <w:vertAlign w:val="baseline"/>
                      <w:lang w:val="en-US" w:eastAsia="zh-CN"/>
                    </w:rPr>
                    <w:t>°</w:t>
                  </w:r>
                  <w:r>
                    <w:rPr>
                      <w:rFonts w:hint="eastAsia"/>
                      <w:color w:val="auto"/>
                      <w:sz w:val="21"/>
                      <w:szCs w:val="21"/>
                      <w:vertAlign w:val="baseline"/>
                      <w:lang w:val="en-US" w:eastAsia="zh-CN"/>
                    </w:rPr>
                    <w:t>9'25.91"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eastAsia"/>
                      <w:color w:val="auto"/>
                      <w:sz w:val="21"/>
                      <w:szCs w:val="21"/>
                      <w:vertAlign w:val="baseline"/>
                      <w:lang w:val="en-US" w:eastAsia="zh-CN"/>
                    </w:rPr>
                    <w:t>N 38</w:t>
                  </w:r>
                  <w:r>
                    <w:rPr>
                      <w:rFonts w:hint="default" w:ascii="Times New Roman" w:hAnsi="Times New Roman" w:cs="Times New Roman"/>
                      <w:color w:val="auto"/>
                      <w:sz w:val="21"/>
                      <w:szCs w:val="21"/>
                      <w:vertAlign w:val="baseline"/>
                      <w:lang w:val="en-US" w:eastAsia="zh-CN"/>
                    </w:rPr>
                    <w:t>°</w:t>
                  </w:r>
                  <w:r>
                    <w:rPr>
                      <w:rFonts w:hint="eastAsia"/>
                      <w:color w:val="auto"/>
                      <w:sz w:val="21"/>
                      <w:szCs w:val="21"/>
                      <w:vertAlign w:val="baseline"/>
                      <w:lang w:val="en-US" w:eastAsia="zh-CN"/>
                    </w:rPr>
                    <w:t>37'17.07"</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vertAlign w:val="baseline"/>
                      <w:lang w:val="en-US" w:eastAsia="zh-CN"/>
                    </w:rPr>
                    <w:t>直接进入江河、湖、库等水环境</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vertAlign w:val="baseline"/>
                      <w:lang w:val="en-US" w:eastAsia="zh-CN"/>
                    </w:rPr>
                    <w:t>连续排放、流量稳定</w:t>
                  </w:r>
                </w:p>
              </w:tc>
              <w:tc>
                <w:tcPr>
                  <w:tcW w:w="490" w:type="pct"/>
                  <w:vAlign w:val="center"/>
                </w:tcPr>
                <w:p>
                  <w:pPr>
                    <w:pStyle w:val="7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滹沱河</w:t>
                  </w:r>
                </w:p>
              </w:tc>
              <w:tc>
                <w:tcPr>
                  <w:tcW w:w="601" w:type="pct"/>
                  <w:vAlign w:val="center"/>
                </w:tcPr>
                <w:p>
                  <w:pPr>
                    <w:pStyle w:val="7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主要</w:t>
                  </w:r>
                  <w:r>
                    <w:rPr>
                      <w:rFonts w:hint="eastAsia" w:ascii="Times New Roman" w:hAnsi="Times New Roman" w:eastAsia="宋体" w:cs="Times New Roman"/>
                      <w:color w:val="auto"/>
                      <w:sz w:val="21"/>
                      <w:szCs w:val="21"/>
                    </w:rPr>
                    <w:t>排放口</w:t>
                  </w:r>
                </w:p>
              </w:tc>
            </w:tr>
          </w:tbl>
          <w:p>
            <w:pPr>
              <w:pStyle w:val="91"/>
              <w:numPr>
                <w:ilvl w:val="0"/>
                <w:numId w:val="0"/>
              </w:numPr>
              <w:spacing w:line="480" w:lineRule="exact"/>
              <w:ind w:firstLine="422" w:firstLineChars="200"/>
              <w:rPr>
                <w:rFonts w:ascii="Times New Roman" w:hAnsi="Times New Roman" w:eastAsia="宋体"/>
                <w:color w:val="auto"/>
                <w:szCs w:val="21"/>
              </w:rPr>
            </w:pPr>
            <w:r>
              <w:rPr>
                <w:rFonts w:hint="eastAsia" w:ascii="Times New Roman" w:hAnsi="Times New Roman" w:eastAsia="宋体"/>
                <w:color w:val="auto"/>
                <w:szCs w:val="21"/>
              </w:rPr>
              <w:t>3、管理监测信息公开</w:t>
            </w:r>
          </w:p>
          <w:p>
            <w:pPr>
              <w:spacing w:line="480" w:lineRule="exact"/>
              <w:ind w:firstLine="420" w:firstLineChars="200"/>
              <w:rPr>
                <w:color w:val="auto"/>
                <w:szCs w:val="18"/>
              </w:rPr>
            </w:pPr>
            <w:r>
              <w:rPr>
                <w:rFonts w:hint="eastAsia"/>
                <w:color w:val="auto"/>
                <w:szCs w:val="18"/>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pPr>
              <w:spacing w:line="480" w:lineRule="exact"/>
              <w:ind w:firstLine="420" w:firstLineChars="200"/>
              <w:rPr>
                <w:color w:val="auto"/>
                <w:szCs w:val="18"/>
              </w:rPr>
            </w:pPr>
            <w:r>
              <w:rPr>
                <w:rFonts w:hint="eastAsia"/>
                <w:color w:val="auto"/>
                <w:szCs w:val="18"/>
              </w:rPr>
              <w:t>1）基础信息，包括单位名称、组织机构代码、法定代表人、生产地址、联系方式，以及生产经营和管理服务的主要内容、产品及规模；</w:t>
            </w:r>
          </w:p>
          <w:p>
            <w:pPr>
              <w:spacing w:line="480" w:lineRule="exact"/>
              <w:ind w:firstLine="420" w:firstLineChars="200"/>
              <w:rPr>
                <w:color w:val="auto"/>
                <w:szCs w:val="18"/>
              </w:rPr>
            </w:pPr>
            <w:r>
              <w:rPr>
                <w:rFonts w:hint="eastAsia"/>
                <w:color w:val="auto"/>
                <w:szCs w:val="18"/>
              </w:rPr>
              <w:t>2）排污信息，包括主要污染物及特征污染物的名称、排放方式、排放口数量和分布情况、排放浓度和总量、超标情况以及执行的污染物排放标准、核定的排放总量；</w:t>
            </w:r>
          </w:p>
          <w:p>
            <w:pPr>
              <w:spacing w:line="480" w:lineRule="exact"/>
              <w:ind w:firstLine="420" w:firstLineChars="200"/>
              <w:rPr>
                <w:color w:val="auto"/>
                <w:szCs w:val="18"/>
              </w:rPr>
            </w:pPr>
            <w:r>
              <w:rPr>
                <w:rFonts w:hint="eastAsia"/>
                <w:color w:val="auto"/>
                <w:szCs w:val="18"/>
              </w:rPr>
              <w:t>3）防治污染设施的建设和运行情况；</w:t>
            </w:r>
          </w:p>
          <w:p>
            <w:pPr>
              <w:spacing w:line="480" w:lineRule="exact"/>
              <w:ind w:firstLine="420" w:firstLineChars="200"/>
              <w:rPr>
                <w:color w:val="auto"/>
                <w:szCs w:val="18"/>
              </w:rPr>
            </w:pPr>
            <w:r>
              <w:rPr>
                <w:rFonts w:hint="eastAsia"/>
                <w:color w:val="auto"/>
                <w:szCs w:val="18"/>
              </w:rPr>
              <w:t>4）建设项目环境影响评价及其他环境保护行政许可情况；</w:t>
            </w:r>
          </w:p>
          <w:p>
            <w:pPr>
              <w:spacing w:line="480" w:lineRule="exact"/>
              <w:ind w:firstLine="420" w:firstLineChars="200"/>
              <w:rPr>
                <w:color w:val="auto"/>
                <w:szCs w:val="18"/>
              </w:rPr>
            </w:pPr>
            <w:r>
              <w:rPr>
                <w:rFonts w:hint="eastAsia"/>
                <w:color w:val="auto"/>
                <w:szCs w:val="18"/>
              </w:rPr>
              <w:t>5）其他应当公开的环境信息。如竣工环境保护验收备案、自行监测工作开展情况及监测结果。</w:t>
            </w:r>
          </w:p>
          <w:p>
            <w:pPr>
              <w:spacing w:line="480" w:lineRule="exact"/>
              <w:ind w:firstLine="422" w:firstLineChars="200"/>
              <w:rPr>
                <w:b/>
                <w:bCs/>
                <w:color w:val="auto"/>
                <w:szCs w:val="18"/>
              </w:rPr>
            </w:pPr>
            <w:r>
              <w:rPr>
                <w:rFonts w:hint="eastAsia"/>
                <w:b/>
                <w:bCs/>
                <w:color w:val="auto"/>
                <w:szCs w:val="18"/>
              </w:rPr>
              <w:t>4、其他管理要求</w:t>
            </w:r>
          </w:p>
          <w:p>
            <w:pPr>
              <w:spacing w:line="480" w:lineRule="exact"/>
              <w:ind w:firstLine="420" w:firstLineChars="200"/>
              <w:rPr>
                <w:rFonts w:hint="eastAsia"/>
                <w:color w:val="auto"/>
                <w:szCs w:val="18"/>
              </w:rPr>
            </w:pPr>
            <w:r>
              <w:rPr>
                <w:rFonts w:hint="eastAsia"/>
                <w:color w:val="auto"/>
                <w:szCs w:val="18"/>
              </w:rPr>
              <w:t>项目建设完成以后，及时办理排污许可证，并进行竣工环境保护验收。</w:t>
            </w:r>
          </w:p>
          <w:p>
            <w:pPr>
              <w:spacing w:line="480" w:lineRule="exact"/>
              <w:ind w:firstLine="420" w:firstLineChars="200"/>
              <w:rPr>
                <w:rFonts w:hint="eastAsia"/>
                <w:color w:val="auto"/>
                <w:lang w:val="en-US" w:eastAsia="zh-CN"/>
              </w:rPr>
            </w:pPr>
          </w:p>
          <w:p>
            <w:pPr>
              <w:spacing w:line="480" w:lineRule="exact"/>
              <w:ind w:firstLine="420" w:firstLineChars="200"/>
              <w:rPr>
                <w:rFonts w:hint="eastAsia"/>
                <w:color w:val="auto"/>
                <w:lang w:val="en-US" w:eastAsia="zh-CN"/>
              </w:rPr>
            </w:pPr>
          </w:p>
          <w:p>
            <w:pPr>
              <w:spacing w:line="480" w:lineRule="exact"/>
              <w:ind w:firstLine="420" w:firstLineChars="200"/>
              <w:rPr>
                <w:rFonts w:hint="eastAsia"/>
                <w:color w:val="auto"/>
                <w:lang w:val="en-US" w:eastAsia="zh-CN"/>
              </w:rPr>
            </w:pPr>
          </w:p>
          <w:p>
            <w:pPr>
              <w:spacing w:line="480" w:lineRule="exact"/>
              <w:ind w:firstLine="420" w:firstLineChars="200"/>
              <w:rPr>
                <w:rFonts w:hint="eastAsia"/>
                <w:color w:val="auto"/>
                <w:lang w:val="en-US" w:eastAsia="zh-CN"/>
              </w:rPr>
            </w:pPr>
          </w:p>
          <w:p>
            <w:pPr>
              <w:spacing w:line="480" w:lineRule="exact"/>
              <w:ind w:firstLine="420" w:firstLineChars="200"/>
              <w:rPr>
                <w:rFonts w:hint="eastAsia"/>
                <w:color w:val="auto"/>
                <w:lang w:val="en-US" w:eastAsia="zh-CN"/>
              </w:rPr>
            </w:pPr>
          </w:p>
          <w:p>
            <w:pPr>
              <w:spacing w:line="480" w:lineRule="exact"/>
              <w:ind w:firstLine="420" w:firstLineChars="200"/>
              <w:rPr>
                <w:rFonts w:hint="eastAsia"/>
                <w:color w:val="auto"/>
                <w:lang w:val="en-US" w:eastAsia="zh-CN"/>
              </w:rPr>
            </w:pPr>
          </w:p>
          <w:p>
            <w:pPr>
              <w:spacing w:line="480" w:lineRule="exact"/>
              <w:ind w:firstLine="420" w:firstLineChars="200"/>
              <w:rPr>
                <w:rFonts w:hint="eastAsia"/>
                <w:color w:val="auto"/>
                <w:lang w:val="en-US" w:eastAsia="zh-CN"/>
              </w:rPr>
            </w:pPr>
          </w:p>
          <w:p>
            <w:pPr>
              <w:spacing w:line="480" w:lineRule="exact"/>
              <w:ind w:firstLine="420" w:firstLineChars="200"/>
              <w:rPr>
                <w:rFonts w:hint="eastAsia" w:eastAsia="宋体"/>
                <w:color w:val="auto"/>
                <w:lang w:val="en-US" w:eastAsia="zh-CN"/>
              </w:rPr>
            </w:pPr>
          </w:p>
        </w:tc>
      </w:tr>
    </w:tbl>
    <w:p>
      <w:pPr>
        <w:rPr>
          <w:color w:val="auto"/>
        </w:rPr>
        <w:sectPr>
          <w:pgSz w:w="11906" w:h="16838"/>
          <w:pgMar w:top="1701" w:right="1531" w:bottom="1701" w:left="1531" w:header="1134" w:footer="992" w:gutter="0"/>
          <w:cols w:space="425" w:num="1"/>
          <w:docGrid w:type="lines" w:linePitch="312" w:charSpace="0"/>
        </w:sectPr>
      </w:pPr>
    </w:p>
    <w:p>
      <w:pPr>
        <w:pStyle w:val="23"/>
        <w:spacing w:before="0" w:beforeAutospacing="0" w:after="0" w:afterAutospacing="0"/>
        <w:jc w:val="center"/>
        <w:outlineLvl w:val="0"/>
        <w:rPr>
          <w:rFonts w:ascii="黑体" w:hAnsi="黑体" w:eastAsia="黑体"/>
          <w:color w:val="auto"/>
          <w:sz w:val="30"/>
          <w:szCs w:val="30"/>
        </w:rPr>
      </w:pPr>
      <w:bookmarkStart w:id="13" w:name="_Toc25573"/>
      <w:r>
        <w:rPr>
          <w:rFonts w:hint="eastAsia" w:ascii="黑体" w:hAnsi="黑体" w:eastAsia="黑体"/>
          <w:color w:val="auto"/>
          <w:sz w:val="30"/>
          <w:szCs w:val="30"/>
        </w:rPr>
        <w:t>六、</w:t>
      </w:r>
      <w:r>
        <w:rPr>
          <w:rFonts w:hint="eastAsia" w:ascii="黑体" w:hAnsi="黑体" w:eastAsia="黑体"/>
          <w:snapToGrid w:val="0"/>
          <w:color w:val="auto"/>
          <w:sz w:val="30"/>
          <w:szCs w:val="30"/>
        </w:rPr>
        <w:t>结论</w:t>
      </w:r>
      <w:bookmarkEnd w:id="13"/>
    </w:p>
    <w:tbl>
      <w:tblPr>
        <w:tblStyle w:val="28"/>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atLeast"/>
        </w:trPr>
        <w:tc>
          <w:tcPr>
            <w:tcW w:w="9214" w:type="dxa"/>
            <w:vAlign w:val="center"/>
          </w:tcPr>
          <w:p>
            <w:pPr>
              <w:adjustRightInd w:val="0"/>
              <w:snapToGrid w:val="0"/>
              <w:spacing w:line="480" w:lineRule="exact"/>
              <w:ind w:firstLine="482" w:firstLineChars="200"/>
              <w:rPr>
                <w:bCs/>
                <w:color w:val="auto"/>
              </w:rPr>
            </w:pPr>
            <w:r>
              <w:rPr>
                <w:rFonts w:hint="eastAsia"/>
                <w:b/>
                <w:color w:val="auto"/>
                <w:sz w:val="24"/>
                <w:szCs w:val="24"/>
              </w:rPr>
              <w:t>综上所述，本项目在严格采取本环评规定的环保措施后，各项污染物可以达标排放或综合利用，对区域环境质量影响较小。本项目应严格执行环保管理部门制定的政策和规定，并认真落实环评报告表中所提的环保措施。从环保角度考虑，评价认为该项目建设可行。</w:t>
            </w:r>
          </w:p>
        </w:tc>
      </w:tr>
    </w:tbl>
    <w:p>
      <w:pPr>
        <w:rPr>
          <w:color w:val="auto"/>
        </w:rPr>
        <w:sectPr>
          <w:pgSz w:w="11906" w:h="16838"/>
          <w:pgMar w:top="1701" w:right="1531" w:bottom="1701" w:left="1531" w:header="1134" w:footer="992" w:gutter="0"/>
          <w:cols w:space="425" w:num="1"/>
          <w:docGrid w:type="lines" w:linePitch="312" w:charSpace="0"/>
        </w:sectPr>
      </w:pPr>
    </w:p>
    <w:p>
      <w:pPr>
        <w:pStyle w:val="23"/>
        <w:adjustRightInd w:val="0"/>
        <w:snapToGrid w:val="0"/>
        <w:spacing w:before="156" w:beforeLines="50" w:beforeAutospacing="0" w:after="156" w:afterLines="50" w:afterAutospacing="0"/>
        <w:jc w:val="center"/>
        <w:outlineLvl w:val="0"/>
        <w:rPr>
          <w:rFonts w:ascii="方正小标宋_GBK" w:hAnsi="黑体" w:eastAsia="方正小标宋_GBK"/>
          <w:snapToGrid w:val="0"/>
          <w:color w:val="auto"/>
          <w:sz w:val="38"/>
          <w:szCs w:val="38"/>
        </w:rPr>
      </w:pPr>
      <w:bookmarkStart w:id="14" w:name="_Toc16656"/>
      <w:r>
        <w:rPr>
          <w:rFonts w:hint="eastAsia" w:ascii="方正小标宋_GBK" w:hAnsi="黑体" w:eastAsia="方正小标宋_GBK"/>
          <w:snapToGrid w:val="0"/>
          <w:color w:val="auto"/>
          <w:sz w:val="38"/>
          <w:szCs w:val="38"/>
        </w:rPr>
        <w:t>建设项目污染物排放量汇总表</w:t>
      </w:r>
      <w:bookmarkEnd w:id="14"/>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741"/>
        <w:gridCol w:w="1521"/>
        <w:gridCol w:w="1456"/>
        <w:gridCol w:w="1521"/>
        <w:gridCol w:w="1559"/>
        <w:gridCol w:w="1418"/>
        <w:gridCol w:w="1843"/>
        <w:gridCol w:w="1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tcBorders>
              <w:tl2br w:val="single" w:color="auto" w:sz="4" w:space="0"/>
            </w:tcBorders>
            <w:tcMar>
              <w:left w:w="28" w:type="dxa"/>
              <w:right w:w="28" w:type="dxa"/>
            </w:tcMar>
            <w:vAlign w:val="center"/>
          </w:tcPr>
          <w:p>
            <w:pPr>
              <w:pStyle w:val="34"/>
              <w:spacing w:beforeLines="0" w:afterLines="0" w:line="240" w:lineRule="auto"/>
              <w:jc w:val="right"/>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项目</w:t>
            </w:r>
          </w:p>
          <w:p>
            <w:pPr>
              <w:pStyle w:val="34"/>
              <w:spacing w:beforeLines="0" w:afterLines="0" w:line="240" w:lineRule="auto"/>
              <w:jc w:val="left"/>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分类</w:t>
            </w:r>
          </w:p>
        </w:tc>
        <w:tc>
          <w:tcPr>
            <w:tcW w:w="1741" w:type="dxa"/>
            <w:tcMar>
              <w:left w:w="28" w:type="dxa"/>
              <w:right w:w="28" w:type="dxa"/>
            </w:tcMar>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污染物名称</w:t>
            </w:r>
          </w:p>
        </w:tc>
        <w:tc>
          <w:tcPr>
            <w:tcW w:w="1521" w:type="dxa"/>
            <w:tcMar>
              <w:left w:w="28" w:type="dxa"/>
              <w:right w:w="28" w:type="dxa"/>
            </w:tcMar>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现有工程</w:t>
            </w:r>
          </w:p>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排放量（固体废物产生量）</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1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①</w:t>
            </w:r>
            <w:r>
              <w:rPr>
                <w:rFonts w:hint="eastAsia" w:ascii="Times New Roman" w:hAnsi="Times New Roman" w:eastAsia="黑体" w:cs="Times New Roman"/>
                <w:snapToGrid w:val="0"/>
                <w:color w:val="auto"/>
                <w:kern w:val="21"/>
                <w:szCs w:val="21"/>
              </w:rPr>
              <w:fldChar w:fldCharType="end"/>
            </w:r>
          </w:p>
        </w:tc>
        <w:tc>
          <w:tcPr>
            <w:tcW w:w="1456" w:type="dxa"/>
            <w:tcMar>
              <w:left w:w="28" w:type="dxa"/>
              <w:right w:w="28" w:type="dxa"/>
            </w:tcMar>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现有工程</w:t>
            </w:r>
          </w:p>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许可排放量</w:t>
            </w:r>
          </w:p>
          <w:p>
            <w:pPr>
              <w:pStyle w:val="34"/>
              <w:spacing w:beforeLines="0" w:afterLines="0"/>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2 \* GB3 \* MERGEFORMAT </w:instrText>
            </w:r>
            <w:r>
              <w:rPr>
                <w:rFonts w:hint="eastAsia" w:ascii="Times New Roman" w:hAnsi="Times New Roman" w:eastAsia="黑体" w:cs="Times New Roman"/>
                <w:snapToGrid w:val="0"/>
                <w:color w:val="auto"/>
                <w:kern w:val="21"/>
                <w:szCs w:val="21"/>
              </w:rPr>
              <w:fldChar w:fldCharType="separate"/>
            </w:r>
            <w:r>
              <w:rPr>
                <w:rFonts w:hint="eastAsia"/>
                <w:snapToGrid w:val="0"/>
                <w:color w:val="auto"/>
                <w:kern w:val="21"/>
                <w:szCs w:val="21"/>
              </w:rPr>
              <w:t>②</w:t>
            </w:r>
            <w:r>
              <w:rPr>
                <w:rFonts w:hint="eastAsia" w:ascii="Times New Roman" w:hAnsi="Times New Roman" w:eastAsia="黑体" w:cs="Times New Roman"/>
                <w:snapToGrid w:val="0"/>
                <w:color w:val="auto"/>
                <w:kern w:val="21"/>
                <w:szCs w:val="21"/>
              </w:rPr>
              <w:fldChar w:fldCharType="end"/>
            </w:r>
          </w:p>
        </w:tc>
        <w:tc>
          <w:tcPr>
            <w:tcW w:w="1521" w:type="dxa"/>
            <w:tcMar>
              <w:left w:w="28" w:type="dxa"/>
              <w:right w:w="28" w:type="dxa"/>
            </w:tcMar>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在建工程</w:t>
            </w:r>
          </w:p>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排放量（固体废物产生量）</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3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③</w:t>
            </w:r>
            <w:r>
              <w:rPr>
                <w:rFonts w:hint="eastAsia" w:ascii="Times New Roman" w:hAnsi="Times New Roman" w:eastAsia="黑体" w:cs="Times New Roman"/>
                <w:snapToGrid w:val="0"/>
                <w:color w:val="auto"/>
                <w:kern w:val="21"/>
                <w:szCs w:val="21"/>
              </w:rPr>
              <w:fldChar w:fldCharType="end"/>
            </w:r>
          </w:p>
        </w:tc>
        <w:tc>
          <w:tcPr>
            <w:tcW w:w="1559" w:type="dxa"/>
            <w:tcMar>
              <w:left w:w="28" w:type="dxa"/>
              <w:right w:w="28" w:type="dxa"/>
            </w:tcMar>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本项目</w:t>
            </w:r>
          </w:p>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排放量（固体废物产生量）</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4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④</w:t>
            </w:r>
            <w:r>
              <w:rPr>
                <w:rFonts w:hint="eastAsia" w:ascii="Times New Roman" w:hAnsi="Times New Roman" w:eastAsia="黑体" w:cs="Times New Roman"/>
                <w:snapToGrid w:val="0"/>
                <w:color w:val="auto"/>
                <w:kern w:val="21"/>
                <w:szCs w:val="21"/>
              </w:rPr>
              <w:fldChar w:fldCharType="end"/>
            </w:r>
          </w:p>
        </w:tc>
        <w:tc>
          <w:tcPr>
            <w:tcW w:w="1418" w:type="dxa"/>
            <w:tcMar>
              <w:left w:w="28" w:type="dxa"/>
              <w:right w:w="28" w:type="dxa"/>
            </w:tcMar>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以新带老</w:t>
            </w:r>
          </w:p>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削减量（新建项目不填）</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5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⑤</w:t>
            </w:r>
            <w:r>
              <w:rPr>
                <w:rFonts w:hint="eastAsia" w:ascii="Times New Roman" w:hAnsi="Times New Roman" w:eastAsia="黑体" w:cs="Times New Roman"/>
                <w:snapToGrid w:val="0"/>
                <w:color w:val="auto"/>
                <w:kern w:val="21"/>
                <w:szCs w:val="21"/>
              </w:rPr>
              <w:fldChar w:fldCharType="end"/>
            </w:r>
          </w:p>
        </w:tc>
        <w:tc>
          <w:tcPr>
            <w:tcW w:w="1843" w:type="dxa"/>
            <w:tcMar>
              <w:left w:w="28" w:type="dxa"/>
              <w:right w:w="28" w:type="dxa"/>
            </w:tcMar>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本项目建成后</w:t>
            </w:r>
          </w:p>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全厂排放量（固体废物产生量）</w:t>
            </w: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6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⑥</w:t>
            </w:r>
            <w:r>
              <w:rPr>
                <w:rFonts w:hint="eastAsia" w:ascii="Times New Roman" w:hAnsi="Times New Roman" w:eastAsia="黑体" w:cs="Times New Roman"/>
                <w:snapToGrid w:val="0"/>
                <w:color w:val="auto"/>
                <w:kern w:val="21"/>
                <w:szCs w:val="21"/>
              </w:rPr>
              <w:fldChar w:fldCharType="end"/>
            </w:r>
          </w:p>
        </w:tc>
        <w:tc>
          <w:tcPr>
            <w:tcW w:w="1465" w:type="dxa"/>
            <w:tcMar>
              <w:left w:w="28" w:type="dxa"/>
              <w:right w:w="28" w:type="dxa"/>
            </w:tcMar>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变化量</w:t>
            </w:r>
          </w:p>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fldChar w:fldCharType="begin"/>
            </w:r>
            <w:r>
              <w:rPr>
                <w:rFonts w:hint="eastAsia" w:ascii="Times New Roman" w:hAnsi="Times New Roman" w:eastAsia="黑体" w:cs="Times New Roman"/>
                <w:snapToGrid w:val="0"/>
                <w:color w:val="auto"/>
                <w:kern w:val="21"/>
                <w:szCs w:val="21"/>
              </w:rPr>
              <w:instrText xml:space="preserve"> = 7 \* GB3 \* MERGEFORMAT </w:instrText>
            </w:r>
            <w:r>
              <w:rPr>
                <w:rFonts w:hint="eastAsia" w:ascii="Times New Roman" w:hAnsi="Times New Roman" w:eastAsia="黑体" w:cs="Times New Roman"/>
                <w:snapToGrid w:val="0"/>
                <w:color w:val="auto"/>
                <w:kern w:val="21"/>
                <w:szCs w:val="21"/>
              </w:rPr>
              <w:fldChar w:fldCharType="separate"/>
            </w:r>
            <w:r>
              <w:rPr>
                <w:rFonts w:hint="eastAsia"/>
                <w:color w:val="auto"/>
                <w:kern w:val="2"/>
                <w:szCs w:val="21"/>
              </w:rPr>
              <w:t>⑦</w:t>
            </w:r>
            <w:r>
              <w:rPr>
                <w:rFonts w:hint="eastAsia" w:ascii="Times New Roman" w:hAnsi="Times New Roman" w:eastAsia="黑体" w:cs="Times New Roman"/>
                <w:snapToGrid w:val="0"/>
                <w:color w:val="auto"/>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restart"/>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废气</w:t>
            </w:r>
          </w:p>
        </w:tc>
        <w:tc>
          <w:tcPr>
            <w:tcW w:w="1741"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硫化氢</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0.12</w:t>
            </w:r>
          </w:p>
        </w:tc>
        <w:tc>
          <w:tcPr>
            <w:tcW w:w="1418"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0.12</w:t>
            </w:r>
          </w:p>
        </w:tc>
        <w:tc>
          <w:tcPr>
            <w:tcW w:w="1465"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pPr>
              <w:pStyle w:val="34"/>
              <w:spacing w:beforeLines="0" w:afterLines="0" w:line="240" w:lineRule="auto"/>
              <w:rPr>
                <w:rFonts w:hint="eastAsia" w:ascii="Times New Roman" w:hAnsi="Times New Roman" w:eastAsia="黑体" w:cs="Times New Roman"/>
                <w:snapToGrid w:val="0"/>
                <w:color w:val="auto"/>
                <w:kern w:val="21"/>
                <w:szCs w:val="21"/>
              </w:rPr>
            </w:pPr>
          </w:p>
        </w:tc>
        <w:tc>
          <w:tcPr>
            <w:tcW w:w="174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氨</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0.05</w:t>
            </w:r>
          </w:p>
        </w:tc>
        <w:tc>
          <w:tcPr>
            <w:tcW w:w="1418"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0.05</w:t>
            </w:r>
          </w:p>
        </w:tc>
        <w:tc>
          <w:tcPr>
            <w:tcW w:w="1465"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restart"/>
            <w:vAlign w:val="center"/>
          </w:tcPr>
          <w:p>
            <w:pPr>
              <w:pStyle w:val="34"/>
              <w:spacing w:beforeLines="0" w:afterLines="0" w:line="240" w:lineRule="auto"/>
            </w:pPr>
            <w:r>
              <w:rPr>
                <w:rFonts w:hint="eastAsia" w:ascii="Times New Roman" w:hAnsi="Times New Roman" w:eastAsia="黑体" w:cs="Times New Roman"/>
                <w:snapToGrid w:val="0"/>
                <w:color w:val="auto"/>
                <w:kern w:val="21"/>
                <w:szCs w:val="21"/>
              </w:rPr>
              <w:t>废水</w:t>
            </w:r>
          </w:p>
        </w:tc>
        <w:tc>
          <w:tcPr>
            <w:tcW w:w="1741"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COD</w:t>
            </w:r>
            <w:r>
              <w:rPr>
                <w:rFonts w:hint="eastAsia" w:ascii="Times New Roman" w:hAnsi="Times New Roman" w:eastAsia="黑体" w:cs="Times New Roman"/>
                <w:snapToGrid w:val="0"/>
                <w:color w:val="auto"/>
                <w:kern w:val="21"/>
                <w:szCs w:val="21"/>
                <w:vertAlign w:val="subscript"/>
                <w:lang w:val="en-US" w:eastAsia="zh-CN"/>
              </w:rPr>
              <w:t>Cr</w:t>
            </w:r>
          </w:p>
        </w:tc>
        <w:tc>
          <w:tcPr>
            <w:tcW w:w="152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29.2</w:t>
            </w:r>
          </w:p>
        </w:tc>
        <w:tc>
          <w:tcPr>
            <w:tcW w:w="1418"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29.2</w:t>
            </w:r>
          </w:p>
        </w:tc>
        <w:tc>
          <w:tcPr>
            <w:tcW w:w="1465"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tc>
        <w:tc>
          <w:tcPr>
            <w:tcW w:w="1741"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BOD</w:t>
            </w:r>
            <w:r>
              <w:rPr>
                <w:rFonts w:hint="eastAsia" w:ascii="Times New Roman" w:hAnsi="Times New Roman" w:eastAsia="黑体" w:cs="Times New Roman"/>
                <w:snapToGrid w:val="0"/>
                <w:color w:val="auto"/>
                <w:kern w:val="21"/>
                <w:szCs w:val="21"/>
                <w:vertAlign w:val="subscript"/>
                <w:lang w:val="en-US" w:eastAsia="zh-CN"/>
              </w:rPr>
              <w:t>5</w:t>
            </w:r>
          </w:p>
        </w:tc>
        <w:tc>
          <w:tcPr>
            <w:tcW w:w="152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7.3</w:t>
            </w:r>
          </w:p>
        </w:tc>
        <w:tc>
          <w:tcPr>
            <w:tcW w:w="1418"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7.3</w:t>
            </w:r>
          </w:p>
        </w:tc>
        <w:tc>
          <w:tcPr>
            <w:tcW w:w="1465"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tc>
        <w:tc>
          <w:tcPr>
            <w:tcW w:w="1741"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SS</w:t>
            </w:r>
          </w:p>
        </w:tc>
        <w:tc>
          <w:tcPr>
            <w:tcW w:w="1521"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7.3</w:t>
            </w:r>
          </w:p>
        </w:tc>
        <w:tc>
          <w:tcPr>
            <w:tcW w:w="1418"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7.3</w:t>
            </w:r>
          </w:p>
        </w:tc>
        <w:tc>
          <w:tcPr>
            <w:tcW w:w="1465"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tc>
        <w:tc>
          <w:tcPr>
            <w:tcW w:w="1741"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氨氮</w:t>
            </w:r>
          </w:p>
        </w:tc>
        <w:tc>
          <w:tcPr>
            <w:tcW w:w="1521"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1.46</w:t>
            </w:r>
          </w:p>
        </w:tc>
        <w:tc>
          <w:tcPr>
            <w:tcW w:w="1418"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1.46</w:t>
            </w:r>
          </w:p>
        </w:tc>
        <w:tc>
          <w:tcPr>
            <w:tcW w:w="1465"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pPr>
              <w:pStyle w:val="34"/>
              <w:spacing w:beforeLines="0" w:afterLines="0" w:line="240" w:lineRule="auto"/>
              <w:rPr>
                <w:rFonts w:ascii="Times New Roman" w:hAnsi="Times New Roman" w:eastAsia="黑体" w:cs="Times New Roman"/>
                <w:snapToGrid w:val="0"/>
                <w:color w:val="auto"/>
                <w:kern w:val="21"/>
                <w:szCs w:val="21"/>
              </w:rPr>
            </w:pPr>
          </w:p>
        </w:tc>
        <w:tc>
          <w:tcPr>
            <w:tcW w:w="1741"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总氮</w:t>
            </w:r>
          </w:p>
        </w:tc>
        <w:tc>
          <w:tcPr>
            <w:tcW w:w="1521"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10.95</w:t>
            </w:r>
          </w:p>
        </w:tc>
        <w:tc>
          <w:tcPr>
            <w:tcW w:w="1418"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10.95</w:t>
            </w:r>
          </w:p>
        </w:tc>
        <w:tc>
          <w:tcPr>
            <w:tcW w:w="1465"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+10.95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pPr>
              <w:pStyle w:val="34"/>
              <w:spacing w:beforeLines="0" w:afterLines="0" w:line="240" w:lineRule="auto"/>
              <w:rPr>
                <w:rFonts w:ascii="Times New Roman" w:hAnsi="Times New Roman" w:eastAsia="黑体" w:cs="Times New Roman"/>
                <w:snapToGrid w:val="0"/>
                <w:color w:val="auto"/>
                <w:kern w:val="21"/>
                <w:szCs w:val="21"/>
              </w:rPr>
            </w:pPr>
          </w:p>
        </w:tc>
        <w:tc>
          <w:tcPr>
            <w:tcW w:w="1741"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总磷</w:t>
            </w:r>
          </w:p>
        </w:tc>
        <w:tc>
          <w:tcPr>
            <w:tcW w:w="1521"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0.292</w:t>
            </w:r>
          </w:p>
        </w:tc>
        <w:tc>
          <w:tcPr>
            <w:tcW w:w="1418"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0.292</w:t>
            </w:r>
          </w:p>
        </w:tc>
        <w:tc>
          <w:tcPr>
            <w:tcW w:w="1465"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+0.292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restart"/>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一般工业</w:t>
            </w:r>
          </w:p>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固体废物</w:t>
            </w:r>
          </w:p>
        </w:tc>
        <w:tc>
          <w:tcPr>
            <w:tcW w:w="1741" w:type="dxa"/>
            <w:vAlign w:val="center"/>
          </w:tcPr>
          <w:p>
            <w:pPr>
              <w:autoSpaceDE w:val="0"/>
              <w:autoSpaceDN w:val="0"/>
              <w:adjustRightInd w:val="0"/>
              <w:jc w:val="center"/>
              <w:rPr>
                <w:rFonts w:hint="default" w:ascii="Times New Roman" w:hAnsi="Times New Roman" w:eastAsia="黑体" w:cs="Times New Roman"/>
                <w:snapToGrid w:val="0"/>
                <w:color w:val="auto"/>
                <w:kern w:val="21"/>
                <w:sz w:val="20"/>
                <w:szCs w:val="21"/>
                <w:lang w:val="en-US" w:eastAsia="zh-CN" w:bidi="ar-SA"/>
              </w:rPr>
            </w:pPr>
            <w:r>
              <w:rPr>
                <w:rFonts w:hint="default" w:ascii="Times New Roman" w:hAnsi="Times New Roman" w:eastAsia="黑体" w:cs="Times New Roman"/>
                <w:snapToGrid w:val="0"/>
                <w:color w:val="auto"/>
                <w:kern w:val="21"/>
                <w:sz w:val="20"/>
                <w:szCs w:val="21"/>
                <w:lang w:val="en-US" w:eastAsia="zh-CN" w:bidi="ar-SA"/>
              </w:rPr>
              <w:t>粗格栅和细格栅产生的栅渣</w:t>
            </w:r>
          </w:p>
        </w:tc>
        <w:tc>
          <w:tcPr>
            <w:tcW w:w="152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48.18</w:t>
            </w:r>
          </w:p>
        </w:tc>
        <w:tc>
          <w:tcPr>
            <w:tcW w:w="1418" w:type="dxa"/>
            <w:vAlign w:val="center"/>
          </w:tcPr>
          <w:p>
            <w:pPr>
              <w:spacing w:beforeLines="0" w:afterLines="0" w:line="240" w:lineRule="auto"/>
              <w:jc w:val="center"/>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48.18</w:t>
            </w:r>
          </w:p>
        </w:tc>
        <w:tc>
          <w:tcPr>
            <w:tcW w:w="1465"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+48.18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pPr>
              <w:pStyle w:val="34"/>
              <w:spacing w:beforeLines="0" w:afterLines="0" w:line="240" w:lineRule="auto"/>
              <w:rPr>
                <w:rFonts w:hint="eastAsia" w:ascii="Times New Roman" w:hAnsi="Times New Roman" w:eastAsia="黑体" w:cs="Times New Roman"/>
                <w:snapToGrid w:val="0"/>
                <w:color w:val="auto"/>
                <w:kern w:val="21"/>
                <w:szCs w:val="21"/>
              </w:rPr>
            </w:pPr>
          </w:p>
        </w:tc>
        <w:tc>
          <w:tcPr>
            <w:tcW w:w="1741" w:type="dxa"/>
            <w:vAlign w:val="center"/>
          </w:tcPr>
          <w:p>
            <w:pPr>
              <w:autoSpaceDE w:val="0"/>
              <w:autoSpaceDN w:val="0"/>
              <w:jc w:val="center"/>
              <w:rPr>
                <w:rFonts w:hint="eastAsia" w:ascii="Times New Roman" w:hAnsi="Times New Roman" w:eastAsia="黑体" w:cs="Times New Roman"/>
                <w:snapToGrid w:val="0"/>
                <w:color w:val="auto"/>
                <w:kern w:val="21"/>
                <w:sz w:val="20"/>
                <w:szCs w:val="21"/>
                <w:lang w:val="en-US" w:eastAsia="zh-CN" w:bidi="ar-SA"/>
              </w:rPr>
            </w:pPr>
            <w:r>
              <w:rPr>
                <w:rFonts w:hint="eastAsia" w:ascii="Times New Roman" w:hAnsi="Times New Roman" w:eastAsia="黑体" w:cs="Times New Roman"/>
                <w:snapToGrid w:val="0"/>
                <w:color w:val="auto"/>
                <w:kern w:val="21"/>
                <w:sz w:val="20"/>
                <w:szCs w:val="21"/>
                <w:lang w:val="en-US" w:eastAsia="zh-CN" w:bidi="ar-SA"/>
              </w:rPr>
              <w:t>曝气沉砂池产生的沉砂</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18.25</w:t>
            </w:r>
          </w:p>
        </w:tc>
        <w:tc>
          <w:tcPr>
            <w:tcW w:w="1418"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18.25</w:t>
            </w:r>
          </w:p>
        </w:tc>
        <w:tc>
          <w:tcPr>
            <w:tcW w:w="1465"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+18.25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pPr>
              <w:pStyle w:val="34"/>
              <w:spacing w:beforeLines="0" w:afterLines="0" w:line="240" w:lineRule="auto"/>
              <w:rPr>
                <w:rFonts w:hint="eastAsia" w:ascii="Times New Roman" w:hAnsi="Times New Roman" w:eastAsia="黑体" w:cs="Times New Roman"/>
                <w:snapToGrid w:val="0"/>
                <w:color w:val="auto"/>
                <w:kern w:val="21"/>
                <w:szCs w:val="21"/>
              </w:rPr>
            </w:pPr>
          </w:p>
        </w:tc>
        <w:tc>
          <w:tcPr>
            <w:tcW w:w="1741" w:type="dxa"/>
            <w:vAlign w:val="center"/>
          </w:tcPr>
          <w:p>
            <w:pPr>
              <w:autoSpaceDE w:val="0"/>
              <w:autoSpaceDN w:val="0"/>
              <w:jc w:val="center"/>
              <w:rPr>
                <w:rFonts w:hint="eastAsia" w:ascii="Times New Roman" w:hAnsi="Times New Roman" w:eastAsia="黑体" w:cs="Times New Roman"/>
                <w:snapToGrid w:val="0"/>
                <w:color w:val="auto"/>
                <w:kern w:val="21"/>
                <w:sz w:val="20"/>
                <w:szCs w:val="21"/>
                <w:lang w:val="en-US" w:eastAsia="zh-CN" w:bidi="ar-SA"/>
              </w:rPr>
            </w:pPr>
            <w:r>
              <w:rPr>
                <w:rFonts w:hint="default" w:ascii="Times New Roman" w:hAnsi="Times New Roman" w:eastAsia="黑体" w:cs="Times New Roman"/>
                <w:snapToGrid w:val="0"/>
                <w:color w:val="auto"/>
                <w:kern w:val="21"/>
                <w:sz w:val="20"/>
                <w:szCs w:val="21"/>
                <w:lang w:val="en-US" w:eastAsia="zh-CN" w:bidi="ar-SA"/>
              </w:rPr>
              <w:t>污泥浓缩脱水机产生的污泥</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379.6</w:t>
            </w:r>
          </w:p>
        </w:tc>
        <w:tc>
          <w:tcPr>
            <w:tcW w:w="1418"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379.6</w:t>
            </w:r>
          </w:p>
        </w:tc>
        <w:tc>
          <w:tcPr>
            <w:tcW w:w="1465" w:type="dxa"/>
            <w:vAlign w:val="center"/>
          </w:tcPr>
          <w:p>
            <w:pPr>
              <w:pStyle w:val="34"/>
              <w:spacing w:beforeLines="0" w:afterLines="0" w:line="240" w:lineRule="auto"/>
              <w:rPr>
                <w:rFonts w:hint="default"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+379.6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restart"/>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危险废物</w:t>
            </w:r>
          </w:p>
        </w:tc>
        <w:tc>
          <w:tcPr>
            <w:tcW w:w="174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设备维修、保养产生的废矿物油</w:t>
            </w:r>
          </w:p>
        </w:tc>
        <w:tc>
          <w:tcPr>
            <w:tcW w:w="152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w:t>
            </w:r>
            <w:r>
              <w:rPr>
                <w:rFonts w:hint="eastAsia" w:ascii="Times New Roman" w:hAnsi="Times New Roman" w:eastAsia="黑体" w:cs="Times New Roman"/>
                <w:snapToGrid w:val="0"/>
                <w:color w:val="auto"/>
                <w:kern w:val="21"/>
                <w:szCs w:val="21"/>
                <w:lang w:val="en-US" w:eastAsia="zh-CN"/>
              </w:rPr>
              <w:t>8</w:t>
            </w:r>
          </w:p>
        </w:tc>
        <w:tc>
          <w:tcPr>
            <w:tcW w:w="1418" w:type="dxa"/>
            <w:vAlign w:val="center"/>
          </w:tcPr>
          <w:p>
            <w:pPr>
              <w:spacing w:beforeLines="0" w:afterLines="0" w:line="240" w:lineRule="auto"/>
              <w:jc w:val="center"/>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w:t>
            </w:r>
            <w:r>
              <w:rPr>
                <w:rFonts w:hint="eastAsia" w:ascii="Times New Roman" w:hAnsi="Times New Roman" w:eastAsia="黑体" w:cs="Times New Roman"/>
                <w:snapToGrid w:val="0"/>
                <w:color w:val="auto"/>
                <w:kern w:val="21"/>
                <w:szCs w:val="21"/>
                <w:lang w:val="en-US" w:eastAsia="zh-CN"/>
              </w:rPr>
              <w:t>8</w:t>
            </w:r>
          </w:p>
        </w:tc>
        <w:tc>
          <w:tcPr>
            <w:tcW w:w="1465"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+0.</w:t>
            </w:r>
            <w:r>
              <w:rPr>
                <w:rFonts w:hint="eastAsia" w:ascii="Times New Roman" w:hAnsi="Times New Roman" w:eastAsia="黑体" w:cs="Times New Roman"/>
                <w:snapToGrid w:val="0"/>
                <w:color w:val="auto"/>
                <w:kern w:val="21"/>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Merge w:val="continue"/>
            <w:vAlign w:val="center"/>
          </w:tcPr>
          <w:p>
            <w:pPr>
              <w:pStyle w:val="34"/>
              <w:spacing w:beforeLines="0" w:afterLines="0" w:line="240" w:lineRule="auto"/>
              <w:rPr>
                <w:rFonts w:hint="eastAsia" w:ascii="Times New Roman" w:hAnsi="Times New Roman" w:eastAsia="黑体" w:cs="Times New Roman"/>
                <w:snapToGrid w:val="0"/>
                <w:color w:val="auto"/>
                <w:kern w:val="21"/>
                <w:szCs w:val="21"/>
              </w:rPr>
            </w:pPr>
          </w:p>
        </w:tc>
        <w:tc>
          <w:tcPr>
            <w:tcW w:w="1741" w:type="dxa"/>
            <w:vAlign w:val="center"/>
          </w:tcPr>
          <w:p>
            <w:pPr>
              <w:pStyle w:val="34"/>
              <w:spacing w:beforeLines="0" w:afterLines="0" w:line="240" w:lineRule="auto"/>
              <w:rPr>
                <w:rFonts w:ascii="Times New Roman" w:hAnsi="Times New Roman" w:eastAsia="黑体" w:cs="Times New Roman"/>
                <w:snapToGrid w:val="0"/>
                <w:color w:val="auto"/>
                <w:kern w:val="21"/>
                <w:szCs w:val="21"/>
              </w:rPr>
            </w:pPr>
            <w:r>
              <w:rPr>
                <w:rFonts w:hint="eastAsia" w:ascii="Times New Roman" w:hAnsi="Times New Roman" w:eastAsia="黑体" w:cs="Times New Roman"/>
                <w:snapToGrid w:val="0"/>
                <w:color w:val="auto"/>
                <w:kern w:val="21"/>
                <w:szCs w:val="21"/>
              </w:rPr>
              <w:t>设备维修、保养产生的废棉纱、废手套、废机油桶</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456"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21"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559"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rPr>
              <w:t>0.05</w:t>
            </w:r>
          </w:p>
        </w:tc>
        <w:tc>
          <w:tcPr>
            <w:tcW w:w="1418" w:type="dxa"/>
            <w:vAlign w:val="center"/>
          </w:tcPr>
          <w:p>
            <w:pPr>
              <w:spacing w:beforeLines="0" w:afterLines="0" w:line="240" w:lineRule="auto"/>
              <w:jc w:val="center"/>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lang w:val="en-US" w:eastAsia="zh-CN"/>
              </w:rPr>
              <w:t>/</w:t>
            </w:r>
          </w:p>
        </w:tc>
        <w:tc>
          <w:tcPr>
            <w:tcW w:w="1843"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rPr>
              <w:t>0.05</w:t>
            </w:r>
          </w:p>
        </w:tc>
        <w:tc>
          <w:tcPr>
            <w:tcW w:w="1465" w:type="dxa"/>
            <w:vAlign w:val="center"/>
          </w:tcPr>
          <w:p>
            <w:pPr>
              <w:pStyle w:val="34"/>
              <w:spacing w:beforeLines="0" w:afterLines="0" w:line="240" w:lineRule="auto"/>
              <w:rPr>
                <w:rFonts w:hint="eastAsia" w:ascii="Times New Roman" w:hAnsi="Times New Roman" w:eastAsia="黑体" w:cs="Times New Roman"/>
                <w:snapToGrid w:val="0"/>
                <w:color w:val="auto"/>
                <w:kern w:val="21"/>
                <w:szCs w:val="21"/>
                <w:lang w:val="en-US" w:eastAsia="zh-CN"/>
              </w:rPr>
            </w:pPr>
            <w:r>
              <w:rPr>
                <w:rFonts w:hint="eastAsia" w:ascii="Times New Roman" w:hAnsi="Times New Roman" w:eastAsia="黑体" w:cs="Times New Roman"/>
                <w:snapToGrid w:val="0"/>
                <w:color w:val="auto"/>
                <w:kern w:val="21"/>
                <w:szCs w:val="21"/>
              </w:rPr>
              <w:t>+0.05</w:t>
            </w:r>
          </w:p>
        </w:tc>
      </w:tr>
    </w:tbl>
    <w:p>
      <w:pPr>
        <w:pStyle w:val="34"/>
        <w:spacing w:before="249" w:beforeLines="80" w:after="31"/>
        <w:jc w:val="left"/>
        <w:rPr>
          <w:color w:val="auto"/>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rFonts w:hint="eastAsia"/>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rFonts w:hint="eastAsia"/>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rFonts w:hint="eastAsia"/>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rFonts w:hint="eastAsia"/>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p>
    <w:p>
      <w:pPr>
        <w:rPr>
          <w:color w:val="auto"/>
        </w:rPr>
        <w:sectPr>
          <w:pgSz w:w="16838" w:h="11906" w:orient="landscape"/>
          <w:pgMar w:top="1531" w:right="1531" w:bottom="1531" w:left="1531" w:header="1134" w:footer="992" w:gutter="0"/>
          <w:cols w:space="425" w:num="1"/>
          <w:docGrid w:type="lines" w:linePitch="312" w:charSpace="0"/>
        </w:sect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b/>
          <w:bCs/>
          <w:color w:val="auto"/>
          <w:sz w:val="44"/>
          <w:szCs w:val="44"/>
        </w:rPr>
      </w:pPr>
      <w:r>
        <w:rPr>
          <w:rFonts w:hint="eastAsia" w:ascii="Times New Roman" w:hAnsi="Times New Roman"/>
          <w:b/>
          <w:bCs/>
          <w:color w:val="auto"/>
          <w:sz w:val="44"/>
          <w:szCs w:val="44"/>
          <w:lang w:val="en-US" w:eastAsia="zh-CN"/>
        </w:rPr>
        <w:t>五台县沱南污水处理厂建设</w:t>
      </w:r>
      <w:r>
        <w:rPr>
          <w:rFonts w:hint="default" w:ascii="Times New Roman" w:hAnsi="Times New Roman"/>
          <w:b/>
          <w:bCs/>
          <w:color w:val="auto"/>
          <w:sz w:val="44"/>
          <w:szCs w:val="44"/>
          <w:lang w:val="en-US" w:eastAsia="zh-CN"/>
        </w:rPr>
        <w:t>项目</w:t>
      </w:r>
    </w:p>
    <w:p>
      <w:pPr>
        <w:wordWrap w:val="0"/>
        <w:spacing w:line="360" w:lineRule="auto"/>
        <w:jc w:val="center"/>
        <w:rPr>
          <w:rFonts w:ascii="Times New Roman" w:hAnsi="Times New Roman"/>
          <w:b/>
          <w:color w:val="auto"/>
          <w:sz w:val="36"/>
          <w:szCs w:val="36"/>
        </w:rPr>
      </w:pPr>
      <w:r>
        <w:rPr>
          <w:rFonts w:hint="eastAsia"/>
          <w:b/>
          <w:bCs/>
          <w:color w:val="auto"/>
          <w:sz w:val="44"/>
          <w:szCs w:val="44"/>
          <w:lang w:val="en-US" w:eastAsia="zh-CN"/>
        </w:rPr>
        <w:t>地表水</w:t>
      </w:r>
      <w:r>
        <w:rPr>
          <w:rFonts w:ascii="Times New Roman" w:hAnsi="Times New Roman"/>
          <w:b/>
          <w:bCs/>
          <w:color w:val="auto"/>
          <w:sz w:val="44"/>
          <w:szCs w:val="44"/>
        </w:rPr>
        <w:t>环境影响评价专题</w:t>
      </w:r>
    </w:p>
    <w:p>
      <w:pPr>
        <w:wordWrap w:val="0"/>
        <w:spacing w:line="360" w:lineRule="auto"/>
        <w:jc w:val="center"/>
        <w:rPr>
          <w:rFonts w:ascii="Times New Roman" w:hAnsi="Times New Roman"/>
          <w:color w:val="auto"/>
          <w:sz w:val="84"/>
          <w:szCs w:val="84"/>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color w:val="auto"/>
          <w:sz w:val="28"/>
        </w:rPr>
      </w:pPr>
    </w:p>
    <w:p>
      <w:pPr>
        <w:wordWrap w:val="0"/>
        <w:spacing w:line="360" w:lineRule="auto"/>
        <w:jc w:val="center"/>
        <w:rPr>
          <w:rFonts w:ascii="Times New Roman" w:hAnsi="Times New Roman"/>
          <w:b/>
          <w:bCs/>
          <w:color w:val="auto"/>
          <w:sz w:val="32"/>
          <w:szCs w:val="32"/>
        </w:rPr>
      </w:pPr>
    </w:p>
    <w:p>
      <w:pPr>
        <w:wordWrap w:val="0"/>
        <w:spacing w:line="360" w:lineRule="auto"/>
        <w:jc w:val="center"/>
        <w:rPr>
          <w:rFonts w:ascii="Times New Roman" w:hAnsi="Times New Roman"/>
          <w:b/>
          <w:bCs/>
          <w:color w:val="auto"/>
          <w:sz w:val="32"/>
          <w:szCs w:val="32"/>
        </w:rPr>
      </w:pPr>
    </w:p>
    <w:p>
      <w:pPr>
        <w:wordWrap w:val="0"/>
        <w:spacing w:line="360" w:lineRule="auto"/>
        <w:jc w:val="center"/>
        <w:rPr>
          <w:rFonts w:ascii="Times New Roman" w:hAnsi="Times New Roman"/>
          <w:b/>
          <w:bCs/>
          <w:color w:val="auto"/>
          <w:sz w:val="32"/>
          <w:szCs w:val="32"/>
        </w:rPr>
      </w:pPr>
    </w:p>
    <w:p>
      <w:pPr>
        <w:wordWrap w:val="0"/>
        <w:spacing w:line="360" w:lineRule="auto"/>
        <w:jc w:val="center"/>
        <w:rPr>
          <w:rFonts w:ascii="Times New Roman" w:hAnsi="Times New Roman"/>
          <w:b/>
          <w:bCs/>
          <w:color w:val="auto"/>
          <w:sz w:val="32"/>
          <w:szCs w:val="32"/>
        </w:rPr>
      </w:pPr>
    </w:p>
    <w:p>
      <w:pPr>
        <w:wordWrap w:val="0"/>
        <w:spacing w:line="360" w:lineRule="auto"/>
        <w:jc w:val="center"/>
        <w:rPr>
          <w:rFonts w:ascii="Times New Roman" w:hAnsi="Times New Roman"/>
          <w:b/>
          <w:bCs/>
          <w:color w:val="auto"/>
          <w:sz w:val="32"/>
          <w:szCs w:val="32"/>
        </w:rPr>
      </w:pPr>
      <w:r>
        <w:rPr>
          <w:rFonts w:ascii="Times New Roman" w:hAnsi="Times New Roman"/>
          <w:b/>
          <w:bCs/>
          <w:color w:val="auto"/>
          <w:sz w:val="32"/>
          <w:szCs w:val="32"/>
        </w:rPr>
        <w:t>山西</w:t>
      </w:r>
      <w:r>
        <w:rPr>
          <w:rFonts w:hint="eastAsia"/>
          <w:b/>
          <w:bCs/>
          <w:color w:val="auto"/>
          <w:sz w:val="32"/>
          <w:szCs w:val="32"/>
          <w:lang w:val="en-US" w:eastAsia="zh-CN"/>
        </w:rPr>
        <w:t>清韵环保</w:t>
      </w:r>
      <w:r>
        <w:rPr>
          <w:rFonts w:ascii="Times New Roman" w:hAnsi="Times New Roman"/>
          <w:b/>
          <w:bCs/>
          <w:color w:val="auto"/>
          <w:sz w:val="32"/>
          <w:szCs w:val="32"/>
        </w:rPr>
        <w:t>科技有限公司</w:t>
      </w:r>
    </w:p>
    <w:p>
      <w:pPr>
        <w:wordWrap w:val="0"/>
        <w:spacing w:line="360" w:lineRule="auto"/>
        <w:jc w:val="center"/>
        <w:rPr>
          <w:rFonts w:ascii="Times New Roman" w:hAnsi="Times New Roman"/>
          <w:b/>
          <w:bCs/>
          <w:color w:val="auto"/>
          <w:sz w:val="32"/>
          <w:szCs w:val="32"/>
        </w:rPr>
      </w:pPr>
      <w:r>
        <w:rPr>
          <w:rFonts w:ascii="Times New Roman" w:hAnsi="Times New Roman"/>
          <w:b/>
          <w:bCs/>
          <w:color w:val="auto"/>
          <w:sz w:val="32"/>
          <w:szCs w:val="32"/>
        </w:rPr>
        <w:t>202</w:t>
      </w:r>
      <w:r>
        <w:rPr>
          <w:rFonts w:hint="eastAsia"/>
          <w:b/>
          <w:bCs/>
          <w:color w:val="auto"/>
          <w:sz w:val="32"/>
          <w:szCs w:val="32"/>
          <w:lang w:val="en-US" w:eastAsia="zh-CN"/>
        </w:rPr>
        <w:t>3</w:t>
      </w:r>
      <w:r>
        <w:rPr>
          <w:rFonts w:ascii="Times New Roman" w:hAnsi="Times New Roman"/>
          <w:b/>
          <w:bCs/>
          <w:color w:val="auto"/>
          <w:sz w:val="32"/>
          <w:szCs w:val="32"/>
        </w:rPr>
        <w:t>年</w:t>
      </w:r>
      <w:r>
        <w:rPr>
          <w:rFonts w:hint="eastAsia"/>
          <w:b/>
          <w:bCs/>
          <w:color w:val="auto"/>
          <w:sz w:val="32"/>
          <w:szCs w:val="32"/>
          <w:lang w:val="en-US" w:eastAsia="zh-CN"/>
        </w:rPr>
        <w:t>2</w:t>
      </w:r>
      <w:r>
        <w:rPr>
          <w:rFonts w:ascii="Times New Roman" w:hAnsi="Times New Roman"/>
          <w:b/>
          <w:bCs/>
          <w:color w:val="auto"/>
          <w:sz w:val="32"/>
          <w:szCs w:val="32"/>
        </w:rPr>
        <w:t>月</w:t>
      </w:r>
    </w:p>
    <w:p>
      <w:pPr>
        <w:wordWrap w:val="0"/>
        <w:spacing w:line="360" w:lineRule="auto"/>
        <w:rPr>
          <w:rFonts w:ascii="Times New Roman" w:hAnsi="Times New Roman"/>
          <w:color w:val="auto"/>
          <w:sz w:val="32"/>
          <w:szCs w:val="32"/>
        </w:rPr>
        <w:sectPr>
          <w:footerReference r:id="rId6" w:type="default"/>
          <w:pgSz w:w="11906" w:h="16838"/>
          <w:pgMar w:top="1440" w:right="1800" w:bottom="1440" w:left="1800" w:header="851" w:footer="992" w:gutter="0"/>
          <w:pgNumType w:fmt="numberInDash"/>
          <w:cols w:space="720" w:num="1"/>
          <w:docGrid w:type="lines" w:linePitch="312" w:charSpace="0"/>
        </w:sectPr>
      </w:pPr>
    </w:p>
    <w:p>
      <w:pPr>
        <w:tabs>
          <w:tab w:val="right" w:leader="dot" w:pos="8306"/>
        </w:tabs>
        <w:spacing w:line="360" w:lineRule="auto"/>
        <w:jc w:val="center"/>
        <w:rPr>
          <w:rFonts w:ascii="Times New Roman" w:hAnsi="Times New Roman" w:eastAsia="宋体" w:cs="Times New Roman"/>
          <w:color w:val="auto"/>
          <w:kern w:val="2"/>
          <w:sz w:val="21"/>
          <w:szCs w:val="32"/>
          <w:lang w:val="en-US" w:eastAsia="zh-CN" w:bidi="ar-SA"/>
        </w:rPr>
      </w:pPr>
      <w:bookmarkStart w:id="15" w:name="_Toc15369"/>
      <w:bookmarkStart w:id="16" w:name="_Hlk12027256"/>
      <w:r>
        <w:rPr>
          <w:rFonts w:ascii="Times New Roman" w:hAnsi="Times New Roman"/>
          <w:b/>
          <w:bCs/>
          <w:color w:val="auto"/>
          <w:sz w:val="36"/>
          <w:szCs w:val="36"/>
        </w:rPr>
        <w:t>目  录</w:t>
      </w:r>
      <w:bookmarkEnd w:id="15"/>
      <w:r>
        <w:rPr>
          <w:rFonts w:ascii="Times New Roman" w:hAnsi="Times New Roman"/>
          <w:color w:val="auto"/>
          <w:sz w:val="36"/>
          <w:szCs w:val="36"/>
        </w:rPr>
        <w:fldChar w:fldCharType="begin"/>
      </w:r>
      <w:r>
        <w:rPr>
          <w:rFonts w:ascii="Times New Roman" w:hAnsi="Times New Roman"/>
          <w:color w:val="auto"/>
          <w:sz w:val="36"/>
          <w:szCs w:val="36"/>
        </w:rPr>
        <w:instrText xml:space="preserve">TOC \o "1-2" \h \u </w:instrText>
      </w:r>
      <w:r>
        <w:rPr>
          <w:rFonts w:ascii="Times New Roman" w:hAnsi="Times New Roman"/>
          <w:color w:val="auto"/>
          <w:sz w:val="36"/>
          <w:szCs w:val="36"/>
        </w:rPr>
        <w:fldChar w:fldCharType="separate"/>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_Toc22123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6"/>
        </w:rPr>
        <w:t>1地表水环境影响评价等级和评价范围</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_Toc22123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_Toc14003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1.1项目类别</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_Toc14003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_Toc2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1.2评价等级</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_Toc2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_Toc17429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1.3地表水评价范围</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_Toc17429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2</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_Toc15495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1.4地表水环境保护目标</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_Toc15495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2</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_Toc22303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6"/>
        </w:rPr>
        <w:t>2地表水环境现状调查</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_Toc22303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10</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_Toc17857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2.1区域地表水污染源调查</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_Toc17857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10</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_Toc8207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2.2地表水环境质量现状调查</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_Toc8207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10</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_Toc14907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6"/>
        </w:rPr>
        <w:t>3地表水环境影响预测</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_Toc14907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15</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_Toc23906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3.1预测因子、预测情景</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_Toc23906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15</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_Toc6168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3.2预测时期</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_Toc6168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15</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_Toc20456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3.3预测范围</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_Toc20456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15</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_Toc13140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3.4预测模型、模型概化</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_Toc13140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15</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color w:val="auto"/>
          <w:sz w:val="24"/>
          <w:szCs w:val="40"/>
        </w:rPr>
        <w:fldChar w:fldCharType="begin"/>
      </w:r>
      <w:r>
        <w:rPr>
          <w:rFonts w:hint="default" w:ascii="Times New Roman" w:hAnsi="Times New Roman" w:eastAsia="宋体" w:cs="Times New Roman"/>
          <w:b/>
          <w:bCs/>
          <w:sz w:val="24"/>
          <w:szCs w:val="40"/>
        </w:rPr>
        <w:instrText xml:space="preserve"> HYPERLINK \l _Toc24679 </w:instrText>
      </w:r>
      <w:r>
        <w:rPr>
          <w:rFonts w:hint="default" w:ascii="Times New Roman" w:hAnsi="Times New Roman" w:eastAsia="宋体" w:cs="Times New Roman"/>
          <w:b/>
          <w:bCs/>
          <w:sz w:val="24"/>
          <w:szCs w:val="40"/>
        </w:rPr>
        <w:fldChar w:fldCharType="separate"/>
      </w:r>
      <w:r>
        <w:rPr>
          <w:rFonts w:hint="default" w:ascii="Times New Roman" w:hAnsi="Times New Roman" w:eastAsia="宋体" w:cs="Times New Roman"/>
          <w:b/>
          <w:bCs/>
          <w:sz w:val="24"/>
          <w:szCs w:val="32"/>
        </w:rPr>
        <w:t>3.5预测结果分析与评价</w:t>
      </w:r>
      <w:r>
        <w:rPr>
          <w:rFonts w:hint="default" w:ascii="Times New Roman" w:hAnsi="Times New Roman" w:eastAsia="宋体" w:cs="Times New Roman"/>
          <w:b/>
          <w:bCs/>
          <w:sz w:val="24"/>
          <w:szCs w:val="22"/>
        </w:rPr>
        <w:tab/>
      </w:r>
      <w:r>
        <w:rPr>
          <w:rFonts w:hint="default" w:ascii="Times New Roman" w:hAnsi="Times New Roman" w:eastAsia="宋体" w:cs="Times New Roman"/>
          <w:b/>
          <w:bCs/>
          <w:sz w:val="24"/>
          <w:szCs w:val="22"/>
        </w:rPr>
        <w:fldChar w:fldCharType="begin"/>
      </w:r>
      <w:r>
        <w:rPr>
          <w:rFonts w:hint="default" w:ascii="Times New Roman" w:hAnsi="Times New Roman" w:eastAsia="宋体" w:cs="Times New Roman"/>
          <w:b/>
          <w:bCs/>
          <w:sz w:val="24"/>
          <w:szCs w:val="22"/>
        </w:rPr>
        <w:instrText xml:space="preserve"> PAGEREF _Toc24679 \h </w:instrText>
      </w:r>
      <w:r>
        <w:rPr>
          <w:rFonts w:hint="default" w:ascii="Times New Roman" w:hAnsi="Times New Roman" w:eastAsia="宋体" w:cs="Times New Roman"/>
          <w:b/>
          <w:bCs/>
          <w:sz w:val="24"/>
          <w:szCs w:val="22"/>
        </w:rPr>
        <w:fldChar w:fldCharType="separate"/>
      </w:r>
      <w:r>
        <w:rPr>
          <w:rFonts w:hint="default" w:ascii="Times New Roman" w:hAnsi="Times New Roman" w:eastAsia="宋体" w:cs="Times New Roman"/>
          <w:b/>
          <w:bCs/>
          <w:sz w:val="24"/>
          <w:szCs w:val="22"/>
        </w:rPr>
        <w:t>16</w:t>
      </w:r>
      <w:r>
        <w:rPr>
          <w:rFonts w:hint="default" w:ascii="Times New Roman" w:hAnsi="Times New Roman" w:eastAsia="宋体" w:cs="Times New Roman"/>
          <w:b/>
          <w:bCs/>
          <w:sz w:val="24"/>
          <w:szCs w:val="22"/>
        </w:rPr>
        <w:fldChar w:fldCharType="end"/>
      </w:r>
      <w:r>
        <w:rPr>
          <w:rFonts w:hint="default" w:ascii="Times New Roman" w:hAnsi="Times New Roman" w:eastAsia="宋体" w:cs="Times New Roman"/>
          <w:b/>
          <w:bCs/>
          <w:color w:val="auto"/>
          <w:sz w:val="24"/>
          <w:szCs w:val="40"/>
        </w:rPr>
        <w:fldChar w:fldCharType="end"/>
      </w:r>
    </w:p>
    <w:p>
      <w:pPr>
        <w:pStyle w:val="21"/>
        <w:tabs>
          <w:tab w:val="right" w:leader="dot" w:pos="8306"/>
        </w:tabs>
        <w:spacing w:line="360" w:lineRule="auto"/>
        <w:jc w:val="center"/>
        <w:rPr>
          <w:rFonts w:ascii="Times New Roman" w:hAnsi="Times New Roman"/>
          <w:color w:val="auto"/>
          <w:sz w:val="32"/>
          <w:szCs w:val="32"/>
        </w:rPr>
      </w:pPr>
      <w:r>
        <w:rPr>
          <w:rFonts w:ascii="Times New Roman" w:hAnsi="Times New Roman"/>
          <w:color w:val="auto"/>
          <w:szCs w:val="32"/>
        </w:rPr>
        <w:fldChar w:fldCharType="end"/>
      </w:r>
    </w:p>
    <w:bookmarkEnd w:id="16"/>
    <w:p>
      <w:pPr>
        <w:wordWrap w:val="0"/>
        <w:spacing w:line="360" w:lineRule="auto"/>
        <w:jc w:val="center"/>
        <w:rPr>
          <w:rFonts w:ascii="Times New Roman" w:hAnsi="Times New Roman"/>
          <w:color w:val="auto"/>
          <w:sz w:val="32"/>
          <w:szCs w:val="32"/>
        </w:rPr>
        <w:sectPr>
          <w:pgSz w:w="11906" w:h="16838"/>
          <w:pgMar w:top="1440" w:right="1800" w:bottom="1440" w:left="1800" w:header="851" w:footer="992" w:gutter="0"/>
          <w:pgNumType w:fmt="numberInDash"/>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480" w:lineRule="exact"/>
        <w:ind w:left="431" w:hanging="431"/>
        <w:jc w:val="both"/>
        <w:textAlignment w:val="auto"/>
        <w:outlineLvl w:val="0"/>
        <w:rPr>
          <w:rFonts w:ascii="Times New Roman" w:hAnsi="Times New Roman" w:eastAsia="宋体"/>
          <w:b/>
          <w:bCs w:val="0"/>
          <w:color w:val="auto"/>
          <w:sz w:val="28"/>
          <w:szCs w:val="28"/>
        </w:rPr>
      </w:pPr>
      <w:bookmarkStart w:id="17" w:name="bookmark1"/>
      <w:bookmarkEnd w:id="17"/>
      <w:bookmarkStart w:id="18" w:name="专题一  环境风险影响分析"/>
      <w:bookmarkEnd w:id="18"/>
      <w:bookmarkStart w:id="19" w:name="_Toc144694866"/>
      <w:bookmarkStart w:id="20" w:name="_Toc459880294"/>
      <w:bookmarkStart w:id="21" w:name="_Toc154637581"/>
      <w:bookmarkStart w:id="22" w:name="_Toc153184671"/>
      <w:bookmarkStart w:id="23" w:name="_Toc22123"/>
      <w:r>
        <w:rPr>
          <w:rFonts w:ascii="Times New Roman" w:hAnsi="Times New Roman" w:eastAsia="宋体"/>
          <w:b/>
          <w:bCs w:val="0"/>
          <w:color w:val="auto"/>
          <w:sz w:val="28"/>
          <w:szCs w:val="28"/>
        </w:rPr>
        <w:t>1</w:t>
      </w:r>
      <w:bookmarkEnd w:id="19"/>
      <w:bookmarkEnd w:id="20"/>
      <w:bookmarkEnd w:id="21"/>
      <w:bookmarkEnd w:id="22"/>
      <w:r>
        <w:rPr>
          <w:rFonts w:ascii="Times New Roman" w:hAnsi="Times New Roman" w:eastAsia="宋体"/>
          <w:b/>
          <w:bCs w:val="0"/>
          <w:color w:val="auto"/>
          <w:sz w:val="28"/>
          <w:szCs w:val="28"/>
        </w:rPr>
        <w:t>地表水环境影响评价等级和评价范围</w:t>
      </w:r>
      <w:bookmarkEnd w:id="23"/>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ascii="Times New Roman" w:hAnsi="Times New Roman"/>
          <w:b/>
          <w:color w:val="auto"/>
          <w:sz w:val="24"/>
          <w:szCs w:val="24"/>
        </w:rPr>
      </w:pPr>
      <w:bookmarkStart w:id="24" w:name="_Toc14003"/>
      <w:r>
        <w:rPr>
          <w:rFonts w:ascii="Times New Roman" w:hAnsi="Times New Roman"/>
          <w:b/>
          <w:color w:val="auto"/>
          <w:sz w:val="24"/>
          <w:szCs w:val="24"/>
        </w:rPr>
        <w:t>1.1项目类别</w:t>
      </w:r>
      <w:bookmarkEnd w:id="24"/>
    </w:p>
    <w:p>
      <w:pPr>
        <w:spacing w:line="480" w:lineRule="exact"/>
        <w:ind w:firstLine="480" w:firstLineChars="200"/>
        <w:rPr>
          <w:rFonts w:ascii="Times New Roman" w:hAnsi="Times New Roman"/>
          <w:color w:val="auto"/>
          <w:sz w:val="24"/>
          <w:szCs w:val="32"/>
        </w:rPr>
      </w:pPr>
      <w:r>
        <w:rPr>
          <w:rFonts w:ascii="Times New Roman" w:hAnsi="Times New Roman"/>
          <w:color w:val="auto"/>
          <w:sz w:val="24"/>
          <w:szCs w:val="32"/>
        </w:rPr>
        <w:t>根据《环境影响评价技术导则 地表水环境》（HJ 2.3—2018）中相关规定，本项目营运期废水主要有：污水处理站废水，属于水污染影响型建设项目。</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ascii="Times New Roman" w:hAnsi="Times New Roman"/>
          <w:b/>
          <w:color w:val="auto"/>
          <w:sz w:val="24"/>
          <w:szCs w:val="24"/>
        </w:rPr>
      </w:pPr>
      <w:bookmarkStart w:id="25" w:name="_Toc2"/>
      <w:r>
        <w:rPr>
          <w:rFonts w:ascii="Times New Roman" w:hAnsi="Times New Roman"/>
          <w:b/>
          <w:color w:val="auto"/>
          <w:sz w:val="24"/>
          <w:szCs w:val="24"/>
        </w:rPr>
        <w:t>1.2评价等级</w:t>
      </w:r>
      <w:bookmarkEnd w:id="25"/>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ascii="Times New Roman" w:hAnsi="Times New Roman"/>
          <w:b/>
          <w:bCs/>
          <w:color w:val="auto"/>
          <w:sz w:val="24"/>
          <w:szCs w:val="24"/>
        </w:rPr>
      </w:pPr>
      <w:r>
        <w:rPr>
          <w:rFonts w:ascii="Times New Roman" w:hAnsi="Times New Roman"/>
          <w:b/>
          <w:bCs/>
          <w:color w:val="auto"/>
          <w:sz w:val="24"/>
          <w:szCs w:val="24"/>
        </w:rPr>
        <w:t>1.2.1废水排放量Q</w:t>
      </w:r>
    </w:p>
    <w:p>
      <w:pPr>
        <w:pStyle w:val="112"/>
        <w:ind w:firstLine="480"/>
        <w:jc w:val="both"/>
        <w:rPr>
          <w:bCs w:val="0"/>
          <w:color w:val="auto"/>
          <w:sz w:val="24"/>
          <w:szCs w:val="24"/>
        </w:rPr>
      </w:pPr>
      <w:r>
        <w:rPr>
          <w:bCs w:val="0"/>
          <w:color w:val="auto"/>
          <w:sz w:val="24"/>
          <w:szCs w:val="24"/>
        </w:rPr>
        <w:t>本</w:t>
      </w:r>
      <w:r>
        <w:rPr>
          <w:rFonts w:hint="eastAsia"/>
          <w:bCs w:val="0"/>
          <w:color w:val="auto"/>
          <w:sz w:val="24"/>
          <w:szCs w:val="24"/>
          <w:lang w:val="en-US" w:eastAsia="zh-CN"/>
        </w:rPr>
        <w:t>项目</w:t>
      </w:r>
      <w:r>
        <w:rPr>
          <w:bCs w:val="0"/>
          <w:color w:val="auto"/>
          <w:sz w:val="24"/>
          <w:szCs w:val="24"/>
        </w:rPr>
        <w:t>污水处理</w:t>
      </w:r>
      <w:r>
        <w:rPr>
          <w:rFonts w:hint="eastAsia"/>
          <w:bCs w:val="0"/>
          <w:color w:val="auto"/>
          <w:sz w:val="24"/>
          <w:szCs w:val="24"/>
          <w:lang w:val="en-US" w:eastAsia="zh-CN"/>
        </w:rPr>
        <w:t>厂</w:t>
      </w:r>
      <w:r>
        <w:rPr>
          <w:bCs w:val="0"/>
          <w:color w:val="auto"/>
          <w:sz w:val="24"/>
          <w:szCs w:val="24"/>
        </w:rPr>
        <w:t>建设项目所在区域目前没有集中下水道及集水沟渠，各村单户生活污水排放量相对较小，一般随地泼洒，自然蒸发下渗。还有部分距地表水较近的居民直接将生活污水排至河道内。</w:t>
      </w:r>
    </w:p>
    <w:p>
      <w:pPr>
        <w:pStyle w:val="112"/>
        <w:ind w:firstLine="480"/>
        <w:jc w:val="both"/>
        <w:rPr>
          <w:bCs w:val="0"/>
          <w:color w:val="auto"/>
          <w:sz w:val="24"/>
          <w:szCs w:val="24"/>
        </w:rPr>
      </w:pPr>
      <w:r>
        <w:rPr>
          <w:bCs/>
          <w:color w:val="auto"/>
          <w:kern w:val="2"/>
          <w:sz w:val="24"/>
          <w:szCs w:val="24"/>
          <w:lang w:val="en-US" w:eastAsia="zh-CN" w:bidi="ar-SA"/>
        </w:rPr>
        <w:t>根据建设单位提供可研报告，</w:t>
      </w:r>
      <w:r>
        <w:rPr>
          <w:rFonts w:hint="default"/>
          <w:color w:val="auto"/>
          <w:sz w:val="24"/>
          <w:lang w:val="en-US" w:eastAsia="zh-CN"/>
        </w:rPr>
        <w:t>本次工程服务范围内污水总量为1733.64m³/d，考虑一定余量，确定沱南污水处理厂及配套排水管网设计规模</w:t>
      </w:r>
      <w:r>
        <w:rPr>
          <w:rFonts w:hint="eastAsia"/>
          <w:color w:val="auto"/>
          <w:sz w:val="24"/>
          <w:lang w:val="en-US" w:eastAsia="zh-CN"/>
        </w:rPr>
        <w:t>为</w:t>
      </w:r>
      <w:r>
        <w:rPr>
          <w:rFonts w:hint="default"/>
          <w:color w:val="auto"/>
          <w:sz w:val="24"/>
          <w:lang w:val="en-US" w:eastAsia="zh-CN"/>
        </w:rPr>
        <w:t>2000m³/d。</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ascii="Times New Roman" w:hAnsi="Times New Roman"/>
          <w:b/>
          <w:bCs/>
          <w:color w:val="auto"/>
          <w:sz w:val="24"/>
          <w:szCs w:val="24"/>
        </w:rPr>
      </w:pPr>
      <w:r>
        <w:rPr>
          <w:rFonts w:ascii="Times New Roman" w:hAnsi="Times New Roman"/>
          <w:b/>
          <w:bCs/>
          <w:color w:val="auto"/>
          <w:sz w:val="24"/>
          <w:szCs w:val="24"/>
        </w:rPr>
        <w:t>1.2.2水污染当量数W</w:t>
      </w:r>
    </w:p>
    <w:p>
      <w:pPr>
        <w:spacing w:line="480" w:lineRule="exact"/>
        <w:ind w:firstLine="482"/>
        <w:rPr>
          <w:rFonts w:ascii="Times New Roman" w:hAnsi="Times New Roman"/>
          <w:color w:val="auto"/>
          <w:sz w:val="24"/>
          <w:szCs w:val="24"/>
        </w:rPr>
      </w:pPr>
      <w:r>
        <w:rPr>
          <w:rFonts w:ascii="Times New Roman" w:hAnsi="Times New Roman"/>
          <w:color w:val="auto"/>
          <w:sz w:val="24"/>
          <w:szCs w:val="24"/>
        </w:rPr>
        <w:t>本项目污水处理站污染物主要为COD、</w:t>
      </w:r>
      <w:r>
        <w:rPr>
          <w:rFonts w:ascii="Times New Roman" w:hAnsi="Times New Roman"/>
          <w:color w:val="auto"/>
          <w:sz w:val="24"/>
          <w:szCs w:val="24"/>
          <w:lang w:val="sq-AL"/>
        </w:rPr>
        <w:t>BOD</w:t>
      </w:r>
      <w:r>
        <w:rPr>
          <w:rFonts w:ascii="Times New Roman" w:hAnsi="Times New Roman"/>
          <w:color w:val="auto"/>
          <w:sz w:val="24"/>
          <w:szCs w:val="24"/>
          <w:vertAlign w:val="subscript"/>
          <w:lang w:val="sq-AL"/>
        </w:rPr>
        <w:t>5</w:t>
      </w:r>
      <w:r>
        <w:rPr>
          <w:rFonts w:ascii="Times New Roman" w:hAnsi="Times New Roman"/>
          <w:color w:val="auto"/>
          <w:sz w:val="24"/>
          <w:szCs w:val="24"/>
          <w:lang w:val="sq-AL"/>
        </w:rPr>
        <w:t>、SS</w:t>
      </w:r>
      <w:r>
        <w:rPr>
          <w:rFonts w:ascii="Times New Roman" w:hAnsi="Times New Roman"/>
          <w:color w:val="auto"/>
          <w:sz w:val="24"/>
          <w:szCs w:val="24"/>
        </w:rPr>
        <w:t>、NH</w:t>
      </w:r>
      <w:r>
        <w:rPr>
          <w:rFonts w:ascii="Times New Roman" w:hAnsi="Times New Roman"/>
          <w:color w:val="auto"/>
          <w:sz w:val="24"/>
          <w:szCs w:val="24"/>
          <w:vertAlign w:val="subscript"/>
        </w:rPr>
        <w:t>3</w:t>
      </w:r>
      <w:r>
        <w:rPr>
          <w:rFonts w:ascii="Times New Roman" w:hAnsi="Times New Roman"/>
          <w:color w:val="auto"/>
          <w:sz w:val="24"/>
          <w:szCs w:val="24"/>
        </w:rPr>
        <w:t>-N、TP等，经计算，各污水处理站污染物排放当量数计算表如下。</w:t>
      </w:r>
    </w:p>
    <w:p>
      <w:pPr>
        <w:pStyle w:val="33"/>
        <w:keepNext w:val="0"/>
        <w:keepLines w:val="0"/>
        <w:pageBreakBefore w:val="0"/>
        <w:widowControl w:val="0"/>
        <w:tabs>
          <w:tab w:val="left" w:pos="2340"/>
        </w:tabs>
        <w:kinsoku/>
        <w:wordWrap/>
        <w:overflowPunct/>
        <w:topLinePunct w:val="0"/>
        <w:autoSpaceDE/>
        <w:autoSpaceDN/>
        <w:bidi w:val="0"/>
        <w:adjustRightInd/>
        <w:snapToGrid/>
        <w:spacing w:before="0" w:beforeLines="0" w:after="0" w:afterAutospacing="0" w:line="480" w:lineRule="exac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表1.2-</w:t>
      </w:r>
      <w:r>
        <w:rPr>
          <w:rFonts w:hint="eastAsia" w:ascii="黑体" w:hAnsi="黑体" w:eastAsia="黑体" w:cs="黑体"/>
          <w:color w:val="auto"/>
          <w:sz w:val="24"/>
          <w:szCs w:val="24"/>
          <w:lang w:val="en-US" w:eastAsia="zh-CN"/>
        </w:rPr>
        <w:t>1</w:t>
      </w:r>
      <w:r>
        <w:rPr>
          <w:rFonts w:hint="eastAsia" w:ascii="黑体" w:hAnsi="黑体" w:eastAsia="黑体" w:cs="黑体"/>
          <w:color w:val="auto"/>
          <w:sz w:val="24"/>
          <w:szCs w:val="24"/>
        </w:rPr>
        <w:t xml:space="preserve">   污水处理站水污染物排放情况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1345"/>
        <w:gridCol w:w="2013"/>
        <w:gridCol w:w="2013"/>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污染物</w:t>
            </w:r>
          </w:p>
        </w:tc>
        <w:tc>
          <w:tcPr>
            <w:tcW w:w="733"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水质mg/L</w:t>
            </w:r>
          </w:p>
        </w:tc>
        <w:tc>
          <w:tcPr>
            <w:tcW w:w="1097"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污染物</w:t>
            </w:r>
            <w:r>
              <w:rPr>
                <w:rFonts w:hint="eastAsia"/>
                <w:color w:val="auto"/>
                <w:sz w:val="21"/>
                <w:szCs w:val="21"/>
                <w:lang w:val="en-US" w:eastAsia="zh-CN"/>
              </w:rPr>
              <w:t>排放</w:t>
            </w:r>
            <w:r>
              <w:rPr>
                <w:rFonts w:ascii="Times New Roman" w:hAnsi="Times New Roman"/>
                <w:color w:val="auto"/>
                <w:sz w:val="21"/>
                <w:szCs w:val="21"/>
                <w:lang w:val="sq-AL"/>
              </w:rPr>
              <w:t>量t/a</w:t>
            </w:r>
          </w:p>
        </w:tc>
        <w:tc>
          <w:tcPr>
            <w:tcW w:w="1097" w:type="pct"/>
            <w:noWrap w:val="0"/>
            <w:vAlign w:val="top"/>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rPr>
              <w:t>污染</w:t>
            </w:r>
            <w:r>
              <w:rPr>
                <w:rFonts w:ascii="Times New Roman" w:hAnsi="Times New Roman"/>
                <w:color w:val="auto"/>
                <w:sz w:val="21"/>
                <w:szCs w:val="21"/>
                <w:lang w:val="sq-AL"/>
              </w:rPr>
              <w:t>当量值</w:t>
            </w:r>
            <w:r>
              <w:rPr>
                <w:rFonts w:ascii="Times New Roman" w:hAnsi="Times New Roman"/>
                <w:color w:val="auto"/>
                <w:sz w:val="21"/>
              </w:rPr>
              <w:t>kg</w:t>
            </w:r>
          </w:p>
        </w:tc>
        <w:tc>
          <w:tcPr>
            <w:tcW w:w="1097" w:type="pct"/>
            <w:noWrap w:val="0"/>
            <w:vAlign w:val="top"/>
          </w:tcPr>
          <w:p>
            <w:pPr>
              <w:adjustRightInd w:val="0"/>
              <w:snapToGrid w:val="0"/>
              <w:spacing w:line="320" w:lineRule="exact"/>
              <w:jc w:val="center"/>
              <w:rPr>
                <w:rFonts w:ascii="Times New Roman" w:hAnsi="Times New Roman"/>
                <w:color w:val="auto"/>
                <w:sz w:val="21"/>
              </w:rPr>
            </w:pPr>
            <w:r>
              <w:rPr>
                <w:rFonts w:ascii="Times New Roman" w:hAnsi="Times New Roman"/>
                <w:color w:val="auto"/>
                <w:sz w:val="21"/>
              </w:rPr>
              <w:t>污染当量数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废水量</w:t>
            </w:r>
          </w:p>
        </w:tc>
        <w:tc>
          <w:tcPr>
            <w:tcW w:w="1830" w:type="pct"/>
            <w:gridSpan w:val="2"/>
            <w:noWrap w:val="0"/>
            <w:vAlign w:val="center"/>
          </w:tcPr>
          <w:p>
            <w:pPr>
              <w:adjustRightInd w:val="0"/>
              <w:snapToGrid w:val="0"/>
              <w:spacing w:line="320" w:lineRule="exact"/>
              <w:jc w:val="center"/>
              <w:rPr>
                <w:rFonts w:ascii="Times New Roman" w:hAnsi="Times New Roman"/>
                <w:color w:val="auto"/>
                <w:sz w:val="21"/>
                <w:szCs w:val="21"/>
                <w:lang w:val="sq-AL"/>
              </w:rPr>
            </w:pPr>
            <w:r>
              <w:rPr>
                <w:rFonts w:hint="eastAsia"/>
                <w:color w:val="auto"/>
                <w:sz w:val="21"/>
                <w:szCs w:val="21"/>
                <w:lang w:val="en-US" w:eastAsia="zh-CN"/>
              </w:rPr>
              <w:t>730</w:t>
            </w:r>
            <w:r>
              <w:rPr>
                <w:rFonts w:hint="eastAsia" w:ascii="Times New Roman" w:hAnsi="Times New Roman"/>
                <w:color w:val="auto"/>
                <w:sz w:val="21"/>
                <w:szCs w:val="21"/>
                <w:lang w:val="en-US" w:eastAsia="zh-CN"/>
              </w:rPr>
              <w:t>0</w:t>
            </w:r>
            <w:r>
              <w:rPr>
                <w:rFonts w:ascii="Times New Roman" w:hAnsi="Times New Roman"/>
                <w:color w:val="auto"/>
                <w:sz w:val="21"/>
                <w:szCs w:val="21"/>
                <w:lang w:val="sq-AL"/>
              </w:rPr>
              <w:t>00m</w:t>
            </w:r>
            <w:r>
              <w:rPr>
                <w:rFonts w:ascii="Times New Roman" w:hAnsi="Times New Roman"/>
                <w:color w:val="auto"/>
                <w:sz w:val="21"/>
                <w:szCs w:val="21"/>
                <w:vertAlign w:val="superscript"/>
                <w:lang w:val="sq-AL"/>
              </w:rPr>
              <w:t>3</w:t>
            </w:r>
            <w:r>
              <w:rPr>
                <w:rFonts w:ascii="Times New Roman" w:hAnsi="Times New Roman"/>
                <w:color w:val="auto"/>
                <w:sz w:val="21"/>
                <w:szCs w:val="21"/>
                <w:lang w:val="sq-AL"/>
              </w:rPr>
              <w:t>/a（</w:t>
            </w:r>
            <w:r>
              <w:rPr>
                <w:rFonts w:hint="eastAsia"/>
                <w:color w:val="auto"/>
                <w:sz w:val="21"/>
                <w:szCs w:val="21"/>
                <w:lang w:val="en-US" w:eastAsia="zh-CN"/>
              </w:rPr>
              <w:t>20</w:t>
            </w:r>
            <w:r>
              <w:rPr>
                <w:rFonts w:ascii="Times New Roman" w:hAnsi="Times New Roman"/>
                <w:color w:val="auto"/>
                <w:sz w:val="21"/>
                <w:szCs w:val="21"/>
                <w:lang w:val="sq-AL"/>
              </w:rPr>
              <w:t>00m</w:t>
            </w:r>
            <w:r>
              <w:rPr>
                <w:rFonts w:ascii="Times New Roman" w:hAnsi="Times New Roman"/>
                <w:color w:val="auto"/>
                <w:sz w:val="21"/>
                <w:szCs w:val="21"/>
                <w:vertAlign w:val="superscript"/>
                <w:lang w:val="sq-AL"/>
              </w:rPr>
              <w:t>3</w:t>
            </w:r>
            <w:r>
              <w:rPr>
                <w:rFonts w:ascii="Times New Roman" w:hAnsi="Times New Roman"/>
                <w:color w:val="auto"/>
                <w:sz w:val="21"/>
                <w:szCs w:val="21"/>
                <w:lang w:val="sq-AL"/>
              </w:rPr>
              <w:t xml:space="preserve">/d） </w:t>
            </w:r>
          </w:p>
        </w:tc>
        <w:tc>
          <w:tcPr>
            <w:tcW w:w="1097" w:type="pct"/>
            <w:noWrap w:val="0"/>
            <w:vAlign w:val="top"/>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w:t>
            </w:r>
          </w:p>
        </w:tc>
        <w:tc>
          <w:tcPr>
            <w:tcW w:w="1097" w:type="pct"/>
            <w:noWrap w:val="0"/>
            <w:vAlign w:val="top"/>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COD</w:t>
            </w:r>
          </w:p>
        </w:tc>
        <w:tc>
          <w:tcPr>
            <w:tcW w:w="733"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40</w:t>
            </w:r>
          </w:p>
        </w:tc>
        <w:tc>
          <w:tcPr>
            <w:tcW w:w="1097" w:type="pct"/>
            <w:noWrap w:val="0"/>
            <w:vAlign w:val="bottom"/>
          </w:tcPr>
          <w:p>
            <w:pPr>
              <w:widowControl/>
              <w:spacing w:line="320" w:lineRule="exact"/>
              <w:jc w:val="center"/>
              <w:rPr>
                <w:rFonts w:hint="default" w:ascii="Times New Roman" w:hAnsi="Times New Roman" w:eastAsia="等线"/>
                <w:color w:val="auto"/>
                <w:kern w:val="0"/>
                <w:sz w:val="21"/>
                <w:szCs w:val="21"/>
                <w:lang w:val="en-US" w:eastAsia="zh-CN"/>
              </w:rPr>
            </w:pPr>
            <w:r>
              <w:rPr>
                <w:rFonts w:hint="eastAsia" w:eastAsia="等线"/>
                <w:color w:val="auto"/>
                <w:kern w:val="0"/>
                <w:sz w:val="21"/>
                <w:szCs w:val="21"/>
                <w:lang w:val="en-US" w:eastAsia="zh-CN"/>
              </w:rPr>
              <w:t>29.2</w:t>
            </w:r>
          </w:p>
        </w:tc>
        <w:tc>
          <w:tcPr>
            <w:tcW w:w="1097" w:type="pct"/>
            <w:noWrap w:val="0"/>
            <w:vAlign w:val="top"/>
          </w:tcPr>
          <w:p>
            <w:pPr>
              <w:widowControl/>
              <w:spacing w:line="320" w:lineRule="exact"/>
              <w:jc w:val="center"/>
              <w:rPr>
                <w:rFonts w:ascii="Times New Roman" w:hAnsi="Times New Roman" w:eastAsia="等线"/>
                <w:color w:val="auto"/>
                <w:kern w:val="0"/>
                <w:sz w:val="21"/>
                <w:szCs w:val="21"/>
                <w:lang w:val="sq-AL"/>
              </w:rPr>
            </w:pPr>
            <w:r>
              <w:rPr>
                <w:rFonts w:ascii="Times New Roman" w:hAnsi="Times New Roman" w:eastAsia="等线"/>
                <w:color w:val="auto"/>
                <w:kern w:val="0"/>
                <w:sz w:val="21"/>
                <w:szCs w:val="21"/>
                <w:lang w:val="sq-AL"/>
              </w:rPr>
              <w:t>1</w:t>
            </w:r>
          </w:p>
        </w:tc>
        <w:tc>
          <w:tcPr>
            <w:tcW w:w="1097" w:type="pct"/>
            <w:noWrap w:val="0"/>
            <w:vAlign w:val="top"/>
          </w:tcPr>
          <w:p>
            <w:pPr>
              <w:widowControl/>
              <w:spacing w:line="320" w:lineRule="exact"/>
              <w:jc w:val="center"/>
              <w:rPr>
                <w:rFonts w:hint="default" w:ascii="Times New Roman" w:hAnsi="Times New Roman" w:eastAsia="等线"/>
                <w:color w:val="auto"/>
                <w:kern w:val="0"/>
                <w:sz w:val="21"/>
                <w:szCs w:val="21"/>
                <w:lang w:val="en-US" w:eastAsia="zh-CN"/>
              </w:rPr>
            </w:pPr>
            <w:r>
              <w:rPr>
                <w:rFonts w:hint="eastAsia" w:eastAsia="等线"/>
                <w:color w:val="auto"/>
                <w:kern w:val="0"/>
                <w:sz w:val="21"/>
                <w:szCs w:val="21"/>
                <w:lang w:val="en-US" w:eastAsia="zh-CN"/>
              </w:rPr>
              <w:t>29200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BOD</w:t>
            </w:r>
            <w:r>
              <w:rPr>
                <w:rFonts w:ascii="Times New Roman" w:hAnsi="Times New Roman"/>
                <w:color w:val="auto"/>
                <w:sz w:val="21"/>
                <w:szCs w:val="21"/>
                <w:vertAlign w:val="subscript"/>
                <w:lang w:val="sq-AL"/>
              </w:rPr>
              <w:t>5</w:t>
            </w:r>
          </w:p>
        </w:tc>
        <w:tc>
          <w:tcPr>
            <w:tcW w:w="733"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10</w:t>
            </w:r>
          </w:p>
        </w:tc>
        <w:tc>
          <w:tcPr>
            <w:tcW w:w="1097" w:type="pct"/>
            <w:noWrap w:val="0"/>
            <w:vAlign w:val="bottom"/>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7.3</w:t>
            </w:r>
          </w:p>
        </w:tc>
        <w:tc>
          <w:tcPr>
            <w:tcW w:w="1097" w:type="pct"/>
            <w:noWrap w:val="0"/>
            <w:vAlign w:val="top"/>
          </w:tcPr>
          <w:p>
            <w:pPr>
              <w:spacing w:line="320" w:lineRule="exact"/>
              <w:jc w:val="center"/>
              <w:rPr>
                <w:rFonts w:ascii="Times New Roman" w:hAnsi="Times New Roman" w:eastAsia="等线"/>
                <w:color w:val="auto"/>
                <w:sz w:val="21"/>
                <w:szCs w:val="21"/>
                <w:lang w:val="sq-AL"/>
              </w:rPr>
            </w:pPr>
            <w:r>
              <w:rPr>
                <w:rFonts w:ascii="Times New Roman" w:hAnsi="Times New Roman" w:eastAsia="等线"/>
                <w:color w:val="auto"/>
                <w:sz w:val="21"/>
                <w:szCs w:val="21"/>
                <w:lang w:val="sq-AL"/>
              </w:rPr>
              <w:t>0.5</w:t>
            </w:r>
          </w:p>
        </w:tc>
        <w:tc>
          <w:tcPr>
            <w:tcW w:w="1097" w:type="pct"/>
            <w:noWrap w:val="0"/>
            <w:vAlign w:val="top"/>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18250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SS</w:t>
            </w:r>
          </w:p>
        </w:tc>
        <w:tc>
          <w:tcPr>
            <w:tcW w:w="733"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10</w:t>
            </w:r>
          </w:p>
        </w:tc>
        <w:tc>
          <w:tcPr>
            <w:tcW w:w="1097" w:type="pct"/>
            <w:noWrap w:val="0"/>
            <w:vAlign w:val="bottom"/>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7.3</w:t>
            </w:r>
          </w:p>
        </w:tc>
        <w:tc>
          <w:tcPr>
            <w:tcW w:w="1097" w:type="pct"/>
            <w:noWrap w:val="0"/>
            <w:vAlign w:val="top"/>
          </w:tcPr>
          <w:p>
            <w:pPr>
              <w:spacing w:line="320" w:lineRule="exact"/>
              <w:jc w:val="center"/>
              <w:rPr>
                <w:rFonts w:ascii="Times New Roman" w:hAnsi="Times New Roman" w:eastAsia="等线"/>
                <w:color w:val="auto"/>
                <w:sz w:val="21"/>
                <w:szCs w:val="21"/>
                <w:lang w:val="sq-AL"/>
              </w:rPr>
            </w:pPr>
            <w:r>
              <w:rPr>
                <w:rFonts w:ascii="Times New Roman" w:hAnsi="Times New Roman" w:eastAsia="等线"/>
                <w:color w:val="auto"/>
                <w:sz w:val="21"/>
                <w:szCs w:val="21"/>
                <w:lang w:val="sq-AL"/>
              </w:rPr>
              <w:t>4</w:t>
            </w:r>
          </w:p>
        </w:tc>
        <w:tc>
          <w:tcPr>
            <w:tcW w:w="1097" w:type="pct"/>
            <w:noWrap w:val="0"/>
            <w:vAlign w:val="top"/>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TN</w:t>
            </w:r>
          </w:p>
        </w:tc>
        <w:tc>
          <w:tcPr>
            <w:tcW w:w="733"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15</w:t>
            </w:r>
          </w:p>
        </w:tc>
        <w:tc>
          <w:tcPr>
            <w:tcW w:w="1097" w:type="pct"/>
            <w:noWrap w:val="0"/>
            <w:vAlign w:val="bottom"/>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10.95</w:t>
            </w:r>
          </w:p>
        </w:tc>
        <w:tc>
          <w:tcPr>
            <w:tcW w:w="1097" w:type="pct"/>
            <w:noWrap w:val="0"/>
            <w:vAlign w:val="top"/>
          </w:tcPr>
          <w:p>
            <w:pPr>
              <w:spacing w:line="320" w:lineRule="exact"/>
              <w:jc w:val="center"/>
              <w:rPr>
                <w:rFonts w:ascii="Times New Roman" w:hAnsi="Times New Roman" w:eastAsia="等线"/>
                <w:color w:val="auto"/>
                <w:sz w:val="21"/>
                <w:szCs w:val="21"/>
                <w:lang w:val="sq-AL"/>
              </w:rPr>
            </w:pPr>
            <w:r>
              <w:rPr>
                <w:rFonts w:ascii="Times New Roman" w:hAnsi="Times New Roman" w:eastAsia="等线"/>
                <w:color w:val="auto"/>
                <w:sz w:val="21"/>
                <w:szCs w:val="21"/>
                <w:lang w:val="sq-AL"/>
              </w:rPr>
              <w:t>--</w:t>
            </w:r>
          </w:p>
        </w:tc>
        <w:tc>
          <w:tcPr>
            <w:tcW w:w="1097" w:type="pct"/>
            <w:noWrap w:val="0"/>
            <w:vAlign w:val="top"/>
          </w:tcPr>
          <w:p>
            <w:pPr>
              <w:spacing w:line="320" w:lineRule="exact"/>
              <w:jc w:val="center"/>
              <w:rPr>
                <w:rFonts w:ascii="Times New Roman" w:hAnsi="Times New Roman" w:eastAsia="等线"/>
                <w:color w:val="auto"/>
                <w:sz w:val="21"/>
                <w:szCs w:val="21"/>
                <w:lang w:val="sq-AL"/>
              </w:rPr>
            </w:pPr>
            <w:r>
              <w:rPr>
                <w:rFonts w:ascii="Times New Roman" w:hAnsi="Times New Roman" w:eastAsia="等线"/>
                <w:color w:val="auto"/>
                <w:sz w:val="21"/>
                <w:szCs w:val="21"/>
                <w:lang w:val="sq-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NH</w:t>
            </w:r>
            <w:r>
              <w:rPr>
                <w:rFonts w:ascii="Times New Roman" w:hAnsi="Times New Roman"/>
                <w:color w:val="auto"/>
                <w:sz w:val="21"/>
                <w:szCs w:val="21"/>
                <w:vertAlign w:val="subscript"/>
                <w:lang w:val="sq-AL"/>
              </w:rPr>
              <w:t>3</w:t>
            </w:r>
            <w:r>
              <w:rPr>
                <w:rFonts w:ascii="Times New Roman" w:hAnsi="Times New Roman"/>
                <w:color w:val="auto"/>
                <w:sz w:val="21"/>
                <w:szCs w:val="21"/>
                <w:lang w:val="sq-AL"/>
              </w:rPr>
              <w:t>-N</w:t>
            </w:r>
          </w:p>
        </w:tc>
        <w:tc>
          <w:tcPr>
            <w:tcW w:w="733"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2</w:t>
            </w:r>
          </w:p>
        </w:tc>
        <w:tc>
          <w:tcPr>
            <w:tcW w:w="1097" w:type="pct"/>
            <w:noWrap w:val="0"/>
            <w:vAlign w:val="bottom"/>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1.46</w:t>
            </w:r>
          </w:p>
        </w:tc>
        <w:tc>
          <w:tcPr>
            <w:tcW w:w="1097" w:type="pct"/>
            <w:noWrap w:val="0"/>
            <w:vAlign w:val="top"/>
          </w:tcPr>
          <w:p>
            <w:pPr>
              <w:spacing w:line="320" w:lineRule="exact"/>
              <w:jc w:val="center"/>
              <w:rPr>
                <w:rFonts w:ascii="Times New Roman" w:hAnsi="Times New Roman" w:eastAsia="等线"/>
                <w:color w:val="auto"/>
                <w:sz w:val="21"/>
                <w:szCs w:val="21"/>
                <w:lang w:val="sq-AL"/>
              </w:rPr>
            </w:pPr>
            <w:r>
              <w:rPr>
                <w:rFonts w:ascii="Times New Roman" w:hAnsi="Times New Roman" w:eastAsia="等线"/>
                <w:color w:val="auto"/>
                <w:sz w:val="21"/>
                <w:szCs w:val="21"/>
                <w:lang w:val="sq-AL"/>
              </w:rPr>
              <w:t>0.8</w:t>
            </w:r>
          </w:p>
        </w:tc>
        <w:tc>
          <w:tcPr>
            <w:tcW w:w="1097" w:type="pct"/>
            <w:noWrap w:val="0"/>
            <w:vAlign w:val="top"/>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974"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TP</w:t>
            </w:r>
          </w:p>
        </w:tc>
        <w:tc>
          <w:tcPr>
            <w:tcW w:w="733" w:type="pct"/>
            <w:noWrap w:val="0"/>
            <w:vAlign w:val="center"/>
          </w:tcPr>
          <w:p>
            <w:pPr>
              <w:adjustRightInd w:val="0"/>
              <w:snapToGrid w:val="0"/>
              <w:spacing w:line="320" w:lineRule="exact"/>
              <w:jc w:val="center"/>
              <w:rPr>
                <w:rFonts w:ascii="Times New Roman" w:hAnsi="Times New Roman"/>
                <w:color w:val="auto"/>
                <w:sz w:val="21"/>
                <w:szCs w:val="21"/>
                <w:lang w:val="sq-AL"/>
              </w:rPr>
            </w:pPr>
            <w:r>
              <w:rPr>
                <w:rFonts w:ascii="Times New Roman" w:hAnsi="Times New Roman"/>
                <w:color w:val="auto"/>
                <w:sz w:val="21"/>
                <w:szCs w:val="21"/>
                <w:lang w:val="sq-AL"/>
              </w:rPr>
              <w:t>0.4</w:t>
            </w:r>
          </w:p>
        </w:tc>
        <w:tc>
          <w:tcPr>
            <w:tcW w:w="1097" w:type="pct"/>
            <w:noWrap w:val="0"/>
            <w:vAlign w:val="bottom"/>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0.292</w:t>
            </w:r>
          </w:p>
        </w:tc>
        <w:tc>
          <w:tcPr>
            <w:tcW w:w="1097" w:type="pct"/>
            <w:noWrap w:val="0"/>
            <w:vAlign w:val="top"/>
          </w:tcPr>
          <w:p>
            <w:pPr>
              <w:spacing w:line="320" w:lineRule="exact"/>
              <w:jc w:val="center"/>
              <w:rPr>
                <w:rFonts w:ascii="Times New Roman" w:hAnsi="Times New Roman" w:eastAsia="等线"/>
                <w:color w:val="auto"/>
                <w:sz w:val="21"/>
                <w:szCs w:val="21"/>
                <w:lang w:val="sq-AL"/>
              </w:rPr>
            </w:pPr>
            <w:r>
              <w:rPr>
                <w:rFonts w:ascii="Times New Roman" w:hAnsi="Times New Roman" w:eastAsia="等线"/>
                <w:color w:val="auto"/>
                <w:sz w:val="21"/>
                <w:szCs w:val="21"/>
                <w:lang w:val="sq-AL"/>
              </w:rPr>
              <w:t>0.25</w:t>
            </w:r>
          </w:p>
        </w:tc>
        <w:tc>
          <w:tcPr>
            <w:tcW w:w="1097" w:type="pct"/>
            <w:noWrap w:val="0"/>
            <w:vAlign w:val="top"/>
          </w:tcPr>
          <w:p>
            <w:pPr>
              <w:spacing w:line="320" w:lineRule="exact"/>
              <w:jc w:val="center"/>
              <w:rPr>
                <w:rFonts w:hint="default" w:ascii="Times New Roman" w:hAnsi="Times New Roman" w:eastAsia="等线"/>
                <w:color w:val="auto"/>
                <w:sz w:val="21"/>
                <w:szCs w:val="21"/>
                <w:lang w:val="en-US" w:eastAsia="zh-CN"/>
              </w:rPr>
            </w:pPr>
            <w:r>
              <w:rPr>
                <w:rFonts w:hint="eastAsia" w:eastAsia="等线"/>
                <w:color w:val="auto"/>
                <w:sz w:val="21"/>
                <w:szCs w:val="21"/>
                <w:lang w:val="en-US" w:eastAsia="zh-CN"/>
              </w:rPr>
              <w:t>1168</w:t>
            </w:r>
          </w:p>
        </w:tc>
      </w:tr>
    </w:tbl>
    <w:p>
      <w:pPr>
        <w:spacing w:line="480" w:lineRule="exact"/>
        <w:ind w:firstLine="482"/>
        <w:rPr>
          <w:rFonts w:ascii="Times New Roman" w:hAnsi="Times New Roman"/>
          <w:color w:val="auto"/>
          <w:sz w:val="24"/>
          <w:szCs w:val="24"/>
        </w:rPr>
      </w:pPr>
      <w:r>
        <w:rPr>
          <w:rFonts w:ascii="Times New Roman" w:hAnsi="Times New Roman"/>
          <w:color w:val="auto"/>
          <w:sz w:val="24"/>
          <w:szCs w:val="24"/>
        </w:rPr>
        <w:t>根据以上计算结果可知，本项目污染当量数最大的为W</w:t>
      </w:r>
      <w:r>
        <w:rPr>
          <w:rFonts w:ascii="Times New Roman" w:hAnsi="Times New Roman"/>
          <w:color w:val="auto"/>
          <w:sz w:val="24"/>
          <w:szCs w:val="24"/>
          <w:vertAlign w:val="subscript"/>
        </w:rPr>
        <w:t>COD</w:t>
      </w:r>
      <w:r>
        <w:rPr>
          <w:rFonts w:ascii="Times New Roman" w:hAnsi="Times New Roman"/>
          <w:color w:val="auto"/>
          <w:sz w:val="24"/>
          <w:szCs w:val="24"/>
        </w:rPr>
        <w:t xml:space="preserve"> =</w:t>
      </w:r>
      <w:r>
        <w:rPr>
          <w:rFonts w:hint="eastAsia"/>
          <w:color w:val="auto"/>
          <w:sz w:val="24"/>
          <w:szCs w:val="24"/>
          <w:lang w:val="en-US" w:eastAsia="zh-CN"/>
        </w:rPr>
        <w:t>29200</w:t>
      </w:r>
      <w:r>
        <w:rPr>
          <w:rFonts w:ascii="Times New Roman" w:hAnsi="Times New Roman"/>
          <w:color w:val="auto"/>
          <w:sz w:val="24"/>
          <w:szCs w:val="24"/>
        </w:rPr>
        <w:t>＜600000。</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ascii="Times New Roman" w:hAnsi="Times New Roman"/>
          <w:b/>
          <w:bCs/>
          <w:color w:val="auto"/>
          <w:sz w:val="24"/>
          <w:szCs w:val="24"/>
        </w:rPr>
      </w:pPr>
      <w:r>
        <w:rPr>
          <w:rFonts w:ascii="Times New Roman" w:hAnsi="Times New Roman"/>
          <w:b/>
          <w:bCs/>
          <w:color w:val="auto"/>
          <w:sz w:val="24"/>
          <w:szCs w:val="24"/>
        </w:rPr>
        <w:t>1.2.3评价等级</w:t>
      </w:r>
    </w:p>
    <w:p>
      <w:pPr>
        <w:spacing w:line="480" w:lineRule="exact"/>
        <w:ind w:firstLine="482"/>
        <w:rPr>
          <w:rFonts w:ascii="Times New Roman" w:hAnsi="Times New Roman"/>
          <w:color w:val="auto"/>
        </w:rPr>
      </w:pPr>
      <w:r>
        <w:rPr>
          <w:rFonts w:ascii="Times New Roman" w:hAnsi="Times New Roman"/>
          <w:color w:val="auto"/>
          <w:sz w:val="24"/>
          <w:szCs w:val="24"/>
        </w:rPr>
        <w:t>根据《环境影响评价技术导则 地表水环境》（HJ 2.3—2018）中相关规定，水污染型建设项目评价等级判定依据如下表1.2-</w:t>
      </w:r>
      <w:r>
        <w:rPr>
          <w:rFonts w:hint="eastAsia"/>
          <w:color w:val="auto"/>
          <w:sz w:val="24"/>
          <w:szCs w:val="24"/>
          <w:lang w:val="en-US" w:eastAsia="zh-CN"/>
        </w:rPr>
        <w:t>2</w:t>
      </w:r>
      <w:r>
        <w:rPr>
          <w:rFonts w:ascii="Times New Roman" w:hAnsi="Times New Roman"/>
          <w:color w:val="auto"/>
          <w:sz w:val="24"/>
          <w:szCs w:val="24"/>
        </w:rPr>
        <w:t>所示。</w:t>
      </w:r>
    </w:p>
    <w:p>
      <w:pPr>
        <w:pStyle w:val="33"/>
        <w:keepNext w:val="0"/>
        <w:keepLines w:val="0"/>
        <w:pageBreakBefore w:val="0"/>
        <w:widowControl w:val="0"/>
        <w:tabs>
          <w:tab w:val="left" w:pos="2340"/>
        </w:tabs>
        <w:kinsoku/>
        <w:wordWrap/>
        <w:overflowPunct/>
        <w:topLinePunct w:val="0"/>
        <w:autoSpaceDE/>
        <w:autoSpaceDN/>
        <w:bidi w:val="0"/>
        <w:adjustRightInd/>
        <w:snapToGrid/>
        <w:spacing w:before="0" w:beforeLines="0" w:after="0" w:afterAutospacing="0" w:line="480" w:lineRule="exac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表1.2-</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 xml:space="preserve">   水污染型建设项目评价等级判定表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658"/>
        <w:gridCol w:w="4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vMerge w:val="restar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评价等级</w:t>
            </w:r>
          </w:p>
        </w:tc>
        <w:tc>
          <w:tcPr>
            <w:tcW w:w="3864" w:type="pct"/>
            <w:gridSpan w:val="2"/>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vMerge w:val="continue"/>
            <w:noWrap w:val="0"/>
            <w:vAlign w:val="center"/>
          </w:tcPr>
          <w:p>
            <w:pPr>
              <w:widowControl/>
              <w:spacing w:line="320" w:lineRule="exact"/>
              <w:jc w:val="center"/>
              <w:rPr>
                <w:rFonts w:ascii="Times New Roman" w:hAnsi="Times New Roman"/>
                <w:color w:val="auto"/>
                <w:sz w:val="21"/>
                <w:szCs w:val="21"/>
              </w:rPr>
            </w:pPr>
          </w:p>
        </w:tc>
        <w:tc>
          <w:tcPr>
            <w:tcW w:w="1449"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排放方式</w:t>
            </w:r>
          </w:p>
        </w:tc>
        <w:tc>
          <w:tcPr>
            <w:tcW w:w="2415"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废水排放量Q/（m</w:t>
            </w:r>
            <w:r>
              <w:rPr>
                <w:rFonts w:ascii="Times New Roman" w:hAnsi="Times New Roman"/>
                <w:color w:val="auto"/>
                <w:sz w:val="21"/>
                <w:szCs w:val="21"/>
                <w:vertAlign w:val="superscript"/>
              </w:rPr>
              <w:t>3</w:t>
            </w:r>
            <w:r>
              <w:rPr>
                <w:rFonts w:ascii="Times New Roman" w:hAnsi="Times New Roman"/>
                <w:color w:val="auto"/>
                <w:sz w:val="21"/>
                <w:szCs w:val="21"/>
              </w:rPr>
              <w:t>/d）</w:t>
            </w:r>
          </w:p>
          <w:p>
            <w:pPr>
              <w:spacing w:line="320" w:lineRule="exact"/>
              <w:jc w:val="center"/>
              <w:rPr>
                <w:rFonts w:ascii="Times New Roman" w:hAnsi="Times New Roman"/>
                <w:color w:val="auto"/>
                <w:sz w:val="21"/>
                <w:szCs w:val="21"/>
              </w:rPr>
            </w:pPr>
            <w:r>
              <w:rPr>
                <w:rFonts w:ascii="Times New Roman" w:hAnsi="Times New Roman"/>
                <w:color w:val="auto"/>
                <w:sz w:val="21"/>
                <w:szCs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一级</w:t>
            </w:r>
          </w:p>
        </w:tc>
        <w:tc>
          <w:tcPr>
            <w:tcW w:w="1449"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直接排放</w:t>
            </w:r>
          </w:p>
        </w:tc>
        <w:tc>
          <w:tcPr>
            <w:tcW w:w="2415"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二级</w:t>
            </w:r>
          </w:p>
        </w:tc>
        <w:tc>
          <w:tcPr>
            <w:tcW w:w="1449"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直接排放</w:t>
            </w:r>
          </w:p>
        </w:tc>
        <w:tc>
          <w:tcPr>
            <w:tcW w:w="2415"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三级A</w:t>
            </w:r>
          </w:p>
        </w:tc>
        <w:tc>
          <w:tcPr>
            <w:tcW w:w="1449"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直接排放</w:t>
            </w:r>
          </w:p>
        </w:tc>
        <w:tc>
          <w:tcPr>
            <w:tcW w:w="2415"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三级B</w:t>
            </w:r>
          </w:p>
        </w:tc>
        <w:tc>
          <w:tcPr>
            <w:tcW w:w="1449"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 xml:space="preserve">间接排放 </w:t>
            </w:r>
          </w:p>
        </w:tc>
        <w:tc>
          <w:tcPr>
            <w:tcW w:w="2415" w:type="pct"/>
            <w:noWrap w:val="0"/>
            <w:vAlign w:val="center"/>
          </w:tcPr>
          <w:p>
            <w:pPr>
              <w:spacing w:line="320" w:lineRule="exact"/>
              <w:jc w:val="center"/>
              <w:rPr>
                <w:rFonts w:ascii="Times New Roman" w:hAnsi="Times New Roman"/>
                <w:color w:val="auto"/>
                <w:sz w:val="21"/>
                <w:szCs w:val="21"/>
              </w:rPr>
            </w:pPr>
            <w:r>
              <w:rPr>
                <w:rFonts w:ascii="Times New Roman" w:hAnsi="Times New Roman"/>
                <w:color w:val="auto"/>
                <w:sz w:val="21"/>
                <w:szCs w:val="21"/>
              </w:rPr>
              <w:t>-</w:t>
            </w:r>
          </w:p>
        </w:tc>
      </w:tr>
    </w:tbl>
    <w:p>
      <w:pPr>
        <w:spacing w:line="490" w:lineRule="exact"/>
        <w:ind w:firstLine="480" w:firstLineChars="200"/>
        <w:rPr>
          <w:rFonts w:ascii="Times New Roman" w:hAnsi="Times New Roman"/>
          <w:color w:val="auto"/>
        </w:rPr>
      </w:pPr>
      <w:r>
        <w:rPr>
          <w:rFonts w:ascii="Times New Roman" w:hAnsi="Times New Roman"/>
          <w:color w:val="auto"/>
          <w:sz w:val="24"/>
          <w:szCs w:val="24"/>
        </w:rPr>
        <w:t>本项目污水处理站废水排放方式为直接排放，废水</w:t>
      </w:r>
      <w:r>
        <w:rPr>
          <w:rFonts w:hint="eastAsia" w:ascii="Times New Roman" w:hAnsi="Times New Roman"/>
          <w:color w:val="auto"/>
          <w:sz w:val="24"/>
          <w:szCs w:val="24"/>
        </w:rPr>
        <w:t>最大</w:t>
      </w:r>
      <w:r>
        <w:rPr>
          <w:rFonts w:ascii="Times New Roman" w:hAnsi="Times New Roman"/>
          <w:color w:val="auto"/>
          <w:sz w:val="24"/>
          <w:szCs w:val="24"/>
        </w:rPr>
        <w:t>排放量为</w:t>
      </w:r>
      <w:r>
        <w:rPr>
          <w:rFonts w:hint="eastAsia"/>
          <w:color w:val="auto"/>
          <w:sz w:val="24"/>
          <w:szCs w:val="24"/>
          <w:lang w:val="en-US" w:eastAsia="zh-CN"/>
        </w:rPr>
        <w:t>20</w:t>
      </w:r>
      <w:r>
        <w:rPr>
          <w:rFonts w:ascii="Times New Roman" w:hAnsi="Times New Roman"/>
          <w:color w:val="auto"/>
          <w:sz w:val="24"/>
          <w:szCs w:val="24"/>
        </w:rPr>
        <w:t>00m</w:t>
      </w:r>
      <w:r>
        <w:rPr>
          <w:rFonts w:ascii="Times New Roman" w:hAnsi="Times New Roman"/>
          <w:color w:val="auto"/>
          <w:sz w:val="24"/>
          <w:szCs w:val="24"/>
          <w:vertAlign w:val="superscript"/>
        </w:rPr>
        <w:t>3</w:t>
      </w:r>
      <w:r>
        <w:rPr>
          <w:rFonts w:ascii="Times New Roman" w:hAnsi="Times New Roman"/>
          <w:color w:val="auto"/>
          <w:sz w:val="24"/>
          <w:szCs w:val="24"/>
        </w:rPr>
        <w:t>/d＞200m</w:t>
      </w:r>
      <w:r>
        <w:rPr>
          <w:rFonts w:ascii="Times New Roman" w:hAnsi="Times New Roman"/>
          <w:color w:val="auto"/>
          <w:sz w:val="24"/>
          <w:szCs w:val="24"/>
          <w:vertAlign w:val="superscript"/>
        </w:rPr>
        <w:t>3</w:t>
      </w:r>
      <w:r>
        <w:rPr>
          <w:rFonts w:ascii="Times New Roman" w:hAnsi="Times New Roman"/>
          <w:color w:val="auto"/>
          <w:sz w:val="24"/>
          <w:szCs w:val="24"/>
        </w:rPr>
        <w:t>/d，污染当量数最大的为W</w:t>
      </w:r>
      <w:r>
        <w:rPr>
          <w:rFonts w:ascii="Times New Roman" w:hAnsi="Times New Roman"/>
          <w:color w:val="auto"/>
          <w:sz w:val="24"/>
          <w:szCs w:val="24"/>
          <w:vertAlign w:val="subscript"/>
        </w:rPr>
        <w:t>COD</w:t>
      </w:r>
      <w:r>
        <w:rPr>
          <w:rFonts w:ascii="Times New Roman" w:hAnsi="Times New Roman"/>
          <w:color w:val="auto"/>
          <w:sz w:val="24"/>
          <w:szCs w:val="24"/>
        </w:rPr>
        <w:t xml:space="preserve"> =</w:t>
      </w:r>
      <w:r>
        <w:rPr>
          <w:rFonts w:hint="eastAsia"/>
          <w:color w:val="auto"/>
          <w:sz w:val="24"/>
          <w:szCs w:val="24"/>
          <w:lang w:val="en-US" w:eastAsia="zh-CN"/>
        </w:rPr>
        <w:t>29200</w:t>
      </w:r>
      <w:r>
        <w:rPr>
          <w:rFonts w:ascii="Times New Roman" w:hAnsi="Times New Roman"/>
          <w:color w:val="auto"/>
          <w:sz w:val="24"/>
          <w:szCs w:val="24"/>
        </w:rPr>
        <w:t>＜600000。因此，确定本项目水污染评价等级为二级。</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ascii="Times New Roman" w:hAnsi="Times New Roman"/>
          <w:b/>
          <w:color w:val="auto"/>
          <w:sz w:val="24"/>
          <w:szCs w:val="24"/>
        </w:rPr>
      </w:pPr>
      <w:bookmarkStart w:id="26" w:name="_Toc17429"/>
      <w:r>
        <w:rPr>
          <w:rFonts w:ascii="Times New Roman" w:hAnsi="Times New Roman"/>
          <w:b/>
          <w:color w:val="auto"/>
          <w:sz w:val="24"/>
          <w:szCs w:val="24"/>
        </w:rPr>
        <w:t>1.3地表水评价范围</w:t>
      </w:r>
      <w:bookmarkEnd w:id="26"/>
    </w:p>
    <w:p>
      <w:pPr>
        <w:spacing w:line="460" w:lineRule="exact"/>
        <w:ind w:firstLine="496" w:firstLineChars="200"/>
        <w:rPr>
          <w:rFonts w:hint="default" w:ascii="Times New Roman" w:hAnsi="Times New Roman" w:eastAsia="宋体"/>
          <w:color w:val="auto"/>
          <w:spacing w:val="4"/>
          <w:sz w:val="24"/>
          <w:szCs w:val="24"/>
          <w:lang w:val="en-US" w:eastAsia="zh-CN"/>
        </w:rPr>
      </w:pPr>
      <w:r>
        <w:rPr>
          <w:rFonts w:ascii="Times New Roman" w:hAnsi="Times New Roman"/>
          <w:color w:val="auto"/>
          <w:spacing w:val="4"/>
          <w:sz w:val="24"/>
          <w:szCs w:val="24"/>
        </w:rPr>
        <w:t>本次评价地表水环境影响评价等级为二级，根据《环境影响评价技术导则 地表水环境》（HJ 2.3—2018）中相关规定，确定地表水环境影响评价范围为</w:t>
      </w:r>
      <w:r>
        <w:rPr>
          <w:rFonts w:hint="eastAsia"/>
          <w:color w:val="auto"/>
          <w:spacing w:val="4"/>
          <w:sz w:val="24"/>
          <w:szCs w:val="24"/>
          <w:lang w:val="en-US" w:eastAsia="zh-CN"/>
        </w:rPr>
        <w:t>滹沱河，</w:t>
      </w:r>
      <w:r>
        <w:rPr>
          <w:rFonts w:hint="eastAsia" w:ascii="Times New Roman" w:hAnsi="Times New Roman"/>
          <w:color w:val="auto"/>
          <w:spacing w:val="4"/>
          <w:sz w:val="24"/>
          <w:szCs w:val="24"/>
          <w:lang w:val="en-US" w:eastAsia="zh-CN"/>
        </w:rPr>
        <w:t>本项目污水处理站排口上游500m至下游1500m范围内河段。</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hint="default" w:ascii="Times New Roman" w:hAnsi="Times New Roman"/>
          <w:b/>
          <w:color w:val="auto"/>
          <w:sz w:val="24"/>
          <w:szCs w:val="24"/>
        </w:rPr>
      </w:pPr>
      <w:bookmarkStart w:id="27" w:name="_Toc15495"/>
      <w:r>
        <w:rPr>
          <w:rFonts w:hint="default" w:ascii="Times New Roman" w:hAnsi="Times New Roman"/>
          <w:b/>
          <w:color w:val="auto"/>
          <w:sz w:val="24"/>
          <w:szCs w:val="24"/>
        </w:rPr>
        <w:t>1.4地表水环境保护目标</w:t>
      </w:r>
      <w:bookmarkEnd w:id="27"/>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1.4.1 河流水系</w:t>
      </w:r>
    </w:p>
    <w:p>
      <w:pPr>
        <w:spacing w:line="480" w:lineRule="exact"/>
        <w:ind w:firstLine="482"/>
        <w:rPr>
          <w:rFonts w:hint="default" w:ascii="Times New Roman" w:hAnsi="Times New Roman" w:cs="Times New Roman"/>
          <w:color w:val="auto"/>
          <w:sz w:val="24"/>
          <w:szCs w:val="24"/>
          <w:lang w:val="en-US"/>
        </w:rPr>
      </w:pPr>
      <w:bookmarkStart w:id="28" w:name="_Hlk12005004"/>
      <w:r>
        <w:rPr>
          <w:rFonts w:hint="default" w:ascii="Times New Roman" w:hAnsi="Times New Roman" w:cs="Times New Roman"/>
          <w:color w:val="auto"/>
          <w:sz w:val="24"/>
          <w:szCs w:val="24"/>
          <w:lang w:val="en-US"/>
        </w:rPr>
        <w:t>五台山境域内主要河流为滹沱河、清水河，属海河流域。其它小河流多注入滹沱河、清水河。</w:t>
      </w:r>
    </w:p>
    <w:p>
      <w:pPr>
        <w:spacing w:line="480" w:lineRule="exact"/>
        <w:ind w:firstLine="482"/>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滹沱河：发源于五台山北麓繁峙县泰戏山桥儿沟，经代县、原平、定襄、五台，流入盂县，再流入河北省。五台山区域流域面积11936km</w:t>
      </w:r>
      <w:r>
        <w:rPr>
          <w:rFonts w:hint="default" w:ascii="Times New Roman" w:hAnsi="Times New Roman" w:cs="Times New Roman"/>
          <w:color w:val="auto"/>
          <w:sz w:val="24"/>
          <w:szCs w:val="24"/>
          <w:vertAlign w:val="superscript"/>
          <w:lang w:val="en-US"/>
        </w:rPr>
        <w:t>2</w:t>
      </w:r>
      <w:r>
        <w:rPr>
          <w:rFonts w:hint="default" w:ascii="Times New Roman" w:hAnsi="Times New Roman" w:cs="Times New Roman"/>
          <w:color w:val="auto"/>
          <w:sz w:val="24"/>
          <w:szCs w:val="24"/>
          <w:lang w:val="en-US"/>
        </w:rPr>
        <w:t>，长250km，平均纵坡1/700，河床宽100～800m。有支流21条，较大支流有阳武河、云中河、牧马河、清水河等。</w:t>
      </w:r>
    </w:p>
    <w:p>
      <w:pPr>
        <w:spacing w:line="480" w:lineRule="exact"/>
        <w:ind w:firstLine="482"/>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清水河：发源于五台山北台南麓紫霞谷与东台沟，经金刚库、石咀、门限石、耿镇、高洪口、陈家庄等乡，于坪上村汇入滹沱河，全长163km，流域面积2405km</w:t>
      </w:r>
      <w:r>
        <w:rPr>
          <w:rFonts w:hint="default" w:ascii="Times New Roman" w:hAnsi="Times New Roman" w:cs="Times New Roman"/>
          <w:color w:val="auto"/>
          <w:sz w:val="24"/>
          <w:szCs w:val="24"/>
          <w:vertAlign w:val="superscript"/>
          <w:lang w:val="en-US"/>
        </w:rPr>
        <w:t>2</w:t>
      </w:r>
      <w:r>
        <w:rPr>
          <w:rFonts w:hint="default" w:ascii="Times New Roman" w:hAnsi="Times New Roman" w:cs="Times New Roman"/>
          <w:color w:val="auto"/>
          <w:sz w:val="24"/>
          <w:szCs w:val="24"/>
          <w:lang w:val="en-US"/>
        </w:rPr>
        <w:t>。</w:t>
      </w:r>
    </w:p>
    <w:p>
      <w:pPr>
        <w:spacing w:line="480" w:lineRule="exact"/>
        <w:ind w:firstLine="482"/>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滤泗河：发源于五台县东雷乡岭底村，经城关、刘家庄乡于黄堾坪汇入清水河。流域面积352km</w:t>
      </w:r>
      <w:r>
        <w:rPr>
          <w:rFonts w:hint="default" w:ascii="Times New Roman" w:hAnsi="Times New Roman" w:cs="Times New Roman"/>
          <w:color w:val="auto"/>
          <w:sz w:val="24"/>
          <w:szCs w:val="24"/>
          <w:vertAlign w:val="superscript"/>
          <w:lang w:val="en-US"/>
        </w:rPr>
        <w:t>2</w:t>
      </w:r>
      <w:r>
        <w:rPr>
          <w:rFonts w:hint="default" w:ascii="Times New Roman" w:hAnsi="Times New Roman" w:cs="Times New Roman"/>
          <w:color w:val="auto"/>
          <w:sz w:val="24"/>
          <w:szCs w:val="24"/>
          <w:lang w:val="en-US"/>
        </w:rPr>
        <w:t>，河长43km。</w:t>
      </w:r>
    </w:p>
    <w:p>
      <w:pPr>
        <w:spacing w:line="480" w:lineRule="exact"/>
        <w:ind w:firstLine="482"/>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泗阳河：发源于五台县李家寨乡小柏沟村，在五台县河口汇入清水河。流域面积457km</w:t>
      </w:r>
      <w:r>
        <w:rPr>
          <w:rFonts w:hint="default" w:ascii="Times New Roman" w:hAnsi="Times New Roman" w:cs="Times New Roman"/>
          <w:color w:val="auto"/>
          <w:sz w:val="24"/>
          <w:szCs w:val="24"/>
          <w:vertAlign w:val="superscript"/>
          <w:lang w:val="en-US"/>
        </w:rPr>
        <w:t>2</w:t>
      </w:r>
      <w:r>
        <w:rPr>
          <w:rFonts w:hint="default" w:ascii="Times New Roman" w:hAnsi="Times New Roman" w:cs="Times New Roman"/>
          <w:color w:val="auto"/>
          <w:sz w:val="24"/>
          <w:szCs w:val="24"/>
          <w:lang w:val="en-US"/>
        </w:rPr>
        <w:t>，旁支有小北沟、智存沟、车场沟、苇地沟、车桂沟等小溪及节令河汇入，全长45km。</w:t>
      </w:r>
    </w:p>
    <w:p>
      <w:pPr>
        <w:spacing w:line="480" w:lineRule="exact"/>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小银河：发源于五台县殿头村，从殿头至阳白为节令河，至郭家庄始有水出，经北大兴至槐荫村汇入滹沱河。流域面积230km</w:t>
      </w:r>
      <w:r>
        <w:rPr>
          <w:rFonts w:hint="default" w:ascii="Times New Roman" w:hAnsi="Times New Roman" w:cs="Times New Roman"/>
          <w:color w:val="auto"/>
          <w:sz w:val="24"/>
          <w:szCs w:val="24"/>
          <w:vertAlign w:val="superscript"/>
          <w:lang w:val="en-US"/>
        </w:rPr>
        <w:t>2</w:t>
      </w:r>
      <w:r>
        <w:rPr>
          <w:rFonts w:hint="default" w:ascii="Times New Roman" w:hAnsi="Times New Roman" w:cs="Times New Roman"/>
          <w:color w:val="auto"/>
          <w:sz w:val="24"/>
          <w:szCs w:val="24"/>
          <w:lang w:val="en-US"/>
        </w:rPr>
        <w:t>，河长32.5km。</w:t>
      </w:r>
    </w:p>
    <w:p>
      <w:pPr>
        <w:spacing w:line="480" w:lineRule="exact"/>
        <w:ind w:firstLine="480" w:firstLineChars="200"/>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距离本项目最近的地表水为污水处理站厂东北侧</w:t>
      </w:r>
      <w:r>
        <w:rPr>
          <w:rFonts w:hint="eastAsia"/>
          <w:color w:val="auto"/>
          <w:sz w:val="24"/>
          <w:szCs w:val="24"/>
          <w:lang w:val="en-US" w:eastAsia="zh-CN"/>
        </w:rPr>
        <w:t>100</w:t>
      </w:r>
      <w:r>
        <w:rPr>
          <w:rFonts w:hint="eastAsia" w:ascii="Times New Roman" w:hAnsi="Times New Roman"/>
          <w:color w:val="auto"/>
          <w:sz w:val="24"/>
          <w:szCs w:val="24"/>
          <w:lang w:val="en-US" w:eastAsia="zh-CN"/>
        </w:rPr>
        <w:t>m处的</w:t>
      </w:r>
      <w:r>
        <w:rPr>
          <w:rFonts w:hint="eastAsia"/>
          <w:color w:val="auto"/>
          <w:sz w:val="24"/>
          <w:szCs w:val="24"/>
          <w:lang w:val="en-US" w:eastAsia="zh-CN"/>
        </w:rPr>
        <w:t>滹沱河</w:t>
      </w:r>
      <w:r>
        <w:rPr>
          <w:rFonts w:hint="eastAsia" w:ascii="Times New Roman" w:hAnsi="Times New Roman"/>
          <w:color w:val="auto"/>
          <w:sz w:val="24"/>
          <w:szCs w:val="24"/>
          <w:lang w:val="en-US" w:eastAsia="zh-CN"/>
        </w:rPr>
        <w:t>。</w:t>
      </w:r>
    </w:p>
    <w:p>
      <w:pPr>
        <w:spacing w:line="480" w:lineRule="exact"/>
        <w:ind w:firstLine="480" w:firstLineChars="200"/>
        <w:rPr>
          <w:rFonts w:hint="default" w:ascii="Times New Roman" w:hAnsi="Times New Roman" w:eastAsia="宋体"/>
          <w:color w:val="auto"/>
          <w:sz w:val="24"/>
          <w:szCs w:val="24"/>
          <w:lang w:val="en-US" w:eastAsia="zh-CN"/>
        </w:rPr>
      </w:pPr>
      <w:r>
        <w:rPr>
          <w:rFonts w:hint="eastAsia"/>
          <w:color w:val="auto"/>
          <w:sz w:val="24"/>
          <w:szCs w:val="24"/>
          <w:lang w:val="en-US" w:eastAsia="zh-CN"/>
        </w:rPr>
        <w:t>五台</w:t>
      </w:r>
      <w:r>
        <w:rPr>
          <w:rFonts w:hint="eastAsia" w:ascii="Times New Roman" w:hAnsi="Times New Roman"/>
          <w:color w:val="auto"/>
          <w:sz w:val="24"/>
          <w:szCs w:val="24"/>
          <w:lang w:val="en-US" w:eastAsia="zh-CN"/>
        </w:rPr>
        <w:t>县地表水系图见图</w:t>
      </w:r>
      <w:r>
        <w:rPr>
          <w:rFonts w:hint="eastAsia"/>
          <w:color w:val="auto"/>
          <w:sz w:val="24"/>
          <w:szCs w:val="24"/>
          <w:lang w:val="en-US" w:eastAsia="zh-CN"/>
        </w:rPr>
        <w:t>1.4-1</w:t>
      </w:r>
      <w:r>
        <w:rPr>
          <w:rFonts w:hint="eastAsia" w:ascii="Times New Roman" w:hAnsi="Times New Roman"/>
          <w:color w:val="auto"/>
          <w:sz w:val="24"/>
          <w:szCs w:val="24"/>
          <w:lang w:val="en-US" w:eastAsia="zh-CN"/>
        </w:rPr>
        <w:t>。</w:t>
      </w:r>
    </w:p>
    <w:bookmarkEnd w:id="28"/>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 xml:space="preserve">1.4.2 </w:t>
      </w:r>
      <w:r>
        <w:rPr>
          <w:rFonts w:hint="eastAsia" w:ascii="Times New Roman" w:hAnsi="Times New Roman"/>
          <w:b/>
          <w:bCs/>
          <w:color w:val="auto"/>
          <w:sz w:val="24"/>
          <w:szCs w:val="24"/>
        </w:rPr>
        <w:t>坪上泉域</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坪上泉出露于五台县南部约30km的</w:t>
      </w:r>
      <w:r>
        <w:rPr>
          <w:rFonts w:hint="eastAsia"/>
          <w:color w:val="auto"/>
          <w:sz w:val="24"/>
          <w:lang w:val="en-US" w:eastAsia="zh-CN"/>
        </w:rPr>
        <w:t>滹沱</w:t>
      </w:r>
      <w:r>
        <w:rPr>
          <w:rFonts w:hint="eastAsia"/>
          <w:color w:val="auto"/>
          <w:sz w:val="24"/>
        </w:rPr>
        <w:t>河、清水河会合口上下游河谷中，是以散泉群形式出流的岩溶水排泄带。据1994年调查，</w:t>
      </w:r>
      <w:r>
        <w:rPr>
          <w:rFonts w:hint="eastAsia"/>
          <w:color w:val="auto"/>
          <w:sz w:val="24"/>
          <w:lang w:val="en-US" w:eastAsia="zh-CN"/>
        </w:rPr>
        <w:t>滹沱</w:t>
      </w:r>
      <w:r>
        <w:rPr>
          <w:rFonts w:hint="eastAsia"/>
          <w:color w:val="auto"/>
          <w:sz w:val="24"/>
        </w:rPr>
        <w:t>河甲子湾村以南、清水河胡家庄以西至戎家庄村东的泉域边界内，有大小泉点221个，构成4个泉组；其中</w:t>
      </w:r>
      <w:r>
        <w:rPr>
          <w:rFonts w:hint="eastAsia"/>
          <w:color w:val="auto"/>
          <w:sz w:val="24"/>
          <w:lang w:val="en-US" w:eastAsia="zh-CN"/>
        </w:rPr>
        <w:t>滹沱</w:t>
      </w:r>
      <w:r>
        <w:rPr>
          <w:rFonts w:hint="eastAsia"/>
          <w:color w:val="auto"/>
          <w:sz w:val="24"/>
        </w:rPr>
        <w:t>河区有甲子湾、水泉湾、段家庄3个泉组；清水河区为李家庄泉组(含胡家庄、耿家会、李家庄、坪上散泉群)。此外，在泉域西南端水头沟有孤立出流的大湾泉，它们组成坪上泉。</w:t>
      </w:r>
      <w:r>
        <w:rPr>
          <w:rFonts w:hint="eastAsia"/>
          <w:color w:val="auto"/>
          <w:sz w:val="24"/>
          <w:lang w:val="en-US" w:eastAsia="zh-CN"/>
        </w:rPr>
        <w:t>滹沱</w:t>
      </w:r>
      <w:r>
        <w:rPr>
          <w:rFonts w:hint="eastAsia"/>
          <w:color w:val="auto"/>
          <w:sz w:val="24"/>
        </w:rPr>
        <w:t>河在含水系统内三次切穿区域岩溶含水层底板，故坪上泉属侵蚀、接触、溢流全排型泉。</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泉水多年平均总流量为4.10m</w:t>
      </w:r>
      <w:r>
        <w:rPr>
          <w:rFonts w:hint="eastAsia"/>
          <w:color w:val="auto"/>
          <w:sz w:val="24"/>
          <w:vertAlign w:val="superscript"/>
        </w:rPr>
        <w:t>3</w:t>
      </w:r>
      <w:r>
        <w:rPr>
          <w:rFonts w:hint="eastAsia"/>
          <w:color w:val="auto"/>
          <w:sz w:val="24"/>
        </w:rPr>
        <w:t>/s (1967~1992年)，各泉组流量据1994年观测资料，水泉湾泉纽0.75m</w:t>
      </w:r>
      <w:r>
        <w:rPr>
          <w:rFonts w:hint="eastAsia"/>
          <w:color w:val="auto"/>
          <w:sz w:val="24"/>
          <w:vertAlign w:val="superscript"/>
        </w:rPr>
        <w:t>3</w:t>
      </w:r>
      <w:r>
        <w:rPr>
          <w:rFonts w:hint="eastAsia"/>
          <w:color w:val="auto"/>
          <w:sz w:val="24"/>
        </w:rPr>
        <w:t>/s，段家庄泉组0.66m</w:t>
      </w:r>
      <w:r>
        <w:rPr>
          <w:rFonts w:hint="eastAsia"/>
          <w:color w:val="auto"/>
          <w:sz w:val="24"/>
          <w:vertAlign w:val="superscript"/>
        </w:rPr>
        <w:t>3</w:t>
      </w:r>
      <w:r>
        <w:rPr>
          <w:rFonts w:hint="eastAsia"/>
          <w:color w:val="auto"/>
          <w:sz w:val="24"/>
        </w:rPr>
        <w:t>/s，李家庄泉组0.94m</w:t>
      </w:r>
      <w:r>
        <w:rPr>
          <w:rFonts w:hint="eastAsia"/>
          <w:color w:val="auto"/>
          <w:sz w:val="24"/>
          <w:vertAlign w:val="superscript"/>
        </w:rPr>
        <w:t>3</w:t>
      </w:r>
      <w:r>
        <w:rPr>
          <w:rFonts w:hint="eastAsia"/>
          <w:color w:val="auto"/>
          <w:sz w:val="24"/>
        </w:rPr>
        <w:t>/s，大湾泉0.20m</w:t>
      </w:r>
      <w:r>
        <w:rPr>
          <w:rFonts w:hint="eastAsia"/>
          <w:color w:val="auto"/>
          <w:sz w:val="24"/>
          <w:vertAlign w:val="superscript"/>
        </w:rPr>
        <w:t>3</w:t>
      </w:r>
      <w:r>
        <w:rPr>
          <w:rFonts w:hint="eastAsia"/>
          <w:color w:val="auto"/>
          <w:sz w:val="24"/>
        </w:rPr>
        <w:t>/s，甲子湾泉0.12 m</w:t>
      </w:r>
      <w:r>
        <w:rPr>
          <w:rFonts w:hint="eastAsia"/>
          <w:color w:val="auto"/>
          <w:sz w:val="24"/>
          <w:vertAlign w:val="superscript"/>
        </w:rPr>
        <w:t>3</w:t>
      </w:r>
      <w:r>
        <w:rPr>
          <w:rFonts w:hint="eastAsia"/>
          <w:color w:val="auto"/>
          <w:sz w:val="24"/>
        </w:rPr>
        <w:t>/s。水泉湾、段家庄、李家庄泉组是坪上泉主体。泉水出露标高：甲子湾泉组710.9～713.3m，水泉湾泉639.9 ~699.7m，段家庄泉组678.8~672.8m，李家庄泉组699～659.4m，大湾泉700m。泉水出露地层除水泉湾组为奥陶系中统下马家沟组外，其余均为寒武系上统或中统。</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泉水水质优良，属HCO</w:t>
      </w:r>
      <w:r>
        <w:rPr>
          <w:rFonts w:hint="eastAsia"/>
          <w:color w:val="auto"/>
          <w:sz w:val="24"/>
          <w:vertAlign w:val="subscript"/>
          <w:lang w:val="en-US" w:eastAsia="zh-CN"/>
        </w:rPr>
        <w:t>3</w:t>
      </w:r>
      <w:r>
        <w:rPr>
          <w:rFonts w:hint="eastAsia"/>
          <w:color w:val="auto"/>
          <w:sz w:val="24"/>
        </w:rPr>
        <w:t>-C</w:t>
      </w:r>
      <w:r>
        <w:rPr>
          <w:rFonts w:hint="eastAsia"/>
          <w:color w:val="auto"/>
          <w:sz w:val="24"/>
          <w:lang w:val="en-US" w:eastAsia="zh-CN"/>
        </w:rPr>
        <w:t>a</w:t>
      </w:r>
      <w:r>
        <w:rPr>
          <w:rFonts w:hint="default" w:ascii="Times New Roman" w:hAnsi="Times New Roman" w:cs="Times New Roman"/>
          <w:color w:val="auto"/>
          <w:sz w:val="24"/>
        </w:rPr>
        <w:t>·</w:t>
      </w:r>
      <w:r>
        <w:rPr>
          <w:rFonts w:hint="eastAsia"/>
          <w:color w:val="auto"/>
          <w:sz w:val="24"/>
        </w:rPr>
        <w:t>Mg型水，矿化度一般在212~333mg/l，个别415mg/1(甲子湾泉)，总硬度187.2~241.2mg/l，为良好的生活及工农业用水。</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地处山西省中东部的五台山区及系舟山区的北端，属中山地形，间夹山间盆地(茹村、五台、豆村盆地)和河流谷地，地形高程一般1000~3000m，相对切割深度500~1000m，总地形是北高南低，北部最高峰北台顶3058m，南庄附近</w:t>
      </w:r>
      <w:r>
        <w:rPr>
          <w:rFonts w:hint="eastAsia"/>
          <w:color w:val="auto"/>
          <w:sz w:val="24"/>
          <w:lang w:val="en-US" w:eastAsia="zh-CN"/>
        </w:rPr>
        <w:t>滹沱</w:t>
      </w:r>
      <w:r>
        <w:rPr>
          <w:rFonts w:hint="eastAsia"/>
          <w:color w:val="auto"/>
          <w:sz w:val="24"/>
        </w:rPr>
        <w:t>河谷最低590m。</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泉域内主要河流有</w:t>
      </w:r>
      <w:r>
        <w:rPr>
          <w:rFonts w:hint="eastAsia"/>
          <w:color w:val="auto"/>
          <w:sz w:val="24"/>
          <w:lang w:val="en-US" w:eastAsia="zh-CN"/>
        </w:rPr>
        <w:t>滹沱</w:t>
      </w:r>
      <w:r>
        <w:rPr>
          <w:rFonts w:hint="eastAsia"/>
          <w:color w:val="auto"/>
          <w:sz w:val="24"/>
        </w:rPr>
        <w:t>河及其支流清水河，属海河水系。</w:t>
      </w:r>
      <w:r>
        <w:rPr>
          <w:rFonts w:hint="eastAsia"/>
          <w:color w:val="auto"/>
          <w:sz w:val="24"/>
          <w:lang w:val="en-US" w:eastAsia="zh-CN"/>
        </w:rPr>
        <w:t>滹沱</w:t>
      </w:r>
      <w:r>
        <w:rPr>
          <w:rFonts w:hint="eastAsia"/>
          <w:color w:val="auto"/>
          <w:sz w:val="24"/>
        </w:rPr>
        <w:t>河自北而南穿过本区为过境河流，区内河长38km，多年平均径流量14.87m</w:t>
      </w:r>
      <w:r>
        <w:rPr>
          <w:rFonts w:hint="eastAsia"/>
          <w:color w:val="auto"/>
          <w:sz w:val="24"/>
          <w:vertAlign w:val="superscript"/>
        </w:rPr>
        <w:t>3</w:t>
      </w:r>
      <w:r>
        <w:rPr>
          <w:rFonts w:hint="eastAsia"/>
          <w:color w:val="auto"/>
          <w:sz w:val="24"/>
        </w:rPr>
        <w:t>/s(南庄站)。清水河发源于五台山中台，在坪上村汇入滹沱河，据南坡站资料，多年平均径流量3.78m</w:t>
      </w:r>
      <w:r>
        <w:rPr>
          <w:rFonts w:hint="eastAsia"/>
          <w:color w:val="auto"/>
          <w:sz w:val="24"/>
          <w:vertAlign w:val="superscript"/>
        </w:rPr>
        <w:t>3</w:t>
      </w:r>
      <w:r>
        <w:rPr>
          <w:rFonts w:hint="eastAsia"/>
          <w:color w:val="auto"/>
          <w:sz w:val="24"/>
        </w:rPr>
        <w:t>/s。其在岩溶区流长50km，因清水漏失，胡家庄以上大部分为干谷，以下因泉水出流时有清水。</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泉域属大陆性半干早气候，高寒微湿。降水量受地形影响变化大，山区迎风坡大，盆地河谷区小，多年平均降水量分别为537</w:t>
      </w:r>
      <w:r>
        <w:rPr>
          <w:rFonts w:hint="eastAsia"/>
          <w:color w:val="auto"/>
          <w:sz w:val="24"/>
          <w:lang w:val="en-US" w:eastAsia="zh-CN"/>
        </w:rPr>
        <w:t>-</w:t>
      </w:r>
      <w:r>
        <w:rPr>
          <w:rFonts w:hint="eastAsia"/>
          <w:color w:val="auto"/>
          <w:sz w:val="24"/>
        </w:rPr>
        <w:t>463mm。</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内出露地层有：(1)太古界、元古界深、浅变质岩，广泛分布于泉域北、东及东南部，是岩溶含水系统基底及补给岩溶水的地表水产流区；(2)下古生界寒武系、奥陶系碳酸盐岩，分布于五台山南部及系舟山区，组成轴向北东的复式向斜构造，构成坪上泉岩溶含水系统；(3)上古生界石碳系、二迭系碎屑岩，零星覆盖在奥陶系之上，使之成为埋藏型岩溶区；(4)新生界上第三系、第四系松散岩，覆盖于各时代之上，在碳酸盐岩之上都形成覆盖型岩溶区。</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岩浴水含水岩组主要是奥陶系中统下马家沟组及寒武系上、中统，以寒武系最普遍。其中以下马家沟组及寒武系上统最强，中统次之。</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岩溶水的补给来源主要是大气降水在灰岩裸露区的入渗，其次是清水河干、支流地表水的渗漏。地下水主要自东北、东、南方向向排泄区汇流，因河流侵蚀而成泉排泄。</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泉域范围</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南、东、北部边界及西北部边界：为清水河流域的地表分水岭。南起五台县陈家庄南分水岭、向东北经雷公顶-老虎头-南坨-长城岭-东台顶-北台顶-中台顶-香峪尖-凡支山-大柏山-娘娘垴，折向南沿小银河与滹沱河分水岭到黄土坡村的南山。</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西部边界：由黄土坡村南山向西经南湾村、青山底至藏孤台村的系舟山麓，以寒武系下统与中统的地层线为界。</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西南部边界：由藏孤台村南的系舟山北麓，沿黑小尖山-将军山(天翅垴) -白玉沟南山的地表分水岭再绕以南庄戎家庄以东滹沱河两岸山坡至陈家庄南地表分水岭。</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由上述边界确定泉域面积3035km</w:t>
      </w:r>
      <w:r>
        <w:rPr>
          <w:rFonts w:hint="eastAsia"/>
          <w:color w:val="auto"/>
          <w:sz w:val="24"/>
          <w:vertAlign w:val="superscript"/>
        </w:rPr>
        <w:t>2</w:t>
      </w:r>
      <w:r>
        <w:rPr>
          <w:rFonts w:hint="eastAsia"/>
          <w:color w:val="auto"/>
          <w:sz w:val="24"/>
        </w:rPr>
        <w:t>，由寒武、奥陶系碳酸盐岩组成的含水系统面积855km</w:t>
      </w:r>
      <w:r>
        <w:rPr>
          <w:rFonts w:hint="eastAsia"/>
          <w:color w:val="auto"/>
          <w:sz w:val="24"/>
          <w:vertAlign w:val="superscript"/>
        </w:rPr>
        <w:t>2</w:t>
      </w:r>
      <w:r>
        <w:rPr>
          <w:rFonts w:hint="eastAsia"/>
          <w:color w:val="auto"/>
          <w:sz w:val="24"/>
        </w:rPr>
        <w:t>,其中可溶岩裸露区面积750km</w:t>
      </w:r>
      <w:r>
        <w:rPr>
          <w:rFonts w:hint="eastAsia"/>
          <w:color w:val="auto"/>
          <w:sz w:val="24"/>
          <w:vertAlign w:val="superscript"/>
        </w:rPr>
        <w:t>2</w:t>
      </w:r>
      <w:r>
        <w:rPr>
          <w:rFonts w:hint="eastAsia"/>
          <w:color w:val="auto"/>
          <w:sz w:val="24"/>
        </w:rPr>
        <w:t>，覆盖埋藏区105km</w:t>
      </w:r>
      <w:r>
        <w:rPr>
          <w:rFonts w:hint="eastAsia"/>
          <w:color w:val="auto"/>
          <w:sz w:val="24"/>
          <w:vertAlign w:val="superscript"/>
        </w:rPr>
        <w:t>2</w:t>
      </w:r>
      <w:r>
        <w:rPr>
          <w:rFonts w:hint="eastAsia"/>
          <w:color w:val="auto"/>
          <w:sz w:val="24"/>
        </w:rPr>
        <w:t>。泉域以清水河流域为主体，行政区划上主要属忻州地区五台县，少部分为定襄县。</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重点保护区范围</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清水河、滹沱河河谷泉水集中出露带：其范围为滹沱河南湾村、清水河胡家庄以下至滹沱河戎家庄以东泉域边界的两河河谷地带，面积约8.0km</w:t>
      </w:r>
      <w:r>
        <w:rPr>
          <w:rFonts w:hint="eastAsia"/>
          <w:color w:val="auto"/>
          <w:sz w:val="24"/>
          <w:vertAlign w:val="superscript"/>
        </w:rPr>
        <w:t>2</w:t>
      </w:r>
      <w:r>
        <w:rPr>
          <w:rFonts w:hint="eastAsia"/>
          <w:color w:val="auto"/>
          <w:sz w:val="24"/>
        </w:rPr>
        <w:t>。</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泉域岩溶地下水资源及其开发利用</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根据滹沱河上下游济胜桥、南庄水文站及清水河南坡水文站多年观测资料，利用水文分割法计算坪上泉多年平均天然排泄最为4.10m</w:t>
      </w:r>
      <w:r>
        <w:rPr>
          <w:rFonts w:hint="eastAsia"/>
          <w:color w:val="auto"/>
          <w:sz w:val="24"/>
          <w:vertAlign w:val="superscript"/>
        </w:rPr>
        <w:t>3</w:t>
      </w:r>
      <w:r>
        <w:rPr>
          <w:rFonts w:hint="eastAsia"/>
          <w:color w:val="auto"/>
          <w:sz w:val="24"/>
        </w:rPr>
        <w:t>/s(1967~1992年)，因该泉为全排型泉，其值为岩溶水天然资源。经计算，97%频率的泉水资源量为2.24m</w:t>
      </w:r>
      <w:r>
        <w:rPr>
          <w:rFonts w:hint="eastAsia"/>
          <w:color w:val="auto"/>
          <w:sz w:val="24"/>
          <w:vertAlign w:val="superscript"/>
        </w:rPr>
        <w:t>3</w:t>
      </w:r>
      <w:r>
        <w:rPr>
          <w:rFonts w:hint="eastAsia"/>
          <w:color w:val="auto"/>
          <w:sz w:val="24"/>
        </w:rPr>
        <w:t>/s。</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泉域岩溶水开发利用程度很低，排泄带泉水除少量用作小型发电外，其人工开采井仪12眼，年采水量约180万m</w:t>
      </w:r>
      <w:r>
        <w:rPr>
          <w:rFonts w:hint="eastAsia"/>
          <w:color w:val="auto"/>
          <w:sz w:val="24"/>
          <w:vertAlign w:val="superscript"/>
        </w:rPr>
        <w:t>3</w:t>
      </w:r>
      <w:r>
        <w:rPr>
          <w:rFonts w:hint="eastAsia"/>
          <w:color w:val="auto"/>
          <w:sz w:val="24"/>
        </w:rPr>
        <w:t>，主要用于人畜供水。</w:t>
      </w:r>
    </w:p>
    <w:p>
      <w:pPr>
        <w:spacing w:line="480" w:lineRule="exact"/>
        <w:ind w:firstLine="482"/>
        <w:rPr>
          <w:rFonts w:ascii="Times New Roman" w:hAnsi="Times New Roman"/>
          <w:color w:val="auto"/>
          <w:sz w:val="24"/>
          <w:szCs w:val="24"/>
        </w:rPr>
      </w:pPr>
      <w:r>
        <w:rPr>
          <w:rFonts w:hint="default" w:ascii="Times New Roman" w:hAnsi="Times New Roman" w:cs="Times New Roman"/>
          <w:color w:val="auto"/>
          <w:spacing w:val="-4"/>
          <w:sz w:val="24"/>
        </w:rPr>
        <w:t>本项目</w:t>
      </w:r>
      <w:r>
        <w:rPr>
          <w:rFonts w:hint="eastAsia" w:cs="Times New Roman"/>
          <w:color w:val="auto"/>
          <w:spacing w:val="-4"/>
          <w:sz w:val="24"/>
          <w:lang w:val="en-US" w:eastAsia="zh-CN"/>
        </w:rPr>
        <w:t>拟建厂址不在坪上泉域范围内，</w:t>
      </w:r>
      <w:r>
        <w:rPr>
          <w:rFonts w:hint="default" w:ascii="Times New Roman" w:hAnsi="Times New Roman" w:cs="Times New Roman"/>
          <w:color w:val="auto"/>
          <w:spacing w:val="-4"/>
          <w:sz w:val="24"/>
        </w:rPr>
        <w:t>距泉域重点保护区</w:t>
      </w:r>
      <w:r>
        <w:rPr>
          <w:rFonts w:hint="eastAsia" w:cs="Times New Roman"/>
          <w:color w:val="auto"/>
          <w:spacing w:val="-4"/>
          <w:sz w:val="24"/>
          <w:lang w:val="en-US" w:eastAsia="zh-CN"/>
        </w:rPr>
        <w:t>边界</w:t>
      </w:r>
      <w:r>
        <w:rPr>
          <w:rFonts w:hint="default" w:ascii="Times New Roman" w:hAnsi="Times New Roman" w:cs="Times New Roman"/>
          <w:color w:val="auto"/>
          <w:spacing w:val="-4"/>
          <w:sz w:val="24"/>
        </w:rPr>
        <w:t>约</w:t>
      </w:r>
      <w:r>
        <w:rPr>
          <w:rFonts w:hint="eastAsia" w:cs="Times New Roman"/>
          <w:color w:val="auto"/>
          <w:spacing w:val="-4"/>
          <w:sz w:val="24"/>
          <w:lang w:val="en-US" w:eastAsia="zh-CN"/>
        </w:rPr>
        <w:t>5.3</w:t>
      </w:r>
      <w:r>
        <w:rPr>
          <w:rFonts w:hint="default" w:ascii="Times New Roman" w:hAnsi="Times New Roman" w:cs="Times New Roman"/>
          <w:color w:val="auto"/>
          <w:spacing w:val="-4"/>
          <w:sz w:val="24"/>
        </w:rPr>
        <w:t>km。</w:t>
      </w:r>
      <w:r>
        <w:rPr>
          <w:rFonts w:ascii="Times New Roman" w:hAnsi="Times New Roman"/>
          <w:color w:val="auto"/>
          <w:sz w:val="24"/>
          <w:szCs w:val="24"/>
        </w:rPr>
        <w:t>本项目与</w:t>
      </w:r>
      <w:r>
        <w:rPr>
          <w:rFonts w:hint="eastAsia" w:cs="Times New Roman"/>
          <w:color w:val="auto"/>
          <w:spacing w:val="-4"/>
          <w:sz w:val="24"/>
          <w:lang w:val="en-US" w:eastAsia="zh-CN"/>
        </w:rPr>
        <w:t>坪上</w:t>
      </w:r>
      <w:r>
        <w:rPr>
          <w:rFonts w:ascii="Times New Roman" w:hAnsi="Times New Roman"/>
          <w:color w:val="auto"/>
          <w:sz w:val="24"/>
          <w:szCs w:val="24"/>
        </w:rPr>
        <w:t>泉域相对位置见图</w:t>
      </w:r>
      <w:r>
        <w:rPr>
          <w:rFonts w:hint="eastAsia"/>
          <w:color w:val="auto"/>
          <w:sz w:val="24"/>
          <w:szCs w:val="24"/>
          <w:lang w:val="en-US" w:eastAsia="zh-CN"/>
        </w:rPr>
        <w:t>1.4-2</w:t>
      </w:r>
      <w:r>
        <w:rPr>
          <w:rFonts w:ascii="Times New Roman" w:hAnsi="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1.4.3水源地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eastAsia="宋体"/>
          <w:b/>
          <w:bCs/>
          <w:color w:val="auto"/>
          <w:sz w:val="24"/>
          <w:lang w:val="en-US" w:eastAsia="zh-CN"/>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rFonts w:hint="eastAsia"/>
          <w:b/>
          <w:bCs/>
          <w:color w:val="auto"/>
          <w:sz w:val="24"/>
          <w:lang w:val="en-US" w:eastAsia="zh-CN"/>
        </w:rPr>
        <w:t>县城集中供水水源地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sz w:val="24"/>
        </w:rPr>
      </w:pPr>
      <w:r>
        <w:rPr>
          <w:rFonts w:hint="default" w:ascii="Times New Roman" w:hAnsi="Times New Roman" w:cs="Times New Roman"/>
          <w:color w:val="auto"/>
          <w:kern w:val="0"/>
          <w:sz w:val="24"/>
          <w:lang w:val="en-US" w:eastAsia="zh-CN"/>
        </w:rPr>
        <w:t>五台县</w:t>
      </w:r>
      <w:r>
        <w:rPr>
          <w:rFonts w:hint="eastAsia" w:cs="Times New Roman"/>
          <w:color w:val="auto"/>
          <w:kern w:val="0"/>
          <w:sz w:val="24"/>
          <w:lang w:val="en-US" w:eastAsia="zh-CN"/>
        </w:rPr>
        <w:t>县城水源地位于县城西北西庄村一带，故称西庄水源地，有4眼供水井，分布范围约0.25km</w:t>
      </w:r>
      <w:r>
        <w:rPr>
          <w:rFonts w:hint="eastAsia" w:cs="Times New Roman"/>
          <w:color w:val="auto"/>
          <w:kern w:val="0"/>
          <w:sz w:val="24"/>
          <w:vertAlign w:val="superscript"/>
          <w:lang w:val="en-US" w:eastAsia="zh-CN"/>
        </w:rPr>
        <w:t>2</w:t>
      </w:r>
      <w:r>
        <w:rPr>
          <w:rFonts w:hint="eastAsia" w:cs="Times New Roman"/>
          <w:color w:val="auto"/>
          <w:kern w:val="0"/>
          <w:sz w:val="24"/>
          <w:lang w:val="en-US" w:eastAsia="zh-CN"/>
        </w:rPr>
        <w:t>，地势比较平坦，高程1050-1060.5米，西部与文昌山相对220米，北部为唐家湾水库。2009年12月8日山西省人民政府下发的《关于同意县级以上城镇集中式饮用水水源保护区划分方案的批复》（晋政函[2009]149号）文件，对水源地保护区划分结果进行了批复：</w:t>
      </w:r>
      <w:r>
        <w:rPr>
          <w:rFonts w:hint="default" w:ascii="Times New Roman" w:hAnsi="Times New Roman" w:cs="Times New Roman"/>
          <w:color w:val="auto"/>
          <w:kern w:val="0"/>
          <w:sz w:val="24"/>
          <w:lang w:val="en-US" w:eastAsia="zh-CN"/>
        </w:rPr>
        <w:t>五台县</w:t>
      </w:r>
      <w:r>
        <w:rPr>
          <w:rFonts w:hint="eastAsia" w:cs="Times New Roman"/>
          <w:color w:val="auto"/>
          <w:kern w:val="0"/>
          <w:sz w:val="24"/>
          <w:lang w:val="en-US" w:eastAsia="zh-CN"/>
        </w:rPr>
        <w:t>县城西庄水源地一级保护区范围：以Y1、Y2、Y3、Y4水源井半径为250m的圆外接多边形的边界形成的多边形区域；不设二级保护区和准保护区。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eastAsia="宋体"/>
          <w:color w:val="auto"/>
          <w:sz w:val="24"/>
          <w:lang w:val="en-US" w:eastAsia="zh-CN"/>
        </w:rPr>
      </w:pPr>
      <w:r>
        <w:rPr>
          <w:rFonts w:hint="eastAsia"/>
          <w:color w:val="auto"/>
          <w:sz w:val="24"/>
          <w:lang w:val="en-US" w:eastAsia="zh-CN"/>
        </w:rPr>
        <w:t>本项目拟建厂址位于五台县县城集中供水水源地以及保护区边界西南侧约13.5km，不在其保护区范围内，对供水水源无影响。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eastAsia="宋体"/>
          <w:color w:val="auto"/>
          <w:sz w:val="24"/>
          <w:lang w:eastAsia="zh-CN"/>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w:t>
      </w:r>
      <w:r>
        <w:rPr>
          <w:rFonts w:hint="eastAsia"/>
          <w:b/>
          <w:bCs/>
          <w:color w:val="auto"/>
          <w:sz w:val="24"/>
          <w:lang w:val="en-US" w:eastAsia="zh-CN"/>
        </w:rPr>
        <w:t>乡镇集中供水水源地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eastAsia="宋体"/>
          <w:color w:val="auto"/>
          <w:sz w:val="24"/>
          <w:lang w:val="en-US" w:eastAsia="zh-CN"/>
        </w:rPr>
      </w:pPr>
      <w:r>
        <w:rPr>
          <w:rFonts w:hint="eastAsia"/>
          <w:color w:val="auto"/>
          <w:sz w:val="24"/>
        </w:rPr>
        <w:t>根据《忻州市五台县乡镇集中式饮用水源保护区划分技术报告》，由五台县乡镇集中式饮用水源地分布图可知，距离本项目最近的乡镇集中式水源地为</w:t>
      </w:r>
      <w:r>
        <w:rPr>
          <w:rFonts w:hint="eastAsia"/>
          <w:color w:val="auto"/>
          <w:sz w:val="24"/>
          <w:lang w:val="en-US" w:eastAsia="zh-CN"/>
        </w:rPr>
        <w:t>建安乡</w:t>
      </w:r>
      <w:r>
        <w:rPr>
          <w:rFonts w:hint="eastAsia"/>
          <w:color w:val="auto"/>
          <w:sz w:val="24"/>
        </w:rPr>
        <w:t>集中供水水源地</w:t>
      </w:r>
      <w:r>
        <w:rPr>
          <w:rFonts w:hint="eastAsia"/>
          <w:color w:val="auto"/>
          <w:sz w:val="24"/>
          <w:lang w:eastAsia="zh-CN"/>
        </w:rPr>
        <w:t>。</w:t>
      </w:r>
      <w:r>
        <w:rPr>
          <w:rFonts w:hint="eastAsia"/>
          <w:color w:val="auto"/>
          <w:sz w:val="24"/>
          <w:lang w:val="en-US" w:eastAsia="zh-CN"/>
        </w:rPr>
        <w:t>建安乡</w:t>
      </w:r>
      <w:r>
        <w:rPr>
          <w:rFonts w:hint="eastAsia"/>
          <w:color w:val="auto"/>
          <w:sz w:val="24"/>
        </w:rPr>
        <w:t>集中供水水源地</w:t>
      </w:r>
      <w:r>
        <w:rPr>
          <w:rFonts w:hint="eastAsia"/>
          <w:color w:val="auto"/>
          <w:sz w:val="24"/>
          <w:lang w:val="en-US" w:eastAsia="zh-CN"/>
        </w:rPr>
        <w:t>位于王家沟沟中，水文地质单元属于冲积平原松散岩类孔隙水；一级保护区边界范围以供水井为中心，半径为100m的圆形区域为边界；不设置二级保护区。本项目拟建厂址位于其一级保护区边界东北方向约2.35km处，不在其保护区范围内，也不在其上游径流区、补给区。</w:t>
      </w:r>
    </w:p>
    <w:p>
      <w:pPr>
        <w:spacing w:line="480" w:lineRule="exact"/>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本项目不在各乡镇水源地保护区范围内，且本项目为乡镇污水处理站建设项目，项目建成后，将会改善该区域生活污水乱排现状，对区域环境产生正效益。因此，本项目的建设不会对区域乡镇水源地产生影响。</w:t>
      </w:r>
    </w:p>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hint="default" w:ascii="Times New Roman" w:hAnsi="Times New Roman" w:cs="Times New Roman"/>
          <w:color w:val="auto"/>
          <w:sz w:val="24"/>
          <w:szCs w:val="24"/>
        </w:rPr>
      </w:pPr>
      <w:r>
        <w:rPr>
          <w:rFonts w:hint="eastAsia"/>
          <w:color w:val="auto"/>
          <w:sz w:val="24"/>
          <w:lang w:val="en-US" w:eastAsia="zh-CN"/>
        </w:rPr>
        <w:t>本项目与五台县乡镇</w:t>
      </w:r>
      <w:r>
        <w:rPr>
          <w:rFonts w:hint="eastAsia"/>
          <w:color w:val="auto"/>
          <w:sz w:val="24"/>
        </w:rPr>
        <w:t>集中供水水源地</w:t>
      </w:r>
      <w:r>
        <w:rPr>
          <w:rFonts w:hint="eastAsia"/>
          <w:color w:val="auto"/>
          <w:sz w:val="24"/>
          <w:lang w:val="en-US" w:eastAsia="zh-CN"/>
        </w:rPr>
        <w:t>相对位置</w:t>
      </w:r>
      <w:r>
        <w:rPr>
          <w:rFonts w:hint="eastAsia"/>
          <w:color w:val="auto"/>
          <w:sz w:val="24"/>
        </w:rPr>
        <w:t>见图</w:t>
      </w:r>
      <w:r>
        <w:rPr>
          <w:rFonts w:hint="eastAsia"/>
          <w:color w:val="auto"/>
          <w:sz w:val="24"/>
          <w:lang w:val="en-US" w:eastAsia="zh-CN"/>
        </w:rPr>
        <w:t>1.4-3</w:t>
      </w:r>
      <w:r>
        <w:rPr>
          <w:rFonts w:hint="eastAsia"/>
          <w:color w:val="auto"/>
          <w:sz w:val="24"/>
          <w:lang w:eastAsia="zh-CN"/>
        </w:rPr>
        <w:t>，</w:t>
      </w:r>
      <w:r>
        <w:rPr>
          <w:rFonts w:hint="eastAsia"/>
          <w:color w:val="auto"/>
          <w:sz w:val="24"/>
          <w:lang w:val="en-US" w:eastAsia="zh-CN"/>
        </w:rPr>
        <w:t>与建安乡集中供水水源地保护区相对位置</w:t>
      </w:r>
      <w:r>
        <w:rPr>
          <w:rFonts w:hint="eastAsia"/>
          <w:color w:val="auto"/>
          <w:sz w:val="24"/>
        </w:rPr>
        <w:t>见</w:t>
      </w:r>
      <w:r>
        <w:rPr>
          <w:rFonts w:hint="eastAsia"/>
          <w:color w:val="auto"/>
          <w:sz w:val="24"/>
          <w:lang w:val="en-US" w:eastAsia="zh-CN"/>
        </w:rPr>
        <w:t>见附图1.4-4</w:t>
      </w:r>
      <w:r>
        <w:rPr>
          <w:rFonts w:hint="eastAsia"/>
          <w:color w:val="auto"/>
          <w:sz w:val="24"/>
        </w:rPr>
        <w:t>。</w:t>
      </w:r>
    </w:p>
    <w:p>
      <w:pPr>
        <w:spacing w:line="480" w:lineRule="exact"/>
        <w:ind w:firstLine="482"/>
        <w:rPr>
          <w:rFonts w:hint="default" w:ascii="Times New Roman" w:hAnsi="Times New Roman" w:cs="Times New Roman"/>
          <w:color w:val="auto"/>
        </w:rPr>
      </w:pPr>
    </w:p>
    <w:p>
      <w:pPr>
        <w:spacing w:line="480" w:lineRule="exact"/>
        <w:ind w:firstLine="482"/>
        <w:rPr>
          <w:rFonts w:hint="eastAsia"/>
          <w:color w:val="auto"/>
        </w:rPr>
      </w:pPr>
    </w:p>
    <w:p>
      <w:pPr>
        <w:spacing w:line="480" w:lineRule="exact"/>
        <w:ind w:firstLine="482"/>
        <w:rPr>
          <w:rFonts w:hint="eastAsia"/>
          <w:color w:val="auto"/>
        </w:rPr>
      </w:pPr>
    </w:p>
    <w:p>
      <w:pPr>
        <w:spacing w:line="480" w:lineRule="exact"/>
        <w:ind w:firstLine="482"/>
        <w:rPr>
          <w:rFonts w:hint="eastAsia"/>
          <w:color w:val="auto"/>
        </w:rPr>
      </w:pPr>
    </w:p>
    <w:p>
      <w:pPr>
        <w:spacing w:line="480" w:lineRule="exact"/>
        <w:ind w:firstLine="482"/>
        <w:rPr>
          <w:rFonts w:hint="eastAsia"/>
          <w:color w:val="auto"/>
        </w:rPr>
      </w:pPr>
    </w:p>
    <w:p>
      <w:pPr>
        <w:spacing w:line="480" w:lineRule="exact"/>
        <w:ind w:firstLine="482"/>
        <w:rPr>
          <w:rFonts w:ascii="Times New Roman" w:hAnsi="Times New Roman"/>
          <w:color w:val="auto"/>
        </w:rPr>
      </w:pPr>
    </w:p>
    <w:p>
      <w:pPr>
        <w:spacing w:line="480" w:lineRule="exact"/>
        <w:ind w:firstLine="420" w:firstLineChars="200"/>
        <w:rPr>
          <w:rFonts w:ascii="Times New Roman" w:hAnsi="Times New Roman"/>
          <w:color w:val="auto"/>
        </w:rPr>
        <w:sectPr>
          <w:footerReference r:id="rId7" w:type="default"/>
          <w:pgSz w:w="11906" w:h="16838"/>
          <w:pgMar w:top="1191" w:right="1418" w:bottom="1191" w:left="1531" w:header="851" w:footer="992" w:gutter="0"/>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r>
        <w:rPr>
          <w:sz w:val="24"/>
        </w:rPr>
        <mc:AlternateContent>
          <mc:Choice Requires="wps">
            <w:drawing>
              <wp:anchor distT="0" distB="0" distL="114300" distR="114300" simplePos="0" relativeHeight="251661312" behindDoc="0" locked="0" layoutInCell="1" allowOverlap="1">
                <wp:simplePos x="0" y="0"/>
                <wp:positionH relativeFrom="column">
                  <wp:posOffset>3703955</wp:posOffset>
                </wp:positionH>
                <wp:positionV relativeFrom="paragraph">
                  <wp:posOffset>125730</wp:posOffset>
                </wp:positionV>
                <wp:extent cx="2333625" cy="429895"/>
                <wp:effectExtent l="730250" t="6350" r="22225" b="3278505"/>
                <wp:wrapNone/>
                <wp:docPr id="59" name="线形标注 2 59"/>
                <wp:cNvGraphicFramePr/>
                <a:graphic xmlns:a="http://schemas.openxmlformats.org/drawingml/2006/main">
                  <a:graphicData uri="http://schemas.microsoft.com/office/word/2010/wordprocessingShape">
                    <wps:wsp>
                      <wps:cNvSpPr/>
                      <wps:spPr>
                        <a:xfrm>
                          <a:off x="3905250" y="3922395"/>
                          <a:ext cx="2333625" cy="429895"/>
                        </a:xfrm>
                        <a:prstGeom prst="borderCallout2">
                          <a:avLst>
                            <a:gd name="adj1" fmla="val 18750"/>
                            <a:gd name="adj2" fmla="val -8333"/>
                            <a:gd name="adj3" fmla="val 18750"/>
                            <a:gd name="adj4" fmla="val -16667"/>
                            <a:gd name="adj5" fmla="val 862186"/>
                            <a:gd name="adj6" fmla="val -31020"/>
                          </a:avLst>
                        </a:prstGeom>
                        <a:noFill/>
                        <a:ln>
                          <a:solidFill>
                            <a:srgbClr val="0004BE"/>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val="0"/>
                                <w:bCs w:val="0"/>
                                <w:color w:val="0000FF"/>
                              </w:rPr>
                            </w:pPr>
                            <w:r>
                              <w:rPr>
                                <w:rFonts w:hint="eastAsia" w:ascii="Times New Roman" w:hAnsi="Times New Roman" w:cs="Times New Roman"/>
                                <w:b w:val="0"/>
                                <w:bCs w:val="0"/>
                                <w:color w:val="0000FF"/>
                              </w:rPr>
                              <w:t>五台县沱南污水处理厂建设项目拟建厂址位置</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91.65pt;margin-top:9.9pt;height:33.85pt;width:183.75pt;z-index:251661312;v-text-anchor:middle;mso-width-relative:page;mso-height-relative:page;" filled="f" stroked="t" coordsize="21600,21600" o:gfxdata="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FzZeUdoAAAAJAQAADwAAAAAAAAABACAAAAAiAAAAZHJzL2Rvd25yZXYu&#10;eG1sUEsBAhQAFAAAAAgAh07iQCL82PzdAgAA2gUAAA4AAAAAAAAAAQAgAAAAKQEAAGRycy9lMm9E&#10;b2MueG1sUEsFBgAAAAAGAAYAWQEAAHgGAAAAAA==&#10;" adj="-6700,186232,-3600,4050,-1800,4050">
                <v:fill on="f" focussize="0,0"/>
                <v:stroke weight="1pt" color="#0004BE [3204]" miterlimit="8" joinstyle="miter"/>
                <v:imagedata o:title=""/>
                <o:lock v:ext="edit" aspectratio="f"/>
                <v:textbox>
                  <w:txbxContent>
                    <w:p>
                      <w:pPr>
                        <w:jc w:val="center"/>
                        <w:rPr>
                          <w:b w:val="0"/>
                          <w:bCs w:val="0"/>
                          <w:color w:val="0000FF"/>
                        </w:rPr>
                      </w:pPr>
                      <w:r>
                        <w:rPr>
                          <w:rFonts w:hint="eastAsia" w:ascii="Times New Roman" w:hAnsi="Times New Roman" w:cs="Times New Roman"/>
                          <w:b w:val="0"/>
                          <w:bCs w:val="0"/>
                          <w:color w:val="0000FF"/>
                        </w:rPr>
                        <w:t>五台县沱南污水处理厂建设项目拟建厂址位置</w:t>
                      </w:r>
                    </w:p>
                    <w:p>
                      <w:pPr>
                        <w:jc w:val="center"/>
                      </w:pP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2942590</wp:posOffset>
                </wp:positionH>
                <wp:positionV relativeFrom="paragraph">
                  <wp:posOffset>3839210</wp:posOffset>
                </wp:positionV>
                <wp:extent cx="53975" cy="36195"/>
                <wp:effectExtent l="14605" t="20955" r="26670" b="38100"/>
                <wp:wrapNone/>
                <wp:docPr id="58" name="矩形 58"/>
                <wp:cNvGraphicFramePr/>
                <a:graphic xmlns:a="http://schemas.openxmlformats.org/drawingml/2006/main">
                  <a:graphicData uri="http://schemas.microsoft.com/office/word/2010/wordprocessingShape">
                    <wps:wsp>
                      <wps:cNvSpPr/>
                      <wps:spPr>
                        <a:xfrm rot="19560000">
                          <a:off x="3905250" y="4811395"/>
                          <a:ext cx="53975" cy="36195"/>
                        </a:xfrm>
                        <a:prstGeom prst="rect">
                          <a:avLst/>
                        </a:prstGeom>
                        <a:noFill/>
                        <a:ln>
                          <a:solidFill>
                            <a:srgbClr val="0004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pt;margin-top:302.3pt;height:2.85pt;width:4.25pt;rotation:-2228224f;z-index:251660288;v-text-anchor:middle;mso-width-relative:page;mso-height-relative:page;" filled="f" stroked="t" coordsize="21600,21600" o:gfxdata="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5G6P/aAAAACwEAAA8AAAAAAAAA&#10;AQAgAAAAIgAAAGRycy9kb3ducmV2LnhtbFBLAQIUABQAAAAIAIdO4kC7bJPAgQIAAOUEAAAOAAAA&#10;AAAAAAEAIAAAACkBAABkcnMvZTJvRG9jLnhtbFBLBQYAAAAABgAGAFkBAAAcBgAAAAA=&#10;">
                <v:fill on="f" focussize="0,0"/>
                <v:stroke weight="1pt" color="#0004BE [3204]" miterlimit="8" joinstyle="miter"/>
                <v:imagedata o:title=""/>
                <o:lock v:ext="edit" aspectratio="f"/>
              </v:rect>
            </w:pict>
          </mc:Fallback>
        </mc:AlternateContent>
      </w:r>
      <w:r>
        <w:rPr>
          <w:rFonts w:hint="eastAsia"/>
          <w:spacing w:val="0"/>
          <w:sz w:val="24"/>
        </w:rPr>
        <w:drawing>
          <wp:inline distT="0" distB="0" distL="114300" distR="114300">
            <wp:extent cx="8136255" cy="5535295"/>
            <wp:effectExtent l="0" t="0" r="17145" b="8255"/>
            <wp:docPr id="56" name="图片 24" descr="图3.1-4  区域地表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descr="图3.1-4  区域地表水系图"/>
                    <pic:cNvPicPr>
                      <a:picLocks noChangeAspect="1"/>
                    </pic:cNvPicPr>
                  </pic:nvPicPr>
                  <pic:blipFill>
                    <a:blip r:embed="rId31"/>
                    <a:srcRect l="5662" t="6074" r="5662" b="8601"/>
                    <a:stretch>
                      <a:fillRect/>
                    </a:stretch>
                  </pic:blipFill>
                  <pic:spPr>
                    <a:xfrm>
                      <a:off x="0" y="0"/>
                      <a:ext cx="8136255" cy="5535295"/>
                    </a:xfrm>
                    <a:prstGeom prst="rect">
                      <a:avLst/>
                    </a:prstGeom>
                    <a:noFill/>
                    <a:ln>
                      <a:noFill/>
                    </a:ln>
                  </pic:spPr>
                </pic:pic>
              </a:graphicData>
            </a:graphic>
          </wp:inline>
        </w:drawing>
      </w:r>
      <w:r>
        <w:rPr>
          <w:sz w:val="24"/>
        </w:rPr>
        <mc:AlternateContent>
          <mc:Choice Requires="wps">
            <w:drawing>
              <wp:anchor distT="0" distB="0" distL="114300" distR="114300" simplePos="0" relativeHeight="251659264" behindDoc="0" locked="0" layoutInCell="1" allowOverlap="1">
                <wp:simplePos x="0" y="0"/>
                <wp:positionH relativeFrom="column">
                  <wp:posOffset>584835</wp:posOffset>
                </wp:positionH>
                <wp:positionV relativeFrom="paragraph">
                  <wp:posOffset>5092065</wp:posOffset>
                </wp:positionV>
                <wp:extent cx="650875" cy="0"/>
                <wp:effectExtent l="0" t="0" r="0" b="0"/>
                <wp:wrapNone/>
                <wp:docPr id="57" name="直接连接符 57"/>
                <wp:cNvGraphicFramePr/>
                <a:graphic xmlns:a="http://schemas.openxmlformats.org/drawingml/2006/main">
                  <a:graphicData uri="http://schemas.microsoft.com/office/word/2010/wordprocessingShape">
                    <wps:wsp>
                      <wps:cNvCnPr/>
                      <wps:spPr>
                        <a:xfrm>
                          <a:off x="1484630" y="5991860"/>
                          <a:ext cx="650875" cy="0"/>
                        </a:xfrm>
                        <a:prstGeom prst="line">
                          <a:avLst/>
                        </a:prstGeom>
                        <a:ln w="12700">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05pt;margin-top:400.95pt;height:0pt;width:51.25pt;z-index:251659264;mso-width-relative:page;mso-height-relative:page;" filled="f" stroked="t" coordsize="21600,21600" o:gfxdata="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4dWY9gAAAAKAQAADwAAAAAAAAABACAAAAAi&#10;AAAAZHJzL2Rvd25yZXYueG1sUEsBAhQAFAAAAAgAh07iQOd8/64KAgAA7wMAAA4AAAAAAAAAAQAg&#10;AAAAJwEAAGRycy9lMm9Eb2MueG1sUEsFBgAAAAAGAAYAWQEAAKMFAAAAAA==&#10;">
                <v:fill on="f" focussize="0,0"/>
                <v:stroke weight="1pt" color="#FF0000 [3204]"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4"/>
          <w:szCs w:val="24"/>
          <w:lang w:val="en-US" w:eastAsia="zh-CN"/>
        </w:rPr>
        <w:sectPr>
          <w:pgSz w:w="16838" w:h="11906" w:orient="landscape"/>
          <w:pgMar w:top="1417" w:right="1417" w:bottom="1417" w:left="1417" w:header="907" w:footer="964" w:gutter="0"/>
          <w:cols w:space="0" w:num="1"/>
          <w:rtlGutter w:val="0"/>
          <w:docGrid w:linePitch="326" w:charSpace="0"/>
        </w:sectPr>
      </w:pPr>
      <w:r>
        <w:rPr>
          <w:rFonts w:hint="eastAsia" w:ascii="黑体" w:hAnsi="黑体" w:eastAsia="黑体" w:cs="黑体"/>
          <w:color w:val="auto"/>
          <w:sz w:val="24"/>
          <w:szCs w:val="24"/>
          <w:lang w:val="en-US" w:eastAsia="zh-CN"/>
        </w:rPr>
        <w:t>图1.4-1  五台县地表水系图</w:t>
      </w:r>
    </w:p>
    <w:p>
      <w:pPr>
        <w:pStyle w:val="26"/>
        <w:spacing w:after="0"/>
        <w:ind w:left="0" w:leftChars="0" w:firstLine="0" w:firstLineChars="0"/>
        <w:jc w:val="center"/>
        <w:rPr>
          <w:color w:val="auto"/>
        </w:rPr>
      </w:pPr>
      <w:r>
        <w:rPr>
          <w:color w:val="auto"/>
        </w:rPr>
        <mc:AlternateContent>
          <mc:Choice Requires="wps">
            <w:drawing>
              <wp:anchor distT="0" distB="0" distL="114300" distR="114300" simplePos="0" relativeHeight="251663360" behindDoc="0" locked="0" layoutInCell="1" allowOverlap="1">
                <wp:simplePos x="0" y="0"/>
                <wp:positionH relativeFrom="column">
                  <wp:posOffset>1962785</wp:posOffset>
                </wp:positionH>
                <wp:positionV relativeFrom="paragraph">
                  <wp:posOffset>1816735</wp:posOffset>
                </wp:positionV>
                <wp:extent cx="2128520" cy="563880"/>
                <wp:effectExtent l="1015365" t="9525" r="18415" b="3007995"/>
                <wp:wrapNone/>
                <wp:docPr id="60" name="标注: 弯曲线形 3"/>
                <wp:cNvGraphicFramePr/>
                <a:graphic xmlns:a="http://schemas.openxmlformats.org/drawingml/2006/main">
                  <a:graphicData uri="http://schemas.microsoft.com/office/word/2010/wordprocessingShape">
                    <wps:wsp>
                      <wps:cNvSpPr/>
                      <wps:spPr>
                        <a:xfrm>
                          <a:off x="0" y="0"/>
                          <a:ext cx="2128520" cy="563880"/>
                        </a:xfrm>
                        <a:prstGeom prst="borderCallout2">
                          <a:avLst>
                            <a:gd name="adj1" fmla="val 18750"/>
                            <a:gd name="adj2" fmla="val -8333"/>
                            <a:gd name="adj3" fmla="val 18750"/>
                            <a:gd name="adj4" fmla="val -16667"/>
                            <a:gd name="adj5" fmla="val 630743"/>
                            <a:gd name="adj6" fmla="val -47255"/>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FF"/>
                              </w:rPr>
                            </w:pPr>
                            <w:r>
                              <w:rPr>
                                <w:rFonts w:hint="eastAsia" w:ascii="Times New Roman" w:hAnsi="Times New Roman" w:cs="Times New Roman"/>
                                <w:b/>
                                <w:bCs/>
                                <w:color w:val="0000FF"/>
                              </w:rPr>
                              <w:t>五台县沱南污水处理厂建设项目拟建厂址位置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3" o:spid="_x0000_s1026" o:spt="48" type="#_x0000_t48" style="position:absolute;left:0pt;margin-left:154.55pt;margin-top:143.05pt;height:44.4pt;width:167.6pt;z-index:251663360;v-text-anchor:middle;mso-width-relative:page;mso-height-relative:page;" filled="f" stroked="t" coordsize="21600,21600" o:gfxdata="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Ixn8GrdAAAACwEAAA8AAAAAAAAAAQAgAAAAIgAAAGRycy9kb3du&#10;cmV2LnhtbFBLAQIUABQAAAAIAIdO4kCVShjU3gIAANMFAAAOAAAAAAAAAAEAIAAAACwBAABkcnMv&#10;ZTJvRG9jLnhtbFBLBQYAAAAABgAGAFkBAAB8BgAAAAA=&#10;" adj="-10207,136240,-3600,4050,-1800,4050">
                <v:fill on="f" focussize="0,0"/>
                <v:stroke weight="1.5pt" color="#0000FF [3204]" miterlimit="8" joinstyle="miter"/>
                <v:imagedata o:title=""/>
                <o:lock v:ext="edit" aspectratio="f"/>
                <v:textbox>
                  <w:txbxContent>
                    <w:p>
                      <w:pPr>
                        <w:jc w:val="center"/>
                        <w:rPr>
                          <w:b/>
                          <w:bCs/>
                          <w:color w:val="0000FF"/>
                        </w:rPr>
                      </w:pPr>
                      <w:r>
                        <w:rPr>
                          <w:rFonts w:hint="eastAsia" w:ascii="Times New Roman" w:hAnsi="Times New Roman" w:cs="Times New Roman"/>
                          <w:b/>
                          <w:bCs/>
                          <w:color w:val="0000FF"/>
                        </w:rPr>
                        <w:t>五台县沱南污水处理厂建设项目拟建厂址位置</w:t>
                      </w:r>
                    </w:p>
                  </w:txbxContent>
                </v:textbox>
              </v:shape>
            </w:pict>
          </mc:Fallback>
        </mc:AlternateContent>
      </w:r>
      <w:r>
        <w:rPr>
          <w:rFonts w:ascii="宋体" w:hAnsi="宋体" w:eastAsia="黑体"/>
          <w:color w:val="auto"/>
        </w:rPr>
        <w:drawing>
          <wp:inline distT="0" distB="0" distL="0" distR="0">
            <wp:extent cx="5911850" cy="8125460"/>
            <wp:effectExtent l="12700" t="12700" r="19050" b="152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11850" cy="8125460"/>
                    </a:xfrm>
                    <a:prstGeom prst="rect">
                      <a:avLst/>
                    </a:prstGeom>
                    <a:noFill/>
                    <a:ln w="12700">
                      <a:solidFill>
                        <a:srgbClr val="000000"/>
                      </a:solidFill>
                      <a:miter lim="800000"/>
                      <a:headEnd/>
                      <a:tailEnd/>
                    </a:ln>
                  </pic:spPr>
                </pic:pic>
              </a:graphicData>
            </a:graphic>
          </wp:inline>
        </w:drawing>
      </w:r>
      <w:r>
        <w:rPr>
          <w:color w:val="auto"/>
        </w:rPr>
        <mc:AlternateContent>
          <mc:Choice Requires="wps">
            <w:drawing>
              <wp:anchor distT="0" distB="0" distL="114300" distR="114300" simplePos="0" relativeHeight="251662336" behindDoc="0" locked="0" layoutInCell="1" allowOverlap="1">
                <wp:simplePos x="0" y="0"/>
                <wp:positionH relativeFrom="column">
                  <wp:posOffset>939800</wp:posOffset>
                </wp:positionH>
                <wp:positionV relativeFrom="paragraph">
                  <wp:posOffset>5316855</wp:posOffset>
                </wp:positionV>
                <wp:extent cx="36195" cy="53975"/>
                <wp:effectExtent l="21590" t="14605" r="37465" b="26670"/>
                <wp:wrapNone/>
                <wp:docPr id="62" name="矩形 62"/>
                <wp:cNvGraphicFramePr/>
                <a:graphic xmlns:a="http://schemas.openxmlformats.org/drawingml/2006/main">
                  <a:graphicData uri="http://schemas.microsoft.com/office/word/2010/wordprocessingShape">
                    <wps:wsp>
                      <wps:cNvSpPr/>
                      <wps:spPr>
                        <a:xfrm rot="2160000">
                          <a:off x="0" y="0"/>
                          <a:ext cx="36195" cy="53975"/>
                        </a:xfrm>
                        <a:prstGeom prst="rect">
                          <a:avLst/>
                        </a:prstGeom>
                        <a:solidFill>
                          <a:srgbClr val="0A0FFF"/>
                        </a:solidFill>
                        <a:ln>
                          <a:solidFill>
                            <a:srgbClr val="0A0F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pt;margin-top:418.65pt;height:4.25pt;width:2.85pt;rotation:2359296f;z-index:251662336;v-text-anchor:middle;mso-width-relative:page;mso-height-relative:page;" fillcolor="#0A0FFF" filled="t" stroked="t" coordsize="21600,21600" o:gfxdata="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EmVhtoAAAALAQAADwAAAAAAAAABACAA&#10;AAAiAAAAZHJzL2Rvd25yZXYueG1sUEsBAhQAFAAAAAgAh07iQOsT6159AgAADAUAAA4AAAAAAAAA&#10;AQAgAAAAKQEAAGRycy9lMm9Eb2MueG1sUEsFBgAAAAAGAAYAWQEAABgGAAAAAA==&#10;">
                <v:fill on="t" focussize="0,0"/>
                <v:stroke weight="1pt" color="#0A0FFF [3204]" miterlimit="8" joinstyle="miter"/>
                <v:imagedata o:title=""/>
                <o:lock v:ext="edit" aspectratio="f"/>
                <v:textbox>
                  <w:txbxContent>
                    <w:p>
                      <w:pPr>
                        <w:jc w:val="center"/>
                      </w:pPr>
                    </w:p>
                  </w:txbxContent>
                </v:textbox>
              </v:rect>
            </w:pict>
          </mc:Fallback>
        </mc:AlternateContent>
      </w:r>
    </w:p>
    <w:p>
      <w:pPr>
        <w:pStyle w:val="26"/>
        <w:spacing w:after="0"/>
        <w:ind w:left="0" w:leftChars="0" w:firstLine="0" w:firstLineChars="0"/>
        <w:jc w:val="center"/>
        <w:rPr>
          <w:rFonts w:hint="eastAsia" w:ascii="黑体" w:hAnsi="黑体" w:eastAsia="黑体"/>
          <w:color w:val="auto"/>
          <w:sz w:val="24"/>
        </w:rPr>
        <w:sectPr>
          <w:pgSz w:w="11906" w:h="16838"/>
          <w:pgMar w:top="1701" w:right="1134" w:bottom="1701" w:left="1417" w:header="567" w:footer="283" w:gutter="0"/>
          <w:cols w:space="0" w:num="1"/>
          <w:rtlGutter w:val="0"/>
          <w:docGrid w:type="lines" w:linePitch="321" w:charSpace="0"/>
        </w:sectPr>
      </w:pPr>
      <w:r>
        <w:rPr>
          <w:rFonts w:hint="eastAsia" w:ascii="黑体" w:hAnsi="黑体" w:eastAsia="黑体" w:cs="黑体"/>
          <w:color w:val="auto"/>
          <w:sz w:val="24"/>
          <w:szCs w:val="24"/>
          <w:lang w:val="en-US" w:eastAsia="zh-CN"/>
        </w:rPr>
        <w:t>图1.4-2</w:t>
      </w:r>
      <w:r>
        <w:rPr>
          <w:rFonts w:hint="eastAsia" w:ascii="黑体" w:hAnsi="黑体" w:eastAsia="黑体"/>
          <w:color w:val="auto"/>
          <w:sz w:val="24"/>
        </w:rPr>
        <w:t xml:space="preserve">  </w:t>
      </w:r>
      <w:r>
        <w:rPr>
          <w:rFonts w:hint="eastAsia" w:ascii="黑体" w:hAnsi="黑体" w:eastAsia="黑体"/>
          <w:color w:val="auto"/>
          <w:sz w:val="24"/>
          <w:lang w:val="en-US" w:eastAsia="zh-CN"/>
        </w:rPr>
        <w:t>项</w:t>
      </w:r>
      <w:r>
        <w:rPr>
          <w:rFonts w:hint="eastAsia" w:ascii="黑体" w:hAnsi="黑体" w:eastAsia="黑体"/>
          <w:color w:val="auto"/>
          <w:sz w:val="24"/>
        </w:rPr>
        <w:t>目与坪上泉域位置关系图</w:t>
      </w:r>
    </w:p>
    <w:p>
      <w:pPr>
        <w:jc w:val="center"/>
        <w:rPr>
          <w:rFonts w:hint="eastAsia" w:eastAsia="宋体"/>
          <w:color w:val="auto"/>
          <w:lang w:eastAsia="zh-CN"/>
        </w:rPr>
      </w:pPr>
      <w:r>
        <w:rPr>
          <w:rFonts w:ascii="宋体" w:hAnsi="宋体" w:eastAsia="黑体"/>
          <w:color w:val="auto"/>
        </w:rPr>
        <w:drawing>
          <wp:inline distT="0" distB="0" distL="114300" distR="114300">
            <wp:extent cx="8975090" cy="5926455"/>
            <wp:effectExtent l="0" t="0" r="16510" b="17145"/>
            <wp:docPr id="66" name="图片 66" descr="页面提取自－五台乡镇饮用水源划分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页面提取自－五台乡镇饮用水源划分报告"/>
                    <pic:cNvPicPr>
                      <a:picLocks noChangeAspect="1"/>
                    </pic:cNvPicPr>
                  </pic:nvPicPr>
                  <pic:blipFill>
                    <a:blip r:embed="rId33"/>
                    <a:stretch>
                      <a:fillRect/>
                    </a:stretch>
                  </pic:blipFill>
                  <pic:spPr>
                    <a:xfrm>
                      <a:off x="0" y="0"/>
                      <a:ext cx="8975090" cy="5926455"/>
                    </a:xfrm>
                    <a:prstGeom prst="rect">
                      <a:avLst/>
                    </a:prstGeom>
                  </pic:spPr>
                </pic:pic>
              </a:graphicData>
            </a:graphic>
          </wp:inline>
        </w:drawing>
      </w:r>
      <w:r>
        <w:rPr>
          <w:color w:val="auto"/>
        </w:rPr>
        <mc:AlternateContent>
          <mc:Choice Requires="wps">
            <w:drawing>
              <wp:anchor distT="0" distB="0" distL="114300" distR="114300" simplePos="0" relativeHeight="251664384" behindDoc="0" locked="0" layoutInCell="1" allowOverlap="1">
                <wp:simplePos x="0" y="0"/>
                <wp:positionH relativeFrom="column">
                  <wp:posOffset>4095115</wp:posOffset>
                </wp:positionH>
                <wp:positionV relativeFrom="paragraph">
                  <wp:posOffset>709295</wp:posOffset>
                </wp:positionV>
                <wp:extent cx="2128520" cy="563880"/>
                <wp:effectExtent l="1015365" t="9525" r="18415" b="3007995"/>
                <wp:wrapNone/>
                <wp:docPr id="63" name="标注: 弯曲线形 3"/>
                <wp:cNvGraphicFramePr/>
                <a:graphic xmlns:a="http://schemas.openxmlformats.org/drawingml/2006/main">
                  <a:graphicData uri="http://schemas.microsoft.com/office/word/2010/wordprocessingShape">
                    <wps:wsp>
                      <wps:cNvSpPr/>
                      <wps:spPr>
                        <a:xfrm>
                          <a:off x="0" y="0"/>
                          <a:ext cx="2128520" cy="563880"/>
                        </a:xfrm>
                        <a:prstGeom prst="borderCallout2">
                          <a:avLst>
                            <a:gd name="adj1" fmla="val 18750"/>
                            <a:gd name="adj2" fmla="val -8333"/>
                            <a:gd name="adj3" fmla="val 18750"/>
                            <a:gd name="adj4" fmla="val -16667"/>
                            <a:gd name="adj5" fmla="val 630743"/>
                            <a:gd name="adj6" fmla="val -47255"/>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FF"/>
                              </w:rPr>
                            </w:pPr>
                            <w:r>
                              <w:rPr>
                                <w:rFonts w:hint="eastAsia" w:ascii="Times New Roman" w:hAnsi="Times New Roman" w:cs="Times New Roman"/>
                                <w:b/>
                                <w:bCs/>
                                <w:color w:val="0000FF"/>
                              </w:rPr>
                              <w:t>五台县沱南污水处理厂建设项目拟建厂址位置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3" o:spid="_x0000_s1026" o:spt="48" type="#_x0000_t48" style="position:absolute;left:0pt;margin-left:322.45pt;margin-top:55.85pt;height:44.4pt;width:167.6pt;z-index:251664384;v-text-anchor:middle;mso-width-relative:page;mso-height-relative:page;" filled="f" stroked="t" coordsize="21600,21600" o:gfxdata="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1ShMs3AAAAAsBAAAPAAAAAAAAAAEAIAAAACIAAABkcnMvZG93bnJl&#10;di54bWxQSwECFAAUAAAACACHTuJAqZHArt0CAADTBQAADgAAAAAAAAABACAAAAArAQAAZHJzL2Uy&#10;b0RvYy54bWxQSwUGAAAAAAYABgBZAQAAegYAAAAA&#10;" adj="-10207,136240,-3600,4050,-1800,4050">
                <v:fill on="f" focussize="0,0"/>
                <v:stroke weight="1.5pt" color="#0000FF [3204]" miterlimit="8" joinstyle="miter"/>
                <v:imagedata o:title=""/>
                <o:lock v:ext="edit" aspectratio="f"/>
                <v:textbox>
                  <w:txbxContent>
                    <w:p>
                      <w:pPr>
                        <w:jc w:val="center"/>
                        <w:rPr>
                          <w:b/>
                          <w:bCs/>
                          <w:color w:val="0000FF"/>
                        </w:rPr>
                      </w:pPr>
                      <w:r>
                        <w:rPr>
                          <w:rFonts w:hint="eastAsia" w:ascii="Times New Roman" w:hAnsi="Times New Roman" w:cs="Times New Roman"/>
                          <w:b/>
                          <w:bCs/>
                          <w:color w:val="0000FF"/>
                        </w:rPr>
                        <w:t>五台县沱南污水处理厂建设项目拟建厂址位置</w:t>
                      </w:r>
                    </w:p>
                  </w:txbxContent>
                </v:textbox>
              </v:shape>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3056255</wp:posOffset>
                </wp:positionH>
                <wp:positionV relativeFrom="paragraph">
                  <wp:posOffset>4229735</wp:posOffset>
                </wp:positionV>
                <wp:extent cx="36195" cy="53975"/>
                <wp:effectExtent l="22860" t="13970" r="36195" b="27305"/>
                <wp:wrapNone/>
                <wp:docPr id="64" name="矩形 64"/>
                <wp:cNvGraphicFramePr/>
                <a:graphic xmlns:a="http://schemas.openxmlformats.org/drawingml/2006/main">
                  <a:graphicData uri="http://schemas.microsoft.com/office/word/2010/wordprocessingShape">
                    <wps:wsp>
                      <wps:cNvSpPr/>
                      <wps:spPr>
                        <a:xfrm rot="2640000">
                          <a:off x="0" y="0"/>
                          <a:ext cx="36195" cy="53975"/>
                        </a:xfrm>
                        <a:prstGeom prst="rect">
                          <a:avLst/>
                        </a:prstGeom>
                        <a:solidFill>
                          <a:srgbClr val="0A0FFF"/>
                        </a:solidFill>
                        <a:ln>
                          <a:solidFill>
                            <a:srgbClr val="0A0F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65pt;margin-top:333.05pt;height:4.25pt;width:2.85pt;rotation:2883584f;z-index:251665408;v-text-anchor:middle;mso-width-relative:page;mso-height-relative:page;" fillcolor="#0A0FFF" filled="t" stroked="t" coordsize="21600,21600" o:gfxdata="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TypM2QAAAAsBAAAPAAAAAAAAAAEAIAAA&#10;ACIAAABkcnMvZG93bnJldi54bWxQSwECFAAUAAAACACHTuJAtYWEDH0CAAAMBQAADgAAAAAAAAAB&#10;ACAAAAAoAQAAZHJzL2Uyb0RvYy54bWxQSwUGAAAAAAYABgBZAQAAFwYAAAAA&#10;">
                <v:fill on="t" focussize="0,0"/>
                <v:stroke weight="1pt" color="#0A0FFF [3204]" miterlimit="8" joinstyle="miter"/>
                <v:imagedata o:title=""/>
                <o:lock v:ext="edit" aspectratio="f"/>
                <v:textbox>
                  <w:txbxContent>
                    <w:p>
                      <w:pPr>
                        <w:jc w:val="center"/>
                      </w:pPr>
                    </w:p>
                  </w:txbxContent>
                </v:textbox>
              </v:rect>
            </w:pict>
          </mc:Fallback>
        </mc:AlternateContent>
      </w:r>
    </w:p>
    <w:p>
      <w:pPr>
        <w:jc w:val="center"/>
        <w:rPr>
          <w:rFonts w:hint="default" w:ascii="黑体" w:hAnsi="黑体" w:eastAsia="黑体"/>
          <w:color w:val="auto"/>
          <w:sz w:val="24"/>
          <w:szCs w:val="24"/>
          <w:lang w:val="en-US" w:eastAsia="zh-CN"/>
        </w:rPr>
        <w:sectPr>
          <w:pgSz w:w="16838" w:h="11906" w:orient="landscape"/>
          <w:pgMar w:top="1020" w:right="1134" w:bottom="680" w:left="1134" w:header="567" w:footer="283" w:gutter="0"/>
          <w:cols w:space="0" w:num="1"/>
          <w:docGrid w:type="lines" w:linePitch="321" w:charSpace="0"/>
        </w:sectPr>
      </w:pPr>
      <w:r>
        <w:rPr>
          <w:rFonts w:hint="eastAsia" w:ascii="黑体" w:hAnsi="黑体" w:eastAsia="黑体" w:cs="黑体"/>
          <w:color w:val="auto"/>
          <w:sz w:val="24"/>
          <w:szCs w:val="24"/>
          <w:lang w:val="en-US" w:eastAsia="zh-CN"/>
        </w:rPr>
        <w:t>图1.4-3</w:t>
      </w:r>
      <w:r>
        <w:rPr>
          <w:rFonts w:hint="eastAsia" w:ascii="黑体" w:hAnsi="黑体" w:eastAsia="黑体"/>
          <w:color w:val="auto"/>
          <w:sz w:val="24"/>
          <w:szCs w:val="24"/>
        </w:rPr>
        <w:t xml:space="preserve">  </w:t>
      </w:r>
      <w:r>
        <w:rPr>
          <w:rFonts w:hint="eastAsia" w:ascii="黑体" w:hAnsi="黑体" w:eastAsia="黑体"/>
          <w:color w:val="auto"/>
          <w:sz w:val="24"/>
          <w:szCs w:val="24"/>
          <w:lang w:val="en-US" w:eastAsia="zh-CN"/>
        </w:rPr>
        <w:t>本项目与五台县乡镇</w:t>
      </w:r>
      <w:r>
        <w:rPr>
          <w:rFonts w:hint="eastAsia" w:ascii="黑体" w:hAnsi="黑体" w:eastAsia="黑体"/>
          <w:color w:val="auto"/>
          <w:sz w:val="24"/>
          <w:szCs w:val="24"/>
        </w:rPr>
        <w:t>集中供水水源地</w:t>
      </w:r>
      <w:r>
        <w:rPr>
          <w:rFonts w:hint="eastAsia" w:ascii="黑体" w:hAnsi="黑体" w:eastAsia="黑体"/>
          <w:color w:val="auto"/>
          <w:sz w:val="24"/>
          <w:szCs w:val="24"/>
          <w:lang w:val="en-US" w:eastAsia="zh-CN"/>
        </w:rPr>
        <w:t>相对位置图</w:t>
      </w:r>
    </w:p>
    <w:p>
      <w:pPr>
        <w:jc w:val="center"/>
        <w:rPr>
          <w:rFonts w:hint="eastAsia" w:ascii="黑体" w:hAnsi="黑体" w:eastAsia="黑体"/>
          <w:color w:val="auto"/>
          <w:sz w:val="24"/>
          <w:szCs w:val="24"/>
          <w:lang w:val="en-US" w:eastAsia="zh-CN"/>
        </w:r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5756910</wp:posOffset>
                </wp:positionH>
                <wp:positionV relativeFrom="paragraph">
                  <wp:posOffset>2909570</wp:posOffset>
                </wp:positionV>
                <wp:extent cx="2103755" cy="864870"/>
                <wp:effectExtent l="0" t="0" r="0" b="0"/>
                <wp:wrapNone/>
                <wp:docPr id="67" name="文本框 67"/>
                <wp:cNvGraphicFramePr/>
                <a:graphic xmlns:a="http://schemas.openxmlformats.org/drawingml/2006/main">
                  <a:graphicData uri="http://schemas.microsoft.com/office/word/2010/wordprocessingShape">
                    <wps:wsp>
                      <wps:cNvSpPr txBox="1"/>
                      <wps:spPr>
                        <a:xfrm>
                          <a:off x="7413625" y="2080895"/>
                          <a:ext cx="2103755" cy="864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color w:val="0000FF"/>
                                <w:sz w:val="21"/>
                                <w:szCs w:val="21"/>
                              </w:rPr>
                            </w:pPr>
                            <w:r>
                              <w:rPr>
                                <w:rFonts w:hint="eastAsia"/>
                                <w:color w:val="0000FF"/>
                                <w:sz w:val="21"/>
                                <w:szCs w:val="21"/>
                                <w:lang w:val="en-US" w:eastAsia="zh-CN"/>
                              </w:rPr>
                              <w:t>本项目拟建厂址位于其一级保护区边界东侧约2.35km处，不在其保护区范围内，也不在其上游径流区、补给区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3pt;margin-top:229.1pt;height:68.1pt;width:165.65pt;z-index:251667456;mso-width-relative:page;mso-height-relative:page;" filled="f" stroked="f" coordsize="21600,21600" o:gfxdata="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fehZd0AAAAMAQAADwAA&#10;AAAAAAABACAAAAAiAAAAZHJzL2Rvd25yZXYueG1sUEsBAhQAFAAAAAgAh07iQMg7X6lKAgAAdAQA&#10;AA4AAAAAAAAAAQAgAAAALAEAAGRycy9lMm9Eb2MueG1sUEsFBgAAAAAGAAYAWQEAAOgFAAAAAA==&#10;">
                <v:fill on="f" focussize="0,0"/>
                <v:stroke on="f" weight="0.5pt"/>
                <v:imagedata o:title=""/>
                <o:lock v:ext="edit" aspectratio="f"/>
                <v:textbox>
                  <w:txbxContent>
                    <w:p>
                      <w:pPr>
                        <w:jc w:val="center"/>
                        <w:rPr>
                          <w:color w:val="0000FF"/>
                          <w:sz w:val="21"/>
                          <w:szCs w:val="21"/>
                        </w:rPr>
                      </w:pPr>
                      <w:r>
                        <w:rPr>
                          <w:rFonts w:hint="eastAsia"/>
                          <w:color w:val="0000FF"/>
                          <w:sz w:val="21"/>
                          <w:szCs w:val="21"/>
                          <w:lang w:val="en-US" w:eastAsia="zh-CN"/>
                        </w:rPr>
                        <w:t>本项目拟建厂址位于其一级保护区边界东侧约2.35km处，不在其保护区范围内，也不在其上游径流区、补给区</w:t>
                      </w:r>
                    </w:p>
                  </w:txbxContent>
                </v:textbox>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4947920</wp:posOffset>
                </wp:positionH>
                <wp:positionV relativeFrom="paragraph">
                  <wp:posOffset>2806065</wp:posOffset>
                </wp:positionV>
                <wp:extent cx="4272915" cy="143510"/>
                <wp:effectExtent l="0" t="47625" r="13335" b="56515"/>
                <wp:wrapNone/>
                <wp:docPr id="69" name="直接箭头连接符 69"/>
                <wp:cNvGraphicFramePr/>
                <a:graphic xmlns:a="http://schemas.openxmlformats.org/drawingml/2006/main">
                  <a:graphicData uri="http://schemas.microsoft.com/office/word/2010/wordprocessingShape">
                    <wps:wsp>
                      <wps:cNvCnPr/>
                      <wps:spPr>
                        <a:xfrm flipV="1">
                          <a:off x="5850255" y="374650"/>
                          <a:ext cx="4272915" cy="143510"/>
                        </a:xfrm>
                        <a:prstGeom prst="straightConnector1">
                          <a:avLst/>
                        </a:prstGeom>
                        <a:ln w="12700">
                          <a:solidFill>
                            <a:srgbClr val="0000FF"/>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89.6pt;margin-top:220.95pt;height:11.3pt;width:336.45pt;z-index:251666432;mso-width-relative:page;mso-height-relative:page;" filled="f" stroked="t" coordsize="21600,21600" o:gfxdata="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5vX72QAAAAwBAAAPAAAAAAAAAAEAIAAAACIAAABkcnMvZG93bnJldi54bWxQSwECFAAU&#10;AAAACACHTuJASLVnrikCAAAUBAAADgAAAAAAAAABACAAAAAoAQAAZHJzL2Uyb0RvYy54bWxQSwUG&#10;AAAAAAYABgBZAQAAwwUAAAAA&#10;">
                <v:fill on="f" focussize="0,0"/>
                <v:stroke weight="1pt" color="#0000FF [3204]" miterlimit="8" joinstyle="miter" startarrow="open" endarrow="open"/>
                <v:imagedata o:title=""/>
                <o:lock v:ext="edit" aspectratio="f"/>
              </v:shape>
            </w:pict>
          </mc:Fallback>
        </mc:AlternateContent>
      </w:r>
      <w:r>
        <w:rPr>
          <w:color w:val="auto"/>
          <w:sz w:val="24"/>
        </w:rPr>
        <w:drawing>
          <wp:inline distT="0" distB="0" distL="114300" distR="114300">
            <wp:extent cx="9244330" cy="6029325"/>
            <wp:effectExtent l="0" t="0" r="13970" b="9525"/>
            <wp:docPr id="70" name="图片 70" descr="页面提取自－五台乡镇饮用水源划分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页面提取自－五台乡镇饮用水源划分报告"/>
                    <pic:cNvPicPr>
                      <a:picLocks noChangeAspect="1"/>
                    </pic:cNvPicPr>
                  </pic:nvPicPr>
                  <pic:blipFill>
                    <a:blip r:embed="rId34"/>
                    <a:stretch>
                      <a:fillRect/>
                    </a:stretch>
                  </pic:blipFill>
                  <pic:spPr>
                    <a:xfrm>
                      <a:off x="0" y="0"/>
                      <a:ext cx="9244330" cy="6029325"/>
                    </a:xfrm>
                    <a:prstGeom prst="rect">
                      <a:avLst/>
                    </a:prstGeom>
                  </pic:spPr>
                </pic:pic>
              </a:graphicData>
            </a:graphic>
          </wp:inline>
        </w:drawing>
      </w:r>
    </w:p>
    <w:p>
      <w:pPr>
        <w:jc w:val="center"/>
        <w:rPr>
          <w:rFonts w:hint="eastAsia" w:ascii="宋体" w:hAnsi="宋体" w:eastAsia="黑体"/>
          <w:color w:val="auto"/>
          <w:sz w:val="24"/>
          <w:szCs w:val="32"/>
          <w:lang w:val="en-US" w:eastAsia="zh-CN"/>
        </w:rPr>
        <w:sectPr>
          <w:pgSz w:w="16838" w:h="11906" w:orient="landscape"/>
          <w:pgMar w:top="1020" w:right="1134" w:bottom="680" w:left="1134" w:header="567" w:footer="283" w:gutter="0"/>
          <w:cols w:space="0" w:num="1"/>
          <w:docGrid w:type="lines" w:linePitch="321" w:charSpace="0"/>
        </w:sectPr>
      </w:pPr>
      <w:r>
        <w:rPr>
          <w:rFonts w:hint="eastAsia" w:ascii="黑体" w:hAnsi="黑体" w:eastAsia="黑体" w:cs="黑体"/>
          <w:color w:val="auto"/>
          <w:sz w:val="24"/>
          <w:szCs w:val="24"/>
          <w:lang w:val="en-US" w:eastAsia="zh-CN"/>
        </w:rPr>
        <w:t>图1.4-4</w:t>
      </w:r>
      <w:r>
        <w:rPr>
          <w:rFonts w:hint="eastAsia" w:ascii="黑体" w:hAnsi="黑体" w:eastAsia="黑体"/>
          <w:color w:val="auto"/>
          <w:sz w:val="24"/>
          <w:szCs w:val="24"/>
        </w:rPr>
        <w:t xml:space="preserve">  </w:t>
      </w:r>
      <w:r>
        <w:rPr>
          <w:rFonts w:hint="eastAsia" w:ascii="黑体" w:hAnsi="黑体" w:eastAsia="黑体"/>
          <w:color w:val="auto"/>
          <w:sz w:val="24"/>
          <w:szCs w:val="24"/>
          <w:lang w:val="en-US" w:eastAsia="zh-CN"/>
        </w:rPr>
        <w:t>本项目与建安乡</w:t>
      </w:r>
      <w:r>
        <w:rPr>
          <w:rFonts w:hint="eastAsia" w:ascii="黑体" w:hAnsi="黑体" w:eastAsia="黑体"/>
          <w:color w:val="auto"/>
          <w:sz w:val="24"/>
          <w:szCs w:val="24"/>
        </w:rPr>
        <w:t>集中供水水源地</w:t>
      </w:r>
      <w:r>
        <w:rPr>
          <w:rFonts w:hint="eastAsia" w:ascii="黑体" w:hAnsi="黑体" w:eastAsia="黑体"/>
          <w:color w:val="auto"/>
          <w:sz w:val="24"/>
          <w:szCs w:val="24"/>
          <w:lang w:val="en-US" w:eastAsia="zh-CN"/>
        </w:rPr>
        <w:t>一级保护区相对位置图</w:t>
      </w:r>
    </w:p>
    <w:p>
      <w:pPr>
        <w:pStyle w:val="5"/>
        <w:keepNext/>
        <w:keepLines/>
        <w:pageBreakBefore w:val="0"/>
        <w:widowControl w:val="0"/>
        <w:kinsoku/>
        <w:wordWrap/>
        <w:overflowPunct/>
        <w:topLinePunct w:val="0"/>
        <w:autoSpaceDE/>
        <w:autoSpaceDN/>
        <w:bidi w:val="0"/>
        <w:adjustRightInd/>
        <w:snapToGrid/>
        <w:spacing w:before="0" w:after="0" w:line="560" w:lineRule="exact"/>
        <w:ind w:left="431" w:hanging="431"/>
        <w:jc w:val="both"/>
        <w:textAlignment w:val="auto"/>
        <w:outlineLvl w:val="0"/>
        <w:rPr>
          <w:rFonts w:ascii="Times New Roman" w:hAnsi="Times New Roman" w:eastAsia="宋体"/>
          <w:b/>
          <w:bCs w:val="0"/>
          <w:color w:val="auto"/>
          <w:sz w:val="28"/>
          <w:szCs w:val="28"/>
        </w:rPr>
      </w:pPr>
      <w:bookmarkStart w:id="29" w:name="_Toc22303"/>
      <w:r>
        <w:rPr>
          <w:rFonts w:ascii="Times New Roman" w:hAnsi="Times New Roman" w:eastAsia="宋体"/>
          <w:b/>
          <w:bCs w:val="0"/>
          <w:color w:val="auto"/>
          <w:sz w:val="28"/>
          <w:szCs w:val="28"/>
        </w:rPr>
        <w:t>2</w:t>
      </w:r>
      <w:bookmarkStart w:id="30" w:name="_Toc465937367"/>
      <w:r>
        <w:rPr>
          <w:rFonts w:ascii="Times New Roman" w:hAnsi="Times New Roman" w:eastAsia="宋体"/>
          <w:b/>
          <w:bCs w:val="0"/>
          <w:color w:val="auto"/>
          <w:sz w:val="28"/>
          <w:szCs w:val="28"/>
        </w:rPr>
        <w:t>地表水环境现状调查</w:t>
      </w:r>
      <w:bookmarkEnd w:id="29"/>
      <w:bookmarkEnd w:id="30"/>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hint="default" w:ascii="Times New Roman" w:hAnsi="Times New Roman"/>
          <w:b/>
          <w:color w:val="auto"/>
          <w:sz w:val="24"/>
          <w:szCs w:val="24"/>
        </w:rPr>
      </w:pPr>
      <w:bookmarkStart w:id="31" w:name="_Toc17857"/>
      <w:r>
        <w:rPr>
          <w:rFonts w:hint="default" w:ascii="Times New Roman" w:hAnsi="Times New Roman"/>
          <w:b/>
          <w:color w:val="auto"/>
          <w:sz w:val="24"/>
          <w:szCs w:val="24"/>
        </w:rPr>
        <w:t>2.1区域地表水污染源调查</w:t>
      </w:r>
      <w:bookmarkEnd w:id="31"/>
    </w:p>
    <w:p>
      <w:pPr>
        <w:pStyle w:val="112"/>
        <w:keepNext w:val="0"/>
        <w:keepLines w:val="0"/>
        <w:pageBreakBefore w:val="0"/>
        <w:widowControl w:val="0"/>
        <w:kinsoku/>
        <w:wordWrap/>
        <w:overflowPunct/>
        <w:topLinePunct w:val="0"/>
        <w:autoSpaceDE/>
        <w:autoSpaceDN/>
        <w:bidi w:val="0"/>
        <w:ind w:firstLine="480"/>
        <w:jc w:val="both"/>
        <w:textAlignment w:val="auto"/>
        <w:rPr>
          <w:bCs w:val="0"/>
          <w:color w:val="auto"/>
        </w:rPr>
      </w:pPr>
      <w:r>
        <w:rPr>
          <w:rFonts w:hint="eastAsia" w:ascii="宋体" w:hAnsi="宋体" w:cs="宋体"/>
          <w:bCs w:val="0"/>
          <w:color w:val="auto"/>
        </w:rPr>
        <w:t>①</w:t>
      </w:r>
      <w:r>
        <w:rPr>
          <w:bCs w:val="0"/>
          <w:color w:val="auto"/>
        </w:rPr>
        <w:t>工业污染源</w:t>
      </w:r>
    </w:p>
    <w:p>
      <w:pPr>
        <w:pStyle w:val="112"/>
        <w:keepNext w:val="0"/>
        <w:keepLines w:val="0"/>
        <w:pageBreakBefore w:val="0"/>
        <w:widowControl w:val="0"/>
        <w:kinsoku/>
        <w:wordWrap/>
        <w:overflowPunct/>
        <w:topLinePunct w:val="0"/>
        <w:autoSpaceDE/>
        <w:autoSpaceDN/>
        <w:bidi w:val="0"/>
        <w:ind w:firstLine="480"/>
        <w:jc w:val="both"/>
        <w:textAlignment w:val="auto"/>
        <w:rPr>
          <w:bCs w:val="0"/>
          <w:color w:val="auto"/>
        </w:rPr>
      </w:pPr>
      <w:r>
        <w:rPr>
          <w:bCs w:val="0"/>
          <w:color w:val="auto"/>
        </w:rPr>
        <w:t>本项目污水处理站建设位置位于</w:t>
      </w:r>
      <w:r>
        <w:rPr>
          <w:rFonts w:hint="eastAsia"/>
          <w:bCs w:val="0"/>
          <w:color w:val="auto"/>
          <w:lang w:val="en-US" w:eastAsia="zh-CN"/>
        </w:rPr>
        <w:t>五台县建安</w:t>
      </w:r>
      <w:r>
        <w:rPr>
          <w:bCs w:val="0"/>
          <w:color w:val="auto"/>
        </w:rPr>
        <w:t>镇，经调查，项目所在区域污染源主要为附近村庄居民生活污水的排放。</w:t>
      </w:r>
    </w:p>
    <w:p>
      <w:pPr>
        <w:pStyle w:val="92"/>
        <w:keepNext w:val="0"/>
        <w:keepLines w:val="0"/>
        <w:pageBreakBefore w:val="0"/>
        <w:widowControl w:val="0"/>
        <w:kinsoku/>
        <w:wordWrap/>
        <w:overflowPunct/>
        <w:topLinePunct w:val="0"/>
        <w:autoSpaceDE/>
        <w:autoSpaceDN/>
        <w:bidi w:val="0"/>
        <w:spacing w:line="480" w:lineRule="exact"/>
        <w:ind w:firstLine="480"/>
        <w:textAlignment w:val="auto"/>
        <w:rPr>
          <w:color w:val="auto"/>
          <w:sz w:val="24"/>
        </w:rPr>
      </w:pPr>
      <w:r>
        <w:rPr>
          <w:rFonts w:hint="eastAsia" w:ascii="宋体" w:hAnsi="宋体" w:cs="宋体"/>
          <w:bCs/>
          <w:color w:val="auto"/>
          <w:sz w:val="24"/>
        </w:rPr>
        <w:t>②</w:t>
      </w:r>
      <w:r>
        <w:rPr>
          <w:bCs/>
          <w:color w:val="auto"/>
          <w:sz w:val="24"/>
        </w:rPr>
        <w:t>农</w:t>
      </w:r>
      <w:r>
        <w:rPr>
          <w:color w:val="auto"/>
          <w:sz w:val="24"/>
        </w:rPr>
        <w:t>业污染源</w:t>
      </w:r>
    </w:p>
    <w:p>
      <w:pPr>
        <w:pStyle w:val="92"/>
        <w:keepNext w:val="0"/>
        <w:keepLines w:val="0"/>
        <w:pageBreakBefore w:val="0"/>
        <w:widowControl w:val="0"/>
        <w:kinsoku/>
        <w:wordWrap/>
        <w:overflowPunct/>
        <w:topLinePunct w:val="0"/>
        <w:autoSpaceDE/>
        <w:autoSpaceDN/>
        <w:bidi w:val="0"/>
        <w:spacing w:line="480" w:lineRule="exact"/>
        <w:ind w:firstLine="480"/>
        <w:textAlignment w:val="auto"/>
        <w:rPr>
          <w:color w:val="auto"/>
          <w:sz w:val="24"/>
        </w:rPr>
      </w:pPr>
      <w:r>
        <w:rPr>
          <w:color w:val="auto"/>
          <w:sz w:val="24"/>
        </w:rPr>
        <w:t>农业方面，区内以一年</w:t>
      </w:r>
      <w:r>
        <w:rPr>
          <w:rFonts w:hint="eastAsia"/>
          <w:color w:val="auto"/>
          <w:sz w:val="24"/>
          <w:lang w:val="en-US" w:eastAsia="zh-CN"/>
        </w:rPr>
        <w:t>一</w:t>
      </w:r>
      <w:r>
        <w:rPr>
          <w:color w:val="auto"/>
          <w:sz w:val="24"/>
        </w:rPr>
        <w:t>熟的农作制度为主，种植作物主要是小麦、玉米等。化肥施用量相对较大，农药施用量相对较小。</w:t>
      </w:r>
    </w:p>
    <w:p>
      <w:pPr>
        <w:pStyle w:val="112"/>
        <w:keepNext w:val="0"/>
        <w:keepLines w:val="0"/>
        <w:pageBreakBefore w:val="0"/>
        <w:widowControl w:val="0"/>
        <w:kinsoku/>
        <w:wordWrap/>
        <w:overflowPunct/>
        <w:topLinePunct w:val="0"/>
        <w:autoSpaceDE/>
        <w:autoSpaceDN/>
        <w:bidi w:val="0"/>
        <w:ind w:firstLine="480"/>
        <w:jc w:val="both"/>
        <w:textAlignment w:val="auto"/>
        <w:rPr>
          <w:bCs w:val="0"/>
          <w:color w:val="auto"/>
        </w:rPr>
      </w:pPr>
      <w:r>
        <w:rPr>
          <w:color w:val="auto"/>
        </w:rPr>
        <w:t>因此，区域内因农业生产造成的农业非点源污染主要为化肥施用对土壤的影响。根据现状调查，当地农业主要使用氮肥、磷肥，对土壤已造成一定程度盐碱化。</w:t>
      </w:r>
    </w:p>
    <w:p>
      <w:pPr>
        <w:pStyle w:val="112"/>
        <w:keepNext w:val="0"/>
        <w:keepLines w:val="0"/>
        <w:pageBreakBefore w:val="0"/>
        <w:widowControl w:val="0"/>
        <w:kinsoku/>
        <w:wordWrap/>
        <w:overflowPunct/>
        <w:topLinePunct w:val="0"/>
        <w:autoSpaceDE/>
        <w:autoSpaceDN/>
        <w:bidi w:val="0"/>
        <w:ind w:firstLine="480"/>
        <w:jc w:val="both"/>
        <w:textAlignment w:val="auto"/>
        <w:rPr>
          <w:bCs w:val="0"/>
          <w:color w:val="auto"/>
        </w:rPr>
      </w:pPr>
      <w:r>
        <w:rPr>
          <w:rFonts w:hint="eastAsia" w:ascii="宋体" w:hAnsi="宋体" w:cs="宋体"/>
          <w:bCs w:val="0"/>
          <w:color w:val="auto"/>
        </w:rPr>
        <w:t>③</w:t>
      </w:r>
      <w:r>
        <w:rPr>
          <w:bCs w:val="0"/>
          <w:color w:val="auto"/>
        </w:rPr>
        <w:t>生活污染源</w:t>
      </w:r>
    </w:p>
    <w:p>
      <w:pPr>
        <w:pStyle w:val="112"/>
        <w:keepNext w:val="0"/>
        <w:keepLines w:val="0"/>
        <w:pageBreakBefore w:val="0"/>
        <w:widowControl w:val="0"/>
        <w:kinsoku/>
        <w:wordWrap/>
        <w:overflowPunct/>
        <w:topLinePunct w:val="0"/>
        <w:autoSpaceDE/>
        <w:autoSpaceDN/>
        <w:bidi w:val="0"/>
        <w:ind w:firstLine="480"/>
        <w:jc w:val="both"/>
        <w:textAlignment w:val="auto"/>
        <w:rPr>
          <w:bCs w:val="0"/>
          <w:color w:val="auto"/>
        </w:rPr>
      </w:pPr>
      <w:r>
        <w:rPr>
          <w:bCs w:val="0"/>
          <w:color w:val="auto"/>
        </w:rPr>
        <w:t>本次污水处理站建设项目所在区域目前没有集中下水道及集水沟渠，各村单户生活污水排放量相对较小，一般随地泼洒，自然蒸发下渗。还有部分距地表水较近的居民直接将生活污水排至河道内。</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hint="default" w:ascii="Times New Roman" w:hAnsi="Times New Roman"/>
          <w:b/>
          <w:color w:val="auto"/>
          <w:sz w:val="24"/>
          <w:szCs w:val="24"/>
        </w:rPr>
      </w:pPr>
      <w:bookmarkStart w:id="32" w:name="_Toc8207"/>
      <w:r>
        <w:rPr>
          <w:rFonts w:hint="default" w:ascii="Times New Roman" w:hAnsi="Times New Roman"/>
          <w:b/>
          <w:color w:val="auto"/>
          <w:sz w:val="24"/>
          <w:szCs w:val="24"/>
        </w:rPr>
        <w:t>2.2地表水环境质量现状调查</w:t>
      </w:r>
      <w:bookmarkEnd w:id="32"/>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2.2.1地表水环境质量评价标准</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评价区地表水体为滹沱河及其支流。根据</w:t>
      </w:r>
      <w:bookmarkStart w:id="33" w:name="_Hlk41550829"/>
      <w:r>
        <w:rPr>
          <w:rFonts w:hint="default" w:ascii="Times New Roman" w:hAnsi="Times New Roman" w:cs="Times New Roman"/>
          <w:color w:val="auto"/>
          <w:sz w:val="24"/>
        </w:rPr>
        <w:t>《山西省地表水环境功能区划》（DB14/67-2019）</w:t>
      </w:r>
      <w:bookmarkEnd w:id="33"/>
      <w:r>
        <w:rPr>
          <w:rFonts w:hint="default" w:ascii="Times New Roman" w:hAnsi="Times New Roman" w:cs="Times New Roman"/>
          <w:color w:val="auto"/>
          <w:sz w:val="24"/>
        </w:rPr>
        <w:t>，评价区所在“济胜桥—南庄”段，水环境功能为过渡区水源保护，水质要求</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IV</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类，水质要求不低于现状水质，执行《地表水环境质量标准》（GB 3838-2002）</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类水质标准。水质监控断面为南庄断面，监控五台县出境水质。</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评价区水环境功能区划见下表。</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黑体" w:hAnsi="黑体" w:eastAsia="黑体" w:cs="黑体"/>
          <w:color w:val="auto"/>
          <w:sz w:val="24"/>
        </w:rPr>
      </w:pPr>
      <w:r>
        <w:rPr>
          <w:rFonts w:hint="eastAsia" w:ascii="黑体" w:hAnsi="黑体" w:eastAsia="黑体" w:cs="黑体"/>
          <w:color w:val="auto"/>
          <w:sz w:val="24"/>
        </w:rPr>
        <w:t>表</w:t>
      </w:r>
      <w:r>
        <w:rPr>
          <w:rFonts w:hint="eastAsia" w:ascii="黑体" w:hAnsi="黑体" w:eastAsia="黑体" w:cs="黑体"/>
          <w:color w:val="auto"/>
          <w:sz w:val="24"/>
          <w:lang w:val="en-US" w:eastAsia="zh-CN"/>
        </w:rPr>
        <w:t>2.2-1</w:t>
      </w:r>
      <w:r>
        <w:rPr>
          <w:rFonts w:hint="eastAsia" w:ascii="黑体" w:hAnsi="黑体" w:eastAsia="黑体" w:cs="黑体"/>
          <w:color w:val="auto"/>
          <w:sz w:val="24"/>
        </w:rPr>
        <w:t xml:space="preserve">  评价区水环境功能区划</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91"/>
        <w:gridCol w:w="1046"/>
        <w:gridCol w:w="867"/>
        <w:gridCol w:w="1751"/>
        <w:gridCol w:w="1145"/>
        <w:gridCol w:w="1242"/>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trPr>
        <w:tc>
          <w:tcPr>
            <w:tcW w:w="594" w:type="pct"/>
            <w:noWrap w:val="0"/>
            <w:vAlign w:val="center"/>
          </w:tcPr>
          <w:p>
            <w:pPr>
              <w:spacing w:line="240" w:lineRule="atLeast"/>
              <w:jc w:val="center"/>
              <w:rPr>
                <w:spacing w:val="0"/>
                <w:sz w:val="21"/>
                <w:szCs w:val="21"/>
              </w:rPr>
            </w:pPr>
            <w:r>
              <w:rPr>
                <w:spacing w:val="0"/>
                <w:sz w:val="21"/>
                <w:szCs w:val="21"/>
              </w:rPr>
              <w:t>水体</w:t>
            </w:r>
          </w:p>
        </w:tc>
        <w:tc>
          <w:tcPr>
            <w:tcW w:w="569" w:type="pct"/>
            <w:noWrap w:val="0"/>
            <w:vAlign w:val="center"/>
          </w:tcPr>
          <w:p>
            <w:pPr>
              <w:spacing w:line="240" w:lineRule="atLeast"/>
              <w:jc w:val="center"/>
              <w:rPr>
                <w:spacing w:val="0"/>
                <w:sz w:val="21"/>
                <w:szCs w:val="21"/>
              </w:rPr>
            </w:pPr>
            <w:r>
              <w:rPr>
                <w:spacing w:val="0"/>
                <w:sz w:val="21"/>
                <w:szCs w:val="21"/>
              </w:rPr>
              <w:t>起点</w:t>
            </w:r>
          </w:p>
        </w:tc>
        <w:tc>
          <w:tcPr>
            <w:tcW w:w="472" w:type="pct"/>
            <w:noWrap w:val="0"/>
            <w:vAlign w:val="center"/>
          </w:tcPr>
          <w:p>
            <w:pPr>
              <w:spacing w:line="240" w:lineRule="atLeast"/>
              <w:jc w:val="center"/>
              <w:rPr>
                <w:spacing w:val="0"/>
                <w:sz w:val="21"/>
                <w:szCs w:val="21"/>
              </w:rPr>
            </w:pPr>
            <w:r>
              <w:rPr>
                <w:spacing w:val="0"/>
                <w:sz w:val="21"/>
                <w:szCs w:val="21"/>
              </w:rPr>
              <w:t>止点</w:t>
            </w:r>
          </w:p>
        </w:tc>
        <w:tc>
          <w:tcPr>
            <w:tcW w:w="953" w:type="pct"/>
            <w:noWrap w:val="0"/>
            <w:vAlign w:val="center"/>
          </w:tcPr>
          <w:p>
            <w:pPr>
              <w:spacing w:line="240" w:lineRule="atLeast"/>
              <w:jc w:val="center"/>
              <w:rPr>
                <w:spacing w:val="0"/>
                <w:sz w:val="21"/>
                <w:szCs w:val="21"/>
              </w:rPr>
            </w:pPr>
            <w:r>
              <w:rPr>
                <w:spacing w:val="0"/>
                <w:sz w:val="21"/>
                <w:szCs w:val="21"/>
              </w:rPr>
              <w:t>水环境功能</w:t>
            </w:r>
          </w:p>
        </w:tc>
        <w:tc>
          <w:tcPr>
            <w:tcW w:w="623" w:type="pct"/>
            <w:noWrap w:val="0"/>
            <w:vAlign w:val="center"/>
          </w:tcPr>
          <w:p>
            <w:pPr>
              <w:spacing w:line="240" w:lineRule="atLeast"/>
              <w:jc w:val="center"/>
              <w:rPr>
                <w:spacing w:val="0"/>
                <w:sz w:val="21"/>
                <w:szCs w:val="21"/>
              </w:rPr>
            </w:pPr>
            <w:r>
              <w:rPr>
                <w:spacing w:val="0"/>
                <w:sz w:val="21"/>
                <w:szCs w:val="21"/>
              </w:rPr>
              <w:t>水质要求</w:t>
            </w:r>
          </w:p>
        </w:tc>
        <w:tc>
          <w:tcPr>
            <w:tcW w:w="676" w:type="pct"/>
            <w:noWrap w:val="0"/>
            <w:vAlign w:val="center"/>
          </w:tcPr>
          <w:p>
            <w:pPr>
              <w:spacing w:line="240" w:lineRule="atLeast"/>
              <w:jc w:val="center"/>
              <w:rPr>
                <w:spacing w:val="0"/>
                <w:sz w:val="21"/>
                <w:szCs w:val="21"/>
              </w:rPr>
            </w:pPr>
            <w:r>
              <w:rPr>
                <w:spacing w:val="0"/>
                <w:sz w:val="21"/>
                <w:szCs w:val="21"/>
              </w:rPr>
              <w:t>监</w:t>
            </w:r>
            <w:r>
              <w:rPr>
                <w:rFonts w:hint="eastAsia"/>
                <w:spacing w:val="0"/>
                <w:sz w:val="21"/>
                <w:szCs w:val="21"/>
              </w:rPr>
              <w:t>控</w:t>
            </w:r>
            <w:r>
              <w:rPr>
                <w:spacing w:val="0"/>
                <w:sz w:val="21"/>
                <w:szCs w:val="21"/>
              </w:rPr>
              <w:t>断面</w:t>
            </w:r>
          </w:p>
        </w:tc>
        <w:tc>
          <w:tcPr>
            <w:tcW w:w="1110" w:type="pct"/>
            <w:noWrap w:val="0"/>
            <w:vAlign w:val="center"/>
          </w:tcPr>
          <w:p>
            <w:pPr>
              <w:spacing w:line="240" w:lineRule="atLeast"/>
              <w:jc w:val="center"/>
              <w:rPr>
                <w:spacing w:val="0"/>
                <w:sz w:val="21"/>
                <w:szCs w:val="21"/>
              </w:rPr>
            </w:pPr>
            <w:r>
              <w:rPr>
                <w:spacing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94" w:type="pct"/>
            <w:noWrap w:val="0"/>
            <w:vAlign w:val="center"/>
          </w:tcPr>
          <w:p>
            <w:pPr>
              <w:spacing w:line="240" w:lineRule="atLeast"/>
              <w:jc w:val="center"/>
              <w:rPr>
                <w:spacing w:val="0"/>
                <w:sz w:val="21"/>
                <w:szCs w:val="21"/>
              </w:rPr>
            </w:pPr>
            <w:r>
              <w:rPr>
                <w:spacing w:val="0"/>
                <w:sz w:val="21"/>
                <w:szCs w:val="21"/>
              </w:rPr>
              <w:t>滹沱河</w:t>
            </w:r>
          </w:p>
        </w:tc>
        <w:tc>
          <w:tcPr>
            <w:tcW w:w="569" w:type="pct"/>
            <w:noWrap w:val="0"/>
            <w:vAlign w:val="center"/>
          </w:tcPr>
          <w:p>
            <w:pPr>
              <w:spacing w:line="240" w:lineRule="atLeast"/>
              <w:jc w:val="center"/>
              <w:rPr>
                <w:spacing w:val="0"/>
                <w:sz w:val="21"/>
                <w:szCs w:val="21"/>
              </w:rPr>
            </w:pPr>
            <w:r>
              <w:rPr>
                <w:rFonts w:hint="eastAsia"/>
                <w:spacing w:val="0"/>
                <w:sz w:val="21"/>
                <w:szCs w:val="21"/>
              </w:rPr>
              <w:t>济胜桥</w:t>
            </w:r>
          </w:p>
        </w:tc>
        <w:tc>
          <w:tcPr>
            <w:tcW w:w="472" w:type="pct"/>
            <w:noWrap w:val="0"/>
            <w:vAlign w:val="center"/>
          </w:tcPr>
          <w:p>
            <w:pPr>
              <w:spacing w:line="240" w:lineRule="atLeast"/>
              <w:jc w:val="center"/>
              <w:rPr>
                <w:spacing w:val="0"/>
                <w:sz w:val="21"/>
                <w:szCs w:val="21"/>
              </w:rPr>
            </w:pPr>
            <w:r>
              <w:rPr>
                <w:rFonts w:hint="eastAsia"/>
                <w:spacing w:val="0"/>
                <w:sz w:val="21"/>
                <w:szCs w:val="21"/>
              </w:rPr>
              <w:t>南庄</w:t>
            </w:r>
          </w:p>
        </w:tc>
        <w:tc>
          <w:tcPr>
            <w:tcW w:w="953" w:type="pct"/>
            <w:noWrap w:val="0"/>
            <w:vAlign w:val="center"/>
          </w:tcPr>
          <w:p>
            <w:pPr>
              <w:spacing w:line="240" w:lineRule="atLeast"/>
              <w:jc w:val="center"/>
              <w:rPr>
                <w:spacing w:val="0"/>
                <w:sz w:val="21"/>
                <w:szCs w:val="21"/>
              </w:rPr>
            </w:pPr>
            <w:r>
              <w:rPr>
                <w:rFonts w:hint="eastAsia"/>
                <w:spacing w:val="0"/>
                <w:sz w:val="21"/>
                <w:szCs w:val="21"/>
              </w:rPr>
              <w:t>过渡区水源保护</w:t>
            </w:r>
          </w:p>
        </w:tc>
        <w:tc>
          <w:tcPr>
            <w:tcW w:w="623" w:type="pct"/>
            <w:noWrap w:val="0"/>
            <w:vAlign w:val="center"/>
          </w:tcPr>
          <w:p>
            <w:pPr>
              <w:spacing w:line="240" w:lineRule="atLeast"/>
              <w:jc w:val="center"/>
              <w:rPr>
                <w:spacing w:val="0"/>
                <w:sz w:val="21"/>
                <w:szCs w:val="21"/>
              </w:rPr>
            </w:pPr>
            <w:r>
              <w:rPr>
                <w:spacing w:val="0"/>
                <w:sz w:val="21"/>
                <w:szCs w:val="21"/>
              </w:rPr>
              <w:fldChar w:fldCharType="begin"/>
            </w:r>
            <w:r>
              <w:rPr>
                <w:spacing w:val="0"/>
                <w:sz w:val="21"/>
                <w:szCs w:val="21"/>
              </w:rPr>
              <w:instrText xml:space="preserve"> = 4 \* ROMAN \* MERGEFORMAT </w:instrText>
            </w:r>
            <w:r>
              <w:rPr>
                <w:spacing w:val="0"/>
                <w:sz w:val="21"/>
                <w:szCs w:val="21"/>
              </w:rPr>
              <w:fldChar w:fldCharType="separate"/>
            </w:r>
            <w:r>
              <w:rPr>
                <w:sz w:val="21"/>
                <w:szCs w:val="21"/>
              </w:rPr>
              <w:t>IV</w:t>
            </w:r>
            <w:r>
              <w:rPr>
                <w:spacing w:val="0"/>
                <w:sz w:val="21"/>
                <w:szCs w:val="21"/>
              </w:rPr>
              <w:fldChar w:fldCharType="end"/>
            </w:r>
            <w:r>
              <w:rPr>
                <w:rFonts w:hint="eastAsia"/>
                <w:spacing w:val="0"/>
                <w:sz w:val="21"/>
                <w:szCs w:val="21"/>
              </w:rPr>
              <w:t>-</w:t>
            </w:r>
            <w:r>
              <w:rPr>
                <w:rFonts w:hint="eastAsia"/>
                <w:spacing w:val="0"/>
                <w:sz w:val="21"/>
                <w:szCs w:val="21"/>
              </w:rPr>
              <w:fldChar w:fldCharType="begin"/>
            </w:r>
            <w:r>
              <w:rPr>
                <w:rFonts w:hint="eastAsia"/>
                <w:spacing w:val="0"/>
                <w:sz w:val="21"/>
                <w:szCs w:val="21"/>
              </w:rPr>
              <w:instrText xml:space="preserve"> = 2 \* ROMAN \* MERGEFORMAT </w:instrText>
            </w:r>
            <w:r>
              <w:rPr>
                <w:rFonts w:hint="eastAsia"/>
                <w:spacing w:val="0"/>
                <w:sz w:val="21"/>
                <w:szCs w:val="21"/>
              </w:rPr>
              <w:fldChar w:fldCharType="separate"/>
            </w:r>
            <w:r>
              <w:rPr>
                <w:sz w:val="21"/>
                <w:szCs w:val="21"/>
              </w:rPr>
              <w:t>II</w:t>
            </w:r>
            <w:r>
              <w:rPr>
                <w:rFonts w:hint="eastAsia"/>
                <w:spacing w:val="0"/>
                <w:sz w:val="21"/>
                <w:szCs w:val="21"/>
              </w:rPr>
              <w:fldChar w:fldCharType="end"/>
            </w:r>
          </w:p>
        </w:tc>
        <w:tc>
          <w:tcPr>
            <w:tcW w:w="676" w:type="pct"/>
            <w:noWrap w:val="0"/>
            <w:vAlign w:val="center"/>
          </w:tcPr>
          <w:p>
            <w:pPr>
              <w:spacing w:line="240" w:lineRule="atLeast"/>
              <w:jc w:val="center"/>
              <w:rPr>
                <w:spacing w:val="0"/>
                <w:sz w:val="21"/>
                <w:szCs w:val="21"/>
              </w:rPr>
            </w:pPr>
            <w:r>
              <w:rPr>
                <w:rFonts w:hint="eastAsia"/>
                <w:spacing w:val="0"/>
                <w:sz w:val="21"/>
                <w:szCs w:val="21"/>
              </w:rPr>
              <w:t>南庄</w:t>
            </w:r>
          </w:p>
        </w:tc>
        <w:tc>
          <w:tcPr>
            <w:tcW w:w="1110" w:type="pct"/>
            <w:noWrap w:val="0"/>
            <w:vAlign w:val="center"/>
          </w:tcPr>
          <w:p>
            <w:pPr>
              <w:spacing w:line="240" w:lineRule="atLeast"/>
              <w:jc w:val="center"/>
              <w:rPr>
                <w:rFonts w:hint="eastAsia"/>
                <w:spacing w:val="0"/>
                <w:sz w:val="21"/>
                <w:szCs w:val="21"/>
              </w:rPr>
            </w:pPr>
            <w:r>
              <w:rPr>
                <w:spacing w:val="0"/>
                <w:sz w:val="21"/>
                <w:szCs w:val="21"/>
              </w:rPr>
              <w:t>监控</w:t>
            </w:r>
            <w:r>
              <w:rPr>
                <w:rFonts w:hint="eastAsia"/>
                <w:spacing w:val="0"/>
                <w:sz w:val="21"/>
                <w:szCs w:val="21"/>
              </w:rPr>
              <w:t>五台县出境水质</w:t>
            </w:r>
          </w:p>
        </w:tc>
      </w:tr>
    </w:tbl>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本次评价收集了南庄断面2017~2021年水质评价结果及主要污染物的年均浓度监测结果。</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2017年~2021年水质评价结果均为</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2017~2021年南庄断面主要污染物年均浓度监测结果，见下表。</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黑体" w:hAnsi="黑体" w:eastAsia="黑体" w:cs="黑体"/>
          <w:color w:val="auto"/>
          <w:sz w:val="24"/>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黑体" w:hAnsi="黑体" w:eastAsia="黑体" w:cs="黑体"/>
          <w:color w:val="auto"/>
          <w:sz w:val="24"/>
        </w:rPr>
      </w:pPr>
      <w:r>
        <w:rPr>
          <w:rFonts w:hint="eastAsia" w:ascii="黑体" w:hAnsi="黑体" w:eastAsia="黑体" w:cs="黑体"/>
          <w:color w:val="auto"/>
          <w:sz w:val="24"/>
        </w:rPr>
        <w:t>表</w:t>
      </w:r>
      <w:r>
        <w:rPr>
          <w:rFonts w:hint="eastAsia" w:ascii="黑体" w:hAnsi="黑体" w:eastAsia="黑体" w:cs="黑体"/>
          <w:color w:val="auto"/>
          <w:sz w:val="24"/>
          <w:lang w:val="en-US" w:eastAsia="zh-CN"/>
        </w:rPr>
        <w:t>2.2-2</w:t>
      </w:r>
      <w:r>
        <w:rPr>
          <w:rFonts w:hint="eastAsia" w:ascii="黑体" w:hAnsi="黑体" w:eastAsia="黑体" w:cs="黑体"/>
          <w:color w:val="auto"/>
          <w:sz w:val="24"/>
        </w:rPr>
        <w:t xml:space="preserve">  2017～2021年南庄断面主要污染物年均浓度监测结果 单位：mg/L</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2660"/>
        <w:gridCol w:w="1549"/>
        <w:gridCol w:w="1547"/>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年份</w:t>
            </w:r>
          </w:p>
        </w:tc>
        <w:tc>
          <w:tcPr>
            <w:tcW w:w="2266"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COD</w:t>
            </w:r>
          </w:p>
        </w:tc>
        <w:tc>
          <w:tcPr>
            <w:tcW w:w="166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c>
          <w:tcPr>
            <w:tcW w:w="143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监测值</w:t>
            </w:r>
          </w:p>
        </w:tc>
        <w:tc>
          <w:tcPr>
            <w:tcW w:w="8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标准值</w:t>
            </w:r>
          </w:p>
        </w:tc>
        <w:tc>
          <w:tcPr>
            <w:tcW w:w="83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监测值</w:t>
            </w:r>
          </w:p>
        </w:tc>
        <w:tc>
          <w:tcPr>
            <w:tcW w:w="8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2017</w:t>
            </w:r>
          </w:p>
        </w:tc>
        <w:tc>
          <w:tcPr>
            <w:tcW w:w="143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10.83</w:t>
            </w:r>
          </w:p>
        </w:tc>
        <w:tc>
          <w:tcPr>
            <w:tcW w:w="834"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15</w:t>
            </w:r>
          </w:p>
        </w:tc>
        <w:tc>
          <w:tcPr>
            <w:tcW w:w="83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0.35</w:t>
            </w:r>
          </w:p>
        </w:tc>
        <w:tc>
          <w:tcPr>
            <w:tcW w:w="834"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2018</w:t>
            </w:r>
          </w:p>
        </w:tc>
        <w:tc>
          <w:tcPr>
            <w:tcW w:w="143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8.5</w:t>
            </w:r>
          </w:p>
        </w:tc>
        <w:tc>
          <w:tcPr>
            <w:tcW w:w="834"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c>
          <w:tcPr>
            <w:tcW w:w="83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0.3</w:t>
            </w:r>
          </w:p>
        </w:tc>
        <w:tc>
          <w:tcPr>
            <w:tcW w:w="834"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2019</w:t>
            </w:r>
          </w:p>
        </w:tc>
        <w:tc>
          <w:tcPr>
            <w:tcW w:w="143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8.3</w:t>
            </w:r>
          </w:p>
        </w:tc>
        <w:tc>
          <w:tcPr>
            <w:tcW w:w="834"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c>
          <w:tcPr>
            <w:tcW w:w="83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0.24</w:t>
            </w:r>
          </w:p>
        </w:tc>
        <w:tc>
          <w:tcPr>
            <w:tcW w:w="834"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2020</w:t>
            </w:r>
          </w:p>
        </w:tc>
        <w:tc>
          <w:tcPr>
            <w:tcW w:w="143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11.3</w:t>
            </w:r>
          </w:p>
        </w:tc>
        <w:tc>
          <w:tcPr>
            <w:tcW w:w="834"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c>
          <w:tcPr>
            <w:tcW w:w="833" w:type="pct"/>
            <w:shd w:val="clear" w:color="auto" w:fill="auto"/>
            <w:noWrap w:val="0"/>
            <w:vAlign w:val="center"/>
          </w:tcPr>
          <w:p>
            <w:pPr>
              <w:keepNext w:val="0"/>
              <w:keepLines w:val="0"/>
              <w:pageBreakBefore w:val="0"/>
              <w:widowControl w:val="0"/>
              <w:tabs>
                <w:tab w:val="left" w:pos="51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0.14</w:t>
            </w:r>
          </w:p>
        </w:tc>
        <w:tc>
          <w:tcPr>
            <w:tcW w:w="834"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2021</w:t>
            </w:r>
          </w:p>
        </w:tc>
        <w:tc>
          <w:tcPr>
            <w:tcW w:w="143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2（高锰酸钾指数）</w:t>
            </w:r>
          </w:p>
        </w:tc>
        <w:tc>
          <w:tcPr>
            <w:tcW w:w="834"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c>
          <w:tcPr>
            <w:tcW w:w="83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0.16</w:t>
            </w:r>
          </w:p>
        </w:tc>
        <w:tc>
          <w:tcPr>
            <w:tcW w:w="834"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sz w:val="21"/>
                <w:szCs w:val="21"/>
              </w:rPr>
            </w:pPr>
          </w:p>
        </w:tc>
      </w:tr>
    </w:tbl>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主要污染物年均浓度监测数据历年变化趋势如下图所示。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4"/>
        </w:rPr>
      </w:pPr>
      <w:r>
        <w:drawing>
          <wp:inline distT="0" distB="0" distL="114300" distR="114300">
            <wp:extent cx="4709795" cy="2498090"/>
            <wp:effectExtent l="0" t="0" r="14605" b="16510"/>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pic:cNvPicPr>
                      <a:picLocks noChangeAspect="1"/>
                    </pic:cNvPicPr>
                  </pic:nvPicPr>
                  <pic:blipFill>
                    <a:blip r:embed="rId35"/>
                    <a:stretch>
                      <a:fillRect/>
                    </a:stretch>
                  </pic:blipFill>
                  <pic:spPr>
                    <a:xfrm>
                      <a:off x="0" y="0"/>
                      <a:ext cx="4709795" cy="2498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黑体" w:hAnsi="黑体" w:eastAsia="黑体" w:cs="黑体"/>
          <w:color w:val="auto"/>
          <w:sz w:val="24"/>
        </w:rPr>
      </w:pPr>
      <w:r>
        <w:rPr>
          <w:rFonts w:hint="eastAsia" w:ascii="黑体" w:hAnsi="黑体" w:eastAsia="黑体" w:cs="黑体"/>
          <w:color w:val="auto"/>
          <w:sz w:val="24"/>
          <w:lang w:val="en-US" w:eastAsia="zh-CN"/>
        </w:rPr>
        <w:t>图2.2-1</w:t>
      </w:r>
      <w:r>
        <w:rPr>
          <w:rFonts w:hint="eastAsia" w:ascii="黑体" w:hAnsi="黑体" w:eastAsia="黑体" w:cs="黑体"/>
          <w:color w:val="auto"/>
          <w:sz w:val="24"/>
        </w:rPr>
        <w:t xml:space="preserve">  南庄断面主要污染物</w:t>
      </w:r>
      <w:r>
        <w:rPr>
          <w:rFonts w:hint="eastAsia" w:ascii="黑体" w:hAnsi="黑体" w:eastAsia="黑体" w:cs="黑体"/>
          <w:color w:val="auto"/>
          <w:sz w:val="24"/>
          <w:lang w:eastAsia="zh-CN"/>
        </w:rPr>
        <w:t>（</w:t>
      </w:r>
      <w:r>
        <w:rPr>
          <w:rFonts w:hint="eastAsia" w:ascii="黑体" w:hAnsi="黑体" w:eastAsia="黑体" w:cs="黑体"/>
          <w:color w:val="auto"/>
          <w:sz w:val="24"/>
          <w:lang w:val="en-US" w:eastAsia="zh-CN"/>
        </w:rPr>
        <w:t>COD</w:t>
      </w:r>
      <w:r>
        <w:rPr>
          <w:rFonts w:hint="eastAsia" w:ascii="黑体" w:hAnsi="黑体" w:eastAsia="黑体" w:cs="黑体"/>
          <w:color w:val="auto"/>
          <w:sz w:val="24"/>
          <w:lang w:eastAsia="zh-CN"/>
        </w:rPr>
        <w:t>）</w:t>
      </w:r>
      <w:r>
        <w:rPr>
          <w:rFonts w:hint="eastAsia" w:ascii="黑体" w:hAnsi="黑体" w:eastAsia="黑体" w:cs="黑体"/>
          <w:color w:val="auto"/>
          <w:sz w:val="24"/>
        </w:rPr>
        <w:t>年均浓度监测数据历年变化趋势图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4"/>
        </w:rPr>
      </w:pPr>
      <w:r>
        <w:drawing>
          <wp:inline distT="0" distB="0" distL="114300" distR="114300">
            <wp:extent cx="4719320" cy="2403475"/>
            <wp:effectExtent l="0" t="0" r="5080" b="15875"/>
            <wp:docPr id="8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
                    <pic:cNvPicPr>
                      <a:picLocks noChangeAspect="1"/>
                    </pic:cNvPicPr>
                  </pic:nvPicPr>
                  <pic:blipFill>
                    <a:blip r:embed="rId36"/>
                    <a:stretch>
                      <a:fillRect/>
                    </a:stretch>
                  </pic:blipFill>
                  <pic:spPr>
                    <a:xfrm>
                      <a:off x="0" y="0"/>
                      <a:ext cx="4719320" cy="2403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黑体" w:hAnsi="黑体" w:eastAsia="黑体" w:cs="黑体"/>
          <w:color w:val="auto"/>
          <w:sz w:val="24"/>
        </w:rPr>
      </w:pPr>
      <w:r>
        <w:rPr>
          <w:rFonts w:hint="eastAsia" w:ascii="黑体" w:hAnsi="黑体" w:eastAsia="黑体" w:cs="黑体"/>
          <w:color w:val="auto"/>
          <w:sz w:val="24"/>
          <w:lang w:val="en-US" w:eastAsia="zh-CN"/>
        </w:rPr>
        <w:t>图2.2-2</w:t>
      </w:r>
      <w:r>
        <w:rPr>
          <w:rFonts w:hint="eastAsia" w:ascii="黑体" w:hAnsi="黑体" w:eastAsia="黑体" w:cs="黑体"/>
          <w:color w:val="auto"/>
          <w:sz w:val="24"/>
        </w:rPr>
        <w:t xml:space="preserve">  南庄断面主要污染物</w:t>
      </w:r>
      <w:r>
        <w:rPr>
          <w:rFonts w:hint="eastAsia" w:ascii="黑体" w:hAnsi="黑体" w:eastAsia="黑体" w:cs="黑体"/>
          <w:color w:val="auto"/>
          <w:sz w:val="24"/>
          <w:lang w:eastAsia="zh-CN"/>
        </w:rPr>
        <w:t>（</w:t>
      </w:r>
      <w:r>
        <w:rPr>
          <w:rFonts w:hint="eastAsia" w:ascii="黑体" w:hAnsi="黑体" w:eastAsia="黑体" w:cs="黑体"/>
          <w:color w:val="auto"/>
          <w:sz w:val="24"/>
          <w:lang w:val="en-US" w:eastAsia="zh-CN"/>
        </w:rPr>
        <w:t>氨氮</w:t>
      </w:r>
      <w:r>
        <w:rPr>
          <w:rFonts w:hint="eastAsia" w:ascii="黑体" w:hAnsi="黑体" w:eastAsia="黑体" w:cs="黑体"/>
          <w:color w:val="auto"/>
          <w:sz w:val="24"/>
          <w:lang w:eastAsia="zh-CN"/>
        </w:rPr>
        <w:t>）</w:t>
      </w:r>
      <w:r>
        <w:rPr>
          <w:rFonts w:hint="eastAsia" w:ascii="黑体" w:hAnsi="黑体" w:eastAsia="黑体" w:cs="黑体"/>
          <w:color w:val="auto"/>
          <w:sz w:val="24"/>
        </w:rPr>
        <w:t>年均浓度监测数据历年变化趋势图</w:t>
      </w:r>
    </w:p>
    <w:p>
      <w:pPr>
        <w:spacing w:line="480" w:lineRule="exact"/>
        <w:ind w:firstLine="480" w:firstLineChars="200"/>
        <w:rPr>
          <w:rFonts w:hint="default" w:ascii="Times New Roman" w:hAnsi="Times New Roman" w:cs="Times New Roman"/>
          <w:color w:val="auto"/>
          <w:sz w:val="24"/>
        </w:rPr>
      </w:pPr>
      <w:r>
        <w:rPr>
          <w:spacing w:val="0"/>
          <w:sz w:val="24"/>
          <w:szCs w:val="24"/>
        </w:rPr>
        <w:t>由上表和</w:t>
      </w:r>
      <w:r>
        <w:rPr>
          <w:rFonts w:hint="eastAsia"/>
          <w:spacing w:val="0"/>
          <w:sz w:val="24"/>
          <w:szCs w:val="24"/>
          <w:lang w:val="en-US" w:eastAsia="zh-CN"/>
        </w:rPr>
        <w:t>上</w:t>
      </w:r>
      <w:r>
        <w:rPr>
          <w:spacing w:val="0"/>
          <w:sz w:val="24"/>
          <w:szCs w:val="24"/>
        </w:rPr>
        <w:t>图可以看出，201</w:t>
      </w:r>
      <w:r>
        <w:rPr>
          <w:rFonts w:hint="eastAsia"/>
          <w:spacing w:val="0"/>
          <w:sz w:val="24"/>
          <w:szCs w:val="24"/>
        </w:rPr>
        <w:t>7</w:t>
      </w:r>
      <w:r>
        <w:rPr>
          <w:spacing w:val="0"/>
          <w:sz w:val="24"/>
          <w:szCs w:val="24"/>
        </w:rPr>
        <w:t>~20</w:t>
      </w:r>
      <w:r>
        <w:rPr>
          <w:rFonts w:hint="eastAsia"/>
          <w:spacing w:val="0"/>
          <w:sz w:val="24"/>
          <w:szCs w:val="24"/>
        </w:rPr>
        <w:t>21</w:t>
      </w:r>
      <w:r>
        <w:rPr>
          <w:spacing w:val="0"/>
          <w:sz w:val="24"/>
          <w:szCs w:val="24"/>
        </w:rPr>
        <w:t>年</w:t>
      </w:r>
      <w:r>
        <w:rPr>
          <w:rFonts w:hint="eastAsia"/>
          <w:spacing w:val="0"/>
          <w:sz w:val="24"/>
          <w:szCs w:val="24"/>
        </w:rPr>
        <w:t>南庄</w:t>
      </w:r>
      <w:r>
        <w:rPr>
          <w:spacing w:val="0"/>
          <w:sz w:val="24"/>
          <w:szCs w:val="24"/>
        </w:rPr>
        <w:t>断面</w:t>
      </w:r>
      <w:r>
        <w:rPr>
          <w:rFonts w:hint="eastAsia"/>
          <w:spacing w:val="0"/>
          <w:sz w:val="24"/>
          <w:szCs w:val="24"/>
        </w:rPr>
        <w:t>主要污染物年均浓度</w:t>
      </w:r>
      <w:r>
        <w:rPr>
          <w:spacing w:val="0"/>
          <w:sz w:val="24"/>
          <w:szCs w:val="24"/>
        </w:rPr>
        <w:t>均达标，但逐年波动仍然比较大。</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2.2.2监测布点</w:t>
      </w:r>
    </w:p>
    <w:p>
      <w:pPr>
        <w:widowControl/>
        <w:spacing w:line="480" w:lineRule="exact"/>
        <w:ind w:firstLine="480" w:firstLineChars="200"/>
        <w:jc w:val="left"/>
        <w:rPr>
          <w:rFonts w:ascii="Times New Roman" w:hAnsi="Times New Roman"/>
          <w:color w:val="auto"/>
          <w:sz w:val="24"/>
          <w:szCs w:val="24"/>
        </w:rPr>
      </w:pPr>
      <w:r>
        <w:rPr>
          <w:rFonts w:hint="eastAsia"/>
          <w:bCs/>
          <w:color w:val="auto"/>
          <w:sz w:val="24"/>
        </w:rPr>
        <w:t>本次评价由建设单位委托山西</w:t>
      </w:r>
      <w:r>
        <w:rPr>
          <w:rFonts w:hint="eastAsia"/>
          <w:bCs/>
          <w:color w:val="auto"/>
          <w:sz w:val="24"/>
          <w:lang w:val="en-US" w:eastAsia="zh-CN"/>
        </w:rPr>
        <w:t>中安环境监测</w:t>
      </w:r>
      <w:r>
        <w:rPr>
          <w:rFonts w:hint="eastAsia"/>
          <w:bCs/>
          <w:color w:val="auto"/>
          <w:sz w:val="24"/>
        </w:rPr>
        <w:t>有限公司于2022年</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16</w:t>
      </w:r>
      <w:r>
        <w:rPr>
          <w:rFonts w:hint="eastAsia"/>
          <w:bCs/>
          <w:color w:val="auto"/>
          <w:sz w:val="24"/>
        </w:rPr>
        <w:t>日-</w:t>
      </w:r>
      <w:r>
        <w:rPr>
          <w:rFonts w:hint="eastAsia"/>
          <w:bCs/>
          <w:color w:val="auto"/>
          <w:sz w:val="24"/>
          <w:lang w:val="en-US" w:eastAsia="zh-CN"/>
        </w:rPr>
        <w:t>12月18</w:t>
      </w:r>
      <w:r>
        <w:rPr>
          <w:rFonts w:hint="eastAsia"/>
          <w:bCs/>
          <w:color w:val="auto"/>
          <w:sz w:val="24"/>
        </w:rPr>
        <w:t>日对拟建厂址</w:t>
      </w:r>
      <w:r>
        <w:rPr>
          <w:rFonts w:hint="eastAsia"/>
          <w:bCs/>
          <w:color w:val="auto"/>
          <w:sz w:val="24"/>
          <w:lang w:val="en-US" w:eastAsia="zh-CN"/>
        </w:rPr>
        <w:t>污水排放口上下游</w:t>
      </w:r>
      <w:r>
        <w:rPr>
          <w:rFonts w:hint="eastAsia"/>
          <w:bCs/>
          <w:color w:val="auto"/>
          <w:sz w:val="24"/>
        </w:rPr>
        <w:t>进行了为期3天的</w:t>
      </w:r>
      <w:r>
        <w:rPr>
          <w:rFonts w:hint="eastAsia"/>
          <w:bCs/>
          <w:color w:val="auto"/>
          <w:sz w:val="24"/>
          <w:lang w:val="en-US" w:eastAsia="zh-CN"/>
        </w:rPr>
        <w:t>地表水环境</w:t>
      </w:r>
      <w:r>
        <w:rPr>
          <w:rFonts w:hint="eastAsia"/>
          <w:bCs/>
          <w:color w:val="auto"/>
          <w:sz w:val="24"/>
        </w:rPr>
        <w:t>污染物质量现状补充监测。</w:t>
      </w:r>
      <w:r>
        <w:rPr>
          <w:rFonts w:hint="eastAsia"/>
          <w:color w:val="auto"/>
          <w:sz w:val="24"/>
          <w:szCs w:val="20"/>
        </w:rPr>
        <w:t>监测点位、项目、频次、时间及要求见下表。监测布点图见图</w:t>
      </w:r>
      <w:r>
        <w:rPr>
          <w:rFonts w:hint="eastAsia"/>
          <w:color w:val="auto"/>
          <w:sz w:val="24"/>
          <w:szCs w:val="20"/>
          <w:lang w:val="en-US" w:eastAsia="zh-CN"/>
        </w:rPr>
        <w:t>2.2-3</w:t>
      </w:r>
      <w:r>
        <w:rPr>
          <w:rFonts w:hint="eastAsia"/>
          <w:color w:val="auto"/>
          <w:sz w:val="24"/>
          <w:szCs w:val="20"/>
        </w:rPr>
        <w:t>。</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w:t>
      </w:r>
      <w:r>
        <w:rPr>
          <w:rFonts w:hint="eastAsia" w:ascii="黑体" w:hAnsi="黑体" w:eastAsia="黑体"/>
          <w:bCs/>
          <w:color w:val="auto"/>
          <w:sz w:val="24"/>
          <w:szCs w:val="32"/>
          <w:lang w:val="en-US" w:eastAsia="zh-CN"/>
        </w:rPr>
        <w:t>2.2-3</w:t>
      </w:r>
      <w:r>
        <w:rPr>
          <w:rFonts w:hint="eastAsia" w:ascii="黑体" w:hAnsi="黑体" w:eastAsia="黑体"/>
          <w:bCs/>
          <w:color w:val="auto"/>
          <w:sz w:val="24"/>
          <w:szCs w:val="32"/>
        </w:rPr>
        <w:t xml:space="preserve">  </w:t>
      </w:r>
      <w:r>
        <w:rPr>
          <w:rFonts w:hint="eastAsia" w:ascii="黑体" w:hAnsi="黑体" w:eastAsia="黑体"/>
          <w:bCs/>
          <w:color w:val="auto"/>
          <w:sz w:val="24"/>
          <w:szCs w:val="32"/>
          <w:lang w:val="en-US" w:eastAsia="zh-CN"/>
        </w:rPr>
        <w:t>地表水环境</w:t>
      </w:r>
      <w:r>
        <w:rPr>
          <w:rFonts w:hint="eastAsia" w:ascii="黑体" w:hAnsi="黑体" w:eastAsia="黑体"/>
          <w:bCs/>
          <w:color w:val="auto"/>
          <w:sz w:val="24"/>
          <w:szCs w:val="32"/>
        </w:rPr>
        <w:t>质量现状监测点位、项目、频次一览表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2193"/>
        <w:gridCol w:w="2939"/>
        <w:gridCol w:w="1677"/>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Align w:val="center"/>
          </w:tcPr>
          <w:p>
            <w:pPr>
              <w:jc w:val="center"/>
              <w:rPr>
                <w:color w:val="auto"/>
              </w:rPr>
            </w:pPr>
            <w:r>
              <w:rPr>
                <w:rFonts w:hint="eastAsia"/>
                <w:color w:val="auto"/>
              </w:rPr>
              <w:t>监测</w:t>
            </w:r>
          </w:p>
          <w:p>
            <w:pPr>
              <w:jc w:val="center"/>
              <w:rPr>
                <w:color w:val="auto"/>
              </w:rPr>
            </w:pPr>
            <w:r>
              <w:rPr>
                <w:rFonts w:hint="eastAsia"/>
                <w:color w:val="auto"/>
              </w:rPr>
              <w:t>类别</w:t>
            </w:r>
          </w:p>
        </w:tc>
        <w:tc>
          <w:tcPr>
            <w:tcW w:w="1180" w:type="pct"/>
            <w:vAlign w:val="center"/>
          </w:tcPr>
          <w:p>
            <w:pPr>
              <w:jc w:val="center"/>
              <w:rPr>
                <w:color w:val="auto"/>
              </w:rPr>
            </w:pPr>
            <w:r>
              <w:rPr>
                <w:rFonts w:hint="eastAsia"/>
                <w:color w:val="auto"/>
              </w:rPr>
              <w:t>点位</w:t>
            </w:r>
          </w:p>
        </w:tc>
        <w:tc>
          <w:tcPr>
            <w:tcW w:w="1581" w:type="pct"/>
            <w:vAlign w:val="center"/>
          </w:tcPr>
          <w:p>
            <w:pPr>
              <w:jc w:val="center"/>
              <w:rPr>
                <w:rFonts w:hint="eastAsia"/>
                <w:color w:val="auto"/>
              </w:rPr>
            </w:pPr>
            <w:r>
              <w:rPr>
                <w:rFonts w:hint="eastAsia"/>
                <w:color w:val="auto"/>
              </w:rPr>
              <w:t>监测</w:t>
            </w:r>
          </w:p>
          <w:p>
            <w:pPr>
              <w:jc w:val="center"/>
              <w:rPr>
                <w:color w:val="auto"/>
              </w:rPr>
            </w:pPr>
            <w:r>
              <w:rPr>
                <w:rFonts w:hint="eastAsia"/>
                <w:color w:val="auto"/>
              </w:rPr>
              <w:t>项目</w:t>
            </w:r>
          </w:p>
        </w:tc>
        <w:tc>
          <w:tcPr>
            <w:tcW w:w="902" w:type="pct"/>
            <w:vAlign w:val="center"/>
          </w:tcPr>
          <w:p>
            <w:pPr>
              <w:jc w:val="center"/>
              <w:rPr>
                <w:color w:val="auto"/>
              </w:rPr>
            </w:pPr>
            <w:r>
              <w:rPr>
                <w:rFonts w:hint="eastAsia"/>
                <w:color w:val="auto"/>
              </w:rPr>
              <w:t>监测频次、时间</w:t>
            </w:r>
          </w:p>
        </w:tc>
        <w:tc>
          <w:tcPr>
            <w:tcW w:w="624" w:type="pct"/>
            <w:vAlign w:val="center"/>
          </w:tcPr>
          <w:p>
            <w:pPr>
              <w:jc w:val="center"/>
              <w:rPr>
                <w:color w:val="auto"/>
              </w:rPr>
            </w:pPr>
            <w:r>
              <w:rPr>
                <w:rFonts w:hint="eastAsia"/>
                <w:color w:val="auto"/>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Merge w:val="restart"/>
            <w:vAlign w:val="center"/>
          </w:tcPr>
          <w:p>
            <w:pPr>
              <w:jc w:val="center"/>
              <w:rPr>
                <w:rFonts w:hint="default" w:eastAsia="宋体"/>
                <w:color w:val="auto"/>
                <w:lang w:val="en-US" w:eastAsia="zh-CN"/>
              </w:rPr>
            </w:pPr>
            <w:r>
              <w:rPr>
                <w:rFonts w:hint="eastAsia"/>
                <w:color w:val="auto"/>
                <w:lang w:val="en-US" w:eastAsia="zh-CN"/>
              </w:rPr>
              <w:t>地表水环境质量</w:t>
            </w:r>
          </w:p>
        </w:tc>
        <w:tc>
          <w:tcPr>
            <w:tcW w:w="1180" w:type="pct"/>
            <w:vAlign w:val="center"/>
          </w:tcPr>
          <w:p>
            <w:pPr>
              <w:jc w:val="center"/>
              <w:rPr>
                <w:color w:val="auto"/>
              </w:rPr>
            </w:pPr>
            <w:r>
              <w:rPr>
                <w:rFonts w:hint="default"/>
                <w:color w:val="auto"/>
                <w:lang w:val="en-US"/>
              </w:rPr>
              <w:t>污水处理厂排口入滹沱河上游500m</w:t>
            </w:r>
          </w:p>
        </w:tc>
        <w:tc>
          <w:tcPr>
            <w:tcW w:w="1581" w:type="pct"/>
            <w:vMerge w:val="restart"/>
            <w:vAlign w:val="center"/>
          </w:tcPr>
          <w:p>
            <w:pPr>
              <w:jc w:val="center"/>
              <w:rPr>
                <w:rFonts w:hint="default" w:eastAsia="宋体"/>
                <w:color w:val="auto"/>
                <w:lang w:val="en-US" w:eastAsia="zh-CN"/>
              </w:rPr>
            </w:pPr>
            <w:r>
              <w:rPr>
                <w:rFonts w:hint="default" w:eastAsia="宋体"/>
                <w:color w:val="auto"/>
                <w:lang w:val="en-US" w:eastAsia="zh-CN"/>
              </w:rPr>
              <w:t>pH、CODCr、BOD5、硫化物、动植物油、氨氮、挥发酚、石油类、汞、砷、铅、六价铬、铁、锰、铜、锌、总氮、总磷、阴离子表面活性剂、粪大肠菌群等</w:t>
            </w:r>
          </w:p>
        </w:tc>
        <w:tc>
          <w:tcPr>
            <w:tcW w:w="902" w:type="pct"/>
            <w:vMerge w:val="restart"/>
            <w:vAlign w:val="center"/>
          </w:tcPr>
          <w:p>
            <w:pPr>
              <w:jc w:val="center"/>
              <w:rPr>
                <w:rFonts w:hint="default" w:eastAsia="宋体"/>
                <w:color w:val="auto"/>
                <w:lang w:val="en-US" w:eastAsia="zh-CN"/>
              </w:rPr>
            </w:pPr>
            <w:r>
              <w:rPr>
                <w:rFonts w:hint="eastAsia"/>
                <w:color w:val="auto"/>
              </w:rPr>
              <w:t>2022年</w:t>
            </w:r>
            <w:r>
              <w:rPr>
                <w:rFonts w:hint="eastAsia"/>
                <w:color w:val="auto"/>
                <w:lang w:val="en-US" w:eastAsia="zh-CN"/>
              </w:rPr>
              <w:t>12</w:t>
            </w:r>
            <w:r>
              <w:rPr>
                <w:rFonts w:hint="eastAsia"/>
                <w:color w:val="auto"/>
              </w:rPr>
              <w:t>月</w:t>
            </w:r>
            <w:r>
              <w:rPr>
                <w:rFonts w:hint="eastAsia"/>
                <w:color w:val="auto"/>
                <w:lang w:val="en-US" w:eastAsia="zh-CN"/>
              </w:rPr>
              <w:t>16</w:t>
            </w:r>
            <w:r>
              <w:rPr>
                <w:rFonts w:hint="eastAsia"/>
                <w:color w:val="auto"/>
              </w:rPr>
              <w:t>日至</w:t>
            </w:r>
            <w:r>
              <w:rPr>
                <w:rFonts w:hint="eastAsia"/>
                <w:color w:val="auto"/>
                <w:lang w:val="en-US" w:eastAsia="zh-CN"/>
              </w:rPr>
              <w:t>12月18</w:t>
            </w:r>
            <w:r>
              <w:rPr>
                <w:rFonts w:hint="eastAsia"/>
                <w:color w:val="auto"/>
              </w:rPr>
              <w:t>日，连续3d</w:t>
            </w:r>
            <w:r>
              <w:rPr>
                <w:rFonts w:hint="eastAsia"/>
                <w:color w:val="auto"/>
                <w:lang w:eastAsia="zh-CN"/>
              </w:rPr>
              <w:t>，</w:t>
            </w:r>
            <w:r>
              <w:rPr>
                <w:rFonts w:hint="eastAsia"/>
                <w:color w:val="auto"/>
                <w:lang w:val="en-US" w:eastAsia="zh-CN"/>
              </w:rPr>
              <w:t>每天一次</w:t>
            </w:r>
          </w:p>
        </w:tc>
        <w:tc>
          <w:tcPr>
            <w:tcW w:w="624" w:type="pct"/>
            <w:vMerge w:val="restart"/>
            <w:vAlign w:val="center"/>
          </w:tcPr>
          <w:p>
            <w:pPr>
              <w:jc w:val="center"/>
              <w:rPr>
                <w:color w:val="auto"/>
              </w:rPr>
            </w:pPr>
            <w:r>
              <w:rPr>
                <w:rFonts w:hint="eastAsia"/>
                <w:color w:val="auto"/>
              </w:rPr>
              <w:t>测量流量、流速、水温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Merge w:val="continue"/>
            <w:vAlign w:val="center"/>
          </w:tcPr>
          <w:p>
            <w:pPr>
              <w:jc w:val="center"/>
              <w:rPr>
                <w:rFonts w:hint="eastAsia"/>
                <w:color w:val="auto"/>
                <w:lang w:val="en-US" w:eastAsia="zh-CN"/>
              </w:rPr>
            </w:pPr>
          </w:p>
        </w:tc>
        <w:tc>
          <w:tcPr>
            <w:tcW w:w="1180" w:type="pct"/>
            <w:vAlign w:val="center"/>
          </w:tcPr>
          <w:p>
            <w:pPr>
              <w:jc w:val="center"/>
              <w:rPr>
                <w:rFonts w:hint="default"/>
                <w:color w:val="auto"/>
                <w:lang w:val="en-US"/>
              </w:rPr>
            </w:pPr>
            <w:r>
              <w:rPr>
                <w:rFonts w:hint="default"/>
                <w:color w:val="auto"/>
                <w:lang w:val="en-US"/>
              </w:rPr>
              <w:t>污水处理厂排口入滹沱河下游500m</w:t>
            </w:r>
          </w:p>
        </w:tc>
        <w:tc>
          <w:tcPr>
            <w:tcW w:w="1581" w:type="pct"/>
            <w:vMerge w:val="continue"/>
            <w:vAlign w:val="center"/>
          </w:tcPr>
          <w:p>
            <w:pPr>
              <w:jc w:val="center"/>
              <w:rPr>
                <w:rFonts w:hint="eastAsia"/>
                <w:color w:val="auto"/>
                <w:lang w:val="en-US" w:eastAsia="zh-CN"/>
              </w:rPr>
            </w:pPr>
          </w:p>
        </w:tc>
        <w:tc>
          <w:tcPr>
            <w:tcW w:w="902" w:type="pct"/>
            <w:vMerge w:val="continue"/>
            <w:vAlign w:val="center"/>
          </w:tcPr>
          <w:p>
            <w:pPr>
              <w:jc w:val="center"/>
              <w:rPr>
                <w:rFonts w:hint="eastAsia"/>
                <w:color w:val="auto"/>
              </w:rPr>
            </w:pPr>
          </w:p>
        </w:tc>
        <w:tc>
          <w:tcPr>
            <w:tcW w:w="624" w:type="pct"/>
            <w:vMerge w:val="continue"/>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Merge w:val="continue"/>
            <w:vAlign w:val="center"/>
          </w:tcPr>
          <w:p>
            <w:pPr>
              <w:jc w:val="center"/>
              <w:rPr>
                <w:rFonts w:hint="eastAsia"/>
                <w:color w:val="auto"/>
                <w:lang w:val="en-US" w:eastAsia="zh-CN"/>
              </w:rPr>
            </w:pPr>
          </w:p>
        </w:tc>
        <w:tc>
          <w:tcPr>
            <w:tcW w:w="1180" w:type="pct"/>
            <w:vAlign w:val="center"/>
          </w:tcPr>
          <w:p>
            <w:pPr>
              <w:jc w:val="center"/>
              <w:rPr>
                <w:rFonts w:hint="default"/>
                <w:color w:val="auto"/>
                <w:lang w:val="en-US"/>
              </w:rPr>
            </w:pPr>
            <w:r>
              <w:rPr>
                <w:rFonts w:hint="default"/>
                <w:color w:val="auto"/>
                <w:lang w:val="en-US"/>
              </w:rPr>
              <w:t>污水处理厂排口入滹沱河下游1500m</w:t>
            </w:r>
          </w:p>
        </w:tc>
        <w:tc>
          <w:tcPr>
            <w:tcW w:w="1581" w:type="pct"/>
            <w:vMerge w:val="continue"/>
            <w:vAlign w:val="center"/>
          </w:tcPr>
          <w:p>
            <w:pPr>
              <w:jc w:val="center"/>
              <w:rPr>
                <w:rFonts w:hint="eastAsia"/>
                <w:color w:val="auto"/>
                <w:lang w:val="en-US" w:eastAsia="zh-CN"/>
              </w:rPr>
            </w:pPr>
          </w:p>
        </w:tc>
        <w:tc>
          <w:tcPr>
            <w:tcW w:w="902" w:type="pct"/>
            <w:vMerge w:val="continue"/>
            <w:vAlign w:val="center"/>
          </w:tcPr>
          <w:p>
            <w:pPr>
              <w:jc w:val="center"/>
              <w:rPr>
                <w:rFonts w:hint="eastAsia"/>
                <w:color w:val="auto"/>
              </w:rPr>
            </w:pPr>
          </w:p>
        </w:tc>
        <w:tc>
          <w:tcPr>
            <w:tcW w:w="624" w:type="pct"/>
            <w:vMerge w:val="continue"/>
            <w:vAlign w:val="center"/>
          </w:tcPr>
          <w:p>
            <w:pPr>
              <w:jc w:val="center"/>
              <w:rPr>
                <w:rFonts w:hint="eastAsia"/>
                <w:color w:val="auto"/>
              </w:rPr>
            </w:pP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4"/>
        </w:rPr>
      </w:pPr>
      <w:r>
        <w:drawing>
          <wp:inline distT="0" distB="0" distL="114300" distR="114300">
            <wp:extent cx="5779770" cy="3653790"/>
            <wp:effectExtent l="0" t="0" r="11430" b="3810"/>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17"/>
                    <a:stretch>
                      <a:fillRect/>
                    </a:stretch>
                  </pic:blipFill>
                  <pic:spPr>
                    <a:xfrm>
                      <a:off x="0" y="0"/>
                      <a:ext cx="5779770" cy="3653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rPr>
      </w:pPr>
      <w:r>
        <w:rPr>
          <w:rFonts w:hint="eastAsia" w:ascii="黑体" w:hAnsi="黑体" w:eastAsia="黑体"/>
          <w:color w:val="auto"/>
          <w:kern w:val="0"/>
          <w:sz w:val="24"/>
        </w:rPr>
        <w:t>图</w:t>
      </w:r>
      <w:r>
        <w:rPr>
          <w:rFonts w:hint="eastAsia" w:ascii="黑体" w:hAnsi="黑体" w:eastAsia="黑体"/>
          <w:color w:val="auto"/>
          <w:kern w:val="0"/>
          <w:sz w:val="24"/>
          <w:lang w:val="en-US" w:eastAsia="zh-CN"/>
        </w:rPr>
        <w:t>2.2-3</w:t>
      </w:r>
      <w:r>
        <w:rPr>
          <w:rFonts w:hint="eastAsia" w:ascii="黑体" w:hAnsi="黑体" w:eastAsia="黑体"/>
          <w:color w:val="auto"/>
          <w:kern w:val="0"/>
          <w:sz w:val="24"/>
        </w:rPr>
        <w:t xml:space="preserve">  </w:t>
      </w:r>
      <w:r>
        <w:rPr>
          <w:rFonts w:hint="eastAsia" w:ascii="黑体" w:hAnsi="黑体" w:eastAsia="黑体"/>
          <w:color w:val="auto"/>
          <w:kern w:val="0"/>
          <w:sz w:val="24"/>
          <w:lang w:val="en-US" w:eastAsia="zh-CN"/>
        </w:rPr>
        <w:t>地表水环境</w:t>
      </w:r>
      <w:r>
        <w:rPr>
          <w:rFonts w:hint="eastAsia" w:ascii="黑体" w:hAnsi="黑体" w:eastAsia="黑体"/>
          <w:color w:val="auto"/>
          <w:kern w:val="0"/>
          <w:sz w:val="24"/>
        </w:rPr>
        <w:t>质量现状监测布点图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2.2.</w:t>
      </w:r>
      <w:r>
        <w:rPr>
          <w:rFonts w:hint="eastAsia"/>
          <w:b/>
          <w:bCs/>
          <w:color w:val="auto"/>
          <w:sz w:val="24"/>
          <w:szCs w:val="24"/>
          <w:lang w:val="en-US" w:eastAsia="zh-CN"/>
        </w:rPr>
        <w:t>3</w:t>
      </w:r>
      <w:r>
        <w:rPr>
          <w:rFonts w:hint="default" w:ascii="Times New Roman" w:hAnsi="Times New Roman"/>
          <w:b/>
          <w:bCs/>
          <w:color w:val="auto"/>
          <w:sz w:val="24"/>
          <w:szCs w:val="24"/>
        </w:rPr>
        <w:t>监测和分析方法</w:t>
      </w:r>
    </w:p>
    <w:p>
      <w:pPr>
        <w:pStyle w:val="113"/>
        <w:spacing w:before="0" w:beforeLines="0" w:line="460" w:lineRule="exact"/>
        <w:ind w:firstLine="480"/>
        <w:rPr>
          <w:rFonts w:ascii="Times New Roman" w:hAnsi="Times New Roman"/>
          <w:snapToGrid w:val="0"/>
          <w:color w:val="auto"/>
          <w:kern w:val="0"/>
          <w:sz w:val="24"/>
          <w:szCs w:val="24"/>
        </w:rPr>
      </w:pPr>
      <w:r>
        <w:rPr>
          <w:rFonts w:ascii="Times New Roman" w:hAnsi="Times New Roman"/>
          <w:snapToGrid w:val="0"/>
          <w:color w:val="auto"/>
          <w:kern w:val="0"/>
          <w:sz w:val="24"/>
          <w:szCs w:val="24"/>
        </w:rPr>
        <w:t>监测和分析方法详见表2.2-</w:t>
      </w:r>
      <w:r>
        <w:rPr>
          <w:rFonts w:hint="eastAsia"/>
          <w:snapToGrid w:val="0"/>
          <w:color w:val="auto"/>
          <w:kern w:val="0"/>
          <w:sz w:val="24"/>
          <w:szCs w:val="24"/>
          <w:lang w:val="en-US" w:eastAsia="zh-CN"/>
        </w:rPr>
        <w:t>4</w:t>
      </w:r>
      <w:r>
        <w:rPr>
          <w:rFonts w:ascii="Times New Roman" w:hAnsi="Times New Roman"/>
          <w:snapToGrid w:val="0"/>
          <w:color w:val="auto"/>
          <w:kern w:val="0"/>
          <w:sz w:val="24"/>
          <w:szCs w:val="24"/>
        </w:rPr>
        <w:t>。</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w:t>
      </w:r>
      <w:r>
        <w:rPr>
          <w:rFonts w:hint="eastAsia" w:ascii="黑体" w:hAnsi="黑体" w:eastAsia="黑体"/>
          <w:bCs/>
          <w:color w:val="auto"/>
          <w:sz w:val="24"/>
          <w:szCs w:val="32"/>
          <w:lang w:val="en-US" w:eastAsia="zh-CN"/>
        </w:rPr>
        <w:t>2.2-4</w:t>
      </w:r>
      <w:r>
        <w:rPr>
          <w:rFonts w:hint="eastAsia" w:ascii="黑体" w:hAnsi="黑体" w:eastAsia="黑体"/>
          <w:bCs/>
          <w:color w:val="auto"/>
          <w:sz w:val="24"/>
          <w:szCs w:val="32"/>
        </w:rPr>
        <w:t xml:space="preserve">  监测分析方法一览表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283"/>
        <w:gridCol w:w="2861"/>
        <w:gridCol w:w="1930"/>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Align w:val="center"/>
          </w:tcPr>
          <w:p>
            <w:pPr>
              <w:jc w:val="center"/>
              <w:rPr>
                <w:color w:val="auto"/>
              </w:rPr>
            </w:pPr>
            <w:r>
              <w:rPr>
                <w:rFonts w:hint="eastAsia"/>
                <w:color w:val="auto"/>
              </w:rPr>
              <w:t>监测类别</w:t>
            </w:r>
          </w:p>
        </w:tc>
        <w:tc>
          <w:tcPr>
            <w:tcW w:w="1228" w:type="pct"/>
            <w:vAlign w:val="center"/>
          </w:tcPr>
          <w:p>
            <w:pPr>
              <w:jc w:val="center"/>
              <w:rPr>
                <w:color w:val="auto"/>
              </w:rPr>
            </w:pPr>
            <w:r>
              <w:rPr>
                <w:rFonts w:hint="eastAsia"/>
                <w:color w:val="auto"/>
              </w:rPr>
              <w:t>监测项目</w:t>
            </w:r>
          </w:p>
        </w:tc>
        <w:tc>
          <w:tcPr>
            <w:tcW w:w="1539" w:type="pct"/>
            <w:vAlign w:val="center"/>
          </w:tcPr>
          <w:p>
            <w:pPr>
              <w:jc w:val="center"/>
              <w:rPr>
                <w:color w:val="auto"/>
              </w:rPr>
            </w:pPr>
            <w:r>
              <w:rPr>
                <w:rFonts w:hint="eastAsia"/>
                <w:color w:val="auto"/>
              </w:rPr>
              <w:t>分析方法</w:t>
            </w:r>
          </w:p>
        </w:tc>
        <w:tc>
          <w:tcPr>
            <w:tcW w:w="1038" w:type="pct"/>
            <w:vAlign w:val="center"/>
          </w:tcPr>
          <w:p>
            <w:pPr>
              <w:jc w:val="center"/>
              <w:rPr>
                <w:color w:val="auto"/>
              </w:rPr>
            </w:pPr>
            <w:r>
              <w:rPr>
                <w:rFonts w:hint="eastAsia"/>
                <w:color w:val="auto"/>
              </w:rPr>
              <w:t>方法来源</w:t>
            </w:r>
          </w:p>
        </w:tc>
        <w:tc>
          <w:tcPr>
            <w:tcW w:w="778" w:type="pct"/>
            <w:vAlign w:val="center"/>
          </w:tcPr>
          <w:p>
            <w:pPr>
              <w:jc w:val="center"/>
              <w:rPr>
                <w:color w:val="auto"/>
              </w:rPr>
            </w:pPr>
            <w:r>
              <w:rPr>
                <w:rFonts w:hint="eastAsia"/>
                <w:color w:val="auto"/>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restart"/>
            <w:vAlign w:val="center"/>
          </w:tcPr>
          <w:p>
            <w:pPr>
              <w:jc w:val="center"/>
              <w:rPr>
                <w:rFonts w:hint="eastAsia" w:eastAsia="宋体"/>
                <w:color w:val="auto"/>
                <w:lang w:eastAsia="zh-CN"/>
              </w:rPr>
            </w:pPr>
            <w:r>
              <w:rPr>
                <w:rFonts w:hint="eastAsia"/>
                <w:color w:val="auto"/>
                <w:lang w:val="en-US" w:eastAsia="zh-CN"/>
              </w:rPr>
              <w:t>地表水</w:t>
            </w: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pH</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玻璃电极法</w:t>
            </w:r>
          </w:p>
        </w:tc>
        <w:tc>
          <w:tcPr>
            <w:tcW w:w="1038" w:type="pct"/>
            <w:vAlign w:val="center"/>
          </w:tcPr>
          <w:p>
            <w:pPr>
              <w:jc w:val="center"/>
              <w:rPr>
                <w:rFonts w:hint="default" w:eastAsia="宋体"/>
                <w:color w:val="auto"/>
                <w:lang w:val="en-US" w:eastAsia="zh-CN"/>
              </w:rPr>
            </w:pPr>
            <w:r>
              <w:rPr>
                <w:rFonts w:hint="eastAsia"/>
                <w:color w:val="auto"/>
                <w:lang w:val="en-US" w:eastAsia="zh-CN"/>
              </w:rPr>
              <w:t>GB6920-86</w:t>
            </w:r>
          </w:p>
        </w:tc>
        <w:tc>
          <w:tcPr>
            <w:tcW w:w="778" w:type="pct"/>
            <w:vAlign w:val="center"/>
          </w:tcPr>
          <w:p>
            <w:pPr>
              <w:jc w:val="center"/>
              <w:rPr>
                <w:rFonts w:hint="default" w:eastAsia="宋体"/>
                <w:color w:val="auto"/>
                <w:vertAlign w:val="superscript"/>
                <w:lang w:val="en-US" w:eastAsia="zh-CN"/>
              </w:rPr>
            </w:pPr>
            <w:r>
              <w:rPr>
                <w:rFonts w:hint="eastAsia"/>
                <w:color w:val="auto"/>
                <w:lang w:val="en-US" w:eastAsia="zh-CN"/>
              </w:rPr>
              <w:t>0.1pH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五日生化需氧量</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稀释与接种法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HJ505-2009</w:t>
            </w:r>
          </w:p>
        </w:tc>
        <w:tc>
          <w:tcPr>
            <w:tcW w:w="778" w:type="pct"/>
            <w:vAlign w:val="center"/>
          </w:tcPr>
          <w:p>
            <w:pPr>
              <w:jc w:val="center"/>
              <w:rPr>
                <w:rFonts w:hint="eastAsia" w:eastAsia="宋体"/>
                <w:color w:val="auto"/>
                <w:lang w:eastAsia="zh-CN"/>
              </w:rPr>
            </w:pPr>
            <w:r>
              <w:rPr>
                <w:rFonts w:hint="eastAsia"/>
                <w:color w:val="auto"/>
              </w:rPr>
              <w:t>0.</w:t>
            </w:r>
            <w:r>
              <w:rPr>
                <w:rFonts w:hint="eastAsia"/>
                <w:color w:val="auto"/>
                <w:lang w:val="en-US" w:eastAsia="zh-CN"/>
              </w:rPr>
              <w:t>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化学需氧量</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重铬酸盐法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HJ828-2017</w:t>
            </w:r>
          </w:p>
        </w:tc>
        <w:tc>
          <w:tcPr>
            <w:tcW w:w="778" w:type="pct"/>
            <w:vAlign w:val="center"/>
          </w:tcPr>
          <w:p>
            <w:pPr>
              <w:jc w:val="center"/>
              <w:rPr>
                <w:rFonts w:hint="eastAsia" w:eastAsia="宋体"/>
                <w:color w:val="auto"/>
                <w:lang w:val="en-US" w:eastAsia="zh-CN"/>
              </w:rPr>
            </w:pPr>
            <w:r>
              <w:rPr>
                <w:rFonts w:hint="eastAsia"/>
                <w:color w:val="auto"/>
                <w:lang w:val="en-US" w:eastAsia="zh-CN"/>
              </w:rPr>
              <w:t>4</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氨氮</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纳氏试剂分光光度法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HJ535-2009</w:t>
            </w:r>
          </w:p>
        </w:tc>
        <w:tc>
          <w:tcPr>
            <w:tcW w:w="778" w:type="pct"/>
            <w:vAlign w:val="center"/>
          </w:tcPr>
          <w:p>
            <w:pPr>
              <w:jc w:val="center"/>
              <w:rPr>
                <w:rFonts w:hint="eastAsia"/>
                <w:color w:val="auto"/>
              </w:rPr>
            </w:pPr>
            <w:r>
              <w:rPr>
                <w:rFonts w:hint="eastAsia"/>
                <w:color w:val="auto"/>
                <w:lang w:val="en-US" w:eastAsia="zh-CN"/>
              </w:rPr>
              <w:t>0.025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硫化物</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亚甲基蓝分光光度法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GB/T16489-1996</w:t>
            </w:r>
          </w:p>
        </w:tc>
        <w:tc>
          <w:tcPr>
            <w:tcW w:w="778" w:type="pct"/>
            <w:vAlign w:val="center"/>
          </w:tcPr>
          <w:p>
            <w:pPr>
              <w:jc w:val="center"/>
              <w:rPr>
                <w:rFonts w:hint="eastAsia"/>
                <w:color w:val="auto"/>
              </w:rPr>
            </w:pPr>
            <w:r>
              <w:rPr>
                <w:rFonts w:hint="eastAsia"/>
                <w:color w:val="auto"/>
                <w:lang w:val="en-US" w:eastAsia="zh-CN"/>
              </w:rPr>
              <w:t>0.005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石油类</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红外分光光度法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HJ637-2018</w:t>
            </w:r>
          </w:p>
        </w:tc>
        <w:tc>
          <w:tcPr>
            <w:tcW w:w="778" w:type="pct"/>
            <w:vAlign w:val="center"/>
          </w:tcPr>
          <w:p>
            <w:pPr>
              <w:jc w:val="center"/>
              <w:rPr>
                <w:rFonts w:hint="eastAsia"/>
                <w:color w:val="auto"/>
              </w:rPr>
            </w:pPr>
            <w:r>
              <w:rPr>
                <w:rFonts w:hint="eastAsia"/>
                <w:color w:val="auto"/>
                <w:lang w:val="en-US" w:eastAsia="zh-CN"/>
              </w:rPr>
              <w:t>0.06</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动植物油</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红外分光光度法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HJ637-2018</w:t>
            </w:r>
          </w:p>
        </w:tc>
        <w:tc>
          <w:tcPr>
            <w:tcW w:w="778" w:type="pct"/>
            <w:vAlign w:val="center"/>
          </w:tcPr>
          <w:p>
            <w:pPr>
              <w:jc w:val="center"/>
              <w:rPr>
                <w:rFonts w:hint="eastAsia"/>
                <w:color w:val="auto"/>
              </w:rPr>
            </w:pPr>
            <w:r>
              <w:rPr>
                <w:rFonts w:hint="eastAsia"/>
                <w:color w:val="auto"/>
                <w:lang w:val="en-US" w:eastAsia="zh-CN"/>
              </w:rPr>
              <w:t>0.06</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总砷</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原子荧光法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HJ694-2014</w:t>
            </w:r>
          </w:p>
        </w:tc>
        <w:tc>
          <w:tcPr>
            <w:tcW w:w="778" w:type="pct"/>
            <w:vAlign w:val="center"/>
          </w:tcPr>
          <w:p>
            <w:pPr>
              <w:jc w:val="center"/>
              <w:rPr>
                <w:rFonts w:hint="default" w:eastAsia="宋体"/>
                <w:color w:val="auto"/>
                <w:lang w:val="en-US" w:eastAsia="zh-CN"/>
              </w:rPr>
            </w:pPr>
            <w:r>
              <w:rPr>
                <w:rFonts w:hint="eastAsia"/>
                <w:color w:val="auto"/>
                <w:lang w:val="en-US" w:eastAsia="zh-CN"/>
              </w:rPr>
              <w:t>0.3</w:t>
            </w:r>
            <w:r>
              <w:rPr>
                <w:rFonts w:hint="default" w:ascii="Times New Roman" w:hAnsi="Times New Roman" w:cs="Times New Roman"/>
                <w:color w:val="auto"/>
                <w:lang w:val="en-US" w:eastAsia="zh-CN"/>
              </w:rPr>
              <w:t>μ</w:t>
            </w:r>
            <w:r>
              <w:rPr>
                <w:rFonts w:hint="eastAsia" w:ascii="Times New Roman" w:hAnsi="Times New Roman" w:cs="Times New Roman"/>
                <w:color w:val="auto"/>
                <w:lang w:val="en-US" w:eastAsia="zh-CN"/>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总汞</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亚甲基蓝分光光度法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GB7494-87</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铅</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原子吸收分光光度法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GB7475-87</w:t>
            </w:r>
          </w:p>
        </w:tc>
        <w:tc>
          <w:tcPr>
            <w:tcW w:w="778" w:type="pct"/>
            <w:vAlign w:val="center"/>
          </w:tcPr>
          <w:p>
            <w:pPr>
              <w:jc w:val="center"/>
              <w:rPr>
                <w:rFonts w:hint="default" w:eastAsia="宋体"/>
                <w:color w:val="auto"/>
                <w:lang w:val="en-US" w:eastAsia="zh-CN"/>
              </w:rPr>
            </w:pPr>
            <w:r>
              <w:rPr>
                <w:rFonts w:hint="eastAsia"/>
                <w:color w:val="auto"/>
                <w:lang w:val="en-US" w:eastAsia="zh-CN"/>
              </w:rPr>
              <w:t>0.2</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总铁</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火焰原子吸收分光光度法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GB11911-89</w:t>
            </w:r>
          </w:p>
        </w:tc>
        <w:tc>
          <w:tcPr>
            <w:tcW w:w="778" w:type="pct"/>
            <w:vAlign w:val="center"/>
          </w:tcPr>
          <w:p>
            <w:pPr>
              <w:jc w:val="center"/>
              <w:rPr>
                <w:rFonts w:hint="default" w:eastAsia="宋体"/>
                <w:color w:val="auto"/>
                <w:lang w:val="en-US" w:eastAsia="zh-CN"/>
              </w:rPr>
            </w:pPr>
            <w:r>
              <w:rPr>
                <w:rFonts w:hint="eastAsia"/>
                <w:color w:val="auto"/>
                <w:lang w:val="en-US" w:eastAsia="zh-CN"/>
              </w:rPr>
              <w:t>0.03</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总锰</w:t>
            </w:r>
          </w:p>
        </w:tc>
        <w:tc>
          <w:tcPr>
            <w:tcW w:w="2605" w:type="dxa"/>
            <w:vAlign w:val="center"/>
          </w:tcPr>
          <w:p>
            <w:pPr>
              <w:jc w:val="center"/>
              <w:rPr>
                <w:rFonts w:hint="default" w:eastAsia="宋体"/>
                <w:color w:val="auto"/>
                <w:lang w:val="en-US" w:eastAsia="zh-CN"/>
              </w:rPr>
            </w:pPr>
            <w:r>
              <w:rPr>
                <w:rFonts w:hint="eastAsia" w:eastAsia="宋体"/>
                <w:color w:val="auto"/>
                <w:lang w:val="en-US" w:eastAsia="zh-CN"/>
              </w:rPr>
              <w:t>火焰原子吸收分光光度法</w:t>
            </w:r>
          </w:p>
        </w:tc>
        <w:tc>
          <w:tcPr>
            <w:tcW w:w="1757" w:type="dxa"/>
            <w:vAlign w:val="center"/>
          </w:tcPr>
          <w:p>
            <w:pPr>
              <w:jc w:val="center"/>
              <w:rPr>
                <w:rFonts w:hint="default" w:eastAsia="宋体"/>
                <w:color w:val="auto"/>
                <w:lang w:val="en-US" w:eastAsia="zh-CN"/>
              </w:rPr>
            </w:pPr>
            <w:r>
              <w:rPr>
                <w:rFonts w:hint="eastAsia" w:eastAsia="宋体"/>
                <w:color w:val="auto"/>
                <w:lang w:val="en-US" w:eastAsia="zh-CN"/>
              </w:rPr>
              <w:t>GB11911-89</w:t>
            </w:r>
          </w:p>
        </w:tc>
        <w:tc>
          <w:tcPr>
            <w:tcW w:w="778" w:type="pct"/>
            <w:vAlign w:val="center"/>
          </w:tcPr>
          <w:p>
            <w:pPr>
              <w:jc w:val="center"/>
              <w:rPr>
                <w:rFonts w:hint="default" w:eastAsia="宋体"/>
                <w:color w:val="auto"/>
                <w:lang w:val="en-US" w:eastAsia="zh-CN"/>
              </w:rPr>
            </w:pPr>
            <w:r>
              <w:rPr>
                <w:rFonts w:hint="eastAsia"/>
                <w:color w:val="auto"/>
                <w:lang w:val="en-US" w:eastAsia="zh-CN"/>
              </w:rPr>
              <w:t>0.01</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铜</w:t>
            </w:r>
          </w:p>
        </w:tc>
        <w:tc>
          <w:tcPr>
            <w:tcW w:w="2605" w:type="dxa"/>
            <w:vAlign w:val="center"/>
          </w:tcPr>
          <w:p>
            <w:pPr>
              <w:jc w:val="center"/>
              <w:rPr>
                <w:rFonts w:hint="default" w:eastAsia="宋体"/>
                <w:color w:val="auto"/>
                <w:lang w:val="en-US" w:eastAsia="zh-CN"/>
              </w:rPr>
            </w:pPr>
            <w:r>
              <w:rPr>
                <w:rFonts w:hint="eastAsia" w:eastAsia="宋体"/>
                <w:color w:val="auto"/>
                <w:lang w:val="en-US" w:eastAsia="zh-CN"/>
              </w:rPr>
              <w:t>原子吸收分光光度法</w:t>
            </w:r>
          </w:p>
        </w:tc>
        <w:tc>
          <w:tcPr>
            <w:tcW w:w="1757" w:type="dxa"/>
            <w:vAlign w:val="center"/>
          </w:tcPr>
          <w:p>
            <w:pPr>
              <w:jc w:val="center"/>
              <w:rPr>
                <w:rFonts w:hint="default" w:eastAsia="宋体"/>
                <w:color w:val="auto"/>
                <w:lang w:val="en-US" w:eastAsia="zh-CN"/>
              </w:rPr>
            </w:pPr>
            <w:r>
              <w:rPr>
                <w:rFonts w:hint="eastAsia" w:eastAsia="宋体"/>
                <w:color w:val="auto"/>
                <w:lang w:val="en-US" w:eastAsia="zh-CN"/>
              </w:rPr>
              <w:t>GB7475-87</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锌</w:t>
            </w:r>
          </w:p>
        </w:tc>
        <w:tc>
          <w:tcPr>
            <w:tcW w:w="2605" w:type="dxa"/>
            <w:vAlign w:val="center"/>
          </w:tcPr>
          <w:p>
            <w:pPr>
              <w:jc w:val="center"/>
              <w:rPr>
                <w:rFonts w:hint="default" w:eastAsia="宋体"/>
                <w:color w:val="auto"/>
                <w:lang w:val="en-US" w:eastAsia="zh-CN"/>
              </w:rPr>
            </w:pPr>
            <w:r>
              <w:rPr>
                <w:rFonts w:hint="eastAsia" w:eastAsia="宋体"/>
                <w:color w:val="auto"/>
                <w:lang w:val="en-US" w:eastAsia="zh-CN"/>
              </w:rPr>
              <w:t>原子吸收分光光度法</w:t>
            </w:r>
          </w:p>
        </w:tc>
        <w:tc>
          <w:tcPr>
            <w:tcW w:w="1757" w:type="dxa"/>
            <w:vAlign w:val="center"/>
          </w:tcPr>
          <w:p>
            <w:pPr>
              <w:jc w:val="center"/>
              <w:rPr>
                <w:rFonts w:hint="default" w:eastAsia="宋体"/>
                <w:color w:val="auto"/>
                <w:lang w:val="en-US" w:eastAsia="zh-CN"/>
              </w:rPr>
            </w:pPr>
            <w:r>
              <w:rPr>
                <w:rFonts w:hint="eastAsia" w:eastAsia="宋体"/>
                <w:color w:val="auto"/>
                <w:lang w:val="en-US" w:eastAsia="zh-CN"/>
              </w:rPr>
              <w:t>GB7475-87</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六价铬</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二苯碳酰二肼分光光度法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GB7467-89</w:t>
            </w:r>
          </w:p>
        </w:tc>
        <w:tc>
          <w:tcPr>
            <w:tcW w:w="778" w:type="pct"/>
            <w:vAlign w:val="center"/>
          </w:tcPr>
          <w:p>
            <w:pPr>
              <w:jc w:val="center"/>
              <w:rPr>
                <w:rFonts w:hint="default" w:eastAsia="宋体"/>
                <w:color w:val="auto"/>
                <w:lang w:val="en-US" w:eastAsia="zh-CN"/>
              </w:rPr>
            </w:pPr>
            <w:r>
              <w:rPr>
                <w:rFonts w:hint="eastAsia"/>
                <w:color w:val="auto"/>
                <w:lang w:val="en-US" w:eastAsia="zh-CN"/>
              </w:rPr>
              <w:t>0.004</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总磷</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钼酸铵分光光度法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GB11893-89</w:t>
            </w:r>
          </w:p>
        </w:tc>
        <w:tc>
          <w:tcPr>
            <w:tcW w:w="778" w:type="pct"/>
            <w:vAlign w:val="center"/>
          </w:tcPr>
          <w:p>
            <w:pPr>
              <w:jc w:val="center"/>
              <w:rPr>
                <w:rFonts w:hint="default" w:eastAsia="宋体"/>
                <w:color w:val="auto"/>
                <w:lang w:val="en-US" w:eastAsia="zh-CN"/>
              </w:rPr>
            </w:pPr>
            <w:r>
              <w:rPr>
                <w:rFonts w:hint="eastAsia"/>
                <w:color w:val="auto"/>
                <w:lang w:val="en-US" w:eastAsia="zh-CN"/>
              </w:rPr>
              <w:t>0.01</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总氮</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酸洗过硫酸钾消解紫外分光光度法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HJ636-2012</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阴离子表面活性剂</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亚甲蓝分光光度法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GB7494-87</w:t>
            </w:r>
          </w:p>
        </w:tc>
        <w:tc>
          <w:tcPr>
            <w:tcW w:w="778" w:type="pct"/>
            <w:vAlign w:val="center"/>
          </w:tcPr>
          <w:p>
            <w:pPr>
              <w:jc w:val="center"/>
              <w:rPr>
                <w:rFonts w:hint="default" w:eastAsia="宋体"/>
                <w:color w:val="auto"/>
                <w:lang w:val="en-US" w:eastAsia="zh-CN"/>
              </w:rPr>
            </w:pPr>
            <w:r>
              <w:rPr>
                <w:rFonts w:hint="eastAsia"/>
                <w:color w:val="auto"/>
                <w:lang w:val="en-US" w:eastAsia="zh-CN"/>
              </w:rPr>
              <w:t>0.05</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挥发酚</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4-氨基安替比林分光光度法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HJ503-2009</w:t>
            </w:r>
          </w:p>
        </w:tc>
        <w:tc>
          <w:tcPr>
            <w:tcW w:w="778" w:type="pct"/>
            <w:vAlign w:val="center"/>
          </w:tcPr>
          <w:p>
            <w:pPr>
              <w:jc w:val="center"/>
              <w:rPr>
                <w:rFonts w:hint="default" w:eastAsia="宋体"/>
                <w:color w:val="auto"/>
                <w:lang w:val="en-US" w:eastAsia="zh-CN"/>
              </w:rPr>
            </w:pPr>
            <w:r>
              <w:rPr>
                <w:rFonts w:hint="eastAsia"/>
                <w:color w:val="auto"/>
                <w:lang w:val="en-US" w:eastAsia="zh-CN"/>
              </w:rPr>
              <w:t>0.0003</w:t>
            </w:r>
            <w:r>
              <w:rPr>
                <w:rFonts w:hint="eastAsia"/>
                <w:color w:val="auto"/>
              </w:rPr>
              <w:t>mg/</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3" w:type="pct"/>
            <w:vMerge w:val="continue"/>
            <w:vAlign w:val="center"/>
          </w:tcPr>
          <w:p>
            <w:pPr>
              <w:jc w:val="center"/>
              <w:rPr>
                <w:rFonts w:hint="eastAsia"/>
                <w:color w:val="auto"/>
              </w:rPr>
            </w:pPr>
          </w:p>
        </w:tc>
        <w:tc>
          <w:tcPr>
            <w:tcW w:w="1228" w:type="pct"/>
            <w:vAlign w:val="center"/>
          </w:tcPr>
          <w:p>
            <w:pPr>
              <w:jc w:val="center"/>
              <w:rPr>
                <w:rFonts w:hint="default" w:eastAsia="宋体"/>
                <w:color w:val="auto"/>
                <w:lang w:val="en-US" w:eastAsia="zh-CN"/>
              </w:rPr>
            </w:pPr>
            <w:r>
              <w:rPr>
                <w:rFonts w:hint="eastAsia" w:eastAsia="宋体"/>
                <w:color w:val="auto"/>
                <w:lang w:val="en-US" w:eastAsia="zh-CN"/>
              </w:rPr>
              <w:t>粪大肠菌群</w:t>
            </w:r>
          </w:p>
        </w:tc>
        <w:tc>
          <w:tcPr>
            <w:tcW w:w="1539" w:type="pct"/>
            <w:vAlign w:val="center"/>
          </w:tcPr>
          <w:p>
            <w:pPr>
              <w:jc w:val="center"/>
              <w:rPr>
                <w:rFonts w:hint="default" w:eastAsia="宋体"/>
                <w:color w:val="auto"/>
                <w:lang w:val="en-US" w:eastAsia="zh-CN"/>
              </w:rPr>
            </w:pPr>
            <w:r>
              <w:rPr>
                <w:rFonts w:hint="eastAsia" w:eastAsia="宋体"/>
                <w:color w:val="auto"/>
                <w:lang w:val="en-US" w:eastAsia="zh-CN"/>
              </w:rPr>
              <w:t>多管发酵法</w:t>
            </w:r>
          </w:p>
        </w:tc>
        <w:tc>
          <w:tcPr>
            <w:tcW w:w="1038" w:type="pct"/>
            <w:vAlign w:val="center"/>
          </w:tcPr>
          <w:p>
            <w:pPr>
              <w:jc w:val="center"/>
              <w:rPr>
                <w:rFonts w:hint="default" w:eastAsia="宋体"/>
                <w:color w:val="auto"/>
                <w:lang w:val="en-US" w:eastAsia="zh-CN"/>
              </w:rPr>
            </w:pPr>
            <w:r>
              <w:rPr>
                <w:rFonts w:hint="eastAsia" w:eastAsia="宋体"/>
                <w:color w:val="auto"/>
                <w:lang w:val="en-US" w:eastAsia="zh-CN"/>
              </w:rPr>
              <w:t>HJ347.2-2018</w:t>
            </w:r>
          </w:p>
        </w:tc>
        <w:tc>
          <w:tcPr>
            <w:tcW w:w="778" w:type="pct"/>
            <w:vAlign w:val="center"/>
          </w:tcPr>
          <w:p>
            <w:pPr>
              <w:jc w:val="center"/>
              <w:rPr>
                <w:rFonts w:hint="default" w:eastAsia="宋体"/>
                <w:color w:val="auto"/>
                <w:lang w:val="en-US" w:eastAsia="zh-CN"/>
              </w:rPr>
            </w:pPr>
            <w:r>
              <w:rPr>
                <w:rFonts w:hint="eastAsia"/>
                <w:color w:val="auto"/>
                <w:lang w:val="en-US" w:eastAsia="zh-CN"/>
              </w:rPr>
              <w:t>20MPN/L</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2.2.</w:t>
      </w:r>
      <w:r>
        <w:rPr>
          <w:rFonts w:hint="eastAsia"/>
          <w:b/>
          <w:bCs/>
          <w:color w:val="auto"/>
          <w:sz w:val="24"/>
          <w:szCs w:val="24"/>
          <w:lang w:val="en-US" w:eastAsia="zh-CN"/>
        </w:rPr>
        <w:t>4</w:t>
      </w:r>
      <w:r>
        <w:rPr>
          <w:rFonts w:hint="default" w:ascii="Times New Roman" w:hAnsi="Times New Roman"/>
          <w:b/>
          <w:bCs/>
          <w:color w:val="auto"/>
          <w:sz w:val="24"/>
          <w:szCs w:val="24"/>
        </w:rPr>
        <w:t>监测结果</w:t>
      </w:r>
    </w:p>
    <w:p>
      <w:pPr>
        <w:spacing w:line="460" w:lineRule="exact"/>
        <w:ind w:firstLine="480" w:firstLineChars="200"/>
        <w:rPr>
          <w:rFonts w:ascii="Times New Roman" w:hAnsi="Times New Roman"/>
          <w:color w:val="auto"/>
          <w:sz w:val="24"/>
          <w:szCs w:val="24"/>
        </w:rPr>
      </w:pPr>
      <w:r>
        <w:rPr>
          <w:rFonts w:ascii="Times New Roman" w:hAnsi="Times New Roman"/>
          <w:color w:val="auto"/>
          <w:sz w:val="24"/>
          <w:szCs w:val="24"/>
        </w:rPr>
        <w:t>地表水现状监测结果</w:t>
      </w:r>
      <w:r>
        <w:rPr>
          <w:rFonts w:hint="eastAsia"/>
          <w:color w:val="auto"/>
          <w:sz w:val="24"/>
          <w:szCs w:val="24"/>
          <w:lang w:val="en-US" w:eastAsia="zh-CN"/>
        </w:rPr>
        <w:t>见下表</w:t>
      </w:r>
      <w:r>
        <w:rPr>
          <w:rFonts w:ascii="Times New Roman" w:hAnsi="Times New Roman"/>
          <w:color w:val="auto"/>
          <w:sz w:val="24"/>
          <w:szCs w:val="24"/>
        </w:rPr>
        <w:t>。</w:t>
      </w:r>
    </w:p>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w:t>
      </w:r>
      <w:r>
        <w:rPr>
          <w:rFonts w:hint="eastAsia" w:ascii="黑体" w:hAnsi="黑体" w:eastAsia="黑体"/>
          <w:bCs/>
          <w:color w:val="auto"/>
          <w:sz w:val="24"/>
          <w:szCs w:val="32"/>
          <w:lang w:val="en-US" w:eastAsia="zh-CN"/>
        </w:rPr>
        <w:t>2.2-5</w:t>
      </w:r>
      <w:r>
        <w:rPr>
          <w:rFonts w:hint="eastAsia" w:ascii="黑体" w:hAnsi="黑体" w:eastAsia="黑体"/>
          <w:bCs/>
          <w:color w:val="auto"/>
          <w:sz w:val="24"/>
          <w:szCs w:val="32"/>
        </w:rPr>
        <w:t xml:space="preserve">  </w:t>
      </w:r>
      <w:r>
        <w:rPr>
          <w:rFonts w:hint="eastAsia" w:ascii="黑体" w:hAnsi="黑体" w:eastAsia="黑体"/>
          <w:bCs/>
          <w:color w:val="auto"/>
          <w:sz w:val="24"/>
          <w:szCs w:val="32"/>
          <w:lang w:val="en-US" w:eastAsia="zh-CN"/>
        </w:rPr>
        <w:t>污水处理厂排口入滹沱河上游500m监测断面监测结果</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7"/>
        <w:gridCol w:w="1548"/>
        <w:gridCol w:w="1550"/>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监测项目</w:t>
            </w:r>
          </w:p>
        </w:tc>
        <w:tc>
          <w:tcPr>
            <w:tcW w:w="2500" w:type="pct"/>
            <w:gridSpan w:val="3"/>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监测结果</w:t>
            </w:r>
          </w:p>
        </w:tc>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标准值</w:t>
            </w:r>
          </w:p>
        </w:tc>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水质情况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2022.12.16</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2022.12.17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2022.12.18</w:t>
            </w:r>
          </w:p>
        </w:tc>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pH值</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7.30</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7.27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7.24</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6-9</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化学需氧量</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18</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16</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15</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五日生化需氧量</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3.7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3.5</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3.4</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氨氮</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0.542</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0.528</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0.557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总磷</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0.128</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0.117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0.109</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总氮</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0.851</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0.888</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0.864</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铜</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锌</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铁</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0.3</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锰</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砷</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汞</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六价铬</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铅</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挥发酚</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石油类</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动植物油</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阴离子表面活性剂</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硫化物</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粪大肠菌群</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4.3×10</w:t>
            </w:r>
            <w:r>
              <w:rPr>
                <w:rFonts w:hint="default"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4.5×10</w:t>
            </w:r>
            <w:r>
              <w:rPr>
                <w:rFonts w:hint="default"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3.9×10</w:t>
            </w:r>
            <w:r>
              <w:rPr>
                <w:rFonts w:hint="default"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10000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bl>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w:t>
      </w:r>
      <w:r>
        <w:rPr>
          <w:rFonts w:hint="eastAsia" w:ascii="黑体" w:hAnsi="黑体" w:eastAsia="黑体"/>
          <w:bCs/>
          <w:color w:val="auto"/>
          <w:sz w:val="24"/>
          <w:szCs w:val="32"/>
          <w:lang w:val="en-US" w:eastAsia="zh-CN"/>
        </w:rPr>
        <w:t>2.2-6</w:t>
      </w:r>
      <w:r>
        <w:rPr>
          <w:rFonts w:hint="eastAsia" w:ascii="黑体" w:hAnsi="黑体" w:eastAsia="黑体"/>
          <w:bCs/>
          <w:color w:val="auto"/>
          <w:sz w:val="24"/>
          <w:szCs w:val="32"/>
        </w:rPr>
        <w:t xml:space="preserve">  </w:t>
      </w:r>
      <w:r>
        <w:rPr>
          <w:rFonts w:hint="eastAsia" w:ascii="黑体" w:hAnsi="黑体" w:eastAsia="黑体"/>
          <w:bCs/>
          <w:color w:val="auto"/>
          <w:sz w:val="24"/>
          <w:szCs w:val="32"/>
          <w:lang w:val="en-US" w:eastAsia="zh-CN"/>
        </w:rPr>
        <w:t>污水处理厂排口入滹沱河下游500m监测断面监测结果</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7"/>
        <w:gridCol w:w="1548"/>
        <w:gridCol w:w="1550"/>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监测项目</w:t>
            </w:r>
          </w:p>
        </w:tc>
        <w:tc>
          <w:tcPr>
            <w:tcW w:w="2500" w:type="pct"/>
            <w:gridSpan w:val="3"/>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监测结果</w:t>
            </w:r>
          </w:p>
        </w:tc>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标准值</w:t>
            </w:r>
          </w:p>
        </w:tc>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2022.12.16</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2022.12.18</w:t>
            </w:r>
          </w:p>
        </w:tc>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pH值</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7.23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7.17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7.21</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6-9</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化学需氧量</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15</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15</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五日生化需氧量</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3.6</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氨氮</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0.524</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0.511</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0.537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总磷</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0.111</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0.105</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0.100</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总氮</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0.832</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0.846</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0.821</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铜</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锌</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铁</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0.3</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锰</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砷</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汞</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六价铬</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铅</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挥发酚</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石油类</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动植物油</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阴离子表面活性剂</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硫化物</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粪大肠菌群</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3.5×10</w:t>
            </w:r>
            <w:r>
              <w:rPr>
                <w:rFonts w:hint="eastAsia"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3.6×10</w:t>
            </w:r>
            <w:r>
              <w:rPr>
                <w:rFonts w:hint="eastAsia"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3.8×10</w:t>
            </w:r>
            <w:r>
              <w:rPr>
                <w:rFonts w:hint="eastAsia"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10000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bl>
    <w:p>
      <w:pPr>
        <w:spacing w:line="480" w:lineRule="exact"/>
        <w:jc w:val="center"/>
        <w:rPr>
          <w:rFonts w:ascii="黑体" w:hAnsi="黑体" w:eastAsia="黑体"/>
          <w:bCs/>
          <w:color w:val="auto"/>
          <w:sz w:val="24"/>
          <w:szCs w:val="32"/>
        </w:rPr>
      </w:pPr>
      <w:r>
        <w:rPr>
          <w:rFonts w:hint="eastAsia" w:ascii="黑体" w:hAnsi="黑体" w:eastAsia="黑体"/>
          <w:bCs/>
          <w:color w:val="auto"/>
          <w:sz w:val="24"/>
          <w:szCs w:val="32"/>
        </w:rPr>
        <w:t>表</w:t>
      </w:r>
      <w:r>
        <w:rPr>
          <w:rFonts w:hint="eastAsia" w:ascii="黑体" w:hAnsi="黑体" w:eastAsia="黑体"/>
          <w:bCs/>
          <w:color w:val="auto"/>
          <w:sz w:val="24"/>
          <w:szCs w:val="32"/>
          <w:lang w:val="en-US" w:eastAsia="zh-CN"/>
        </w:rPr>
        <w:t>2.2-7</w:t>
      </w:r>
      <w:r>
        <w:rPr>
          <w:rFonts w:hint="eastAsia" w:ascii="黑体" w:hAnsi="黑体" w:eastAsia="黑体"/>
          <w:bCs/>
          <w:color w:val="auto"/>
          <w:sz w:val="24"/>
          <w:szCs w:val="32"/>
        </w:rPr>
        <w:t xml:space="preserve">  </w:t>
      </w:r>
      <w:r>
        <w:rPr>
          <w:rFonts w:hint="eastAsia" w:ascii="黑体" w:hAnsi="黑体" w:eastAsia="黑体"/>
          <w:bCs/>
          <w:color w:val="auto"/>
          <w:sz w:val="24"/>
          <w:szCs w:val="32"/>
          <w:lang w:val="en-US" w:eastAsia="zh-CN"/>
        </w:rPr>
        <w:t>污水处理厂排口入滹沱河下游1500m监测断面监测结果</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7"/>
        <w:gridCol w:w="1548"/>
        <w:gridCol w:w="1550"/>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监测项目</w:t>
            </w:r>
          </w:p>
        </w:tc>
        <w:tc>
          <w:tcPr>
            <w:tcW w:w="2500" w:type="pct"/>
            <w:gridSpan w:val="3"/>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监测结果</w:t>
            </w:r>
          </w:p>
        </w:tc>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标准值</w:t>
            </w:r>
          </w:p>
        </w:tc>
        <w:tc>
          <w:tcPr>
            <w:tcW w:w="833" w:type="pct"/>
            <w:vMerge w:val="restar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2022.12.16</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2022.12.18</w:t>
            </w:r>
          </w:p>
        </w:tc>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c>
          <w:tcPr>
            <w:tcW w:w="833" w:type="pct"/>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pH值</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7.38</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7.42</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7.34</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6-9</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化学需氧量</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15</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14</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13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20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五日生化需氧量</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3.4</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3.2</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3.0</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4</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氨氮</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0.425</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0.418</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0.409</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总磷</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0.086</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0.103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0.097</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总氮</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0.796</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0.811</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0.802</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铜</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锌</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铁</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0.3</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锰</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砷</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汞</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六价铬</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铅</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0.01</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挥发酚</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石油类</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动植物油</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阴离子表面活性剂</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0.2</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硫化物</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ND</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0.05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rPr>
              <w:t>Ⅰ</w:t>
            </w:r>
            <w:r>
              <w:rPr>
                <w:rFonts w:hint="default" w:ascii="Times New Roman" w:hAnsi="Times New Roman" w:eastAsia="宋体" w:cs="Times New Roman"/>
                <w:color w:val="auto"/>
                <w:sz w:val="21"/>
                <w:szCs w:val="18"/>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粪大肠菌群</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3.2×10</w:t>
            </w:r>
            <w:r>
              <w:rPr>
                <w:rFonts w:hint="eastAsia"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lang w:val="en-US" w:eastAsia="zh-CN"/>
              </w:rPr>
            </w:pPr>
            <w:r>
              <w:rPr>
                <w:rFonts w:hint="eastAsia" w:ascii="Times New Roman" w:hAnsi="Times New Roman" w:eastAsia="宋体" w:cs="Times New Roman"/>
                <w:color w:val="auto"/>
                <w:sz w:val="21"/>
                <w:szCs w:val="18"/>
                <w:vertAlign w:val="baseline"/>
                <w:lang w:val="en-US" w:eastAsia="zh-CN"/>
              </w:rPr>
              <w:t>3.1×10</w:t>
            </w:r>
            <w:r>
              <w:rPr>
                <w:rFonts w:hint="eastAsia"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18"/>
                <w:vertAlign w:val="baseline"/>
              </w:rPr>
            </w:pPr>
            <w:r>
              <w:rPr>
                <w:rFonts w:hint="eastAsia" w:ascii="Times New Roman" w:hAnsi="Times New Roman" w:eastAsia="宋体" w:cs="Times New Roman"/>
                <w:color w:val="auto"/>
                <w:sz w:val="21"/>
                <w:szCs w:val="18"/>
                <w:vertAlign w:val="baseline"/>
                <w:lang w:val="en-US" w:eastAsia="zh-CN"/>
              </w:rPr>
              <w:t>3.2×10</w:t>
            </w:r>
            <w:r>
              <w:rPr>
                <w:rFonts w:hint="eastAsia" w:ascii="Times New Roman" w:hAnsi="Times New Roman" w:eastAsia="宋体" w:cs="Times New Roman"/>
                <w:color w:val="auto"/>
                <w:sz w:val="21"/>
                <w:szCs w:val="18"/>
                <w:vertAlign w:val="superscript"/>
                <w:lang w:val="en-US" w:eastAsia="zh-CN"/>
              </w:rPr>
              <w:t>3</w:t>
            </w:r>
          </w:p>
        </w:tc>
        <w:tc>
          <w:tcPr>
            <w:tcW w:w="833" w:type="pct"/>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lang w:val="en-US" w:eastAsia="zh-CN"/>
              </w:rPr>
            </w:pPr>
            <w:r>
              <w:rPr>
                <w:rFonts w:hint="default" w:ascii="Times New Roman" w:hAnsi="Times New Roman" w:eastAsia="宋体" w:cs="Times New Roman"/>
                <w:color w:val="auto"/>
                <w:sz w:val="21"/>
                <w:szCs w:val="18"/>
                <w:vertAlign w:val="baseline"/>
                <w:lang w:val="en-US" w:eastAsia="zh-CN"/>
              </w:rPr>
              <w:t>10000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18"/>
                <w:vertAlign w:val="baseline"/>
              </w:rPr>
            </w:pPr>
            <w:r>
              <w:rPr>
                <w:rFonts w:hint="default" w:ascii="Times New Roman" w:hAnsi="Times New Roman" w:eastAsia="宋体" w:cs="Times New Roman"/>
                <w:color w:val="auto"/>
                <w:sz w:val="21"/>
                <w:szCs w:val="18"/>
                <w:vertAlign w:val="baseline"/>
                <w:lang w:val="en-US" w:eastAsia="zh-CN"/>
              </w:rPr>
              <w:t>Ⅲ类</w:t>
            </w:r>
          </w:p>
        </w:tc>
      </w:tr>
    </w:tbl>
    <w:p>
      <w:pPr>
        <w:spacing w:line="460" w:lineRule="exact"/>
        <w:ind w:firstLine="480" w:firstLineChars="200"/>
        <w:rPr>
          <w:rFonts w:hint="default" w:ascii="Times New Roman" w:hAnsi="Times New Roman"/>
          <w:color w:val="auto"/>
          <w:lang w:val="en-US"/>
        </w:rPr>
      </w:pPr>
      <w:r>
        <w:rPr>
          <w:rFonts w:hint="eastAsia"/>
          <w:color w:val="auto"/>
          <w:sz w:val="24"/>
          <w:szCs w:val="32"/>
        </w:rPr>
        <w:t>由上表可知，监测期间，</w:t>
      </w:r>
      <w:r>
        <w:rPr>
          <w:rFonts w:hint="eastAsia"/>
          <w:color w:val="auto"/>
          <w:sz w:val="24"/>
          <w:szCs w:val="32"/>
          <w:lang w:val="en-US" w:eastAsia="zh-CN"/>
        </w:rPr>
        <w:t>滹沱河3个监测断面</w:t>
      </w:r>
      <w:r>
        <w:rPr>
          <w:rFonts w:hint="eastAsia"/>
          <w:color w:val="auto"/>
          <w:sz w:val="24"/>
          <w:szCs w:val="32"/>
        </w:rPr>
        <w:t>中</w:t>
      </w:r>
      <w:r>
        <w:rPr>
          <w:rFonts w:hint="eastAsia"/>
          <w:color w:val="auto"/>
          <w:sz w:val="24"/>
          <w:szCs w:val="32"/>
          <w:lang w:val="en-US" w:eastAsia="zh-CN"/>
        </w:rPr>
        <w:t>各监测项目中，部分满足《地表水环境质量标准》（GB3838-2002）中的Ⅲ类水质标准，部分满足《地表水环境质量标准》（GB3838-2002）中的Ⅰ类水质标准；超标原因可能为滹沱河</w:t>
      </w:r>
      <w:r>
        <w:rPr>
          <w:color w:val="auto"/>
          <w:spacing w:val="4"/>
          <w:sz w:val="24"/>
          <w:szCs w:val="24"/>
        </w:rPr>
        <w:t>接纳了沿线的居民生活污水</w:t>
      </w:r>
      <w:r>
        <w:rPr>
          <w:color w:val="auto"/>
          <w:sz w:val="24"/>
          <w:szCs w:val="24"/>
        </w:rPr>
        <w:t>。</w:t>
      </w:r>
    </w:p>
    <w:p>
      <w:pPr>
        <w:pStyle w:val="5"/>
        <w:keepNext/>
        <w:keepLines/>
        <w:pageBreakBefore w:val="0"/>
        <w:widowControl w:val="0"/>
        <w:kinsoku/>
        <w:wordWrap/>
        <w:overflowPunct/>
        <w:topLinePunct w:val="0"/>
        <w:autoSpaceDE/>
        <w:autoSpaceDN/>
        <w:bidi w:val="0"/>
        <w:adjustRightInd/>
        <w:snapToGrid/>
        <w:spacing w:before="0" w:after="0" w:line="560" w:lineRule="exact"/>
        <w:ind w:left="431" w:hanging="431"/>
        <w:jc w:val="both"/>
        <w:textAlignment w:val="auto"/>
        <w:outlineLvl w:val="0"/>
        <w:rPr>
          <w:rFonts w:ascii="Times New Roman" w:hAnsi="Times New Roman" w:eastAsia="宋体"/>
          <w:b/>
          <w:bCs w:val="0"/>
          <w:color w:val="auto"/>
          <w:sz w:val="28"/>
          <w:szCs w:val="28"/>
        </w:rPr>
      </w:pPr>
      <w:bookmarkStart w:id="34" w:name="_Toc14907"/>
      <w:r>
        <w:rPr>
          <w:rFonts w:ascii="Times New Roman" w:hAnsi="Times New Roman" w:eastAsia="宋体"/>
          <w:b/>
          <w:bCs w:val="0"/>
          <w:color w:val="auto"/>
          <w:sz w:val="28"/>
          <w:szCs w:val="28"/>
        </w:rPr>
        <w:t>3地表水环境影响预测</w:t>
      </w:r>
      <w:bookmarkEnd w:id="34"/>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hint="default" w:ascii="Times New Roman" w:hAnsi="Times New Roman"/>
          <w:b/>
          <w:color w:val="auto"/>
          <w:sz w:val="24"/>
          <w:szCs w:val="24"/>
        </w:rPr>
      </w:pPr>
      <w:bookmarkStart w:id="35" w:name="_Toc23906"/>
      <w:r>
        <w:rPr>
          <w:rFonts w:hint="default" w:ascii="Times New Roman" w:hAnsi="Times New Roman"/>
          <w:b/>
          <w:color w:val="auto"/>
          <w:sz w:val="24"/>
          <w:szCs w:val="24"/>
        </w:rPr>
        <w:t>3.1预测因子、预测情景</w:t>
      </w:r>
      <w:bookmarkEnd w:id="35"/>
    </w:p>
    <w:p>
      <w:pPr>
        <w:spacing w:line="480" w:lineRule="exact"/>
        <w:ind w:firstLine="496" w:firstLineChars="200"/>
        <w:rPr>
          <w:rFonts w:ascii="Times New Roman" w:hAnsi="Times New Roman"/>
          <w:color w:val="auto"/>
          <w:spacing w:val="4"/>
          <w:sz w:val="24"/>
          <w:szCs w:val="24"/>
        </w:rPr>
      </w:pPr>
      <w:r>
        <w:rPr>
          <w:rFonts w:ascii="Times New Roman" w:hAnsi="Times New Roman"/>
          <w:color w:val="auto"/>
          <w:spacing w:val="4"/>
          <w:sz w:val="24"/>
          <w:szCs w:val="24"/>
        </w:rPr>
        <w:t>本项目污水经污水处理站处理后，排水中所含的主要污染物为BOD</w:t>
      </w:r>
      <w:r>
        <w:rPr>
          <w:rFonts w:ascii="Times New Roman" w:hAnsi="Times New Roman"/>
          <w:color w:val="auto"/>
          <w:spacing w:val="4"/>
          <w:sz w:val="24"/>
          <w:szCs w:val="24"/>
          <w:vertAlign w:val="subscript"/>
        </w:rPr>
        <w:t>5</w:t>
      </w:r>
      <w:r>
        <w:rPr>
          <w:rFonts w:ascii="Times New Roman" w:hAnsi="Times New Roman"/>
          <w:color w:val="auto"/>
          <w:spacing w:val="4"/>
          <w:sz w:val="24"/>
          <w:szCs w:val="24"/>
        </w:rPr>
        <w:t>、COD、氨氮、TN和TP等，污染物主要为非持久性污染物。因此，本次评价选择COD、BOD</w:t>
      </w:r>
      <w:r>
        <w:rPr>
          <w:rFonts w:ascii="Times New Roman" w:hAnsi="Times New Roman"/>
          <w:color w:val="auto"/>
          <w:spacing w:val="4"/>
          <w:sz w:val="24"/>
          <w:szCs w:val="24"/>
          <w:vertAlign w:val="subscript"/>
        </w:rPr>
        <w:t>5</w:t>
      </w:r>
      <w:r>
        <w:rPr>
          <w:rFonts w:ascii="Times New Roman" w:hAnsi="Times New Roman"/>
          <w:color w:val="auto"/>
          <w:spacing w:val="4"/>
          <w:sz w:val="24"/>
          <w:szCs w:val="24"/>
        </w:rPr>
        <w:t>、TN为预测因子。</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hint="default" w:ascii="Times New Roman" w:hAnsi="Times New Roman"/>
          <w:b/>
          <w:color w:val="auto"/>
          <w:sz w:val="24"/>
          <w:szCs w:val="24"/>
        </w:rPr>
      </w:pPr>
      <w:bookmarkStart w:id="36" w:name="_Toc6168"/>
      <w:r>
        <w:rPr>
          <w:rFonts w:hint="default" w:ascii="Times New Roman" w:hAnsi="Times New Roman"/>
          <w:b/>
          <w:color w:val="auto"/>
          <w:sz w:val="24"/>
          <w:szCs w:val="24"/>
        </w:rPr>
        <w:t>3.2预测时期</w:t>
      </w:r>
      <w:bookmarkEnd w:id="36"/>
    </w:p>
    <w:p>
      <w:pPr>
        <w:spacing w:line="480" w:lineRule="exact"/>
        <w:ind w:firstLine="496" w:firstLineChars="200"/>
        <w:rPr>
          <w:rFonts w:ascii="Times New Roman" w:hAnsi="Times New Roman"/>
          <w:color w:val="auto"/>
          <w:spacing w:val="4"/>
        </w:rPr>
      </w:pPr>
      <w:r>
        <w:rPr>
          <w:rFonts w:ascii="Times New Roman" w:hAnsi="Times New Roman"/>
          <w:color w:val="auto"/>
          <w:spacing w:val="4"/>
          <w:sz w:val="24"/>
          <w:szCs w:val="24"/>
        </w:rPr>
        <w:t>一般在枯水期河中的污染物浓度较大，是水环境污染的最不利季节，因此预测时期选择枯水期。</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hint="default" w:ascii="Times New Roman" w:hAnsi="Times New Roman"/>
          <w:b/>
          <w:color w:val="auto"/>
          <w:sz w:val="24"/>
          <w:szCs w:val="24"/>
        </w:rPr>
      </w:pPr>
      <w:bookmarkStart w:id="37" w:name="_Toc20456"/>
      <w:r>
        <w:rPr>
          <w:rFonts w:hint="default" w:ascii="Times New Roman" w:hAnsi="Times New Roman"/>
          <w:b/>
          <w:color w:val="auto"/>
          <w:sz w:val="24"/>
          <w:szCs w:val="24"/>
        </w:rPr>
        <w:t>3.3预测范围</w:t>
      </w:r>
      <w:bookmarkEnd w:id="37"/>
    </w:p>
    <w:p>
      <w:pPr>
        <w:spacing w:line="480" w:lineRule="exact"/>
        <w:ind w:firstLine="496" w:firstLineChars="200"/>
        <w:rPr>
          <w:rFonts w:hint="default" w:ascii="Times New Roman" w:hAnsi="Times New Roman"/>
          <w:color w:val="auto"/>
          <w:spacing w:val="4"/>
          <w:sz w:val="24"/>
          <w:szCs w:val="24"/>
          <w:lang w:val="en-US"/>
        </w:rPr>
      </w:pPr>
      <w:r>
        <w:rPr>
          <w:rFonts w:hint="eastAsia" w:ascii="Times New Roman" w:hAnsi="Times New Roman"/>
          <w:color w:val="auto"/>
          <w:spacing w:val="4"/>
          <w:sz w:val="24"/>
          <w:szCs w:val="24"/>
        </w:rPr>
        <w:t>本次评价</w:t>
      </w:r>
      <w:r>
        <w:rPr>
          <w:rFonts w:ascii="Times New Roman" w:hAnsi="Times New Roman"/>
          <w:color w:val="auto"/>
          <w:spacing w:val="4"/>
          <w:sz w:val="24"/>
          <w:szCs w:val="24"/>
        </w:rPr>
        <w:t>预测范围</w:t>
      </w:r>
      <w:r>
        <w:rPr>
          <w:rFonts w:hint="eastAsia" w:ascii="Times New Roman" w:hAnsi="Times New Roman"/>
          <w:color w:val="auto"/>
          <w:spacing w:val="4"/>
          <w:sz w:val="24"/>
          <w:szCs w:val="24"/>
          <w:lang w:val="en-US" w:eastAsia="zh-CN"/>
        </w:rPr>
        <w:t>污水处理站排口上游500m至下游1500m范围内河段。</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hint="default" w:ascii="Times New Roman" w:hAnsi="Times New Roman"/>
          <w:b/>
          <w:color w:val="auto"/>
          <w:sz w:val="24"/>
          <w:szCs w:val="24"/>
        </w:rPr>
      </w:pPr>
      <w:bookmarkStart w:id="38" w:name="_Toc13140"/>
      <w:r>
        <w:rPr>
          <w:rFonts w:hint="default" w:ascii="Times New Roman" w:hAnsi="Times New Roman"/>
          <w:b/>
          <w:color w:val="auto"/>
          <w:sz w:val="24"/>
          <w:szCs w:val="24"/>
        </w:rPr>
        <w:t>3.4预测模型、模型概化</w:t>
      </w:r>
      <w:bookmarkEnd w:id="38"/>
    </w:p>
    <w:p>
      <w:pPr>
        <w:spacing w:line="480" w:lineRule="exact"/>
        <w:ind w:firstLine="480" w:firstLineChars="200"/>
        <w:rPr>
          <w:rFonts w:ascii="Times New Roman" w:hAnsi="Times New Roman"/>
          <w:color w:val="0000FF"/>
          <w:spacing w:val="4"/>
        </w:rPr>
      </w:pPr>
      <w:r>
        <w:rPr>
          <w:rFonts w:ascii="Times New Roman" w:hAnsi="Times New Roman"/>
          <w:color w:val="auto"/>
          <w:sz w:val="24"/>
          <w:szCs w:val="24"/>
        </w:rPr>
        <w:t>污水工程建成运行后，出水标准满足《城镇污水处理厂污染物排放标准》（GB18918-2002）中的一级A标准要求（同时满足《农村生活污水处理设施水污染物排放标准》（DB14/726-2019）中相关标准限值要求），出水COD、TP和NH</w:t>
      </w:r>
      <w:r>
        <w:rPr>
          <w:rFonts w:ascii="Times New Roman" w:hAnsi="Times New Roman"/>
          <w:color w:val="auto"/>
          <w:sz w:val="24"/>
          <w:szCs w:val="24"/>
          <w:vertAlign w:val="subscript"/>
        </w:rPr>
        <w:t>3</w:t>
      </w:r>
      <w:r>
        <w:rPr>
          <w:rFonts w:ascii="Times New Roman" w:hAnsi="Times New Roman"/>
          <w:color w:val="auto"/>
          <w:sz w:val="24"/>
          <w:szCs w:val="24"/>
        </w:rPr>
        <w:t>-N三项指标稳定达到《污水综合排放标准》（DB14-1928-2019）中的表2标准要求</w:t>
      </w:r>
      <w:r>
        <w:rPr>
          <w:rFonts w:ascii="Times New Roman" w:hAnsi="Times New Roman"/>
          <w:color w:val="auto"/>
          <w:spacing w:val="4"/>
          <w:sz w:val="24"/>
          <w:szCs w:val="24"/>
        </w:rPr>
        <w:t>，水质良好，因此本次评价采用河流均匀混合模型，</w:t>
      </w:r>
      <w:r>
        <w:rPr>
          <w:rFonts w:hint="eastAsia" w:ascii="Times New Roman" w:hAnsi="Times New Roman"/>
          <w:color w:val="auto"/>
          <w:spacing w:val="4"/>
          <w:sz w:val="24"/>
          <w:szCs w:val="24"/>
        </w:rPr>
        <w:t>预测概化</w:t>
      </w:r>
      <w:r>
        <w:rPr>
          <w:rFonts w:hint="eastAsia"/>
          <w:color w:val="auto"/>
          <w:spacing w:val="4"/>
          <w:sz w:val="24"/>
          <w:szCs w:val="24"/>
          <w:lang w:val="en-US" w:eastAsia="zh-CN"/>
        </w:rPr>
        <w:t>滹沱河</w:t>
      </w:r>
      <w:r>
        <w:rPr>
          <w:rFonts w:hint="eastAsia" w:ascii="Times New Roman" w:hAnsi="Times New Roman"/>
          <w:color w:val="auto"/>
          <w:spacing w:val="4"/>
          <w:sz w:val="24"/>
          <w:szCs w:val="24"/>
        </w:rPr>
        <w:t>河段为矩形、平直河段，根据现场调查，平均河宽</w:t>
      </w:r>
      <w:r>
        <w:rPr>
          <w:rFonts w:hint="eastAsia"/>
          <w:color w:val="auto"/>
          <w:spacing w:val="4"/>
          <w:sz w:val="24"/>
          <w:szCs w:val="24"/>
          <w:lang w:val="en-US" w:eastAsia="zh-CN"/>
        </w:rPr>
        <w:t>1.13</w:t>
      </w:r>
      <w:r>
        <w:rPr>
          <w:rFonts w:hint="eastAsia" w:ascii="Times New Roman" w:hAnsi="Times New Roman"/>
          <w:color w:val="auto"/>
          <w:spacing w:val="4"/>
          <w:sz w:val="24"/>
          <w:szCs w:val="24"/>
        </w:rPr>
        <w:t>m，水深0.</w:t>
      </w:r>
      <w:r>
        <w:rPr>
          <w:rFonts w:hint="eastAsia" w:ascii="Times New Roman" w:hAnsi="Times New Roman"/>
          <w:color w:val="auto"/>
          <w:spacing w:val="4"/>
          <w:sz w:val="24"/>
          <w:szCs w:val="24"/>
          <w:lang w:val="en-US" w:eastAsia="zh-CN"/>
        </w:rPr>
        <w:t>1</w:t>
      </w:r>
      <w:r>
        <w:rPr>
          <w:rFonts w:hint="eastAsia"/>
          <w:color w:val="auto"/>
          <w:spacing w:val="4"/>
          <w:sz w:val="24"/>
          <w:szCs w:val="24"/>
          <w:lang w:val="en-US" w:eastAsia="zh-CN"/>
        </w:rPr>
        <w:t>8</w:t>
      </w:r>
      <w:r>
        <w:rPr>
          <w:rFonts w:hint="eastAsia" w:ascii="Times New Roman" w:hAnsi="Times New Roman"/>
          <w:color w:val="auto"/>
          <w:spacing w:val="4"/>
          <w:sz w:val="24"/>
          <w:szCs w:val="24"/>
        </w:rPr>
        <w:t>m，流速</w:t>
      </w:r>
      <w:r>
        <w:rPr>
          <w:rFonts w:hint="eastAsia" w:ascii="Times New Roman" w:hAnsi="Times New Roman"/>
          <w:color w:val="auto"/>
          <w:spacing w:val="4"/>
          <w:sz w:val="24"/>
          <w:szCs w:val="24"/>
          <w:lang w:val="en-US" w:eastAsia="zh-CN"/>
        </w:rPr>
        <w:t>0.18</w:t>
      </w:r>
      <w:r>
        <w:rPr>
          <w:rFonts w:hint="eastAsia" w:ascii="Times New Roman" w:hAnsi="Times New Roman"/>
          <w:color w:val="auto"/>
          <w:spacing w:val="4"/>
          <w:sz w:val="24"/>
          <w:szCs w:val="24"/>
        </w:rPr>
        <w:t>m/s。</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1"/>
        <w:rPr>
          <w:rFonts w:hint="default" w:ascii="Times New Roman" w:hAnsi="Times New Roman"/>
          <w:b/>
          <w:color w:val="auto"/>
          <w:sz w:val="24"/>
          <w:szCs w:val="24"/>
        </w:rPr>
      </w:pPr>
      <w:bookmarkStart w:id="39" w:name="_Toc24679"/>
      <w:r>
        <w:rPr>
          <w:rFonts w:hint="default" w:ascii="Times New Roman" w:hAnsi="Times New Roman"/>
          <w:b/>
          <w:color w:val="auto"/>
          <w:sz w:val="24"/>
          <w:szCs w:val="24"/>
        </w:rPr>
        <w:t>3.5预测结果分析与评价</w:t>
      </w:r>
      <w:bookmarkEnd w:id="39"/>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3.5.1正常排放</w:t>
      </w:r>
    </w:p>
    <w:p>
      <w:pPr>
        <w:spacing w:line="480" w:lineRule="exact"/>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GB3 \* MERGEFORMAT </w:instrText>
      </w:r>
      <w:r>
        <w:rPr>
          <w:rFonts w:ascii="Times New Roman" w:hAnsi="Times New Roman"/>
          <w:color w:val="auto"/>
          <w:sz w:val="24"/>
          <w:szCs w:val="24"/>
        </w:rPr>
        <w:fldChar w:fldCharType="separate"/>
      </w:r>
      <w:r>
        <w:rPr>
          <w:rFonts w:hint="eastAsia" w:ascii="宋体" w:hAnsi="宋体" w:cs="宋体"/>
          <w:color w:val="auto"/>
          <w:sz w:val="24"/>
          <w:szCs w:val="24"/>
        </w:rPr>
        <w:t>①</w:t>
      </w:r>
      <w:r>
        <w:rPr>
          <w:rFonts w:ascii="Times New Roman" w:hAnsi="Times New Roman"/>
          <w:color w:val="auto"/>
          <w:sz w:val="24"/>
          <w:szCs w:val="24"/>
        </w:rPr>
        <w:fldChar w:fldCharType="end"/>
      </w:r>
      <w:r>
        <w:rPr>
          <w:rFonts w:ascii="Times New Roman" w:hAnsi="Times New Roman"/>
          <w:color w:val="auto"/>
          <w:sz w:val="24"/>
          <w:szCs w:val="24"/>
        </w:rPr>
        <w:t>混合过程段</w:t>
      </w:r>
    </w:p>
    <w:p>
      <w:pPr>
        <w:spacing w:line="480" w:lineRule="exact"/>
        <w:ind w:firstLine="480"/>
        <w:rPr>
          <w:rFonts w:ascii="Times New Roman" w:hAnsi="Times New Roman"/>
          <w:color w:val="auto"/>
        </w:rPr>
      </w:pPr>
      <w:r>
        <w:rPr>
          <w:rFonts w:ascii="Times New Roman" w:hAnsi="Times New Roman"/>
          <w:color w:val="auto"/>
          <w:sz w:val="24"/>
          <w:szCs w:val="24"/>
        </w:rPr>
        <w:t>评价选用《环境影响评价技术导则 地表水环境》（HJ 2.3—2018）附录E中混合过程段长度估算公式估算预测范围：</w:t>
      </w:r>
    </w:p>
    <w:p>
      <w:pPr>
        <w:keepNext w:val="0"/>
        <w:keepLines w:val="0"/>
        <w:pageBreakBefore w:val="0"/>
        <w:widowControl w:val="0"/>
        <w:kinsoku/>
        <w:wordWrap/>
        <w:overflowPunct/>
        <w:topLinePunct w:val="0"/>
        <w:autoSpaceDE/>
        <w:autoSpaceDN/>
        <w:bidi w:val="0"/>
        <w:adjustRightInd/>
        <w:snapToGrid/>
        <w:ind w:firstLine="482"/>
        <w:jc w:val="center"/>
        <w:textAlignment w:val="auto"/>
        <w:rPr>
          <w:rFonts w:ascii="Times New Roman" w:hAnsi="Times New Roman"/>
          <w:color w:val="auto"/>
        </w:rPr>
      </w:pPr>
      <w:r>
        <w:rPr>
          <w:rFonts w:ascii="Times New Roman" w:hAnsi="Times New Roman"/>
          <w:color w:val="auto"/>
          <w:position w:val="-36"/>
        </w:rPr>
        <w:drawing>
          <wp:inline distT="0" distB="0" distL="114300" distR="114300">
            <wp:extent cx="2819400" cy="628650"/>
            <wp:effectExtent l="0" t="0" r="0" b="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37"/>
                    <a:stretch>
                      <a:fillRect/>
                    </a:stretch>
                  </pic:blipFill>
                  <pic:spPr>
                    <a:xfrm>
                      <a:off x="0" y="0"/>
                      <a:ext cx="2819400" cy="628650"/>
                    </a:xfrm>
                    <a:prstGeom prst="rect">
                      <a:avLst/>
                    </a:prstGeom>
                    <a:noFill/>
                    <a:ln>
                      <a:noFill/>
                    </a:ln>
                  </pic:spPr>
                </pic:pic>
              </a:graphicData>
            </a:graphic>
          </wp:inline>
        </w:drawing>
      </w:r>
    </w:p>
    <w:p>
      <w:pPr>
        <w:spacing w:line="480" w:lineRule="exact"/>
        <w:ind w:firstLine="480"/>
        <w:rPr>
          <w:rFonts w:ascii="Times New Roman" w:hAnsi="Times New Roman"/>
          <w:color w:val="auto"/>
          <w:sz w:val="24"/>
          <w:szCs w:val="24"/>
        </w:rPr>
      </w:pPr>
      <w:r>
        <w:rPr>
          <w:rFonts w:ascii="Times New Roman" w:hAnsi="Times New Roman"/>
          <w:color w:val="auto"/>
          <w:sz w:val="24"/>
          <w:szCs w:val="24"/>
        </w:rPr>
        <w:t>式中：</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rPr>
        <w:t>L</w:t>
      </w:r>
      <w:r>
        <w:rPr>
          <w:rFonts w:ascii="Times New Roman" w:hAnsi="Times New Roman"/>
          <w:i/>
          <w:iCs/>
          <w:color w:val="auto"/>
          <w:sz w:val="24"/>
          <w:szCs w:val="24"/>
          <w:vertAlign w:val="subscript"/>
        </w:rPr>
        <w:t>m</w:t>
      </w:r>
      <w:r>
        <w:rPr>
          <w:rFonts w:ascii="Times New Roman" w:hAnsi="Times New Roman"/>
          <w:color w:val="auto"/>
          <w:sz w:val="24"/>
          <w:szCs w:val="24"/>
        </w:rPr>
        <w:t>-----混合段长度，m；</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rPr>
        <w:t>B</w:t>
      </w:r>
      <w:r>
        <w:rPr>
          <w:rFonts w:ascii="Times New Roman" w:hAnsi="Times New Roman"/>
          <w:color w:val="auto"/>
          <w:sz w:val="24"/>
          <w:szCs w:val="24"/>
        </w:rPr>
        <w:t>------水面宽度，m，评价取</w:t>
      </w:r>
      <w:r>
        <w:rPr>
          <w:rFonts w:hint="eastAsia" w:ascii="Times New Roman" w:hAnsi="Times New Roman"/>
          <w:color w:val="auto"/>
          <w:sz w:val="24"/>
          <w:szCs w:val="24"/>
          <w:lang w:val="en-US" w:eastAsia="zh-CN"/>
        </w:rPr>
        <w:t>0.57</w:t>
      </w:r>
      <w:r>
        <w:rPr>
          <w:rFonts w:ascii="Times New Roman" w:hAnsi="Times New Roman"/>
          <w:color w:val="auto"/>
          <w:sz w:val="24"/>
          <w:szCs w:val="24"/>
        </w:rPr>
        <w:t>m；</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rPr>
        <w:t>ɑ-</w:t>
      </w:r>
      <w:r>
        <w:rPr>
          <w:rFonts w:ascii="Times New Roman" w:hAnsi="Times New Roman"/>
          <w:color w:val="auto"/>
          <w:sz w:val="24"/>
          <w:szCs w:val="24"/>
        </w:rPr>
        <w:t>----排放口到岸边的距离，m，评价取0m。</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rPr>
        <w:t>u</w:t>
      </w:r>
      <w:r>
        <w:rPr>
          <w:rFonts w:ascii="Times New Roman" w:hAnsi="Times New Roman"/>
          <w:color w:val="auto"/>
          <w:sz w:val="24"/>
          <w:szCs w:val="24"/>
        </w:rPr>
        <w:t>----断面流速，m/s，评价取0.</w:t>
      </w:r>
      <w:r>
        <w:rPr>
          <w:rFonts w:hint="eastAsia" w:ascii="Times New Roman" w:hAnsi="Times New Roman"/>
          <w:color w:val="auto"/>
          <w:sz w:val="24"/>
          <w:szCs w:val="24"/>
          <w:lang w:val="en-US" w:eastAsia="zh-CN"/>
        </w:rPr>
        <w:t>18</w:t>
      </w:r>
      <w:r>
        <w:rPr>
          <w:rFonts w:ascii="Times New Roman" w:hAnsi="Times New Roman"/>
          <w:color w:val="auto"/>
          <w:sz w:val="24"/>
          <w:szCs w:val="24"/>
        </w:rPr>
        <w:t>m/s；</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vertAlign w:val="subscript"/>
        </w:rPr>
        <w:t>Ey</w:t>
      </w:r>
      <w:r>
        <w:rPr>
          <w:rFonts w:ascii="Times New Roman" w:hAnsi="Times New Roman"/>
          <w:color w:val="auto"/>
          <w:sz w:val="24"/>
          <w:szCs w:val="24"/>
          <w:vertAlign w:val="subscript"/>
        </w:rPr>
        <w:t>-</w:t>
      </w:r>
      <w:r>
        <w:rPr>
          <w:rFonts w:ascii="Times New Roman" w:hAnsi="Times New Roman"/>
          <w:color w:val="auto"/>
          <w:sz w:val="24"/>
          <w:szCs w:val="24"/>
        </w:rPr>
        <w:t>----污染物横向扩散系数，m</w:t>
      </w:r>
      <w:r>
        <w:rPr>
          <w:rFonts w:ascii="Times New Roman" w:hAnsi="Times New Roman"/>
          <w:color w:val="auto"/>
          <w:sz w:val="24"/>
          <w:szCs w:val="24"/>
          <w:vertAlign w:val="superscript"/>
        </w:rPr>
        <w:t>2</w:t>
      </w:r>
      <w:r>
        <w:rPr>
          <w:rFonts w:ascii="Times New Roman" w:hAnsi="Times New Roman"/>
          <w:color w:val="auto"/>
          <w:sz w:val="24"/>
          <w:szCs w:val="24"/>
        </w:rPr>
        <w:t>/s，评价取经验值0.2m</w:t>
      </w:r>
      <w:r>
        <w:rPr>
          <w:rFonts w:ascii="Times New Roman" w:hAnsi="Times New Roman"/>
          <w:color w:val="auto"/>
          <w:sz w:val="24"/>
          <w:szCs w:val="24"/>
          <w:vertAlign w:val="superscript"/>
        </w:rPr>
        <w:t>2</w:t>
      </w:r>
      <w:r>
        <w:rPr>
          <w:rFonts w:ascii="Times New Roman" w:hAnsi="Times New Roman"/>
          <w:color w:val="auto"/>
          <w:sz w:val="24"/>
          <w:szCs w:val="24"/>
        </w:rPr>
        <w:t>/s。</w:t>
      </w:r>
    </w:p>
    <w:p>
      <w:pPr>
        <w:spacing w:line="480" w:lineRule="exact"/>
        <w:ind w:firstLine="480"/>
        <w:rPr>
          <w:rFonts w:hint="eastAsia" w:ascii="Times New Roman" w:hAnsi="Times New Roman"/>
          <w:color w:val="auto"/>
          <w:sz w:val="24"/>
          <w:szCs w:val="24"/>
        </w:rPr>
      </w:pPr>
      <w:r>
        <w:rPr>
          <w:rFonts w:ascii="Times New Roman" w:hAnsi="Times New Roman"/>
          <w:color w:val="auto"/>
          <w:sz w:val="24"/>
          <w:szCs w:val="24"/>
        </w:rPr>
        <w:t>经估算，</w:t>
      </w:r>
      <w:r>
        <w:rPr>
          <w:rFonts w:ascii="Times New Roman" w:hAnsi="Times New Roman"/>
          <w:i/>
          <w:iCs/>
          <w:color w:val="auto"/>
          <w:sz w:val="24"/>
          <w:szCs w:val="24"/>
        </w:rPr>
        <w:t>L</w:t>
      </w:r>
      <w:r>
        <w:rPr>
          <w:rFonts w:ascii="Times New Roman" w:hAnsi="Times New Roman"/>
          <w:i/>
          <w:iCs/>
          <w:color w:val="auto"/>
          <w:sz w:val="24"/>
          <w:szCs w:val="24"/>
          <w:vertAlign w:val="subscript"/>
        </w:rPr>
        <w:t>m</w:t>
      </w:r>
      <w:r>
        <w:rPr>
          <w:rFonts w:ascii="Times New Roman" w:hAnsi="Times New Roman"/>
          <w:color w:val="auto"/>
          <w:sz w:val="24"/>
          <w:szCs w:val="24"/>
        </w:rPr>
        <w:t>=</w:t>
      </w:r>
      <w:r>
        <w:rPr>
          <w:rFonts w:hint="eastAsia" w:ascii="Times New Roman" w:hAnsi="Times New Roman"/>
          <w:color w:val="auto"/>
          <w:sz w:val="24"/>
          <w:szCs w:val="24"/>
          <w:lang w:val="en-US" w:eastAsia="zh-CN"/>
        </w:rPr>
        <w:t>0.31</w:t>
      </w:r>
      <w:r>
        <w:rPr>
          <w:rFonts w:ascii="Times New Roman" w:hAnsi="Times New Roman"/>
          <w:color w:val="auto"/>
          <w:sz w:val="24"/>
          <w:szCs w:val="24"/>
        </w:rPr>
        <w:t>m，即从</w:t>
      </w:r>
      <w:r>
        <w:rPr>
          <w:rFonts w:hint="eastAsia" w:ascii="Times New Roman" w:hAnsi="Times New Roman"/>
          <w:color w:val="auto"/>
          <w:sz w:val="24"/>
          <w:szCs w:val="24"/>
          <w:lang w:val="en-US" w:eastAsia="zh-CN"/>
        </w:rPr>
        <w:t>本项目</w:t>
      </w:r>
      <w:r>
        <w:rPr>
          <w:rFonts w:ascii="Times New Roman" w:hAnsi="Times New Roman"/>
          <w:color w:val="auto"/>
          <w:sz w:val="24"/>
          <w:szCs w:val="24"/>
        </w:rPr>
        <w:t>污水处理站入</w:t>
      </w:r>
      <w:r>
        <w:rPr>
          <w:rFonts w:hint="eastAsia"/>
          <w:color w:val="auto"/>
          <w:sz w:val="24"/>
          <w:szCs w:val="24"/>
          <w:lang w:val="en-US" w:eastAsia="zh-CN"/>
        </w:rPr>
        <w:t>滹沱</w:t>
      </w:r>
      <w:r>
        <w:rPr>
          <w:rFonts w:hint="eastAsia" w:ascii="Times New Roman" w:hAnsi="Times New Roman"/>
          <w:color w:val="auto"/>
          <w:sz w:val="24"/>
          <w:szCs w:val="24"/>
        </w:rPr>
        <w:t>河</w:t>
      </w:r>
      <w:r>
        <w:rPr>
          <w:rFonts w:ascii="Times New Roman" w:hAnsi="Times New Roman"/>
          <w:color w:val="auto"/>
          <w:sz w:val="24"/>
          <w:szCs w:val="24"/>
        </w:rPr>
        <w:t>排污口到排污口下游0.</w:t>
      </w:r>
      <w:r>
        <w:rPr>
          <w:rFonts w:hint="eastAsia" w:ascii="Times New Roman" w:hAnsi="Times New Roman"/>
          <w:color w:val="auto"/>
          <w:sz w:val="24"/>
          <w:szCs w:val="24"/>
          <w:lang w:val="en-US" w:eastAsia="zh-CN"/>
        </w:rPr>
        <w:t>31</w:t>
      </w:r>
      <w:r>
        <w:rPr>
          <w:rFonts w:ascii="Times New Roman" w:hAnsi="Times New Roman"/>
          <w:color w:val="auto"/>
          <w:sz w:val="24"/>
          <w:szCs w:val="24"/>
        </w:rPr>
        <w:t>m河段为混合过程段。</w:t>
      </w:r>
    </w:p>
    <w:p>
      <w:pPr>
        <w:spacing w:line="480" w:lineRule="exact"/>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GB3 \* MERGEFORMAT </w:instrText>
      </w:r>
      <w:r>
        <w:rPr>
          <w:rFonts w:ascii="Times New Roman" w:hAnsi="Times New Roman"/>
          <w:color w:val="auto"/>
          <w:sz w:val="24"/>
          <w:szCs w:val="24"/>
        </w:rPr>
        <w:fldChar w:fldCharType="separate"/>
      </w:r>
      <w:r>
        <w:rPr>
          <w:rFonts w:hint="eastAsia" w:ascii="宋体" w:hAnsi="宋体" w:cs="宋体"/>
          <w:color w:val="auto"/>
          <w:sz w:val="24"/>
          <w:szCs w:val="24"/>
        </w:rPr>
        <w:t>②</w:t>
      </w:r>
      <w:r>
        <w:rPr>
          <w:rFonts w:ascii="Times New Roman" w:hAnsi="Times New Roman"/>
          <w:color w:val="auto"/>
          <w:sz w:val="24"/>
          <w:szCs w:val="24"/>
        </w:rPr>
        <w:fldChar w:fldCharType="end"/>
      </w:r>
      <w:r>
        <w:rPr>
          <w:rFonts w:ascii="Times New Roman" w:hAnsi="Times New Roman"/>
          <w:color w:val="auto"/>
          <w:sz w:val="24"/>
          <w:szCs w:val="24"/>
        </w:rPr>
        <w:t>预测结果</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color w:val="auto"/>
        </w:rPr>
      </w:pPr>
      <w:r>
        <w:rPr>
          <w:rFonts w:ascii="Times New Roman" w:hAnsi="Times New Roman"/>
          <w:color w:val="auto"/>
        </w:rPr>
        <w:drawing>
          <wp:inline distT="0" distB="0" distL="114300" distR="114300">
            <wp:extent cx="1943100" cy="247650"/>
            <wp:effectExtent l="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8"/>
                    <a:stretch>
                      <a:fillRect/>
                    </a:stretch>
                  </pic:blipFill>
                  <pic:spPr>
                    <a:xfrm>
                      <a:off x="0" y="0"/>
                      <a:ext cx="1943100" cy="247650"/>
                    </a:xfrm>
                    <a:prstGeom prst="rect">
                      <a:avLst/>
                    </a:prstGeom>
                    <a:noFill/>
                    <a:ln>
                      <a:noFill/>
                    </a:ln>
                  </pic:spPr>
                </pic:pic>
              </a:graphicData>
            </a:graphic>
          </wp:inline>
        </w:drawing>
      </w:r>
    </w:p>
    <w:p>
      <w:pPr>
        <w:spacing w:line="480" w:lineRule="exact"/>
        <w:ind w:firstLine="480"/>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iCs/>
          <w:color w:val="auto"/>
          <w:sz w:val="24"/>
          <w:szCs w:val="24"/>
        </w:rPr>
        <w:t>C</w:t>
      </w:r>
      <w:r>
        <w:rPr>
          <w:rFonts w:ascii="Times New Roman" w:hAnsi="Times New Roman"/>
          <w:color w:val="auto"/>
          <w:sz w:val="24"/>
          <w:szCs w:val="24"/>
        </w:rPr>
        <w:t>——污染物浓度（mg/L）；</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rPr>
        <w:t>C</w:t>
      </w:r>
      <w:r>
        <w:rPr>
          <w:rFonts w:ascii="Times New Roman" w:hAnsi="Times New Roman"/>
          <w:i/>
          <w:iCs/>
          <w:color w:val="auto"/>
          <w:sz w:val="24"/>
          <w:szCs w:val="24"/>
          <w:vertAlign w:val="subscript"/>
        </w:rPr>
        <w:t>p</w:t>
      </w:r>
      <w:r>
        <w:rPr>
          <w:rFonts w:ascii="Times New Roman" w:hAnsi="Times New Roman"/>
          <w:color w:val="auto"/>
          <w:sz w:val="24"/>
          <w:szCs w:val="24"/>
        </w:rPr>
        <w:t>——污染物排放浓度（mg/L）；</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rPr>
        <w:t>Q</w:t>
      </w:r>
      <w:r>
        <w:rPr>
          <w:rFonts w:ascii="Times New Roman" w:hAnsi="Times New Roman"/>
          <w:i/>
          <w:iCs/>
          <w:color w:val="auto"/>
          <w:sz w:val="24"/>
          <w:szCs w:val="24"/>
          <w:vertAlign w:val="subscript"/>
        </w:rPr>
        <w:t>p</w:t>
      </w:r>
      <w:r>
        <w:rPr>
          <w:rFonts w:ascii="Times New Roman" w:hAnsi="Times New Roman"/>
          <w:color w:val="auto"/>
          <w:sz w:val="24"/>
          <w:szCs w:val="24"/>
        </w:rPr>
        <w:t>——污水排放量（m</w:t>
      </w:r>
      <w:r>
        <w:rPr>
          <w:rFonts w:ascii="Times New Roman" w:hAnsi="Times New Roman"/>
          <w:color w:val="auto"/>
          <w:sz w:val="24"/>
          <w:szCs w:val="24"/>
          <w:vertAlign w:val="superscript"/>
        </w:rPr>
        <w:t>3</w:t>
      </w:r>
      <w:r>
        <w:rPr>
          <w:rFonts w:ascii="Times New Roman" w:hAnsi="Times New Roman"/>
          <w:color w:val="auto"/>
          <w:sz w:val="24"/>
          <w:szCs w:val="24"/>
        </w:rPr>
        <w:t>/s）；</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rPr>
        <w:t>C</w:t>
      </w:r>
      <w:r>
        <w:rPr>
          <w:rFonts w:ascii="Times New Roman" w:hAnsi="Times New Roman"/>
          <w:i/>
          <w:iCs/>
          <w:color w:val="auto"/>
          <w:sz w:val="24"/>
          <w:szCs w:val="24"/>
          <w:vertAlign w:val="subscript"/>
        </w:rPr>
        <w:t>h</w:t>
      </w:r>
      <w:r>
        <w:rPr>
          <w:rFonts w:ascii="Times New Roman" w:hAnsi="Times New Roman"/>
          <w:color w:val="auto"/>
          <w:sz w:val="24"/>
          <w:szCs w:val="24"/>
        </w:rPr>
        <w:t>——河流上游污染物浓度（mg/L）；</w:t>
      </w:r>
    </w:p>
    <w:p>
      <w:pPr>
        <w:spacing w:line="480" w:lineRule="exact"/>
        <w:ind w:firstLine="480"/>
        <w:rPr>
          <w:rFonts w:ascii="Times New Roman" w:hAnsi="Times New Roman"/>
          <w:color w:val="auto"/>
          <w:sz w:val="24"/>
          <w:szCs w:val="24"/>
        </w:rPr>
      </w:pPr>
      <w:r>
        <w:rPr>
          <w:rFonts w:ascii="Times New Roman" w:hAnsi="Times New Roman"/>
          <w:i/>
          <w:iCs/>
          <w:color w:val="auto"/>
          <w:sz w:val="24"/>
          <w:szCs w:val="24"/>
        </w:rPr>
        <w:t>Q</w:t>
      </w:r>
      <w:r>
        <w:rPr>
          <w:rFonts w:ascii="Times New Roman" w:hAnsi="Times New Roman"/>
          <w:i/>
          <w:iCs/>
          <w:color w:val="auto"/>
          <w:sz w:val="24"/>
          <w:szCs w:val="24"/>
          <w:vertAlign w:val="subscript"/>
        </w:rPr>
        <w:t>h</w:t>
      </w:r>
      <w:r>
        <w:rPr>
          <w:rFonts w:ascii="Times New Roman" w:hAnsi="Times New Roman"/>
          <w:color w:val="auto"/>
          <w:sz w:val="24"/>
          <w:szCs w:val="24"/>
        </w:rPr>
        <w:t>——河流流量（m</w:t>
      </w:r>
      <w:r>
        <w:rPr>
          <w:rFonts w:ascii="Times New Roman" w:hAnsi="Times New Roman"/>
          <w:color w:val="auto"/>
          <w:sz w:val="24"/>
          <w:szCs w:val="24"/>
          <w:vertAlign w:val="superscript"/>
        </w:rPr>
        <w:t>3</w:t>
      </w:r>
      <w:r>
        <w:rPr>
          <w:rFonts w:ascii="Times New Roman" w:hAnsi="Times New Roman"/>
          <w:color w:val="auto"/>
          <w:sz w:val="24"/>
          <w:szCs w:val="24"/>
        </w:rPr>
        <w:t>/s）；</w:t>
      </w:r>
    </w:p>
    <w:p>
      <w:pPr>
        <w:spacing w:line="480" w:lineRule="exact"/>
        <w:ind w:firstLine="480"/>
        <w:rPr>
          <w:rFonts w:ascii="Times New Roman" w:hAnsi="Times New Roman"/>
          <w:color w:val="auto"/>
          <w:sz w:val="24"/>
          <w:szCs w:val="24"/>
        </w:rPr>
      </w:pPr>
      <w:r>
        <w:rPr>
          <w:rFonts w:hint="eastAsia" w:ascii="Times New Roman" w:hAnsi="Times New Roman"/>
          <w:color w:val="auto"/>
          <w:sz w:val="24"/>
          <w:szCs w:val="24"/>
          <w:lang w:val="en-US" w:eastAsia="zh-CN"/>
        </w:rPr>
        <w:t>本项目</w:t>
      </w:r>
      <w:r>
        <w:rPr>
          <w:rFonts w:ascii="Times New Roman" w:hAnsi="Times New Roman"/>
          <w:color w:val="auto"/>
          <w:sz w:val="24"/>
          <w:szCs w:val="24"/>
        </w:rPr>
        <w:t>污水处理站外排量取</w:t>
      </w:r>
      <w:r>
        <w:rPr>
          <w:rFonts w:hint="eastAsia"/>
          <w:color w:val="auto"/>
          <w:sz w:val="24"/>
          <w:szCs w:val="24"/>
          <w:lang w:val="en-US" w:eastAsia="zh-CN"/>
        </w:rPr>
        <w:t>20</w:t>
      </w:r>
      <w:r>
        <w:rPr>
          <w:rFonts w:ascii="Times New Roman" w:hAnsi="Times New Roman"/>
          <w:color w:val="auto"/>
          <w:sz w:val="24"/>
          <w:szCs w:val="24"/>
        </w:rPr>
        <w:t>00m</w:t>
      </w:r>
      <w:r>
        <w:rPr>
          <w:rFonts w:ascii="Times New Roman" w:hAnsi="Times New Roman"/>
          <w:color w:val="auto"/>
          <w:sz w:val="24"/>
          <w:szCs w:val="24"/>
          <w:vertAlign w:val="superscript"/>
        </w:rPr>
        <w:t>3</w:t>
      </w:r>
      <w:r>
        <w:rPr>
          <w:rFonts w:ascii="Times New Roman" w:hAnsi="Times New Roman"/>
          <w:color w:val="auto"/>
          <w:sz w:val="24"/>
          <w:szCs w:val="24"/>
        </w:rPr>
        <w:t>/d，污染物浓度COD40mg/L</w:t>
      </w:r>
      <w:bookmarkStart w:id="40" w:name="_Hlk59546075"/>
      <w:r>
        <w:rPr>
          <w:rFonts w:ascii="Times New Roman" w:hAnsi="Times New Roman"/>
          <w:color w:val="auto"/>
          <w:sz w:val="24"/>
          <w:szCs w:val="24"/>
        </w:rPr>
        <w:t>、BOD</w:t>
      </w:r>
      <w:r>
        <w:rPr>
          <w:rFonts w:ascii="Times New Roman" w:hAnsi="Times New Roman"/>
          <w:color w:val="auto"/>
          <w:sz w:val="24"/>
          <w:szCs w:val="24"/>
          <w:vertAlign w:val="subscript"/>
        </w:rPr>
        <w:t>5</w:t>
      </w:r>
      <w:r>
        <w:rPr>
          <w:rFonts w:ascii="Times New Roman" w:hAnsi="Times New Roman"/>
          <w:color w:val="auto"/>
          <w:sz w:val="24"/>
          <w:szCs w:val="24"/>
        </w:rPr>
        <w:t xml:space="preserve"> 10mg/L、TN15mg/L</w:t>
      </w:r>
      <w:bookmarkEnd w:id="40"/>
      <w:r>
        <w:rPr>
          <w:rFonts w:ascii="Times New Roman" w:hAnsi="Times New Roman"/>
          <w:color w:val="auto"/>
          <w:sz w:val="24"/>
          <w:szCs w:val="24"/>
        </w:rPr>
        <w:t>；河流流量取监测值</w:t>
      </w:r>
      <w:r>
        <w:rPr>
          <w:rFonts w:hint="eastAsia"/>
          <w:color w:val="auto"/>
          <w:sz w:val="24"/>
          <w:szCs w:val="24"/>
          <w:lang w:val="en-US" w:eastAsia="zh-CN"/>
        </w:rPr>
        <w:t>130</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/h，COD浓度取监测平均值</w:t>
      </w:r>
      <w:r>
        <w:rPr>
          <w:rFonts w:hint="eastAsia" w:ascii="Times New Roman" w:hAnsi="Times New Roman"/>
          <w:color w:val="auto"/>
          <w:sz w:val="24"/>
          <w:szCs w:val="24"/>
          <w:lang w:val="en-US" w:eastAsia="zh-CN"/>
        </w:rPr>
        <w:t>36.3</w:t>
      </w:r>
      <w:r>
        <w:rPr>
          <w:rFonts w:ascii="Times New Roman" w:hAnsi="Times New Roman"/>
          <w:color w:val="auto"/>
          <w:sz w:val="24"/>
          <w:szCs w:val="24"/>
        </w:rPr>
        <w:t>mg/L，</w:t>
      </w:r>
      <w:bookmarkStart w:id="41" w:name="_Hlk59546141"/>
      <w:r>
        <w:rPr>
          <w:rFonts w:ascii="Times New Roman" w:hAnsi="Times New Roman"/>
          <w:color w:val="auto"/>
          <w:sz w:val="24"/>
          <w:szCs w:val="24"/>
        </w:rPr>
        <w:t>BOD</w:t>
      </w:r>
      <w:r>
        <w:rPr>
          <w:rFonts w:ascii="Times New Roman" w:hAnsi="Times New Roman"/>
          <w:color w:val="auto"/>
          <w:sz w:val="24"/>
          <w:szCs w:val="24"/>
          <w:vertAlign w:val="subscript"/>
        </w:rPr>
        <w:t>5</w:t>
      </w:r>
      <w:r>
        <w:rPr>
          <w:rFonts w:ascii="Times New Roman" w:hAnsi="Times New Roman"/>
          <w:color w:val="auto"/>
          <w:sz w:val="24"/>
          <w:szCs w:val="24"/>
        </w:rPr>
        <w:t>浓度取监测平均值</w:t>
      </w:r>
      <w:r>
        <w:rPr>
          <w:rFonts w:hint="eastAsia" w:ascii="Times New Roman" w:hAnsi="Times New Roman"/>
          <w:color w:val="auto"/>
          <w:sz w:val="24"/>
          <w:szCs w:val="24"/>
          <w:lang w:val="en-US" w:eastAsia="zh-CN"/>
        </w:rPr>
        <w:t>8.7</w:t>
      </w:r>
      <w:r>
        <w:rPr>
          <w:rFonts w:ascii="Times New Roman" w:hAnsi="Times New Roman"/>
          <w:color w:val="auto"/>
          <w:sz w:val="24"/>
          <w:szCs w:val="24"/>
        </w:rPr>
        <w:t>mg/L，TN浓度取监测平均值</w:t>
      </w:r>
      <w:r>
        <w:rPr>
          <w:rFonts w:hint="eastAsia" w:ascii="Times New Roman" w:hAnsi="Times New Roman"/>
          <w:color w:val="auto"/>
          <w:sz w:val="24"/>
          <w:szCs w:val="24"/>
          <w:lang w:val="en-US" w:eastAsia="zh-CN"/>
        </w:rPr>
        <w:t>1.98</w:t>
      </w:r>
      <w:r>
        <w:rPr>
          <w:rFonts w:ascii="Times New Roman" w:hAnsi="Times New Roman"/>
          <w:color w:val="auto"/>
          <w:sz w:val="24"/>
          <w:szCs w:val="24"/>
        </w:rPr>
        <w:t>mg/L</w:t>
      </w:r>
      <w:bookmarkEnd w:id="41"/>
      <w:r>
        <w:rPr>
          <w:rFonts w:ascii="Times New Roman" w:hAnsi="Times New Roman"/>
          <w:color w:val="auto"/>
          <w:sz w:val="24"/>
          <w:szCs w:val="24"/>
        </w:rPr>
        <w:t>。经估算，C</w:t>
      </w:r>
      <w:r>
        <w:rPr>
          <w:rFonts w:ascii="Times New Roman" w:hAnsi="Times New Roman"/>
          <w:color w:val="auto"/>
          <w:sz w:val="24"/>
          <w:szCs w:val="24"/>
          <w:vertAlign w:val="subscript"/>
        </w:rPr>
        <w:t>COD</w:t>
      </w:r>
      <w:r>
        <w:rPr>
          <w:rFonts w:ascii="Times New Roman" w:hAnsi="Times New Roman"/>
          <w:color w:val="auto"/>
          <w:sz w:val="24"/>
          <w:szCs w:val="24"/>
        </w:rPr>
        <w:t>=</w:t>
      </w:r>
      <w:r>
        <w:rPr>
          <w:rFonts w:hint="eastAsia" w:ascii="Times New Roman" w:hAnsi="Times New Roman"/>
          <w:color w:val="auto"/>
          <w:sz w:val="24"/>
          <w:szCs w:val="24"/>
          <w:lang w:val="en-US" w:eastAsia="zh-CN"/>
        </w:rPr>
        <w:t>28.36</w:t>
      </w:r>
      <w:r>
        <w:rPr>
          <w:rFonts w:ascii="Times New Roman" w:hAnsi="Times New Roman"/>
          <w:color w:val="auto"/>
          <w:sz w:val="24"/>
          <w:szCs w:val="24"/>
        </w:rPr>
        <w:t>mg/L</w:t>
      </w:r>
      <w:bookmarkStart w:id="42" w:name="_Hlk59546161"/>
      <w:r>
        <w:rPr>
          <w:rFonts w:ascii="Times New Roman" w:hAnsi="Times New Roman"/>
          <w:color w:val="auto"/>
          <w:sz w:val="24"/>
          <w:szCs w:val="24"/>
        </w:rPr>
        <w:t>、C</w:t>
      </w:r>
      <w:r>
        <w:rPr>
          <w:rFonts w:ascii="Times New Roman" w:hAnsi="Times New Roman"/>
          <w:color w:val="auto"/>
          <w:sz w:val="24"/>
          <w:szCs w:val="24"/>
          <w:vertAlign w:val="subscript"/>
        </w:rPr>
        <w:t>BOD5</w:t>
      </w:r>
      <w:r>
        <w:rPr>
          <w:rFonts w:ascii="Times New Roman" w:hAnsi="Times New Roman"/>
          <w:color w:val="auto"/>
          <w:sz w:val="24"/>
          <w:szCs w:val="24"/>
        </w:rPr>
        <w:t>=</w:t>
      </w:r>
      <w:r>
        <w:rPr>
          <w:rFonts w:hint="eastAsia" w:ascii="Times New Roman" w:hAnsi="Times New Roman"/>
          <w:color w:val="auto"/>
          <w:sz w:val="24"/>
          <w:szCs w:val="24"/>
          <w:lang w:val="en-US" w:eastAsia="zh-CN"/>
        </w:rPr>
        <w:t>7.65</w:t>
      </w:r>
      <w:r>
        <w:rPr>
          <w:rFonts w:ascii="Times New Roman" w:hAnsi="Times New Roman"/>
          <w:color w:val="auto"/>
          <w:sz w:val="24"/>
          <w:szCs w:val="24"/>
        </w:rPr>
        <w:t>mg/L、C</w:t>
      </w:r>
      <w:r>
        <w:rPr>
          <w:rFonts w:ascii="Times New Roman" w:hAnsi="Times New Roman"/>
          <w:color w:val="auto"/>
          <w:sz w:val="24"/>
          <w:szCs w:val="24"/>
          <w:vertAlign w:val="subscript"/>
        </w:rPr>
        <w:t>TN</w:t>
      </w:r>
      <w:r>
        <w:rPr>
          <w:rFonts w:ascii="Times New Roman" w:hAnsi="Times New Roman"/>
          <w:color w:val="auto"/>
          <w:sz w:val="24"/>
          <w:szCs w:val="24"/>
        </w:rPr>
        <w:t>=</w:t>
      </w:r>
      <w:r>
        <w:rPr>
          <w:rFonts w:hint="eastAsia" w:ascii="Times New Roman" w:hAnsi="Times New Roman"/>
          <w:color w:val="auto"/>
          <w:sz w:val="24"/>
          <w:szCs w:val="24"/>
          <w:lang w:val="en-US" w:eastAsia="zh-CN"/>
        </w:rPr>
        <w:t>6.94</w:t>
      </w:r>
      <w:r>
        <w:rPr>
          <w:rFonts w:ascii="Times New Roman" w:hAnsi="Times New Roman"/>
          <w:color w:val="auto"/>
          <w:sz w:val="24"/>
          <w:szCs w:val="24"/>
        </w:rPr>
        <w:t>mg/L</w:t>
      </w:r>
      <w:bookmarkEnd w:id="42"/>
      <w:r>
        <w:rPr>
          <w:rFonts w:ascii="Times New Roman" w:hAnsi="Times New Roman"/>
          <w:color w:val="auto"/>
          <w:sz w:val="24"/>
          <w:szCs w:val="24"/>
        </w:rPr>
        <w:t>，即本项目污水处理站排水和</w:t>
      </w:r>
      <w:r>
        <w:rPr>
          <w:rFonts w:hint="eastAsia"/>
          <w:color w:val="auto"/>
          <w:sz w:val="24"/>
          <w:szCs w:val="24"/>
          <w:lang w:val="en-US" w:eastAsia="zh-CN"/>
        </w:rPr>
        <w:t>滹沱河</w:t>
      </w:r>
      <w:r>
        <w:rPr>
          <w:rFonts w:ascii="Times New Roman" w:hAnsi="Times New Roman"/>
          <w:color w:val="auto"/>
          <w:sz w:val="24"/>
          <w:szCs w:val="24"/>
        </w:rPr>
        <w:t>河水充分混合后，COD、BOD</w:t>
      </w:r>
      <w:r>
        <w:rPr>
          <w:rFonts w:ascii="Times New Roman" w:hAnsi="Times New Roman"/>
          <w:color w:val="auto"/>
          <w:sz w:val="24"/>
          <w:szCs w:val="24"/>
          <w:vertAlign w:val="subscript"/>
        </w:rPr>
        <w:t>5</w:t>
      </w:r>
      <w:r>
        <w:rPr>
          <w:rFonts w:ascii="Times New Roman" w:hAnsi="Times New Roman"/>
          <w:color w:val="auto"/>
          <w:sz w:val="24"/>
          <w:szCs w:val="24"/>
        </w:rPr>
        <w:t>和TN浓度分别为</w:t>
      </w:r>
      <w:r>
        <w:rPr>
          <w:rFonts w:hint="eastAsia" w:ascii="Times New Roman" w:hAnsi="Times New Roman"/>
          <w:color w:val="auto"/>
          <w:sz w:val="24"/>
          <w:szCs w:val="24"/>
          <w:lang w:val="en-US" w:eastAsia="zh-CN"/>
        </w:rPr>
        <w:t>28.36</w:t>
      </w:r>
      <w:r>
        <w:rPr>
          <w:rFonts w:ascii="Times New Roman" w:hAnsi="Times New Roman"/>
          <w:color w:val="auto"/>
          <w:sz w:val="24"/>
          <w:szCs w:val="24"/>
        </w:rPr>
        <w:t>mg/L、</w:t>
      </w:r>
      <w:r>
        <w:rPr>
          <w:rFonts w:hint="eastAsia" w:ascii="Times New Roman" w:hAnsi="Times New Roman"/>
          <w:color w:val="auto"/>
          <w:sz w:val="24"/>
          <w:szCs w:val="24"/>
          <w:lang w:val="en-US" w:eastAsia="zh-CN"/>
        </w:rPr>
        <w:t>7.65</w:t>
      </w:r>
      <w:r>
        <w:rPr>
          <w:rFonts w:ascii="Times New Roman" w:hAnsi="Times New Roman"/>
          <w:color w:val="auto"/>
          <w:sz w:val="24"/>
          <w:szCs w:val="24"/>
        </w:rPr>
        <w:t>mg/L 、</w:t>
      </w:r>
      <w:r>
        <w:rPr>
          <w:rFonts w:hint="eastAsia" w:ascii="Times New Roman" w:hAnsi="Times New Roman"/>
          <w:color w:val="auto"/>
          <w:sz w:val="24"/>
          <w:szCs w:val="24"/>
          <w:lang w:val="en-US" w:eastAsia="zh-CN"/>
        </w:rPr>
        <w:t>6.94</w:t>
      </w:r>
      <w:r>
        <w:rPr>
          <w:rFonts w:ascii="Times New Roman" w:hAnsi="Times New Roman"/>
          <w:color w:val="auto"/>
          <w:sz w:val="24"/>
          <w:szCs w:val="24"/>
        </w:rPr>
        <w:t>mg/L，和</w:t>
      </w:r>
      <w:r>
        <w:rPr>
          <w:rFonts w:hint="eastAsia"/>
          <w:color w:val="auto"/>
          <w:sz w:val="24"/>
          <w:szCs w:val="24"/>
          <w:lang w:val="en-US" w:eastAsia="zh-CN"/>
        </w:rPr>
        <w:t>滹沱河</w:t>
      </w:r>
      <w:r>
        <w:rPr>
          <w:rFonts w:ascii="Times New Roman" w:hAnsi="Times New Roman"/>
          <w:color w:val="auto"/>
          <w:sz w:val="24"/>
          <w:szCs w:val="24"/>
        </w:rPr>
        <w:t>上游来水水质对比，变化</w:t>
      </w:r>
      <w:r>
        <w:rPr>
          <w:rFonts w:hint="eastAsia" w:ascii="Times New Roman" w:hAnsi="Times New Roman"/>
          <w:color w:val="auto"/>
          <w:sz w:val="24"/>
          <w:szCs w:val="24"/>
        </w:rPr>
        <w:t>较小</w:t>
      </w:r>
      <w:r>
        <w:rPr>
          <w:rFonts w:ascii="Times New Roman" w:hAnsi="Times New Roman"/>
          <w:color w:val="auto"/>
          <w:sz w:val="24"/>
          <w:szCs w:val="24"/>
        </w:rPr>
        <w:t>。因此本项目污水处理</w:t>
      </w:r>
      <w:r>
        <w:rPr>
          <w:rFonts w:hint="eastAsia"/>
          <w:color w:val="auto"/>
          <w:sz w:val="24"/>
          <w:szCs w:val="24"/>
          <w:lang w:val="en-US" w:eastAsia="zh-CN"/>
        </w:rPr>
        <w:t>厂</w:t>
      </w:r>
      <w:r>
        <w:rPr>
          <w:rFonts w:ascii="Times New Roman" w:hAnsi="Times New Roman"/>
          <w:color w:val="auto"/>
          <w:sz w:val="24"/>
          <w:szCs w:val="24"/>
        </w:rPr>
        <w:t>废水的外排对</w:t>
      </w:r>
      <w:r>
        <w:rPr>
          <w:rFonts w:hint="eastAsia"/>
          <w:color w:val="auto"/>
          <w:sz w:val="24"/>
          <w:szCs w:val="24"/>
          <w:lang w:val="en-US" w:eastAsia="zh-CN"/>
        </w:rPr>
        <w:t>滹沱</w:t>
      </w:r>
      <w:r>
        <w:rPr>
          <w:rFonts w:hint="eastAsia" w:ascii="Times New Roman" w:hAnsi="Times New Roman"/>
          <w:color w:val="auto"/>
          <w:sz w:val="24"/>
          <w:szCs w:val="24"/>
        </w:rPr>
        <w:t>河</w:t>
      </w:r>
      <w:r>
        <w:rPr>
          <w:rFonts w:ascii="Times New Roman" w:hAnsi="Times New Roman"/>
          <w:color w:val="auto"/>
          <w:sz w:val="24"/>
          <w:szCs w:val="24"/>
        </w:rPr>
        <w:t>水质影响</w:t>
      </w:r>
      <w:r>
        <w:rPr>
          <w:rFonts w:hint="eastAsia" w:ascii="Times New Roman" w:hAnsi="Times New Roman"/>
          <w:color w:val="auto"/>
          <w:sz w:val="24"/>
          <w:szCs w:val="24"/>
        </w:rPr>
        <w:t>较小</w:t>
      </w:r>
      <w:r>
        <w:rPr>
          <w:rFonts w:ascii="Times New Roman" w:hAnsi="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3.5.2非正常排放</w:t>
      </w:r>
    </w:p>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ascii="Times New Roman" w:hAnsi="Times New Roman"/>
          <w:color w:val="auto"/>
          <w:sz w:val="24"/>
          <w:szCs w:val="24"/>
        </w:rPr>
      </w:pPr>
      <w:r>
        <w:rPr>
          <w:rFonts w:ascii="Times New Roman" w:hAnsi="Times New Roman"/>
          <w:color w:val="auto"/>
          <w:sz w:val="24"/>
          <w:szCs w:val="24"/>
        </w:rPr>
        <w:t>污水处理站一旦发生停电和设备发生事故时，均需进行非正常排放，即事故排放。事故排放时污水未经处理直接进入</w:t>
      </w:r>
      <w:r>
        <w:rPr>
          <w:rFonts w:hint="eastAsia"/>
          <w:color w:val="auto"/>
          <w:sz w:val="24"/>
          <w:szCs w:val="24"/>
          <w:lang w:val="en-US" w:eastAsia="zh-CN"/>
        </w:rPr>
        <w:t>滹沱</w:t>
      </w:r>
      <w:r>
        <w:rPr>
          <w:rFonts w:hint="eastAsia" w:ascii="Times New Roman" w:hAnsi="Times New Roman"/>
          <w:color w:val="auto"/>
          <w:sz w:val="24"/>
          <w:szCs w:val="24"/>
        </w:rPr>
        <w:t>河</w:t>
      </w:r>
      <w:r>
        <w:rPr>
          <w:rFonts w:ascii="Times New Roman" w:hAnsi="Times New Roman"/>
          <w:color w:val="auto"/>
          <w:sz w:val="24"/>
          <w:szCs w:val="24"/>
        </w:rPr>
        <w:t>，对地表水体造成一定影响。</w:t>
      </w:r>
    </w:p>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ascii="Times New Roman" w:hAnsi="Times New Roman"/>
          <w:color w:val="auto"/>
        </w:rPr>
      </w:pPr>
      <w:r>
        <w:rPr>
          <w:rFonts w:ascii="Times New Roman" w:hAnsi="Times New Roman"/>
          <w:color w:val="auto"/>
          <w:sz w:val="24"/>
          <w:szCs w:val="24"/>
        </w:rPr>
        <w:t>非正常排放采用《环境影响评价技术导则 地表水环境》（HJ 2.3—2018）附录E中河流纵向一维水质模型。</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color w:val="auto"/>
        </w:rPr>
      </w:pPr>
      <w:r>
        <w:rPr>
          <w:rFonts w:ascii="Times New Roman" w:hAnsi="Times New Roman"/>
          <w:i/>
          <w:color w:val="auto"/>
        </w:rPr>
        <w:drawing>
          <wp:inline distT="0" distB="0" distL="114300" distR="114300">
            <wp:extent cx="581025" cy="390525"/>
            <wp:effectExtent l="0" t="0" r="9525" b="889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39"/>
                    <a:stretch>
                      <a:fillRect/>
                    </a:stretch>
                  </pic:blipFill>
                  <pic:spPr>
                    <a:xfrm>
                      <a:off x="0" y="0"/>
                      <a:ext cx="581025" cy="390525"/>
                    </a:xfrm>
                    <a:prstGeom prst="rect">
                      <a:avLst/>
                    </a:prstGeom>
                    <a:noFill/>
                    <a:ln>
                      <a:noFill/>
                    </a:ln>
                  </pic:spPr>
                </pic:pic>
              </a:graphicData>
            </a:graphic>
          </wp:inline>
        </w:drawing>
      </w:r>
      <w:r>
        <w:rPr>
          <w:rFonts w:ascii="Times New Roman" w:hAnsi="Times New Roman"/>
          <w:color w:val="auto"/>
        </w:rPr>
        <w:t xml:space="preserve">   </w:t>
      </w:r>
      <w:r>
        <w:rPr>
          <w:rFonts w:ascii="Times New Roman" w:hAnsi="Times New Roman"/>
          <w:i/>
          <w:color w:val="auto"/>
        </w:rPr>
        <w:drawing>
          <wp:inline distT="0" distB="0" distL="114300" distR="114300">
            <wp:extent cx="571500" cy="390525"/>
            <wp:effectExtent l="0" t="0" r="0" b="8255"/>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40"/>
                    <a:stretch>
                      <a:fillRect/>
                    </a:stretch>
                  </pic:blipFill>
                  <pic:spPr>
                    <a:xfrm>
                      <a:off x="0" y="0"/>
                      <a:ext cx="571500" cy="390525"/>
                    </a:xfrm>
                    <a:prstGeom prst="rect">
                      <a:avLst/>
                    </a:prstGeom>
                    <a:noFill/>
                    <a:ln>
                      <a:noFill/>
                    </a:ln>
                  </pic:spPr>
                </pic:pic>
              </a:graphicData>
            </a:graphic>
          </wp:inline>
        </w:drawing>
      </w:r>
    </w:p>
    <w:p>
      <w:pPr>
        <w:spacing w:line="480" w:lineRule="exact"/>
        <w:ind w:firstLine="482"/>
        <w:rPr>
          <w:rFonts w:ascii="Times New Roman" w:hAnsi="Times New Roman"/>
          <w:color w:val="auto"/>
          <w:sz w:val="24"/>
          <w:szCs w:val="24"/>
        </w:rPr>
      </w:pPr>
      <w:r>
        <w:rPr>
          <w:rFonts w:ascii="Times New Roman" w:hAnsi="Times New Roman"/>
          <w:color w:val="auto"/>
          <w:sz w:val="24"/>
          <w:szCs w:val="24"/>
        </w:rPr>
        <w:t>式中：</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α</w:t>
      </w:r>
      <w:r>
        <w:rPr>
          <w:rFonts w:ascii="Times New Roman" w:hAnsi="Times New Roman"/>
          <w:color w:val="auto"/>
          <w:sz w:val="24"/>
          <w:szCs w:val="24"/>
        </w:rPr>
        <w:t>——O’Connor数，量纲为1，表征物质离散降解通量与移流通量比值；</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Pe</w:t>
      </w:r>
      <w:r>
        <w:rPr>
          <w:rFonts w:ascii="Times New Roman" w:hAnsi="Times New Roman"/>
          <w:color w:val="auto"/>
          <w:sz w:val="24"/>
          <w:szCs w:val="24"/>
        </w:rPr>
        <w:t>——贝克来数，量纲为1，表征物质移流通量与离散通量比值；</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x</w:t>
      </w:r>
      <w:r>
        <w:rPr>
          <w:rFonts w:ascii="Times New Roman" w:hAnsi="Times New Roman"/>
          <w:color w:val="auto"/>
          <w:sz w:val="24"/>
          <w:szCs w:val="24"/>
        </w:rPr>
        <w:t>——河流沿程坐标，m，x=0指排放口处，x＞0指排放口下游段，x＜0指排放口上游段；</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Ex</w:t>
      </w:r>
      <w:r>
        <w:rPr>
          <w:rFonts w:ascii="Times New Roman" w:hAnsi="Times New Roman"/>
          <w:color w:val="auto"/>
          <w:sz w:val="24"/>
          <w:szCs w:val="24"/>
        </w:rPr>
        <w:t>——污染物纵向扩散系数，m</w:t>
      </w:r>
      <w:r>
        <w:rPr>
          <w:rFonts w:ascii="Times New Roman" w:hAnsi="Times New Roman"/>
          <w:color w:val="auto"/>
          <w:sz w:val="24"/>
          <w:szCs w:val="24"/>
          <w:vertAlign w:val="superscript"/>
        </w:rPr>
        <w:t>2</w:t>
      </w:r>
      <w:r>
        <w:rPr>
          <w:rFonts w:ascii="Times New Roman" w:hAnsi="Times New Roman"/>
          <w:color w:val="auto"/>
          <w:sz w:val="24"/>
          <w:szCs w:val="24"/>
        </w:rPr>
        <w:t>/s；</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k</w:t>
      </w:r>
      <w:r>
        <w:rPr>
          <w:rFonts w:ascii="Times New Roman" w:hAnsi="Times New Roman"/>
          <w:color w:val="auto"/>
          <w:sz w:val="24"/>
          <w:szCs w:val="24"/>
        </w:rPr>
        <w:t>——污染物综合衰减系数，d</w:t>
      </w:r>
      <w:r>
        <w:rPr>
          <w:rFonts w:ascii="Times New Roman" w:hAnsi="Times New Roman" w:eastAsia="微软雅黑"/>
          <w:color w:val="auto"/>
          <w:sz w:val="24"/>
          <w:szCs w:val="24"/>
          <w:vertAlign w:val="superscript"/>
        </w:rPr>
        <w:t>−</w:t>
      </w:r>
      <w:r>
        <w:rPr>
          <w:rFonts w:ascii="Times New Roman" w:hAnsi="Times New Roman"/>
          <w:color w:val="auto"/>
          <w:sz w:val="24"/>
          <w:szCs w:val="24"/>
          <w:vertAlign w:val="superscript"/>
        </w:rPr>
        <w:t>1</w:t>
      </w:r>
      <w:r>
        <w:rPr>
          <w:rFonts w:ascii="Times New Roman" w:hAnsi="Times New Roman"/>
          <w:color w:val="auto"/>
          <w:sz w:val="24"/>
          <w:szCs w:val="24"/>
        </w:rPr>
        <w:t>；</w:t>
      </w:r>
    </w:p>
    <w:p>
      <w:pPr>
        <w:spacing w:line="480" w:lineRule="exact"/>
        <w:ind w:firstLine="482"/>
        <w:rPr>
          <w:rFonts w:ascii="Times New Roman" w:hAnsi="Times New Roman"/>
          <w:color w:val="auto"/>
          <w:sz w:val="24"/>
          <w:szCs w:val="24"/>
        </w:rPr>
      </w:pPr>
      <w:r>
        <w:rPr>
          <w:rFonts w:ascii="Times New Roman" w:hAnsi="Times New Roman"/>
          <w:color w:val="auto"/>
          <w:sz w:val="24"/>
          <w:szCs w:val="24"/>
        </w:rPr>
        <w:t>费希尔法纵向离散系数公式：</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color w:val="auto"/>
        </w:rPr>
      </w:pPr>
      <w:r>
        <w:rPr>
          <w:rFonts w:ascii="Times New Roman" w:hAnsi="Times New Roman"/>
          <w:color w:val="auto"/>
        </w:rPr>
        <w:drawing>
          <wp:inline distT="0" distB="0" distL="114300" distR="114300">
            <wp:extent cx="1095375" cy="419100"/>
            <wp:effectExtent l="0" t="0" r="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pic:cNvPicPr>
                  </pic:nvPicPr>
                  <pic:blipFill>
                    <a:blip r:embed="rId41"/>
                    <a:stretch>
                      <a:fillRect/>
                    </a:stretch>
                  </pic:blipFill>
                  <pic:spPr>
                    <a:xfrm>
                      <a:off x="0" y="0"/>
                      <a:ext cx="1095375" cy="419100"/>
                    </a:xfrm>
                    <a:prstGeom prst="rect">
                      <a:avLst/>
                    </a:prstGeom>
                    <a:noFill/>
                    <a:ln>
                      <a:noFill/>
                    </a:ln>
                  </pic:spPr>
                </pic:pic>
              </a:graphicData>
            </a:graphic>
          </wp:inline>
        </w:drawing>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U*</w:t>
      </w:r>
      <w:r>
        <w:rPr>
          <w:rFonts w:ascii="Times New Roman" w:hAnsi="Times New Roman"/>
          <w:color w:val="auto"/>
          <w:sz w:val="24"/>
          <w:szCs w:val="24"/>
        </w:rPr>
        <w:t>计算公式：</w:t>
      </w:r>
      <w:r>
        <w:rPr>
          <w:rFonts w:ascii="Times New Roman" w:hAnsi="Times New Roman"/>
          <w:color w:val="auto"/>
          <w:sz w:val="24"/>
          <w:szCs w:val="24"/>
        </w:rPr>
        <w:drawing>
          <wp:inline distT="0" distB="0" distL="114300" distR="114300">
            <wp:extent cx="666750" cy="209550"/>
            <wp:effectExtent l="0" t="0" r="0" b="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42"/>
                    <a:stretch>
                      <a:fillRect/>
                    </a:stretch>
                  </pic:blipFill>
                  <pic:spPr>
                    <a:xfrm>
                      <a:off x="0" y="0"/>
                      <a:ext cx="666750" cy="209550"/>
                    </a:xfrm>
                    <a:prstGeom prst="rect">
                      <a:avLst/>
                    </a:prstGeom>
                    <a:noFill/>
                    <a:ln>
                      <a:noFill/>
                    </a:ln>
                  </pic:spPr>
                </pic:pic>
              </a:graphicData>
            </a:graphic>
          </wp:inline>
        </w:drawing>
      </w:r>
      <w:r>
        <w:rPr>
          <w:rFonts w:ascii="Times New Roman" w:hAnsi="Times New Roman"/>
          <w:color w:val="auto"/>
          <w:sz w:val="24"/>
          <w:szCs w:val="24"/>
        </w:rPr>
        <w:t>，（</w:t>
      </w:r>
      <w:r>
        <w:rPr>
          <w:rFonts w:ascii="Times New Roman" w:hAnsi="Times New Roman"/>
          <w:i/>
          <w:iCs/>
          <w:color w:val="auto"/>
          <w:sz w:val="24"/>
          <w:szCs w:val="24"/>
        </w:rPr>
        <w:t>J</w:t>
      </w:r>
      <w:r>
        <w:rPr>
          <w:rFonts w:ascii="Times New Roman" w:hAnsi="Times New Roman"/>
          <w:color w:val="auto"/>
          <w:sz w:val="24"/>
          <w:szCs w:val="24"/>
        </w:rPr>
        <w:t>为水力坡度）</w:t>
      </w:r>
    </w:p>
    <w:p>
      <w:pPr>
        <w:spacing w:line="480" w:lineRule="exact"/>
        <w:ind w:firstLine="482"/>
        <w:rPr>
          <w:rFonts w:ascii="Times New Roman" w:hAnsi="Times New Roman"/>
          <w:color w:val="auto"/>
          <w:sz w:val="24"/>
          <w:szCs w:val="24"/>
        </w:rPr>
      </w:pPr>
      <w:r>
        <w:rPr>
          <w:rFonts w:ascii="Times New Roman" w:hAnsi="Times New Roman"/>
          <w:color w:val="auto"/>
          <w:sz w:val="24"/>
          <w:szCs w:val="24"/>
        </w:rPr>
        <w:t>经计算，Ex约为0.35m</w:t>
      </w:r>
      <w:r>
        <w:rPr>
          <w:rFonts w:ascii="Times New Roman" w:hAnsi="Times New Roman"/>
          <w:color w:val="auto"/>
          <w:sz w:val="24"/>
          <w:szCs w:val="24"/>
          <w:vertAlign w:val="superscript"/>
        </w:rPr>
        <w:t>2</w:t>
      </w:r>
      <w:r>
        <w:rPr>
          <w:rFonts w:ascii="Times New Roman" w:hAnsi="Times New Roman"/>
          <w:color w:val="auto"/>
          <w:sz w:val="24"/>
          <w:szCs w:val="24"/>
        </w:rPr>
        <w:t>/s；</w:t>
      </w:r>
    </w:p>
    <w:p>
      <w:pPr>
        <w:spacing w:line="480" w:lineRule="exact"/>
        <w:ind w:firstLine="482"/>
        <w:rPr>
          <w:rFonts w:ascii="Times New Roman" w:hAnsi="Times New Roman"/>
          <w:color w:val="auto"/>
          <w:sz w:val="24"/>
          <w:szCs w:val="24"/>
        </w:rPr>
      </w:pPr>
      <w:r>
        <w:rPr>
          <w:rFonts w:ascii="Times New Roman" w:hAnsi="Times New Roman"/>
          <w:color w:val="auto"/>
          <w:sz w:val="24"/>
          <w:szCs w:val="24"/>
        </w:rPr>
        <w:t>COD的综合衰减系数K</w:t>
      </w:r>
      <w:r>
        <w:rPr>
          <w:rFonts w:ascii="Times New Roman" w:hAnsi="Times New Roman"/>
          <w:color w:val="auto"/>
          <w:sz w:val="24"/>
          <w:szCs w:val="24"/>
          <w:vertAlign w:val="subscript"/>
        </w:rPr>
        <w:t>COD</w:t>
      </w:r>
      <w:r>
        <w:rPr>
          <w:rFonts w:ascii="Times New Roman" w:hAnsi="Times New Roman"/>
          <w:color w:val="auto"/>
          <w:sz w:val="24"/>
          <w:szCs w:val="24"/>
        </w:rPr>
        <w:t>为0.15d</w:t>
      </w:r>
      <w:r>
        <w:rPr>
          <w:rFonts w:ascii="Times New Roman" w:hAnsi="Times New Roman" w:eastAsia="微软雅黑"/>
          <w:color w:val="auto"/>
          <w:sz w:val="24"/>
          <w:szCs w:val="24"/>
          <w:vertAlign w:val="superscript"/>
        </w:rPr>
        <w:t>−</w:t>
      </w:r>
      <w:r>
        <w:rPr>
          <w:rFonts w:ascii="Times New Roman" w:hAnsi="Times New Roman"/>
          <w:color w:val="auto"/>
          <w:sz w:val="24"/>
          <w:szCs w:val="24"/>
          <w:vertAlign w:val="superscript"/>
        </w:rPr>
        <w:t>1</w:t>
      </w:r>
      <w:r>
        <w:rPr>
          <w:rFonts w:ascii="Times New Roman" w:hAnsi="Times New Roman"/>
          <w:color w:val="auto"/>
          <w:sz w:val="24"/>
          <w:szCs w:val="24"/>
        </w:rPr>
        <w:t>、K</w:t>
      </w:r>
      <w:r>
        <w:rPr>
          <w:rFonts w:ascii="Times New Roman" w:hAnsi="Times New Roman"/>
          <w:color w:val="auto"/>
          <w:sz w:val="24"/>
          <w:szCs w:val="24"/>
          <w:vertAlign w:val="subscript"/>
        </w:rPr>
        <w:t>氨氮</w:t>
      </w:r>
      <w:r>
        <w:rPr>
          <w:rFonts w:ascii="Times New Roman" w:hAnsi="Times New Roman"/>
          <w:color w:val="auto"/>
          <w:sz w:val="24"/>
          <w:szCs w:val="24"/>
        </w:rPr>
        <w:t>为0.11d</w:t>
      </w:r>
      <w:r>
        <w:rPr>
          <w:rFonts w:ascii="Times New Roman" w:hAnsi="Times New Roman" w:eastAsia="微软雅黑"/>
          <w:color w:val="auto"/>
          <w:sz w:val="24"/>
          <w:szCs w:val="24"/>
          <w:vertAlign w:val="superscript"/>
        </w:rPr>
        <w:t>−</w:t>
      </w:r>
      <w:r>
        <w:rPr>
          <w:rFonts w:ascii="Times New Roman" w:hAnsi="Times New Roman"/>
          <w:color w:val="auto"/>
          <w:sz w:val="24"/>
          <w:szCs w:val="24"/>
          <w:vertAlign w:val="superscript"/>
        </w:rPr>
        <w:t>1</w:t>
      </w:r>
      <w:r>
        <w:rPr>
          <w:rFonts w:ascii="Times New Roman" w:hAnsi="Times New Roman"/>
          <w:color w:val="auto"/>
          <w:sz w:val="24"/>
          <w:szCs w:val="24"/>
        </w:rPr>
        <w:t>。</w:t>
      </w:r>
    </w:p>
    <w:p>
      <w:pPr>
        <w:spacing w:line="480" w:lineRule="exact"/>
        <w:ind w:firstLine="482"/>
        <w:rPr>
          <w:rFonts w:ascii="Times New Roman" w:hAnsi="Times New Roman"/>
          <w:color w:val="auto"/>
          <w:sz w:val="24"/>
          <w:szCs w:val="24"/>
        </w:rPr>
      </w:pPr>
      <w:r>
        <w:rPr>
          <w:rFonts w:ascii="Times New Roman" w:hAnsi="Times New Roman"/>
          <w:color w:val="auto"/>
          <w:sz w:val="24"/>
          <w:szCs w:val="24"/>
        </w:rPr>
        <w:t>计算得</w:t>
      </w:r>
      <w:r>
        <w:rPr>
          <w:rFonts w:ascii="Times New Roman" w:hAnsi="Times New Roman"/>
          <w:i/>
          <w:iCs/>
          <w:color w:val="auto"/>
          <w:sz w:val="24"/>
          <w:szCs w:val="24"/>
        </w:rPr>
        <w:t>α</w:t>
      </w:r>
      <w:r>
        <w:rPr>
          <w:rFonts w:ascii="Times New Roman" w:hAnsi="Times New Roman"/>
          <w:i/>
          <w:iCs/>
          <w:color w:val="auto"/>
          <w:sz w:val="24"/>
          <w:szCs w:val="24"/>
          <w:vertAlign w:val="subscript"/>
        </w:rPr>
        <w:t>COD</w:t>
      </w:r>
      <w:r>
        <w:rPr>
          <w:rFonts w:ascii="Times New Roman" w:hAnsi="Times New Roman"/>
          <w:color w:val="auto"/>
          <w:sz w:val="24"/>
          <w:szCs w:val="24"/>
        </w:rPr>
        <w:t>=0.021&lt;0.027，</w:t>
      </w:r>
      <w:r>
        <w:rPr>
          <w:rFonts w:ascii="Times New Roman" w:hAnsi="Times New Roman"/>
          <w:i/>
          <w:iCs/>
          <w:color w:val="auto"/>
          <w:sz w:val="24"/>
          <w:szCs w:val="24"/>
        </w:rPr>
        <w:t>Pe</w:t>
      </w:r>
      <w:r>
        <w:rPr>
          <w:rFonts w:ascii="Times New Roman" w:hAnsi="Times New Roman"/>
          <w:color w:val="auto"/>
          <w:sz w:val="24"/>
          <w:szCs w:val="24"/>
          <w:vertAlign w:val="subscript"/>
        </w:rPr>
        <w:t>COD</w:t>
      </w:r>
      <w:r>
        <w:rPr>
          <w:rFonts w:ascii="Times New Roman" w:hAnsi="Times New Roman"/>
          <w:color w:val="auto"/>
          <w:sz w:val="24"/>
          <w:szCs w:val="24"/>
        </w:rPr>
        <w:t>=4.38&gt;1。适用对流降解模型：</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color w:val="auto"/>
        </w:rPr>
      </w:pPr>
      <w:r>
        <w:rPr>
          <w:rFonts w:ascii="Times New Roman" w:hAnsi="Times New Roman"/>
          <w:iCs/>
          <w:color w:val="auto"/>
        </w:rPr>
        <w:drawing>
          <wp:inline distT="0" distB="0" distL="114300" distR="114300">
            <wp:extent cx="1104900" cy="438150"/>
            <wp:effectExtent l="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43"/>
                    <a:stretch>
                      <a:fillRect/>
                    </a:stretch>
                  </pic:blipFill>
                  <pic:spPr>
                    <a:xfrm>
                      <a:off x="0" y="0"/>
                      <a:ext cx="1104900" cy="438150"/>
                    </a:xfrm>
                    <a:prstGeom prst="rect">
                      <a:avLst/>
                    </a:prstGeom>
                    <a:noFill/>
                    <a:ln>
                      <a:noFill/>
                    </a:ln>
                  </pic:spPr>
                </pic:pic>
              </a:graphicData>
            </a:graphic>
          </wp:inline>
        </w:drawing>
      </w:r>
      <w:r>
        <w:rPr>
          <w:rFonts w:ascii="Times New Roman" w:hAnsi="Times New Roman"/>
          <w:color w:val="auto"/>
        </w:rPr>
        <w:t xml:space="preserve">  x≥0</w:t>
      </w:r>
    </w:p>
    <w:p>
      <w:pPr>
        <w:spacing w:line="480" w:lineRule="exact"/>
        <w:ind w:firstLine="482"/>
        <w:rPr>
          <w:rFonts w:ascii="Times New Roman" w:hAnsi="Times New Roman"/>
          <w:color w:val="auto"/>
          <w:sz w:val="24"/>
          <w:szCs w:val="24"/>
        </w:rPr>
      </w:pPr>
      <w:r>
        <w:rPr>
          <w:rFonts w:ascii="Times New Roman" w:hAnsi="Times New Roman"/>
          <w:color w:val="auto"/>
          <w:sz w:val="24"/>
          <w:szCs w:val="24"/>
        </w:rPr>
        <w:t>式中：</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C</w:t>
      </w:r>
      <w:r>
        <w:rPr>
          <w:rFonts w:ascii="Times New Roman" w:hAnsi="Times New Roman"/>
          <w:color w:val="auto"/>
          <w:sz w:val="24"/>
          <w:szCs w:val="24"/>
        </w:rPr>
        <w:t>——排污水与河流混合后污染物的预测浓度（mg/L）；</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C</w:t>
      </w:r>
      <w:r>
        <w:rPr>
          <w:rFonts w:ascii="Times New Roman" w:hAnsi="Times New Roman"/>
          <w:i/>
          <w:iCs/>
          <w:color w:val="auto"/>
          <w:sz w:val="24"/>
          <w:szCs w:val="24"/>
          <w:vertAlign w:val="subscript"/>
        </w:rPr>
        <w:t>0</w:t>
      </w:r>
      <w:r>
        <w:rPr>
          <w:rFonts w:ascii="Times New Roman" w:hAnsi="Times New Roman"/>
          <w:color w:val="auto"/>
          <w:sz w:val="24"/>
          <w:szCs w:val="24"/>
        </w:rPr>
        <w:t>——河流排放口起始断面污染物混合浓度（mg/L）；</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u</w:t>
      </w:r>
      <w:r>
        <w:rPr>
          <w:rFonts w:ascii="Times New Roman" w:hAnsi="Times New Roman"/>
          <w:color w:val="auto"/>
          <w:sz w:val="24"/>
          <w:szCs w:val="24"/>
        </w:rPr>
        <w:t>——河流断面平均流速（m/s）；</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x</w:t>
      </w:r>
      <w:r>
        <w:rPr>
          <w:rFonts w:ascii="Times New Roman" w:hAnsi="Times New Roman"/>
          <w:color w:val="auto"/>
          <w:sz w:val="24"/>
          <w:szCs w:val="24"/>
        </w:rPr>
        <w:t>——下游断面与起始断面的距离（m）；</w:t>
      </w:r>
    </w:p>
    <w:p>
      <w:pPr>
        <w:spacing w:line="480" w:lineRule="exact"/>
        <w:ind w:firstLine="482"/>
        <w:rPr>
          <w:rFonts w:ascii="Times New Roman" w:hAnsi="Times New Roman"/>
          <w:color w:val="auto"/>
          <w:sz w:val="24"/>
          <w:szCs w:val="24"/>
        </w:rPr>
      </w:pPr>
      <w:r>
        <w:rPr>
          <w:rFonts w:ascii="Times New Roman" w:hAnsi="Times New Roman"/>
          <w:i/>
          <w:iCs/>
          <w:color w:val="auto"/>
          <w:sz w:val="24"/>
          <w:szCs w:val="24"/>
        </w:rPr>
        <w:t>k</w:t>
      </w:r>
      <w:r>
        <w:rPr>
          <w:rFonts w:ascii="Times New Roman" w:hAnsi="Times New Roman"/>
          <w:color w:val="auto"/>
          <w:sz w:val="24"/>
          <w:szCs w:val="24"/>
        </w:rPr>
        <w:t>——污染物衰减系数（l/s）；</w:t>
      </w:r>
    </w:p>
    <w:p>
      <w:pPr>
        <w:spacing w:line="480" w:lineRule="exact"/>
        <w:ind w:firstLine="482"/>
        <w:rPr>
          <w:rFonts w:ascii="Times New Roman" w:hAnsi="Times New Roman"/>
          <w:color w:val="auto"/>
        </w:rPr>
      </w:pPr>
      <w:r>
        <w:rPr>
          <w:rFonts w:ascii="Times New Roman" w:hAnsi="Times New Roman"/>
          <w:color w:val="auto"/>
          <w:sz w:val="24"/>
          <w:szCs w:val="24"/>
        </w:rPr>
        <w:t>污水处理站事故排放出水水质和预测结果见表3.5-1。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黑体" w:hAnsi="黑体" w:eastAsia="黑体"/>
          <w:bCs/>
          <w:color w:val="auto"/>
          <w:sz w:val="24"/>
          <w:szCs w:val="32"/>
        </w:rPr>
      </w:pPr>
      <w:r>
        <w:rPr>
          <w:rFonts w:hint="default" w:ascii="黑体" w:hAnsi="黑体" w:eastAsia="黑体"/>
          <w:bCs/>
          <w:color w:val="auto"/>
          <w:sz w:val="24"/>
          <w:szCs w:val="32"/>
        </w:rPr>
        <w:t>表3.5-1  事故状态下地表水污染物浓度预测结果（</w:t>
      </w:r>
      <w:r>
        <w:rPr>
          <w:rFonts w:hint="eastAsia" w:ascii="黑体" w:hAnsi="黑体" w:eastAsia="黑体"/>
          <w:bCs/>
          <w:color w:val="auto"/>
          <w:sz w:val="24"/>
          <w:szCs w:val="32"/>
          <w:lang w:val="en-US" w:eastAsia="zh-CN"/>
        </w:rPr>
        <w:t>滹沱</w:t>
      </w:r>
      <w:r>
        <w:rPr>
          <w:rFonts w:hint="default" w:ascii="黑体" w:hAnsi="黑体" w:eastAsia="黑体"/>
          <w:bCs/>
          <w:color w:val="auto"/>
          <w:sz w:val="24"/>
          <w:szCs w:val="32"/>
        </w:rPr>
        <w:t>河）  单位：mg/L</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3"/>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bookmarkStart w:id="43" w:name="_Hlk59547487"/>
            <w:r>
              <w:rPr>
                <w:rFonts w:hint="default" w:ascii="Times New Roman" w:hAnsi="Times New Roman" w:cs="Times New Roman"/>
                <w:color w:val="auto"/>
                <w:sz w:val="21"/>
                <w:szCs w:val="21"/>
              </w:rPr>
              <w:t>下游距离（m）</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28.36</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7.65</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28.35</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7.64</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28.34</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7.63</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28.33</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7.62</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28.32</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7.61</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28.31</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7.60</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28.30</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7.59</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28.29</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7.58</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w:t>
            </w:r>
          </w:p>
        </w:tc>
        <w:tc>
          <w:tcPr>
            <w:tcW w:w="1249"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28.28</w:t>
            </w:r>
          </w:p>
        </w:tc>
        <w:tc>
          <w:tcPr>
            <w:tcW w:w="1250" w:type="pct"/>
            <w:noWrap w:val="0"/>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7.57</w:t>
            </w:r>
          </w:p>
        </w:tc>
        <w:tc>
          <w:tcPr>
            <w:tcW w:w="1250" w:type="pct"/>
            <w:noWrap/>
            <w:vAlign w:val="center"/>
          </w:tcPr>
          <w:p>
            <w:pPr>
              <w:pStyle w:val="3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6.86</w:t>
            </w:r>
          </w:p>
          <w:bookmarkEnd w:id="43"/>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由事故状态下预测结果可看出，各预测断面的污染物浓度提高。因此，评价要求建设单位必须采取相应措施，杜绝事故发生，若发生事故，可以将废水收集至</w:t>
      </w:r>
      <w:r>
        <w:rPr>
          <w:rFonts w:hint="eastAsia" w:ascii="Times New Roman" w:hAnsi="Times New Roman"/>
          <w:color w:val="auto"/>
          <w:sz w:val="24"/>
          <w:szCs w:val="24"/>
        </w:rPr>
        <w:t>事故水池</w:t>
      </w:r>
      <w:r>
        <w:rPr>
          <w:rFonts w:ascii="Times New Roman" w:hAnsi="Times New Roman"/>
          <w:color w:val="auto"/>
          <w:sz w:val="24"/>
          <w:szCs w:val="24"/>
        </w:rPr>
        <w:t>暂存，不外排，同时管理方面提出如下措施：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a.通过设置双电源供电系统来提高用电保证率。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b.从发生事故原因来看，机械事故的发生多为违反操作规程，疏于管理所致。因此，本项目建设及生产运行过程中，必须加强对员工的安全教育和技术培训，在项目进行的各个环节的采取有效的安全监控措施，使出现事故的概率降至最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c.企业应建立事故风险应急管理组织机构，制定安全规程、事故防范措施及应急预案。管理人员应职责、权限分明，清楚生产工艺技术和事故风险发生后果，具备解除事故和减绶事故的能力；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d.严格执行设备的维护保养制度，定期对设备、管道、仪表、机泵等装置进行检查，及时处理不安全因素，将其消灭在萌芽状态；各项应急处理器材与设施也必须经常保持处于完好状态；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e.万一发生突发事故，应及时采取处理措施，使事故的危害和影响降到最低限度；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f.事故一旦得到控制，要对事故的原因进行详细分析，对涉及的各种因素的影响行评价，并对今后消除和最大限度减少这些因素提出建议。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非正常情况下，污水未经处理直接排入地表水，无论是平水期还是枯水期，对地表水水质的影响都非常显著，故需加强日常运行的管理，尽量避免事故的发生。</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3.5.3水污染控制和水环境影响减缓措施有效性评价</w:t>
      </w:r>
    </w:p>
    <w:p>
      <w:pPr>
        <w:spacing w:line="480" w:lineRule="exact"/>
        <w:ind w:firstLine="480"/>
        <w:rPr>
          <w:rFonts w:ascii="Times New Roman" w:hAnsi="Times New Roman"/>
          <w:color w:val="auto"/>
          <w:sz w:val="24"/>
          <w:szCs w:val="24"/>
        </w:rPr>
      </w:pPr>
      <w:r>
        <w:rPr>
          <w:rFonts w:ascii="Times New Roman" w:hAnsi="Times New Roman"/>
          <w:color w:val="auto"/>
          <w:sz w:val="24"/>
          <w:szCs w:val="24"/>
        </w:rPr>
        <w:t>本项目运营期生产对地表水环境影响的途径有：污水处理站废水对地表水环境的影响。本次评价从上述途径分析本项目运营期对地表水环境影响，以及水污染控制和水环境影响减缓措施有效性。</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3.5.4污废水排放对地表水环境影响及减缓措施有效性分析</w:t>
      </w:r>
    </w:p>
    <w:p>
      <w:pPr>
        <w:spacing w:line="480" w:lineRule="exact"/>
        <w:ind w:firstLine="480"/>
        <w:rPr>
          <w:rFonts w:hint="default" w:ascii="Times New Roman" w:hAnsi="Times New Roman" w:eastAsia="宋体"/>
          <w:b/>
          <w:bCs/>
          <w:color w:val="auto"/>
          <w:sz w:val="24"/>
          <w:szCs w:val="24"/>
          <w:lang w:val="en-US" w:eastAsia="zh-CN"/>
        </w:rPr>
      </w:pPr>
      <w:r>
        <w:rPr>
          <w:rFonts w:ascii="Times New Roman" w:hAnsi="Times New Roman"/>
          <w:b/>
          <w:bCs/>
          <w:color w:val="auto"/>
          <w:sz w:val="24"/>
          <w:szCs w:val="24"/>
        </w:rPr>
        <w:t>（1）污废水产生情况</w:t>
      </w:r>
      <w:r>
        <w:rPr>
          <w:rFonts w:hint="eastAsia"/>
          <w:b/>
          <w:bCs/>
          <w:color w:val="auto"/>
          <w:sz w:val="24"/>
          <w:szCs w:val="24"/>
          <w:lang w:val="en-US" w:eastAsia="zh-CN"/>
        </w:rPr>
        <w:t>及治理情况</w:t>
      </w:r>
    </w:p>
    <w:p>
      <w:pPr>
        <w:spacing w:line="480" w:lineRule="exact"/>
        <w:ind w:firstLine="480"/>
        <w:rPr>
          <w:rFonts w:hint="eastAsia"/>
          <w:color w:val="auto"/>
          <w:sz w:val="24"/>
          <w:szCs w:val="24"/>
          <w:lang w:eastAsia="zh-CN"/>
        </w:rPr>
      </w:pPr>
      <w:r>
        <w:rPr>
          <w:rFonts w:ascii="Times New Roman" w:hAnsi="Times New Roman"/>
          <w:color w:val="auto"/>
          <w:sz w:val="24"/>
          <w:szCs w:val="24"/>
        </w:rPr>
        <w:t>由工程分析可知，本项目运营期污水处理站废水产生量约</w:t>
      </w:r>
      <w:r>
        <w:rPr>
          <w:rFonts w:hint="eastAsia"/>
          <w:color w:val="auto"/>
          <w:sz w:val="24"/>
          <w:szCs w:val="24"/>
          <w:lang w:val="en-US" w:eastAsia="zh-CN"/>
        </w:rPr>
        <w:t>2000</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/d，其主要污染物为COD、BOD</w:t>
      </w:r>
      <w:r>
        <w:rPr>
          <w:rFonts w:ascii="Times New Roman" w:hAnsi="Times New Roman"/>
          <w:color w:val="auto"/>
          <w:sz w:val="24"/>
          <w:szCs w:val="24"/>
          <w:vertAlign w:val="subscript"/>
        </w:rPr>
        <w:t>5</w:t>
      </w:r>
      <w:r>
        <w:rPr>
          <w:rFonts w:ascii="Times New Roman" w:hAnsi="Times New Roman"/>
          <w:color w:val="auto"/>
          <w:sz w:val="24"/>
          <w:szCs w:val="24"/>
        </w:rPr>
        <w:t>、SS、</w:t>
      </w:r>
      <w:r>
        <w:rPr>
          <w:rFonts w:hint="eastAsia"/>
          <w:color w:val="auto"/>
          <w:sz w:val="24"/>
          <w:szCs w:val="24"/>
          <w:lang w:val="en-US" w:eastAsia="zh-CN"/>
        </w:rPr>
        <w:t>氨氮</w:t>
      </w:r>
      <w:r>
        <w:rPr>
          <w:rFonts w:ascii="Times New Roman" w:hAnsi="Times New Roman"/>
          <w:color w:val="auto"/>
          <w:sz w:val="24"/>
          <w:szCs w:val="24"/>
        </w:rPr>
        <w:t>等</w:t>
      </w:r>
      <w:r>
        <w:rPr>
          <w:rFonts w:hint="eastAsia"/>
          <w:color w:val="auto"/>
          <w:sz w:val="24"/>
          <w:szCs w:val="24"/>
          <w:lang w:eastAsia="zh-CN"/>
        </w:rPr>
        <w:t>。</w:t>
      </w:r>
    </w:p>
    <w:p>
      <w:pPr>
        <w:spacing w:line="480" w:lineRule="exact"/>
        <w:ind w:firstLine="480"/>
        <w:rPr>
          <w:rFonts w:hint="default"/>
          <w:color w:val="auto"/>
          <w:sz w:val="24"/>
          <w:szCs w:val="24"/>
          <w:lang w:val="en-US" w:eastAsia="zh-CN"/>
        </w:rPr>
      </w:pPr>
      <w:r>
        <w:rPr>
          <w:rFonts w:hint="eastAsia"/>
          <w:color w:val="auto"/>
          <w:sz w:val="24"/>
          <w:szCs w:val="24"/>
          <w:lang w:val="en-US" w:eastAsia="zh-CN"/>
        </w:rPr>
        <w:t>本项目废水类别、污染物及污染治理设施信息见下表；排放口设置情况见下表。</w:t>
      </w:r>
    </w:p>
    <w:p>
      <w:pPr>
        <w:spacing w:line="480" w:lineRule="exact"/>
        <w:ind w:firstLine="480"/>
        <w:rPr>
          <w:rFonts w:hint="eastAsia"/>
          <w:color w:val="auto"/>
          <w:sz w:val="24"/>
          <w:szCs w:val="24"/>
          <w:lang w:eastAsia="zh-CN"/>
        </w:rPr>
      </w:pPr>
    </w:p>
    <w:p>
      <w:pPr>
        <w:spacing w:line="480" w:lineRule="exact"/>
        <w:ind w:firstLine="480"/>
        <w:rPr>
          <w:rFonts w:hint="eastAsia"/>
          <w:color w:val="auto"/>
          <w:sz w:val="24"/>
          <w:szCs w:val="24"/>
          <w:lang w:val="en-US" w:eastAsia="zh-CN"/>
        </w:rPr>
        <w:sectPr>
          <w:pgSz w:w="11906" w:h="16838"/>
          <w:pgMar w:top="1417" w:right="1417" w:bottom="1417" w:left="1417" w:header="907" w:footer="964"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黑体" w:hAnsi="黑体" w:eastAsia="黑体"/>
          <w:bCs/>
          <w:color w:val="auto"/>
          <w:sz w:val="24"/>
          <w:szCs w:val="32"/>
        </w:rPr>
      </w:pPr>
      <w:r>
        <w:rPr>
          <w:rFonts w:hint="default" w:ascii="黑体" w:hAnsi="黑体" w:eastAsia="黑体"/>
          <w:bCs/>
          <w:color w:val="auto"/>
          <w:sz w:val="24"/>
          <w:szCs w:val="32"/>
        </w:rPr>
        <w:t>表3.5-</w:t>
      </w:r>
      <w:r>
        <w:rPr>
          <w:rFonts w:hint="eastAsia" w:ascii="黑体" w:hAnsi="黑体" w:eastAsia="黑体"/>
          <w:bCs/>
          <w:color w:val="auto"/>
          <w:sz w:val="24"/>
          <w:szCs w:val="32"/>
          <w:lang w:val="en-US" w:eastAsia="zh-CN"/>
        </w:rPr>
        <w:t>2</w:t>
      </w:r>
      <w:r>
        <w:rPr>
          <w:rFonts w:hint="default" w:ascii="黑体" w:hAnsi="黑体" w:eastAsia="黑体"/>
          <w:bCs/>
          <w:color w:val="auto"/>
          <w:sz w:val="24"/>
          <w:szCs w:val="32"/>
        </w:rPr>
        <w:t xml:space="preserve">  本项目废水类别、污染物及污染治理设施信息见</w:t>
      </w:r>
      <w:r>
        <w:rPr>
          <w:rFonts w:hint="eastAsia" w:ascii="黑体" w:hAnsi="黑体" w:eastAsia="黑体"/>
          <w:bCs/>
          <w:color w:val="auto"/>
          <w:sz w:val="24"/>
          <w:szCs w:val="32"/>
          <w:lang w:val="en-US" w:eastAsia="zh-CN"/>
        </w:rPr>
        <w:t>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2048"/>
        <w:gridCol w:w="1292"/>
        <w:gridCol w:w="1293"/>
        <w:gridCol w:w="1293"/>
        <w:gridCol w:w="1293"/>
        <w:gridCol w:w="1293"/>
        <w:gridCol w:w="1293"/>
        <w:gridCol w:w="1293"/>
        <w:gridCol w:w="1142"/>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序号</w:t>
            </w:r>
          </w:p>
        </w:tc>
        <w:tc>
          <w:tcPr>
            <w:tcW w:w="2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废水类比</w:t>
            </w:r>
          </w:p>
        </w:tc>
        <w:tc>
          <w:tcPr>
            <w:tcW w:w="12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污染物种类</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排放去向</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排放规律</w:t>
            </w:r>
          </w:p>
        </w:tc>
        <w:tc>
          <w:tcPr>
            <w:tcW w:w="387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污染治理设施</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排放口编号</w:t>
            </w:r>
          </w:p>
        </w:tc>
        <w:tc>
          <w:tcPr>
            <w:tcW w:w="11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排放口设置是否符合要求</w:t>
            </w:r>
          </w:p>
        </w:tc>
        <w:tc>
          <w:tcPr>
            <w:tcW w:w="14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20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生活污水，经预处理后的畜禽养殖废水、食品加工业废水</w:t>
            </w:r>
          </w:p>
        </w:tc>
        <w:tc>
          <w:tcPr>
            <w:tcW w:w="129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sq-AL"/>
              </w:rPr>
              <w:t>COD</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直接进入江河、湖、库等水环境</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连续排放、流量稳定</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TA001</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污水处理厂</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预处理+初沉池+五段A/O+机械絮凝+斜管沉淀池+V型滤池+消毒</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DW001</w:t>
            </w:r>
          </w:p>
        </w:tc>
        <w:tc>
          <w:tcPr>
            <w:tcW w:w="11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sym w:font="Wingdings 2" w:char="0052"/>
            </w:r>
            <w:r>
              <w:rPr>
                <w:rFonts w:hint="eastAsia"/>
                <w:color w:val="auto"/>
                <w:sz w:val="21"/>
                <w:szCs w:val="21"/>
                <w:vertAlign w:val="baseline"/>
                <w:lang w:val="en-US" w:eastAsia="zh-CN"/>
              </w:rPr>
              <w:t>是</w:t>
            </w:r>
          </w:p>
        </w:tc>
        <w:tc>
          <w:tcPr>
            <w:tcW w:w="14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sym w:font="Wingdings 2" w:char="0052"/>
            </w:r>
            <w:r>
              <w:rPr>
                <w:rFonts w:hint="eastAsia"/>
                <w:color w:val="auto"/>
                <w:sz w:val="21"/>
                <w:szCs w:val="21"/>
                <w:vertAlign w:val="baseline"/>
                <w:lang w:val="en-US" w:eastAsia="zh-CN"/>
              </w:rPr>
              <w:t>企业总排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20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sq-AL"/>
              </w:rPr>
              <w:t>BOD</w:t>
            </w:r>
            <w:r>
              <w:rPr>
                <w:rFonts w:hint="default" w:ascii="Times New Roman" w:hAnsi="Times New Roman" w:eastAsia="宋体" w:cs="Times New Roman"/>
                <w:color w:val="auto"/>
                <w:sz w:val="21"/>
                <w:szCs w:val="21"/>
                <w:vertAlign w:val="subscript"/>
                <w:lang w:val="sq-AL"/>
              </w:rPr>
              <w:t>5</w:t>
            </w: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1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20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sq-AL"/>
              </w:rPr>
              <w:t>SS</w:t>
            </w: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1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20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sq-AL"/>
              </w:rPr>
              <w:t>NH</w:t>
            </w:r>
            <w:r>
              <w:rPr>
                <w:rFonts w:hint="default" w:ascii="Times New Roman" w:hAnsi="Times New Roman" w:eastAsia="宋体" w:cs="Times New Roman"/>
                <w:color w:val="auto"/>
                <w:sz w:val="21"/>
                <w:szCs w:val="21"/>
                <w:vertAlign w:val="subscript"/>
                <w:lang w:val="sq-AL"/>
              </w:rPr>
              <w:t>3</w:t>
            </w:r>
            <w:r>
              <w:rPr>
                <w:rFonts w:hint="default" w:ascii="Times New Roman" w:hAnsi="Times New Roman" w:eastAsia="宋体" w:cs="Times New Roman"/>
                <w:color w:val="auto"/>
                <w:sz w:val="21"/>
                <w:szCs w:val="21"/>
                <w:lang w:val="sq-AL"/>
              </w:rPr>
              <w:t>-N</w:t>
            </w: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1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2048"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0" w:type="auto"/>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sq-AL"/>
              </w:rPr>
              <w:t>TN</w:t>
            </w: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142"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44"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2048"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0" w:type="auto"/>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sq-AL"/>
              </w:rPr>
              <w:t>TP</w:t>
            </w: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93"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142"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44"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黑体" w:hAnsi="黑体" w:eastAsia="黑体"/>
          <w:bCs/>
          <w:color w:val="auto"/>
          <w:sz w:val="24"/>
          <w:szCs w:val="32"/>
        </w:rPr>
      </w:pPr>
      <w:r>
        <w:rPr>
          <w:rFonts w:hint="default" w:ascii="黑体" w:hAnsi="黑体" w:eastAsia="黑体"/>
          <w:bCs/>
          <w:color w:val="auto"/>
          <w:sz w:val="24"/>
          <w:szCs w:val="32"/>
        </w:rPr>
        <w:t>表3.5-</w:t>
      </w:r>
      <w:r>
        <w:rPr>
          <w:rFonts w:hint="eastAsia" w:ascii="黑体" w:hAnsi="黑体" w:eastAsia="黑体"/>
          <w:bCs/>
          <w:color w:val="auto"/>
          <w:sz w:val="24"/>
          <w:szCs w:val="32"/>
          <w:lang w:val="en-US" w:eastAsia="zh-CN"/>
        </w:rPr>
        <w:t>3</w:t>
      </w:r>
      <w:r>
        <w:rPr>
          <w:rFonts w:hint="default" w:ascii="黑体" w:hAnsi="黑体" w:eastAsia="黑体"/>
          <w:bCs/>
          <w:color w:val="auto"/>
          <w:sz w:val="24"/>
          <w:szCs w:val="32"/>
        </w:rPr>
        <w:t xml:space="preserve">  </w:t>
      </w:r>
      <w:r>
        <w:rPr>
          <w:rFonts w:hint="eastAsia" w:ascii="黑体" w:hAnsi="黑体" w:eastAsia="黑体"/>
          <w:bCs/>
          <w:color w:val="auto"/>
          <w:sz w:val="24"/>
          <w:szCs w:val="32"/>
          <w:lang w:val="en-US" w:eastAsia="zh-CN"/>
        </w:rPr>
        <w:t>废水直接排放口基本情况一览表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981"/>
        <w:gridCol w:w="1346"/>
        <w:gridCol w:w="1336"/>
        <w:gridCol w:w="1054"/>
        <w:gridCol w:w="1273"/>
        <w:gridCol w:w="1043"/>
        <w:gridCol w:w="647"/>
        <w:gridCol w:w="845"/>
        <w:gridCol w:w="1877"/>
        <w:gridCol w:w="1337"/>
        <w:gridCol w:w="1315"/>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序号</w:t>
            </w:r>
          </w:p>
        </w:tc>
        <w:tc>
          <w:tcPr>
            <w:tcW w:w="9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排放口编号</w:t>
            </w:r>
          </w:p>
        </w:tc>
        <w:tc>
          <w:tcPr>
            <w:tcW w:w="268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排放口地理坐标</w:t>
            </w:r>
          </w:p>
        </w:tc>
        <w:tc>
          <w:tcPr>
            <w:tcW w:w="105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废水排放量/（万t/a）</w:t>
            </w:r>
          </w:p>
        </w:tc>
        <w:tc>
          <w:tcPr>
            <w:tcW w:w="127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排放去向</w:t>
            </w:r>
          </w:p>
        </w:tc>
        <w:tc>
          <w:tcPr>
            <w:tcW w:w="104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排放规律</w:t>
            </w:r>
          </w:p>
        </w:tc>
        <w:tc>
          <w:tcPr>
            <w:tcW w:w="64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间歇排放时段</w:t>
            </w:r>
          </w:p>
        </w:tc>
        <w:tc>
          <w:tcPr>
            <w:tcW w:w="272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受纳自然水体信息</w:t>
            </w:r>
          </w:p>
        </w:tc>
        <w:tc>
          <w:tcPr>
            <w:tcW w:w="26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汇入受纳自然水体处理地理坐标</w:t>
            </w:r>
          </w:p>
        </w:tc>
        <w:tc>
          <w:tcPr>
            <w:tcW w:w="6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9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3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经度</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维度</w:t>
            </w:r>
          </w:p>
        </w:tc>
        <w:tc>
          <w:tcPr>
            <w:tcW w:w="105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2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04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64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名称</w:t>
            </w:r>
          </w:p>
        </w:tc>
        <w:tc>
          <w:tcPr>
            <w:tcW w:w="18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收纳水体功能目标</w:t>
            </w:r>
          </w:p>
        </w:tc>
        <w:tc>
          <w:tcPr>
            <w:tcW w:w="13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经度</w:t>
            </w:r>
          </w:p>
        </w:tc>
        <w:tc>
          <w:tcPr>
            <w:tcW w:w="13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维度</w:t>
            </w:r>
          </w:p>
        </w:tc>
        <w:tc>
          <w:tcPr>
            <w:tcW w:w="6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DW001</w:t>
            </w:r>
          </w:p>
        </w:tc>
        <w:tc>
          <w:tcPr>
            <w:tcW w:w="13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113°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9'25.91"</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37'17.07"</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73</w:t>
            </w:r>
          </w:p>
        </w:tc>
        <w:tc>
          <w:tcPr>
            <w:tcW w:w="12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直接进入江河、湖、库等水环境</w:t>
            </w:r>
          </w:p>
        </w:tc>
        <w:tc>
          <w:tcPr>
            <w:tcW w:w="10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连续排放、流量稳定</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滹沱河</w:t>
            </w:r>
          </w:p>
        </w:tc>
        <w:tc>
          <w:tcPr>
            <w:tcW w:w="18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过渡区水源保护，水质要求IV-II类，水质要求不低于现状水质</w:t>
            </w:r>
          </w:p>
        </w:tc>
        <w:tc>
          <w:tcPr>
            <w:tcW w:w="13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113°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9'30.59"</w:t>
            </w:r>
          </w:p>
        </w:tc>
        <w:tc>
          <w:tcPr>
            <w:tcW w:w="13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37'19.94"</w:t>
            </w:r>
          </w:p>
        </w:tc>
        <w:tc>
          <w:tcPr>
            <w:tcW w:w="6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bl>
    <w:p>
      <w:pPr>
        <w:spacing w:line="480" w:lineRule="exact"/>
        <w:ind w:firstLine="480"/>
        <w:rPr>
          <w:rFonts w:hint="eastAsia"/>
          <w:color w:val="auto"/>
          <w:sz w:val="24"/>
          <w:szCs w:val="24"/>
          <w:lang w:val="en-US" w:eastAsia="zh-CN"/>
        </w:rPr>
      </w:pPr>
    </w:p>
    <w:p>
      <w:pPr>
        <w:spacing w:line="480" w:lineRule="exact"/>
        <w:ind w:firstLine="480"/>
        <w:rPr>
          <w:rFonts w:hint="eastAsia"/>
          <w:color w:val="auto"/>
          <w:sz w:val="24"/>
          <w:szCs w:val="24"/>
          <w:lang w:val="en-US" w:eastAsia="zh-CN"/>
        </w:rPr>
      </w:pPr>
    </w:p>
    <w:p>
      <w:pPr>
        <w:spacing w:line="480" w:lineRule="exact"/>
        <w:ind w:firstLine="480"/>
        <w:rPr>
          <w:rFonts w:hint="default"/>
          <w:color w:val="auto"/>
          <w:sz w:val="24"/>
          <w:szCs w:val="24"/>
          <w:lang w:val="en-US" w:eastAsia="zh-CN"/>
        </w:rPr>
        <w:sectPr>
          <w:pgSz w:w="16838" w:h="11906" w:orient="landscape"/>
          <w:pgMar w:top="1417" w:right="1417" w:bottom="1417" w:left="1417" w:header="907" w:footer="964" w:gutter="0"/>
          <w:cols w:space="0" w:num="1"/>
          <w:rtlGutter w:val="0"/>
          <w:docGrid w:type="lines" w:linePitch="312" w:charSpace="0"/>
        </w:sectPr>
      </w:pPr>
    </w:p>
    <w:p>
      <w:pPr>
        <w:spacing w:line="480" w:lineRule="exact"/>
        <w:ind w:firstLine="480"/>
        <w:rPr>
          <w:rFonts w:ascii="Times New Roman" w:hAnsi="Times New Roman"/>
          <w:b/>
          <w:bCs/>
          <w:color w:val="auto"/>
          <w:sz w:val="24"/>
          <w:szCs w:val="24"/>
        </w:rPr>
      </w:pPr>
      <w:r>
        <w:rPr>
          <w:rFonts w:ascii="Times New Roman" w:hAnsi="Times New Roman"/>
          <w:b/>
          <w:bCs/>
          <w:color w:val="auto"/>
          <w:sz w:val="24"/>
          <w:szCs w:val="24"/>
        </w:rPr>
        <w:t>（2）废水治理措施及对地表水环境影响分析</w:t>
      </w:r>
    </w:p>
    <w:p>
      <w:pPr>
        <w:pStyle w:val="112"/>
        <w:ind w:firstLine="480"/>
        <w:jc w:val="both"/>
        <w:rPr>
          <w:color w:val="auto"/>
          <w:sz w:val="24"/>
          <w:szCs w:val="24"/>
        </w:rPr>
      </w:pPr>
      <w:r>
        <w:rPr>
          <w:color w:val="auto"/>
          <w:sz w:val="24"/>
          <w:szCs w:val="24"/>
        </w:rPr>
        <w:t>本项目污水处理站运行后，处理规模为</w:t>
      </w:r>
      <w:r>
        <w:rPr>
          <w:rFonts w:hint="eastAsia"/>
          <w:color w:val="auto"/>
          <w:sz w:val="24"/>
          <w:szCs w:val="24"/>
          <w:lang w:val="en-US" w:eastAsia="zh-CN"/>
        </w:rPr>
        <w:t>20</w:t>
      </w:r>
      <w:r>
        <w:rPr>
          <w:color w:val="auto"/>
          <w:sz w:val="24"/>
          <w:szCs w:val="24"/>
        </w:rPr>
        <w:t>00m</w:t>
      </w:r>
      <w:r>
        <w:rPr>
          <w:color w:val="auto"/>
          <w:sz w:val="24"/>
          <w:szCs w:val="24"/>
          <w:vertAlign w:val="superscript"/>
        </w:rPr>
        <w:t>3</w:t>
      </w:r>
      <w:r>
        <w:rPr>
          <w:color w:val="auto"/>
          <w:sz w:val="24"/>
          <w:szCs w:val="24"/>
        </w:rPr>
        <w:t>/d，出水标准达到《城镇污水处理厂污染物排放标准》（GB18918-2002）中的一级A标准要求，出水COD、TP和NH</w:t>
      </w:r>
      <w:r>
        <w:rPr>
          <w:color w:val="auto"/>
          <w:sz w:val="24"/>
          <w:szCs w:val="24"/>
          <w:vertAlign w:val="subscript"/>
        </w:rPr>
        <w:t>3</w:t>
      </w:r>
      <w:r>
        <w:rPr>
          <w:color w:val="auto"/>
          <w:sz w:val="24"/>
          <w:szCs w:val="24"/>
        </w:rPr>
        <w:t>-N三项指标稳定达到《污水综合排放标准》（DB14-1928-2019）中的表2标准要求后外排。本项目投入运行后，本项目主要水污染物排放见表3.5-</w:t>
      </w:r>
      <w:r>
        <w:rPr>
          <w:rFonts w:hint="eastAsia"/>
          <w:color w:val="auto"/>
          <w:sz w:val="24"/>
          <w:szCs w:val="24"/>
          <w:lang w:val="en-US" w:eastAsia="zh-CN"/>
        </w:rPr>
        <w:t>4</w:t>
      </w:r>
      <w:r>
        <w:rPr>
          <w:color w:val="auto"/>
          <w:sz w:val="24"/>
          <w:szCs w:val="24"/>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黑体" w:hAnsi="黑体" w:eastAsia="黑体"/>
          <w:bCs/>
          <w:color w:val="auto"/>
          <w:sz w:val="24"/>
          <w:szCs w:val="32"/>
        </w:rPr>
      </w:pPr>
      <w:r>
        <w:rPr>
          <w:rFonts w:hint="default" w:ascii="黑体" w:hAnsi="黑体" w:eastAsia="黑体"/>
          <w:bCs/>
          <w:color w:val="auto"/>
          <w:sz w:val="24"/>
          <w:szCs w:val="32"/>
        </w:rPr>
        <w:t>表3.5-</w:t>
      </w:r>
      <w:r>
        <w:rPr>
          <w:rFonts w:hint="eastAsia" w:ascii="黑体" w:hAnsi="黑体" w:eastAsia="黑体"/>
          <w:bCs/>
          <w:color w:val="auto"/>
          <w:sz w:val="24"/>
          <w:szCs w:val="32"/>
          <w:lang w:val="en-US" w:eastAsia="zh-CN"/>
        </w:rPr>
        <w:t>4</w:t>
      </w:r>
      <w:r>
        <w:rPr>
          <w:rFonts w:hint="default" w:ascii="黑体" w:hAnsi="黑体" w:eastAsia="黑体"/>
          <w:bCs/>
          <w:color w:val="auto"/>
          <w:sz w:val="24"/>
          <w:szCs w:val="32"/>
        </w:rPr>
        <w:t xml:space="preserve">  水污染物排放情况</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257"/>
        <w:gridCol w:w="1850"/>
        <w:gridCol w:w="1263"/>
        <w:gridCol w:w="1812"/>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污染物</w:t>
            </w:r>
          </w:p>
        </w:tc>
        <w:tc>
          <w:tcPr>
            <w:tcW w:w="3107"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进水</w:t>
            </w:r>
          </w:p>
        </w:tc>
        <w:tc>
          <w:tcPr>
            <w:tcW w:w="3075"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出水</w:t>
            </w:r>
          </w:p>
        </w:tc>
        <w:tc>
          <w:tcPr>
            <w:tcW w:w="178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sq-AL"/>
              </w:rPr>
              <w:t>削减量</w:t>
            </w:r>
            <w:r>
              <w:rPr>
                <w:rFonts w:hint="eastAsia"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水质mg/L</w:t>
            </w:r>
          </w:p>
        </w:tc>
        <w:tc>
          <w:tcPr>
            <w:tcW w:w="185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污染物产生量t/a</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水质mg/L</w:t>
            </w:r>
          </w:p>
        </w:tc>
        <w:tc>
          <w:tcPr>
            <w:tcW w:w="1812"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污染物排放量t/a</w:t>
            </w:r>
          </w:p>
        </w:tc>
        <w:tc>
          <w:tcPr>
            <w:tcW w:w="178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sq-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废水量</w:t>
            </w:r>
          </w:p>
        </w:tc>
        <w:tc>
          <w:tcPr>
            <w:tcW w:w="3107"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eastAsia" w:cs="Times New Roman"/>
                <w:color w:val="auto"/>
                <w:sz w:val="21"/>
                <w:szCs w:val="21"/>
                <w:lang w:val="en-US" w:eastAsia="zh-CN"/>
              </w:rPr>
              <w:t>730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sq-AL"/>
              </w:rPr>
              <w:t>00 m</w:t>
            </w:r>
            <w:r>
              <w:rPr>
                <w:rFonts w:hint="default" w:ascii="Times New Roman" w:hAnsi="Times New Roman" w:eastAsia="宋体" w:cs="Times New Roman"/>
                <w:color w:val="auto"/>
                <w:sz w:val="21"/>
                <w:szCs w:val="21"/>
                <w:vertAlign w:val="superscript"/>
                <w:lang w:val="sq-AL"/>
              </w:rPr>
              <w:t>3</w:t>
            </w:r>
            <w:r>
              <w:rPr>
                <w:rFonts w:hint="default" w:ascii="Times New Roman" w:hAnsi="Times New Roman" w:eastAsia="宋体" w:cs="Times New Roman"/>
                <w:color w:val="auto"/>
                <w:sz w:val="21"/>
                <w:szCs w:val="21"/>
                <w:lang w:val="sq-AL"/>
              </w:rPr>
              <w:t>/a（</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sq-AL"/>
              </w:rPr>
              <w:t>00m</w:t>
            </w:r>
            <w:r>
              <w:rPr>
                <w:rFonts w:hint="default" w:ascii="Times New Roman" w:hAnsi="Times New Roman" w:eastAsia="宋体" w:cs="Times New Roman"/>
                <w:color w:val="auto"/>
                <w:sz w:val="21"/>
                <w:szCs w:val="21"/>
                <w:vertAlign w:val="superscript"/>
                <w:lang w:val="sq-AL"/>
              </w:rPr>
              <w:t>3</w:t>
            </w:r>
            <w:r>
              <w:rPr>
                <w:rFonts w:hint="default" w:ascii="Times New Roman" w:hAnsi="Times New Roman" w:eastAsia="宋体" w:cs="Times New Roman"/>
                <w:color w:val="auto"/>
                <w:sz w:val="21"/>
                <w:szCs w:val="21"/>
                <w:lang w:val="sq-AL"/>
              </w:rPr>
              <w:t>/d）</w:t>
            </w:r>
          </w:p>
        </w:tc>
        <w:tc>
          <w:tcPr>
            <w:tcW w:w="3075"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eastAsia" w:cs="Times New Roman"/>
                <w:color w:val="auto"/>
                <w:sz w:val="21"/>
                <w:szCs w:val="21"/>
                <w:lang w:val="en-US" w:eastAsia="zh-CN"/>
              </w:rPr>
              <w:t>730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sq-AL"/>
              </w:rPr>
              <w:t>00 m</w:t>
            </w:r>
            <w:r>
              <w:rPr>
                <w:rFonts w:hint="default" w:ascii="Times New Roman" w:hAnsi="Times New Roman" w:eastAsia="宋体" w:cs="Times New Roman"/>
                <w:color w:val="auto"/>
                <w:sz w:val="21"/>
                <w:szCs w:val="21"/>
                <w:vertAlign w:val="superscript"/>
                <w:lang w:val="sq-AL"/>
              </w:rPr>
              <w:t>3</w:t>
            </w:r>
            <w:r>
              <w:rPr>
                <w:rFonts w:hint="default" w:ascii="Times New Roman" w:hAnsi="Times New Roman" w:eastAsia="宋体" w:cs="Times New Roman"/>
                <w:color w:val="auto"/>
                <w:sz w:val="21"/>
                <w:szCs w:val="21"/>
                <w:lang w:val="sq-AL"/>
              </w:rPr>
              <w:t>/a（</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sq-AL"/>
              </w:rPr>
              <w:t>00m</w:t>
            </w:r>
            <w:r>
              <w:rPr>
                <w:rFonts w:hint="default" w:ascii="Times New Roman" w:hAnsi="Times New Roman" w:eastAsia="宋体" w:cs="Times New Roman"/>
                <w:color w:val="auto"/>
                <w:sz w:val="21"/>
                <w:szCs w:val="21"/>
                <w:vertAlign w:val="superscript"/>
                <w:lang w:val="sq-AL"/>
              </w:rPr>
              <w:t>3</w:t>
            </w:r>
            <w:r>
              <w:rPr>
                <w:rFonts w:hint="default" w:ascii="Times New Roman" w:hAnsi="Times New Roman" w:eastAsia="宋体" w:cs="Times New Roman"/>
                <w:color w:val="auto"/>
                <w:sz w:val="21"/>
                <w:szCs w:val="21"/>
                <w:lang w:val="sq-AL"/>
              </w:rPr>
              <w:t>/d）</w:t>
            </w:r>
          </w:p>
        </w:tc>
        <w:tc>
          <w:tcPr>
            <w:tcW w:w="178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COD</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lang w:val="en-US"/>
              </w:rPr>
            </w:pPr>
            <w:r>
              <w:rPr>
                <w:rFonts w:hint="eastAsia" w:cs="Times New Roman"/>
                <w:color w:val="auto"/>
                <w:sz w:val="21"/>
                <w:szCs w:val="21"/>
                <w:lang w:val="en-US" w:eastAsia="zh-CN"/>
              </w:rPr>
              <w:t>500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40</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29.2</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BOD</w:t>
            </w:r>
            <w:r>
              <w:rPr>
                <w:rFonts w:hint="default" w:ascii="Times New Roman" w:hAnsi="Times New Roman" w:eastAsia="宋体" w:cs="Times New Roman"/>
                <w:color w:val="auto"/>
                <w:sz w:val="21"/>
                <w:szCs w:val="21"/>
                <w:vertAlign w:val="subscript"/>
                <w:lang w:val="sq-AL"/>
              </w:rPr>
              <w:t>5</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lang w:val="en-US"/>
              </w:rPr>
            </w:pPr>
            <w:r>
              <w:rPr>
                <w:rFonts w:hint="eastAsia" w:cs="Times New Roman"/>
                <w:color w:val="auto"/>
                <w:sz w:val="21"/>
                <w:szCs w:val="21"/>
                <w:lang w:val="en-US" w:eastAsia="zh-CN"/>
              </w:rPr>
              <w:t>160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116.8</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10</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SS</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lang w:val="en-US"/>
              </w:rPr>
            </w:pPr>
            <w:r>
              <w:rPr>
                <w:rFonts w:hint="eastAsia" w:cs="Times New Roman"/>
                <w:color w:val="auto"/>
                <w:sz w:val="21"/>
                <w:szCs w:val="21"/>
                <w:lang w:val="en-US" w:eastAsia="zh-CN"/>
              </w:rPr>
              <w:t>200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10</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NH</w:t>
            </w:r>
            <w:r>
              <w:rPr>
                <w:rFonts w:hint="default" w:ascii="Times New Roman" w:hAnsi="Times New Roman" w:eastAsia="宋体" w:cs="Times New Roman"/>
                <w:color w:val="auto"/>
                <w:sz w:val="21"/>
                <w:szCs w:val="21"/>
                <w:vertAlign w:val="subscript"/>
                <w:lang w:val="sq-AL"/>
              </w:rPr>
              <w:t>3</w:t>
            </w:r>
            <w:r>
              <w:rPr>
                <w:rFonts w:hint="default" w:ascii="Times New Roman" w:hAnsi="Times New Roman" w:eastAsia="宋体" w:cs="Times New Roman"/>
                <w:color w:val="auto"/>
                <w:sz w:val="21"/>
                <w:szCs w:val="21"/>
                <w:lang w:val="sq-AL"/>
              </w:rPr>
              <w:t>-N</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45</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32.85</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2</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TN</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60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43.8</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15</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10.95</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TP</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6.0</w:t>
            </w:r>
          </w:p>
        </w:tc>
        <w:tc>
          <w:tcPr>
            <w:tcW w:w="1850"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4.38</w:t>
            </w:r>
          </w:p>
        </w:tc>
        <w:tc>
          <w:tcPr>
            <w:tcW w:w="12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lang w:val="sq-AL"/>
              </w:rPr>
              <w:t>0.4</w:t>
            </w:r>
          </w:p>
        </w:tc>
        <w:tc>
          <w:tcPr>
            <w:tcW w:w="1812"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0.292</w:t>
            </w:r>
          </w:p>
        </w:tc>
        <w:tc>
          <w:tcPr>
            <w:tcW w:w="1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4.088</w:t>
            </w:r>
          </w:p>
        </w:tc>
      </w:tr>
    </w:tbl>
    <w:p>
      <w:pPr>
        <w:spacing w:line="460" w:lineRule="exact"/>
        <w:ind w:firstLine="496" w:firstLineChars="200"/>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rPr>
        <w:t>由表3.5-2可看出，</w:t>
      </w:r>
      <w:r>
        <w:rPr>
          <w:rFonts w:hint="default" w:ascii="Times New Roman" w:hAnsi="Times New Roman" w:cs="Times New Roman"/>
          <w:color w:val="auto"/>
          <w:spacing w:val="4"/>
          <w:sz w:val="24"/>
          <w:szCs w:val="24"/>
          <w:lang w:val="sq-AL"/>
        </w:rPr>
        <w:t>本项目建成投产后，污水中的主要污染物CODcr、BOD</w:t>
      </w:r>
      <w:r>
        <w:rPr>
          <w:rFonts w:hint="default" w:ascii="Times New Roman" w:hAnsi="Times New Roman" w:cs="Times New Roman"/>
          <w:color w:val="auto"/>
          <w:spacing w:val="4"/>
          <w:sz w:val="24"/>
          <w:szCs w:val="24"/>
          <w:vertAlign w:val="subscript"/>
          <w:lang w:val="sq-AL"/>
        </w:rPr>
        <w:t>5</w:t>
      </w:r>
      <w:r>
        <w:rPr>
          <w:rFonts w:hint="default" w:ascii="Times New Roman" w:hAnsi="Times New Roman" w:cs="Times New Roman"/>
          <w:color w:val="auto"/>
          <w:spacing w:val="4"/>
          <w:sz w:val="24"/>
          <w:szCs w:val="24"/>
          <w:lang w:val="sq-AL"/>
        </w:rPr>
        <w:t>、SS、NH</w:t>
      </w:r>
      <w:r>
        <w:rPr>
          <w:rFonts w:hint="default" w:ascii="Times New Roman" w:hAnsi="Times New Roman" w:cs="Times New Roman"/>
          <w:color w:val="auto"/>
          <w:spacing w:val="4"/>
          <w:sz w:val="24"/>
          <w:szCs w:val="24"/>
          <w:vertAlign w:val="subscript"/>
          <w:lang w:val="sq-AL"/>
        </w:rPr>
        <w:t>3</w:t>
      </w:r>
      <w:r>
        <w:rPr>
          <w:rFonts w:hint="default" w:ascii="Times New Roman" w:hAnsi="Times New Roman" w:cs="Times New Roman"/>
          <w:color w:val="auto"/>
          <w:spacing w:val="4"/>
          <w:sz w:val="24"/>
          <w:szCs w:val="24"/>
          <w:lang w:val="sq-AL"/>
        </w:rPr>
        <w:t>-N、TN、TP的削减量分别为</w:t>
      </w:r>
      <w:r>
        <w:rPr>
          <w:rFonts w:hint="eastAsia" w:cs="Times New Roman"/>
          <w:color w:val="auto"/>
          <w:spacing w:val="4"/>
          <w:sz w:val="24"/>
          <w:szCs w:val="24"/>
          <w:lang w:val="en-US" w:eastAsia="zh-CN"/>
        </w:rPr>
        <w:t>335.8</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109.5</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138.7</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31.39</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32.85</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4.088</w:t>
      </w:r>
      <w:r>
        <w:rPr>
          <w:rFonts w:hint="default" w:ascii="Times New Roman" w:hAnsi="Times New Roman" w:cs="Times New Roman"/>
          <w:color w:val="auto"/>
          <w:spacing w:val="4"/>
          <w:sz w:val="24"/>
          <w:szCs w:val="24"/>
          <w:lang w:val="sq-AL"/>
        </w:rPr>
        <w:t>t/a，由此可见本项目污水处理站的建设环境</w:t>
      </w:r>
      <w:r>
        <w:rPr>
          <w:rFonts w:hint="default" w:ascii="Times New Roman" w:hAnsi="Times New Roman" w:cs="Times New Roman"/>
          <w:color w:val="auto"/>
          <w:spacing w:val="4"/>
          <w:sz w:val="24"/>
          <w:szCs w:val="24"/>
          <w:lang w:val="en-US" w:eastAsia="zh-CN"/>
        </w:rPr>
        <w:t>正</w:t>
      </w:r>
      <w:r>
        <w:rPr>
          <w:rFonts w:hint="default" w:ascii="Times New Roman" w:hAnsi="Times New Roman" w:cs="Times New Roman"/>
          <w:color w:val="auto"/>
          <w:spacing w:val="4"/>
          <w:sz w:val="24"/>
          <w:szCs w:val="24"/>
          <w:lang w:val="sq-AL"/>
        </w:rPr>
        <w:t>效益是非常明显的</w:t>
      </w:r>
      <w:r>
        <w:rPr>
          <w:rFonts w:hint="default" w:ascii="Times New Roman" w:hAnsi="Times New Roman" w:cs="Times New Roman"/>
          <w:color w:val="auto"/>
          <w:spacing w:val="4"/>
          <w:sz w:val="24"/>
          <w:szCs w:val="24"/>
        </w:rPr>
        <w:t>。</w:t>
      </w:r>
    </w:p>
    <w:p>
      <w:pPr>
        <w:pStyle w:val="112"/>
        <w:ind w:firstLine="480"/>
        <w:jc w:val="both"/>
        <w:rPr>
          <w:color w:val="auto"/>
          <w:sz w:val="24"/>
          <w:szCs w:val="24"/>
        </w:rPr>
      </w:pPr>
      <w:r>
        <w:rPr>
          <w:color w:val="auto"/>
          <w:sz w:val="24"/>
          <w:szCs w:val="24"/>
        </w:rPr>
        <w:t>另外，本项目污水处理站处理后的生活污水，可优先用于附近村庄农田灌溉及</w:t>
      </w:r>
      <w:r>
        <w:rPr>
          <w:rFonts w:hint="eastAsia"/>
          <w:color w:val="auto"/>
          <w:sz w:val="24"/>
          <w:szCs w:val="24"/>
          <w:lang w:val="en-US" w:eastAsia="zh-CN"/>
        </w:rPr>
        <w:t>市政</w:t>
      </w:r>
      <w:r>
        <w:rPr>
          <w:color w:val="auto"/>
          <w:sz w:val="24"/>
          <w:szCs w:val="24"/>
        </w:rPr>
        <w:t>绿化用水</w:t>
      </w:r>
      <w:r>
        <w:rPr>
          <w:rFonts w:hint="eastAsia"/>
          <w:color w:val="auto"/>
          <w:sz w:val="24"/>
          <w:szCs w:val="24"/>
          <w:lang w:eastAsia="zh-CN"/>
        </w:rPr>
        <w:t>、</w:t>
      </w:r>
      <w:r>
        <w:rPr>
          <w:rFonts w:hint="eastAsia"/>
          <w:color w:val="auto"/>
          <w:sz w:val="24"/>
          <w:szCs w:val="24"/>
          <w:lang w:val="en-US" w:eastAsia="zh-CN"/>
        </w:rPr>
        <w:t>道路浇洒</w:t>
      </w:r>
      <w:r>
        <w:rPr>
          <w:color w:val="auto"/>
          <w:sz w:val="24"/>
          <w:szCs w:val="24"/>
        </w:rPr>
        <w:t>。</w:t>
      </w:r>
    </w:p>
    <w:p>
      <w:pPr>
        <w:spacing w:line="460" w:lineRule="exact"/>
        <w:ind w:firstLine="496" w:firstLineChars="200"/>
        <w:rPr>
          <w:rFonts w:ascii="Times New Roman" w:hAnsi="Times New Roman"/>
          <w:bCs/>
          <w:color w:val="auto"/>
          <w:spacing w:val="4"/>
          <w:sz w:val="24"/>
          <w:szCs w:val="24"/>
        </w:rPr>
      </w:pPr>
      <w:r>
        <w:rPr>
          <w:rFonts w:ascii="Times New Roman" w:hAnsi="Times New Roman"/>
          <w:bCs/>
          <w:color w:val="auto"/>
          <w:spacing w:val="4"/>
          <w:sz w:val="24"/>
          <w:szCs w:val="24"/>
        </w:rPr>
        <w:t>针对污水处理工程特点本次评价提出以下水污染防治措施与对策：</w:t>
      </w:r>
    </w:p>
    <w:p>
      <w:pPr>
        <w:spacing w:line="480" w:lineRule="exact"/>
        <w:ind w:firstLine="496" w:firstLineChars="200"/>
        <w:rPr>
          <w:rFonts w:ascii="Times New Roman" w:hAnsi="Times New Roman"/>
          <w:bCs/>
          <w:color w:val="auto"/>
          <w:spacing w:val="4"/>
          <w:sz w:val="24"/>
          <w:szCs w:val="24"/>
        </w:rPr>
      </w:pPr>
      <w:r>
        <w:rPr>
          <w:rFonts w:hint="eastAsia" w:ascii="宋体" w:hAnsi="宋体" w:cs="宋体"/>
          <w:bCs/>
          <w:color w:val="auto"/>
          <w:spacing w:val="4"/>
          <w:sz w:val="24"/>
          <w:szCs w:val="24"/>
        </w:rPr>
        <w:t>①</w:t>
      </w:r>
      <w:r>
        <w:rPr>
          <w:rFonts w:ascii="Times New Roman" w:hAnsi="Times New Roman"/>
          <w:bCs/>
          <w:color w:val="auto"/>
          <w:spacing w:val="4"/>
          <w:sz w:val="24"/>
          <w:szCs w:val="24"/>
        </w:rPr>
        <w:t>注意污水处理站厂区内各管道的管理，防止堵塞管道造成废水外溢。</w:t>
      </w:r>
    </w:p>
    <w:p>
      <w:pPr>
        <w:spacing w:line="480" w:lineRule="exact"/>
        <w:ind w:firstLine="496" w:firstLineChars="200"/>
        <w:rPr>
          <w:rFonts w:ascii="Times New Roman" w:hAnsi="Times New Roman"/>
          <w:bCs/>
          <w:color w:val="auto"/>
          <w:spacing w:val="4"/>
          <w:sz w:val="24"/>
          <w:szCs w:val="24"/>
        </w:rPr>
      </w:pPr>
      <w:r>
        <w:rPr>
          <w:rFonts w:hint="eastAsia" w:ascii="宋体" w:hAnsi="宋体" w:cs="宋体"/>
          <w:bCs/>
          <w:color w:val="auto"/>
          <w:spacing w:val="4"/>
          <w:sz w:val="24"/>
          <w:szCs w:val="24"/>
        </w:rPr>
        <w:t>②</w:t>
      </w:r>
      <w:r>
        <w:rPr>
          <w:rFonts w:ascii="Times New Roman" w:hAnsi="Times New Roman"/>
          <w:bCs/>
          <w:color w:val="auto"/>
          <w:spacing w:val="4"/>
          <w:sz w:val="24"/>
          <w:szCs w:val="24"/>
        </w:rPr>
        <w:t>对各功能水池进行防渗处理，防止废水下渗污染地下水资源。</w:t>
      </w:r>
    </w:p>
    <w:p>
      <w:pPr>
        <w:spacing w:line="480" w:lineRule="exact"/>
        <w:ind w:firstLine="480" w:firstLineChars="200"/>
        <w:rPr>
          <w:rFonts w:ascii="Times New Roman" w:hAnsi="Times New Roman"/>
          <w:color w:val="auto"/>
          <w:sz w:val="24"/>
          <w:szCs w:val="24"/>
        </w:rPr>
      </w:pPr>
      <w:r>
        <w:rPr>
          <w:rFonts w:ascii="Times New Roman" w:hAnsi="Times New Roman"/>
          <w:color w:val="auto"/>
          <w:sz w:val="24"/>
          <w:szCs w:val="24"/>
        </w:rPr>
        <w:t>做好厂内构筑物的防渗工作，各构筑物的抗渗等级为S6，污水处理构筑物的混凝土等级采用C30，污水处理厂所有构筑物的设计应满足《给水排水工程构筑物结构设计规范》（GB50069-2002）的要求，防渗设计及施工应严格按照《地下工程防水技术规范》（GB50108-2001）来实施。</w:t>
      </w:r>
    </w:p>
    <w:p>
      <w:pPr>
        <w:spacing w:line="480" w:lineRule="exact"/>
        <w:ind w:firstLine="480" w:firstLineChars="200"/>
        <w:rPr>
          <w:rFonts w:ascii="Times New Roman" w:hAnsi="Times New Roman"/>
          <w:color w:val="auto"/>
          <w:sz w:val="24"/>
          <w:szCs w:val="24"/>
        </w:rPr>
      </w:pPr>
      <w:r>
        <w:rPr>
          <w:rFonts w:ascii="Times New Roman" w:hAnsi="Times New Roman"/>
          <w:color w:val="auto"/>
          <w:sz w:val="24"/>
          <w:szCs w:val="24"/>
        </w:rPr>
        <w:t>具体防渗措施如下：各处理构筑物均采用刚性防渗结构，水泥基渗透结晶型抗渗混凝土（厚度不小于250mm）＋水泥基渗透结晶型抗防渗涂层（厚度不小于1.0mm）结构形式，渗透系数不应大于1.0×10</w:t>
      </w:r>
      <w:r>
        <w:rPr>
          <w:rFonts w:ascii="Times New Roman" w:hAnsi="Times New Roman"/>
          <w:color w:val="auto"/>
          <w:sz w:val="24"/>
          <w:szCs w:val="24"/>
          <w:vertAlign w:val="superscript"/>
        </w:rPr>
        <w:t>-12</w:t>
      </w:r>
      <w:r>
        <w:rPr>
          <w:rFonts w:ascii="Times New Roman" w:hAnsi="Times New Roman"/>
          <w:color w:val="auto"/>
          <w:sz w:val="24"/>
          <w:szCs w:val="24"/>
        </w:rPr>
        <w:t>cm/s；</w:t>
      </w:r>
    </w:p>
    <w:p>
      <w:pPr>
        <w:spacing w:line="480" w:lineRule="exact"/>
        <w:ind w:firstLine="480" w:firstLineChars="200"/>
        <w:rPr>
          <w:rFonts w:ascii="Times New Roman" w:hAnsi="Times New Roman"/>
          <w:color w:val="auto"/>
          <w:sz w:val="24"/>
          <w:szCs w:val="24"/>
        </w:rPr>
      </w:pPr>
      <w:r>
        <w:rPr>
          <w:rFonts w:ascii="Times New Roman" w:hAnsi="Times New Roman"/>
          <w:color w:val="auto"/>
          <w:sz w:val="24"/>
          <w:szCs w:val="24"/>
        </w:rPr>
        <w:t>污泥池采取的防渗措施如下：采用刚性防渗结构，水泥基渗透结晶型抗渗混凝土（厚度不小于150mm）＋水泥基渗透结晶型抗防渗涂层（厚度不小于0.8mm）结构形式，渗透系数不应大于1.0×10</w:t>
      </w:r>
      <w:r>
        <w:rPr>
          <w:rFonts w:ascii="Times New Roman" w:hAnsi="Times New Roman"/>
          <w:color w:val="auto"/>
          <w:sz w:val="24"/>
          <w:szCs w:val="24"/>
          <w:vertAlign w:val="superscript"/>
        </w:rPr>
        <w:t>-10</w:t>
      </w:r>
      <w:r>
        <w:rPr>
          <w:rFonts w:ascii="Times New Roman" w:hAnsi="Times New Roman"/>
          <w:color w:val="auto"/>
          <w:sz w:val="24"/>
          <w:szCs w:val="24"/>
        </w:rPr>
        <w:t>cm/s；</w:t>
      </w:r>
    </w:p>
    <w:p>
      <w:pPr>
        <w:spacing w:line="480" w:lineRule="exact"/>
        <w:ind w:firstLine="480" w:firstLineChars="200"/>
        <w:rPr>
          <w:rFonts w:ascii="Times New Roman" w:hAnsi="Times New Roman"/>
          <w:color w:val="auto"/>
          <w:sz w:val="24"/>
          <w:szCs w:val="24"/>
        </w:rPr>
      </w:pPr>
      <w:r>
        <w:rPr>
          <w:rFonts w:ascii="Times New Roman" w:hAnsi="Times New Roman"/>
          <w:color w:val="auto"/>
          <w:sz w:val="24"/>
          <w:szCs w:val="24"/>
        </w:rPr>
        <w:t>采取以上措施后，可有效防止废水下渗污染地下水资源。</w:t>
      </w:r>
    </w:p>
    <w:p>
      <w:pPr>
        <w:spacing w:line="480" w:lineRule="exact"/>
        <w:ind w:firstLine="496" w:firstLineChars="200"/>
        <w:rPr>
          <w:rFonts w:ascii="Times New Roman" w:hAnsi="Times New Roman"/>
          <w:bCs/>
          <w:color w:val="auto"/>
          <w:spacing w:val="4"/>
          <w:sz w:val="24"/>
          <w:szCs w:val="24"/>
        </w:rPr>
      </w:pPr>
      <w:r>
        <w:rPr>
          <w:rFonts w:hint="eastAsia" w:ascii="宋体" w:hAnsi="宋体" w:cs="宋体"/>
          <w:bCs/>
          <w:color w:val="auto"/>
          <w:spacing w:val="4"/>
          <w:sz w:val="24"/>
          <w:szCs w:val="24"/>
        </w:rPr>
        <w:t>③</w:t>
      </w:r>
      <w:r>
        <w:rPr>
          <w:rFonts w:ascii="Times New Roman" w:hAnsi="Times New Roman"/>
          <w:bCs/>
          <w:color w:val="auto"/>
          <w:spacing w:val="4"/>
          <w:sz w:val="24"/>
          <w:szCs w:val="24"/>
        </w:rPr>
        <w:t>污泥脱水后的滤液、冲洗水须返回中间水池处理达标后方可排放。本工程对污泥处</w:t>
      </w:r>
      <w:r>
        <w:rPr>
          <w:rFonts w:hint="eastAsia" w:ascii="Times New Roman" w:hAnsi="Times New Roman"/>
          <w:bCs/>
          <w:color w:val="auto"/>
          <w:spacing w:val="4"/>
          <w:sz w:val="24"/>
          <w:szCs w:val="24"/>
        </w:rPr>
        <w:t>池</w:t>
      </w:r>
      <w:r>
        <w:rPr>
          <w:rFonts w:ascii="Times New Roman" w:hAnsi="Times New Roman"/>
          <w:bCs/>
          <w:color w:val="auto"/>
          <w:spacing w:val="4"/>
          <w:sz w:val="24"/>
          <w:szCs w:val="24"/>
        </w:rPr>
        <w:t>占用场地要求实施硬化，并配套建设脱泥水及污泥渗出水的收集系统，收集后返回反应池处理达标后方可排放。</w:t>
      </w:r>
    </w:p>
    <w:p>
      <w:pPr>
        <w:spacing w:line="480" w:lineRule="exact"/>
        <w:ind w:firstLine="496" w:firstLineChars="200"/>
        <w:rPr>
          <w:rFonts w:ascii="Times New Roman" w:hAnsi="Times New Roman"/>
          <w:bCs/>
          <w:color w:val="auto"/>
          <w:spacing w:val="4"/>
          <w:sz w:val="24"/>
          <w:szCs w:val="24"/>
        </w:rPr>
      </w:pPr>
      <w:r>
        <w:rPr>
          <w:rFonts w:hint="eastAsia" w:ascii="宋体" w:hAnsi="宋体" w:cs="宋体"/>
          <w:bCs/>
          <w:color w:val="auto"/>
          <w:spacing w:val="4"/>
          <w:sz w:val="24"/>
          <w:szCs w:val="24"/>
        </w:rPr>
        <w:t>④</w:t>
      </w:r>
      <w:r>
        <w:rPr>
          <w:rFonts w:ascii="Times New Roman" w:hAnsi="Times New Roman"/>
          <w:bCs/>
          <w:color w:val="auto"/>
          <w:spacing w:val="4"/>
          <w:sz w:val="24"/>
          <w:szCs w:val="24"/>
        </w:rPr>
        <w:t>对于污泥脱水间产生的废水主要为污泥渗滤液，污染较大。因此，更应注重污泥脱水间废水的管理。不仅要做好防渗工作，同时还应对废水回中间水池的管道做好日常管理防止出现跑冒滴漏等现象。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b/>
          <w:bCs/>
          <w:color w:val="auto"/>
          <w:sz w:val="24"/>
          <w:szCs w:val="24"/>
        </w:rPr>
      </w:pPr>
      <w:r>
        <w:rPr>
          <w:rFonts w:hint="default" w:ascii="Times New Roman" w:hAnsi="Times New Roman"/>
          <w:b/>
          <w:bCs/>
          <w:color w:val="auto"/>
          <w:sz w:val="24"/>
          <w:szCs w:val="24"/>
        </w:rPr>
        <w:t>3.5.5地表水环境影响结论</w:t>
      </w:r>
    </w:p>
    <w:p>
      <w:pPr>
        <w:spacing w:line="480" w:lineRule="exact"/>
        <w:ind w:firstLine="480" w:firstLineChars="200"/>
        <w:rPr>
          <w:rStyle w:val="41"/>
          <w:rFonts w:hint="default" w:ascii="Times New Roman" w:hAnsi="Times New Roman"/>
          <w:color w:val="auto"/>
          <w:sz w:val="24"/>
          <w:szCs w:val="24"/>
        </w:rPr>
      </w:pPr>
      <w:r>
        <w:rPr>
          <w:color w:val="auto"/>
          <w:sz w:val="24"/>
          <w:szCs w:val="24"/>
        </w:rPr>
        <w:t>本项目污水处理站运行后，处理规模为</w:t>
      </w:r>
      <w:r>
        <w:rPr>
          <w:rFonts w:hint="eastAsia"/>
          <w:color w:val="auto"/>
          <w:sz w:val="24"/>
          <w:szCs w:val="24"/>
          <w:lang w:val="en-US" w:eastAsia="zh-CN"/>
        </w:rPr>
        <w:t>20</w:t>
      </w:r>
      <w:r>
        <w:rPr>
          <w:color w:val="auto"/>
          <w:sz w:val="24"/>
          <w:szCs w:val="24"/>
        </w:rPr>
        <w:t>00m</w:t>
      </w:r>
      <w:r>
        <w:rPr>
          <w:color w:val="auto"/>
          <w:sz w:val="24"/>
          <w:szCs w:val="24"/>
          <w:vertAlign w:val="superscript"/>
        </w:rPr>
        <w:t>3</w:t>
      </w:r>
      <w:r>
        <w:rPr>
          <w:color w:val="auto"/>
          <w:sz w:val="24"/>
          <w:szCs w:val="24"/>
        </w:rPr>
        <w:t>/d，出水标准达到《城镇污水处理厂污染物排放标准》（GB18918-2002）中的一级A标准要求，出水COD、TP和NH</w:t>
      </w:r>
      <w:r>
        <w:rPr>
          <w:color w:val="auto"/>
          <w:sz w:val="24"/>
          <w:szCs w:val="24"/>
          <w:vertAlign w:val="subscript"/>
        </w:rPr>
        <w:t>3</w:t>
      </w:r>
      <w:r>
        <w:rPr>
          <w:color w:val="auto"/>
          <w:sz w:val="24"/>
          <w:szCs w:val="24"/>
        </w:rPr>
        <w:t>-N三项指标稳定达到《污水综合排放标准》（DB14-1928-2019）中的表2标准要求后外排</w:t>
      </w:r>
      <w:r>
        <w:rPr>
          <w:rFonts w:hint="eastAsia"/>
          <w:color w:val="auto"/>
          <w:sz w:val="24"/>
          <w:szCs w:val="24"/>
          <w:lang w:val="en-US" w:eastAsia="zh-CN"/>
        </w:rPr>
        <w:t>入滹沱河</w:t>
      </w:r>
      <w:r>
        <w:rPr>
          <w:color w:val="auto"/>
          <w:sz w:val="24"/>
          <w:szCs w:val="24"/>
        </w:rPr>
        <w:t>。</w:t>
      </w:r>
      <w:r>
        <w:rPr>
          <w:rFonts w:hint="default" w:ascii="Times New Roman" w:hAnsi="Times New Roman" w:cs="Times New Roman"/>
          <w:color w:val="auto"/>
          <w:sz w:val="24"/>
        </w:rPr>
        <w:t>根据《山西省地表水环境功能区划》（DB14/67-2019），评价区</w:t>
      </w:r>
      <w:r>
        <w:rPr>
          <w:rFonts w:hint="eastAsia" w:cs="Times New Roman"/>
          <w:color w:val="auto"/>
          <w:sz w:val="24"/>
          <w:lang w:val="en-US" w:eastAsia="zh-CN"/>
        </w:rPr>
        <w:t>滹沱河</w:t>
      </w:r>
      <w:r>
        <w:rPr>
          <w:rFonts w:hint="default" w:ascii="Times New Roman" w:hAnsi="Times New Roman" w:cs="Times New Roman"/>
          <w:color w:val="auto"/>
          <w:sz w:val="24"/>
        </w:rPr>
        <w:t>所在“济胜桥—南庄”段，水环境功能为过渡区水源保护，水质要求</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IV</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类，水质要求不低于现状水质，执行《地表水环境质量标准》（GB 3838-2002）</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类水质标准。</w:t>
      </w:r>
    </w:p>
    <w:p>
      <w:pPr>
        <w:spacing w:line="480" w:lineRule="exact"/>
        <w:ind w:firstLine="480" w:firstLineChars="200"/>
        <w:rPr>
          <w:rStyle w:val="41"/>
          <w:rFonts w:hint="default" w:ascii="Times New Roman" w:hAnsi="Times New Roman" w:eastAsia="宋体"/>
          <w:color w:val="auto"/>
          <w:sz w:val="24"/>
          <w:szCs w:val="24"/>
          <w:lang w:val="en-US" w:eastAsia="zh-CN"/>
        </w:rPr>
      </w:pPr>
      <w:r>
        <w:rPr>
          <w:rStyle w:val="41"/>
          <w:rFonts w:hint="eastAsia"/>
          <w:color w:val="auto"/>
          <w:sz w:val="24"/>
          <w:szCs w:val="24"/>
          <w:lang w:val="en-US" w:eastAsia="zh-CN"/>
        </w:rPr>
        <w:t>本项目运行后，区域</w:t>
      </w:r>
      <w:r>
        <w:rPr>
          <w:rFonts w:hint="default" w:ascii="Times New Roman" w:hAnsi="Times New Roman" w:cs="Times New Roman"/>
          <w:color w:val="auto"/>
          <w:spacing w:val="4"/>
          <w:sz w:val="24"/>
          <w:szCs w:val="24"/>
          <w:lang w:val="sq-AL"/>
        </w:rPr>
        <w:t>污水中的主要污染物CODcr、BOD</w:t>
      </w:r>
      <w:r>
        <w:rPr>
          <w:rFonts w:hint="default" w:ascii="Times New Roman" w:hAnsi="Times New Roman" w:cs="Times New Roman"/>
          <w:color w:val="auto"/>
          <w:spacing w:val="4"/>
          <w:sz w:val="24"/>
          <w:szCs w:val="24"/>
          <w:vertAlign w:val="subscript"/>
          <w:lang w:val="sq-AL"/>
        </w:rPr>
        <w:t>5</w:t>
      </w:r>
      <w:r>
        <w:rPr>
          <w:rFonts w:hint="default" w:ascii="Times New Roman" w:hAnsi="Times New Roman" w:cs="Times New Roman"/>
          <w:color w:val="auto"/>
          <w:spacing w:val="4"/>
          <w:sz w:val="24"/>
          <w:szCs w:val="24"/>
          <w:lang w:val="sq-AL"/>
        </w:rPr>
        <w:t>、SS、NH</w:t>
      </w:r>
      <w:r>
        <w:rPr>
          <w:rFonts w:hint="default" w:ascii="Times New Roman" w:hAnsi="Times New Roman" w:cs="Times New Roman"/>
          <w:color w:val="auto"/>
          <w:spacing w:val="4"/>
          <w:sz w:val="24"/>
          <w:szCs w:val="24"/>
          <w:vertAlign w:val="subscript"/>
          <w:lang w:val="sq-AL"/>
        </w:rPr>
        <w:t>3</w:t>
      </w:r>
      <w:r>
        <w:rPr>
          <w:rFonts w:hint="default" w:ascii="Times New Roman" w:hAnsi="Times New Roman" w:cs="Times New Roman"/>
          <w:color w:val="auto"/>
          <w:spacing w:val="4"/>
          <w:sz w:val="24"/>
          <w:szCs w:val="24"/>
          <w:lang w:val="sq-AL"/>
        </w:rPr>
        <w:t>-N、TN、TP的削减量分别为</w:t>
      </w:r>
      <w:r>
        <w:rPr>
          <w:rFonts w:hint="eastAsia" w:cs="Times New Roman"/>
          <w:color w:val="auto"/>
          <w:spacing w:val="4"/>
          <w:sz w:val="24"/>
          <w:szCs w:val="24"/>
          <w:lang w:val="en-US" w:eastAsia="zh-CN"/>
        </w:rPr>
        <w:t>335.8</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109.5</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138.7</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31.39</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32.85</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4.088</w:t>
      </w:r>
      <w:r>
        <w:rPr>
          <w:rFonts w:hint="default" w:ascii="Times New Roman" w:hAnsi="Times New Roman" w:cs="Times New Roman"/>
          <w:color w:val="auto"/>
          <w:spacing w:val="4"/>
          <w:sz w:val="24"/>
          <w:szCs w:val="24"/>
          <w:lang w:val="sq-AL"/>
        </w:rPr>
        <w:t>t/a，</w:t>
      </w:r>
      <w:r>
        <w:rPr>
          <w:rFonts w:hint="eastAsia" w:cs="Times New Roman"/>
          <w:color w:val="auto"/>
          <w:spacing w:val="4"/>
          <w:sz w:val="24"/>
          <w:szCs w:val="24"/>
          <w:lang w:val="en-US" w:eastAsia="zh-CN"/>
        </w:rPr>
        <w:t>可减少区域面源污染对滹沱河的影响，减少入河排污量；同时，本项目污水处理站出水首先用于市政绿化浇洒、农田灌溉，可进一步减少排污；综合以上分析，</w:t>
      </w:r>
      <w:r>
        <w:rPr>
          <w:rFonts w:hint="default" w:ascii="Times New Roman" w:hAnsi="Times New Roman" w:cs="Times New Roman"/>
          <w:color w:val="auto"/>
          <w:spacing w:val="4"/>
          <w:sz w:val="24"/>
          <w:szCs w:val="24"/>
          <w:lang w:val="sq-AL"/>
        </w:rPr>
        <w:t>本项目污水处理站的环境</w:t>
      </w:r>
      <w:r>
        <w:rPr>
          <w:rFonts w:hint="default" w:ascii="Times New Roman" w:hAnsi="Times New Roman" w:cs="Times New Roman"/>
          <w:color w:val="auto"/>
          <w:spacing w:val="4"/>
          <w:sz w:val="24"/>
          <w:szCs w:val="24"/>
          <w:lang w:val="en-US" w:eastAsia="zh-CN"/>
        </w:rPr>
        <w:t>正</w:t>
      </w:r>
      <w:r>
        <w:rPr>
          <w:rFonts w:hint="default" w:ascii="Times New Roman" w:hAnsi="Times New Roman" w:cs="Times New Roman"/>
          <w:color w:val="auto"/>
          <w:spacing w:val="4"/>
          <w:sz w:val="24"/>
          <w:szCs w:val="24"/>
          <w:lang w:val="sq-AL"/>
        </w:rPr>
        <w:t>效益是非常明显的</w:t>
      </w:r>
      <w:r>
        <w:rPr>
          <w:rFonts w:hint="eastAsia" w:cs="Times New Roman"/>
          <w:color w:val="auto"/>
          <w:spacing w:val="4"/>
          <w:sz w:val="24"/>
          <w:szCs w:val="24"/>
          <w:lang w:eastAsia="zh-CN"/>
        </w:rPr>
        <w:t>，</w:t>
      </w:r>
      <w:r>
        <w:rPr>
          <w:rFonts w:hint="eastAsia" w:cs="Times New Roman"/>
          <w:color w:val="auto"/>
          <w:spacing w:val="4"/>
          <w:sz w:val="24"/>
          <w:szCs w:val="24"/>
          <w:lang w:val="en-US" w:eastAsia="zh-CN"/>
        </w:rPr>
        <w:t>对滹沱河水质具有改善作用。</w:t>
      </w:r>
    </w:p>
    <w:p>
      <w:pPr>
        <w:spacing w:line="480" w:lineRule="exact"/>
        <w:ind w:firstLine="480" w:firstLineChars="200"/>
        <w:rPr>
          <w:rFonts w:ascii="Times New Roman" w:hAnsi="Times New Roman"/>
          <w:color w:val="auto"/>
          <w:spacing w:val="4"/>
          <w:sz w:val="24"/>
          <w:szCs w:val="24"/>
        </w:rPr>
      </w:pPr>
      <w:r>
        <w:rPr>
          <w:rFonts w:ascii="Times New Roman" w:hAnsi="Times New Roman"/>
          <w:color w:val="auto"/>
          <w:sz w:val="24"/>
          <w:szCs w:val="24"/>
        </w:rPr>
        <w:t>对地表水环境影响评价主要内容与结论进行自查，见表3.5-</w:t>
      </w:r>
      <w:r>
        <w:rPr>
          <w:rFonts w:hint="eastAsia"/>
          <w:color w:val="auto"/>
          <w:sz w:val="24"/>
          <w:szCs w:val="24"/>
          <w:lang w:val="en-US" w:eastAsia="zh-CN"/>
        </w:rPr>
        <w:t>5</w:t>
      </w:r>
      <w:r>
        <w:rPr>
          <w:rFonts w:ascii="Times New Roman" w:hAnsi="Times New Roman"/>
          <w:color w:val="auto"/>
          <w:sz w:val="24"/>
          <w:szCs w:val="24"/>
        </w:rPr>
        <w:t>。</w:t>
      </w:r>
    </w:p>
    <w:p>
      <w:pPr>
        <w:spacing w:line="480" w:lineRule="exact"/>
        <w:ind w:firstLine="436" w:firstLineChars="200"/>
        <w:rPr>
          <w:rFonts w:ascii="Times New Roman" w:hAnsi="Times New Roman"/>
          <w:color w:val="auto"/>
          <w:spacing w:val="4"/>
        </w:rPr>
      </w:pPr>
    </w:p>
    <w:p>
      <w:pPr>
        <w:spacing w:line="480" w:lineRule="exact"/>
        <w:ind w:firstLine="436" w:firstLineChars="200"/>
        <w:rPr>
          <w:rFonts w:ascii="Times New Roman" w:hAnsi="Times New Roman"/>
          <w:color w:val="auto"/>
          <w:spacing w:val="4"/>
        </w:rPr>
      </w:pPr>
    </w:p>
    <w:p>
      <w:pPr>
        <w:spacing w:line="480" w:lineRule="exact"/>
        <w:ind w:firstLine="436" w:firstLineChars="200"/>
        <w:rPr>
          <w:rFonts w:ascii="Times New Roman" w:hAnsi="Times New Roman"/>
          <w:color w:val="auto"/>
          <w:spacing w:val="4"/>
        </w:rPr>
        <w:sectPr>
          <w:pgSz w:w="11906" w:h="16838"/>
          <w:pgMar w:top="1417" w:right="1417" w:bottom="1417" w:left="1417" w:header="907" w:footer="964"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黑体" w:hAnsi="黑体" w:eastAsia="黑体"/>
          <w:bCs/>
          <w:color w:val="auto"/>
          <w:sz w:val="24"/>
          <w:szCs w:val="32"/>
        </w:rPr>
      </w:pPr>
      <w:r>
        <w:rPr>
          <w:rFonts w:hint="default" w:ascii="黑体" w:hAnsi="黑体" w:eastAsia="黑体"/>
          <w:bCs/>
          <w:color w:val="auto"/>
          <w:sz w:val="24"/>
          <w:szCs w:val="32"/>
        </w:rPr>
        <w:t>表3.5-</w:t>
      </w:r>
      <w:r>
        <w:rPr>
          <w:rFonts w:hint="eastAsia" w:ascii="黑体" w:hAnsi="黑体" w:eastAsia="黑体"/>
          <w:bCs/>
          <w:color w:val="auto"/>
          <w:sz w:val="24"/>
          <w:szCs w:val="32"/>
          <w:lang w:val="en-US" w:eastAsia="zh-CN"/>
        </w:rPr>
        <w:t>5</w:t>
      </w:r>
      <w:r>
        <w:rPr>
          <w:rFonts w:hint="default" w:ascii="黑体" w:hAnsi="黑体" w:eastAsia="黑体"/>
          <w:bCs/>
          <w:color w:val="auto"/>
          <w:sz w:val="24"/>
          <w:szCs w:val="32"/>
        </w:rPr>
        <w:t xml:space="preserve">  地表水环境影响评价自查表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2587"/>
        <w:gridCol w:w="1897"/>
        <w:gridCol w:w="341"/>
        <w:gridCol w:w="1493"/>
        <w:gridCol w:w="745"/>
        <w:gridCol w:w="705"/>
        <w:gridCol w:w="1533"/>
        <w:gridCol w:w="751"/>
        <w:gridCol w:w="20"/>
        <w:gridCol w:w="1135"/>
        <w:gridCol w:w="162"/>
        <w:gridCol w:w="173"/>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061"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工作内容</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影响识别</w:t>
            </w: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影响类型</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水污染影响型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；水文要素影响型 </w:t>
            </w:r>
            <w:r>
              <w:rPr>
                <w:rFonts w:hint="default" w:ascii="Times New Roman" w:hAnsi="Times New Roman" w:cs="Times New Roman"/>
                <w:color w:val="auto"/>
                <w:sz w:val="21"/>
                <w:szCs w:val="2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水环境保护目标</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饮用水水源保护区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；饮用水取水口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；涉水的自然保护区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；重要湿地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重点保护与珍稀水生生物的栖息地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；重要水生生物的自然产卵场及索饵场、越冬场和洄游通道、天然渔场等渔业水体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；涉水的风景名胜区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影响途径</w:t>
            </w: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水污染影响型</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直接排放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；间接排放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水温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；径流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；水域面积 </w:t>
            </w:r>
            <w:r>
              <w:rPr>
                <w:rFonts w:hint="default" w:ascii="Times New Roman" w:hAnsi="Times New Roman" w:cs="Times New Roman"/>
                <w:color w:val="auto"/>
                <w:sz w:val="21"/>
                <w:szCs w:val="2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影响因子</w:t>
            </w: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持久性污染物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；有毒有害污染物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；非持久性污染物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pH值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；热污染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；富营养化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水温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；水位（水深）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；流速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；流量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评价等级</w:t>
            </w: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水污染影响型</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一级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；二级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；三级A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；三级B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一级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；二级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；三级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现状调查</w:t>
            </w:r>
          </w:p>
        </w:tc>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区域污染源</w:t>
            </w: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调查项目</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667"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已建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；在建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；拟建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c>
          <w:tcPr>
            <w:tcW w:w="1964" w:type="pct"/>
            <w:gridSpan w:val="7"/>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拟替代的污染源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排污许可证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；环评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；环保验收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；既有实测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；现场监测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；入河排放数据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受影响水体水环境质量</w:t>
            </w: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调查项目</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丰水期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；平水期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；枯水期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；冰封期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春季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；夏季</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 xml:space="preserve">；秋季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 xml:space="preserve">； 冬季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生态环境保护主管部门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 xml:space="preserve">；补充监测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区域水资源开发利用状况</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未开发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；开发量40%以下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；开发量40%以上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水文情势调查</w:t>
            </w: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调查时期</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2632" w:type="pct"/>
            <w:gridSpan w:val="8"/>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丰水期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；平水期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；枯水期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；冰封期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春季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；夏季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；秋季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 冬季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c>
          <w:tcPr>
            <w:tcW w:w="1306"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水行政主管部门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；补充监测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补充监测</w:t>
            </w:r>
          </w:p>
        </w:tc>
        <w:tc>
          <w:tcPr>
            <w:tcW w:w="1822"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监测时期</w:t>
            </w:r>
          </w:p>
        </w:tc>
        <w:tc>
          <w:tcPr>
            <w:tcW w:w="1209"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906" w:type="pct"/>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1822"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丰水期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；平水期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；枯水期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；冰封期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春季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；夏季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；秋季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 冬季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w:t>
            </w:r>
          </w:p>
        </w:tc>
        <w:tc>
          <w:tcPr>
            <w:tcW w:w="1209"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snapToGrid w:val="0"/>
                <w:color w:val="auto"/>
                <w:kern w:val="0"/>
                <w:sz w:val="21"/>
                <w:szCs w:val="21"/>
              </w:rPr>
              <w:t>pH、化学需氧量、五日生化需氧量、氨氮、总磷、总氮、石油类、挥发酚、悬浮物</w:t>
            </w:r>
            <w:r>
              <w:rPr>
                <w:rFonts w:hint="default" w:ascii="Times New Roman" w:hAnsi="Times New Roman" w:cs="Times New Roman"/>
                <w:color w:val="auto"/>
                <w:sz w:val="21"/>
                <w:szCs w:val="21"/>
              </w:rPr>
              <w:t>）</w:t>
            </w:r>
          </w:p>
        </w:tc>
        <w:tc>
          <w:tcPr>
            <w:tcW w:w="906" w:type="pct"/>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监测断面或点位个数</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w:t>
            </w: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评价范围</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河流：长度（ 2 ）km；湖库、河口及近岸海域：面积（ ）km</w:t>
            </w:r>
            <w:r>
              <w:rPr>
                <w:rFonts w:hint="default" w:ascii="Times New Roman" w:hAnsi="Times New Roman"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评价因子</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snapToGrid w:val="0"/>
                <w:color w:val="auto"/>
                <w:kern w:val="0"/>
                <w:sz w:val="21"/>
                <w:szCs w:val="21"/>
              </w:rPr>
              <w:t>pH、化学需氧量、五日生化需氧量、氨氮、总磷、总氮、石油类、挥发酚、悬浮物</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评价标准</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河流、湖库、河口：I类</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II类</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；Ⅲ类</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；Ⅳ类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；Ⅴ类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近岸海域：第一类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；第二类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 第三类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 第四类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评价时期</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丰水期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；平水期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；枯水期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；冰封期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春季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；夏季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；秋季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 冬季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评价结论</w:t>
            </w:r>
          </w:p>
        </w:tc>
        <w:tc>
          <w:tcPr>
            <w:tcW w:w="3088" w:type="pct"/>
            <w:gridSpan w:val="10"/>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水环境功能区或水功能区、近岸海域环境功能区水质达标状况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；达标</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 xml:space="preserve">；不达标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水环境控制单元或断面水质达标状况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 xml:space="preserve">；达标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 xml:space="preserve">；不达标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水环境保护目标质量状况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；达标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；不达标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对照断面、控制断面等代表性断面的水质状况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；达标</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；不达标</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底泥污染评价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水资源与开发利用程度及其水文情势评价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水环境质量回顾评价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流域（区域）水资源（包括水能资源）与开发利用总体状况、生态流量管理要求与现状满足程度、建设项目占用水域空间的水流状况与河湖演变状况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c>
          <w:tcPr>
            <w:tcW w:w="850"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达标区</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不达标区</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影响预测</w:t>
            </w: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预测范围</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河流：长度（ 2 ）km；湖库、河口及近岸海域：面积（ ）km</w:t>
            </w:r>
            <w:r>
              <w:rPr>
                <w:rFonts w:hint="default" w:ascii="Times New Roman" w:hAnsi="Times New Roman"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预测因子</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COD、BOD、TN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预测时期</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丰水期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；平水期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；枯水期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；冰封期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春季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；夏季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；秋季  </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 冬季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设计水文条件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预测情景</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建设期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；生产运行期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；服务期满后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正常工况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；非正常工况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污染控制和减缓措施方案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区（流）域环境质量改善目标要求情景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预测方法</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数值解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；解析解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；导则推荐模式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影响评价</w:t>
            </w: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水污染控制和水环境影响减缓措施有效性评价</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区（流）域水环境质量改善目标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；替代削减源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水环境影响评价</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排放口混合区外满足水环境管理要求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水环境功能区或水功能区、近岸海域环境功能区水质达标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满足水环境保护目标水域水环境质量要求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水环境控制单元或断面水质达标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满足重点水污染物排放总量控制指标要求，重点行业建设项目，主要污染物排放满足等量或减量替代要求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满足区（流）域水环境质量改善目标要求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水文要素影响型建设项目同时应包括水文情势变化评价、主要水文特征值影响评价、生态流量符合性评价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对于新设或调整入河（湖库、近岸海域）排放口的建设项目，应包括排放口设置的环境合理性评价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满足生态保护红线、水环境质量底线、资源利用上线和环境准入清单管理要求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污染源排放量核算</w:t>
            </w:r>
          </w:p>
        </w:tc>
        <w:tc>
          <w:tcPr>
            <w:tcW w:w="1312" w:type="pct"/>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313"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1313"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1312" w:type="pct"/>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w:t>
            </w:r>
          </w:p>
        </w:tc>
        <w:tc>
          <w:tcPr>
            <w:tcW w:w="1313"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29.2</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10.95</w:t>
            </w:r>
          </w:p>
        </w:tc>
        <w:tc>
          <w:tcPr>
            <w:tcW w:w="1313"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替代源排放情况</w:t>
            </w:r>
          </w:p>
        </w:tc>
        <w:tc>
          <w:tcPr>
            <w:tcW w:w="787"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污染源名称</w:t>
            </w:r>
          </w:p>
        </w:tc>
        <w:tc>
          <w:tcPr>
            <w:tcW w:w="787"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排放许可证编号</w:t>
            </w:r>
          </w:p>
        </w:tc>
        <w:tc>
          <w:tcPr>
            <w:tcW w:w="787"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788"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788"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787"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787"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787"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788"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788"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生态流量确定</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生态流量：一般水期（  ）m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/s；鱼类繁殖期（  ）m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/s；其他（  ）m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防治措施</w:t>
            </w: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环境措施</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污水处理设施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；水文减缓设施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；生态流量保障设施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；区域消减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；依托其他工程措施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 xml:space="preserve">；其他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监测计划</w:t>
            </w:r>
          </w:p>
        </w:tc>
        <w:tc>
          <w:tcPr>
            <w:tcW w:w="1312" w:type="pct"/>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p>
        </w:tc>
        <w:tc>
          <w:tcPr>
            <w:tcW w:w="1313"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环境质量</w:t>
            </w:r>
          </w:p>
        </w:tc>
        <w:tc>
          <w:tcPr>
            <w:tcW w:w="1313"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1312" w:type="pct"/>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监测方式</w:t>
            </w:r>
          </w:p>
        </w:tc>
        <w:tc>
          <w:tcPr>
            <w:tcW w:w="1313"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手动 □；自动 □；无监测 □</w:t>
            </w:r>
          </w:p>
        </w:tc>
        <w:tc>
          <w:tcPr>
            <w:tcW w:w="1313"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手动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；自动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；无监测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1312" w:type="pct"/>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1313"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p>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p>
        </w:tc>
        <w:tc>
          <w:tcPr>
            <w:tcW w:w="1313"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污水处理站进出口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1312" w:type="pct"/>
            <w:gridSpan w:val="3"/>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313" w:type="pct"/>
            <w:gridSpan w:val="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p>
        </w:tc>
        <w:tc>
          <w:tcPr>
            <w:tcW w:w="1313" w:type="pct"/>
            <w:gridSpan w:val="5"/>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kern w:val="0"/>
                <w:sz w:val="21"/>
                <w:szCs w:val="21"/>
              </w:rPr>
              <w:t>pH、化学需氧量、五日生化需氧量、氨氮、总磷、总氮、石油类、挥发酚、悬浮物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污染物排放清单</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61" w:type="pct"/>
            <w:gridSpan w:val="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评价结论</w:t>
            </w:r>
          </w:p>
        </w:tc>
        <w:tc>
          <w:tcPr>
            <w:tcW w:w="3938" w:type="pct"/>
            <w:gridSpan w:val="12"/>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可以接受 </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 xml:space="preserve">；不可以接受 </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4"/>
            <w:tcBorders>
              <w:top w:val="single" w:color="auto" w:sz="4" w:space="0"/>
              <w:left w:val="single" w:color="auto" w:sz="4" w:space="0"/>
              <w:bottom w:val="single" w:color="auto" w:sz="4" w:space="0"/>
              <w:right w:val="single" w:color="auto" w:sz="4" w:space="0"/>
            </w:tcBorders>
            <w:noWrap w:val="0"/>
            <w:vAlign w:val="center"/>
          </w:tcPr>
          <w:p>
            <w:pPr>
              <w:pStyle w:val="34"/>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注：“□”为勾选项”，可√；“（  ）”为内容填写项；“备注”为其他补充内容</w:t>
            </w:r>
          </w:p>
        </w:tc>
      </w:tr>
    </w:tbl>
    <w:p>
      <w:pPr>
        <w:bidi w:val="0"/>
        <w:jc w:val="center"/>
        <w:rPr>
          <w:b/>
          <w:bCs/>
        </w:rPr>
        <w:sectPr>
          <w:footerReference r:id="rId8" w:type="default"/>
          <w:pgSz w:w="16838" w:h="11906" w:orient="landscape"/>
          <w:pgMar w:top="1417" w:right="1417" w:bottom="1417" w:left="1417" w:header="907" w:footer="964" w:gutter="0"/>
          <w:cols w:space="0" w:num="1"/>
          <w:rtlGutter w:val="0"/>
          <w:docGrid w:linePitch="312" w:charSpace="0"/>
        </w:sectPr>
      </w:pPr>
    </w:p>
    <w:p>
      <w:pPr>
        <w:jc w:val="center"/>
        <w:rPr>
          <w:rFonts w:hint="default"/>
          <w:color w:val="auto"/>
          <w:lang w:val="en-US" w:eastAsia="zh-CN"/>
        </w:rPr>
      </w:pPr>
      <w:bookmarkStart w:id="44" w:name="_GoBack"/>
      <w:bookmarkEnd w:id="44"/>
    </w:p>
    <w:sectPr>
      <w:footerReference r:id="rId9" w:type="default"/>
      <w:pgSz w:w="11907" w:h="16840"/>
      <w:pgMar w:top="1134" w:right="850" w:bottom="1134" w:left="850" w:header="567" w:footer="567"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imes new romo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姚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24"/>
        <w:szCs w:val="24"/>
      </w:rPr>
    </w:pP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27807"/>
    </w:sdtPr>
    <w:sdtEndPr>
      <w:rPr>
        <w:sz w:val="21"/>
        <w:szCs w:val="21"/>
      </w:rPr>
    </w:sdtEndPr>
    <w:sdtContent>
      <w:p>
        <w:pPr>
          <w:pStyle w:val="1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2407EF"/>
    <w:multiLevelType w:val="singleLevel"/>
    <w:tmpl w:val="362407EF"/>
    <w:lvl w:ilvl="0" w:tentative="0">
      <w:start w:val="1"/>
      <w:numFmt w:val="decimal"/>
      <w:pStyle w:val="91"/>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1NTVlZjhjYTA2OGFlYmJhMWRiNDdhZTg5Y2FjNWUifQ=="/>
  </w:docVars>
  <w:rsids>
    <w:rsidRoot w:val="00172A27"/>
    <w:rsid w:val="00005A1E"/>
    <w:rsid w:val="00005E56"/>
    <w:rsid w:val="00007239"/>
    <w:rsid w:val="000100FA"/>
    <w:rsid w:val="00021AD4"/>
    <w:rsid w:val="00023A38"/>
    <w:rsid w:val="00025FB7"/>
    <w:rsid w:val="0003706A"/>
    <w:rsid w:val="00037996"/>
    <w:rsid w:val="000379A5"/>
    <w:rsid w:val="00044190"/>
    <w:rsid w:val="00045575"/>
    <w:rsid w:val="000660F5"/>
    <w:rsid w:val="000665C9"/>
    <w:rsid w:val="00067861"/>
    <w:rsid w:val="0006787D"/>
    <w:rsid w:val="00067FF1"/>
    <w:rsid w:val="000759B5"/>
    <w:rsid w:val="00082531"/>
    <w:rsid w:val="00082D65"/>
    <w:rsid w:val="00083C9E"/>
    <w:rsid w:val="00096CDE"/>
    <w:rsid w:val="000A1016"/>
    <w:rsid w:val="000A644C"/>
    <w:rsid w:val="000B22E7"/>
    <w:rsid w:val="000B4054"/>
    <w:rsid w:val="000B4874"/>
    <w:rsid w:val="000C0409"/>
    <w:rsid w:val="000C5273"/>
    <w:rsid w:val="000C5278"/>
    <w:rsid w:val="000C6E63"/>
    <w:rsid w:val="000C71E8"/>
    <w:rsid w:val="000D0A60"/>
    <w:rsid w:val="000D0D49"/>
    <w:rsid w:val="000D3330"/>
    <w:rsid w:val="000D3588"/>
    <w:rsid w:val="000D3C1F"/>
    <w:rsid w:val="000D70AF"/>
    <w:rsid w:val="000D7EE9"/>
    <w:rsid w:val="000E039D"/>
    <w:rsid w:val="000E121B"/>
    <w:rsid w:val="000E42DA"/>
    <w:rsid w:val="000E54B7"/>
    <w:rsid w:val="000F348F"/>
    <w:rsid w:val="000F362D"/>
    <w:rsid w:val="000F37BD"/>
    <w:rsid w:val="00106083"/>
    <w:rsid w:val="00110C38"/>
    <w:rsid w:val="001130E2"/>
    <w:rsid w:val="0011550E"/>
    <w:rsid w:val="00120892"/>
    <w:rsid w:val="00124C28"/>
    <w:rsid w:val="001340AB"/>
    <w:rsid w:val="001368E2"/>
    <w:rsid w:val="001412CF"/>
    <w:rsid w:val="001416CC"/>
    <w:rsid w:val="001456E5"/>
    <w:rsid w:val="001478AA"/>
    <w:rsid w:val="0015129A"/>
    <w:rsid w:val="001516EA"/>
    <w:rsid w:val="001532EE"/>
    <w:rsid w:val="001578C7"/>
    <w:rsid w:val="001644CB"/>
    <w:rsid w:val="001729D7"/>
    <w:rsid w:val="00172A27"/>
    <w:rsid w:val="00175A7A"/>
    <w:rsid w:val="00180257"/>
    <w:rsid w:val="00180602"/>
    <w:rsid w:val="001810F9"/>
    <w:rsid w:val="001812D8"/>
    <w:rsid w:val="00182295"/>
    <w:rsid w:val="0018317D"/>
    <w:rsid w:val="00184659"/>
    <w:rsid w:val="00187D79"/>
    <w:rsid w:val="00190B9E"/>
    <w:rsid w:val="00191AE7"/>
    <w:rsid w:val="00193298"/>
    <w:rsid w:val="001A0EF0"/>
    <w:rsid w:val="001A1E7B"/>
    <w:rsid w:val="001B1B53"/>
    <w:rsid w:val="001B25B4"/>
    <w:rsid w:val="001B51A1"/>
    <w:rsid w:val="001B5956"/>
    <w:rsid w:val="001B5E8B"/>
    <w:rsid w:val="001C6F8C"/>
    <w:rsid w:val="001D0933"/>
    <w:rsid w:val="001D438E"/>
    <w:rsid w:val="001D559A"/>
    <w:rsid w:val="001D7188"/>
    <w:rsid w:val="001D7CF6"/>
    <w:rsid w:val="001E0945"/>
    <w:rsid w:val="001F1CAB"/>
    <w:rsid w:val="001F4853"/>
    <w:rsid w:val="001F500E"/>
    <w:rsid w:val="001F60D2"/>
    <w:rsid w:val="001F6861"/>
    <w:rsid w:val="00201A0D"/>
    <w:rsid w:val="002041D2"/>
    <w:rsid w:val="00225062"/>
    <w:rsid w:val="00225407"/>
    <w:rsid w:val="00231467"/>
    <w:rsid w:val="002349F7"/>
    <w:rsid w:val="00240237"/>
    <w:rsid w:val="00243CA7"/>
    <w:rsid w:val="002472FF"/>
    <w:rsid w:val="00250FA7"/>
    <w:rsid w:val="0025148D"/>
    <w:rsid w:val="00254DC7"/>
    <w:rsid w:val="0025624D"/>
    <w:rsid w:val="0025640C"/>
    <w:rsid w:val="00260791"/>
    <w:rsid w:val="0026106B"/>
    <w:rsid w:val="002728B8"/>
    <w:rsid w:val="00273610"/>
    <w:rsid w:val="00276398"/>
    <w:rsid w:val="002769A8"/>
    <w:rsid w:val="00276C0F"/>
    <w:rsid w:val="00290056"/>
    <w:rsid w:val="00293C95"/>
    <w:rsid w:val="0029463B"/>
    <w:rsid w:val="00294CB0"/>
    <w:rsid w:val="002A115E"/>
    <w:rsid w:val="002A59D9"/>
    <w:rsid w:val="002A695C"/>
    <w:rsid w:val="002B24E0"/>
    <w:rsid w:val="002C14FA"/>
    <w:rsid w:val="002C2974"/>
    <w:rsid w:val="002C5BE0"/>
    <w:rsid w:val="002D0F75"/>
    <w:rsid w:val="002D4653"/>
    <w:rsid w:val="002D634C"/>
    <w:rsid w:val="002E21A0"/>
    <w:rsid w:val="002E5166"/>
    <w:rsid w:val="002E543D"/>
    <w:rsid w:val="002E63DA"/>
    <w:rsid w:val="002E6B0B"/>
    <w:rsid w:val="002F507A"/>
    <w:rsid w:val="00301C1E"/>
    <w:rsid w:val="00302EF4"/>
    <w:rsid w:val="0030520A"/>
    <w:rsid w:val="00306A53"/>
    <w:rsid w:val="003128F5"/>
    <w:rsid w:val="00316CB2"/>
    <w:rsid w:val="0032445E"/>
    <w:rsid w:val="00325858"/>
    <w:rsid w:val="00326978"/>
    <w:rsid w:val="00327ABE"/>
    <w:rsid w:val="0033186C"/>
    <w:rsid w:val="00336834"/>
    <w:rsid w:val="00347294"/>
    <w:rsid w:val="00351950"/>
    <w:rsid w:val="003536CD"/>
    <w:rsid w:val="003572B6"/>
    <w:rsid w:val="0036466F"/>
    <w:rsid w:val="003665F6"/>
    <w:rsid w:val="00367082"/>
    <w:rsid w:val="00370F99"/>
    <w:rsid w:val="0037673C"/>
    <w:rsid w:val="00381BD7"/>
    <w:rsid w:val="00386FEE"/>
    <w:rsid w:val="00396F10"/>
    <w:rsid w:val="003B0E87"/>
    <w:rsid w:val="003B2B4C"/>
    <w:rsid w:val="003B2CF0"/>
    <w:rsid w:val="003B3E18"/>
    <w:rsid w:val="003B4B5B"/>
    <w:rsid w:val="003C0140"/>
    <w:rsid w:val="003C141D"/>
    <w:rsid w:val="003C2855"/>
    <w:rsid w:val="003C2B5A"/>
    <w:rsid w:val="003C4ED4"/>
    <w:rsid w:val="003C52EC"/>
    <w:rsid w:val="003D3EAF"/>
    <w:rsid w:val="003D51AF"/>
    <w:rsid w:val="003D77BD"/>
    <w:rsid w:val="003E4865"/>
    <w:rsid w:val="003E54C3"/>
    <w:rsid w:val="003E6D91"/>
    <w:rsid w:val="003F1DE0"/>
    <w:rsid w:val="003F3A88"/>
    <w:rsid w:val="003F4606"/>
    <w:rsid w:val="003F719B"/>
    <w:rsid w:val="00406010"/>
    <w:rsid w:val="00417B37"/>
    <w:rsid w:val="00425F22"/>
    <w:rsid w:val="00434CF8"/>
    <w:rsid w:val="00435C92"/>
    <w:rsid w:val="00437F4B"/>
    <w:rsid w:val="00444ABD"/>
    <w:rsid w:val="00463714"/>
    <w:rsid w:val="004654C2"/>
    <w:rsid w:val="0047031C"/>
    <w:rsid w:val="00475AEE"/>
    <w:rsid w:val="0048411D"/>
    <w:rsid w:val="0048602C"/>
    <w:rsid w:val="004879A9"/>
    <w:rsid w:val="004905ED"/>
    <w:rsid w:val="004909F6"/>
    <w:rsid w:val="00493763"/>
    <w:rsid w:val="004964E4"/>
    <w:rsid w:val="004B0568"/>
    <w:rsid w:val="004B499C"/>
    <w:rsid w:val="004B4AED"/>
    <w:rsid w:val="004B4B8C"/>
    <w:rsid w:val="004C2182"/>
    <w:rsid w:val="004C40E7"/>
    <w:rsid w:val="004D4D69"/>
    <w:rsid w:val="004D4F5F"/>
    <w:rsid w:val="004D5420"/>
    <w:rsid w:val="004D7363"/>
    <w:rsid w:val="004E06BC"/>
    <w:rsid w:val="004E1362"/>
    <w:rsid w:val="004E2BC5"/>
    <w:rsid w:val="004E329D"/>
    <w:rsid w:val="004E32D3"/>
    <w:rsid w:val="004E432D"/>
    <w:rsid w:val="004E4677"/>
    <w:rsid w:val="004E4B19"/>
    <w:rsid w:val="004E7EA2"/>
    <w:rsid w:val="004F21EF"/>
    <w:rsid w:val="004F3174"/>
    <w:rsid w:val="004F6279"/>
    <w:rsid w:val="004F72F0"/>
    <w:rsid w:val="00506FCE"/>
    <w:rsid w:val="005107CB"/>
    <w:rsid w:val="005123C6"/>
    <w:rsid w:val="00515760"/>
    <w:rsid w:val="00516F8E"/>
    <w:rsid w:val="0051777A"/>
    <w:rsid w:val="005208FA"/>
    <w:rsid w:val="0053010B"/>
    <w:rsid w:val="005340CB"/>
    <w:rsid w:val="00537786"/>
    <w:rsid w:val="005438A3"/>
    <w:rsid w:val="00545011"/>
    <w:rsid w:val="00550033"/>
    <w:rsid w:val="00550981"/>
    <w:rsid w:val="005533E2"/>
    <w:rsid w:val="00555E10"/>
    <w:rsid w:val="00563203"/>
    <w:rsid w:val="00565F6C"/>
    <w:rsid w:val="00566B8D"/>
    <w:rsid w:val="00566C82"/>
    <w:rsid w:val="005716A3"/>
    <w:rsid w:val="00575F8C"/>
    <w:rsid w:val="0057742D"/>
    <w:rsid w:val="00580EBC"/>
    <w:rsid w:val="0058423D"/>
    <w:rsid w:val="005846F4"/>
    <w:rsid w:val="00584A46"/>
    <w:rsid w:val="00586E81"/>
    <w:rsid w:val="0059109A"/>
    <w:rsid w:val="00594484"/>
    <w:rsid w:val="005A3F82"/>
    <w:rsid w:val="005C1665"/>
    <w:rsid w:val="005D6280"/>
    <w:rsid w:val="005D6A44"/>
    <w:rsid w:val="005D7BF7"/>
    <w:rsid w:val="005E0048"/>
    <w:rsid w:val="005E063A"/>
    <w:rsid w:val="005E34E2"/>
    <w:rsid w:val="005E35A6"/>
    <w:rsid w:val="005E432B"/>
    <w:rsid w:val="005F39F3"/>
    <w:rsid w:val="005F5336"/>
    <w:rsid w:val="005F5544"/>
    <w:rsid w:val="005F5AB5"/>
    <w:rsid w:val="005F7FDB"/>
    <w:rsid w:val="00600E2D"/>
    <w:rsid w:val="006051D7"/>
    <w:rsid w:val="006117A2"/>
    <w:rsid w:val="006117CD"/>
    <w:rsid w:val="0061392B"/>
    <w:rsid w:val="00613B5D"/>
    <w:rsid w:val="006215A1"/>
    <w:rsid w:val="00622EAF"/>
    <w:rsid w:val="00630D0E"/>
    <w:rsid w:val="00632EAB"/>
    <w:rsid w:val="0063545D"/>
    <w:rsid w:val="0064070B"/>
    <w:rsid w:val="006451E1"/>
    <w:rsid w:val="006458D4"/>
    <w:rsid w:val="006548B7"/>
    <w:rsid w:val="00656977"/>
    <w:rsid w:val="006637A2"/>
    <w:rsid w:val="00665255"/>
    <w:rsid w:val="00667439"/>
    <w:rsid w:val="00671389"/>
    <w:rsid w:val="00673FB7"/>
    <w:rsid w:val="006741B4"/>
    <w:rsid w:val="00677688"/>
    <w:rsid w:val="006817A5"/>
    <w:rsid w:val="00682B2D"/>
    <w:rsid w:val="006834CE"/>
    <w:rsid w:val="00686BE8"/>
    <w:rsid w:val="006906D8"/>
    <w:rsid w:val="00690F44"/>
    <w:rsid w:val="00695560"/>
    <w:rsid w:val="00695CBD"/>
    <w:rsid w:val="006A4230"/>
    <w:rsid w:val="006A65F4"/>
    <w:rsid w:val="006B0F78"/>
    <w:rsid w:val="006B5030"/>
    <w:rsid w:val="006C0DA5"/>
    <w:rsid w:val="006C3546"/>
    <w:rsid w:val="006E56BF"/>
    <w:rsid w:val="006E5C2F"/>
    <w:rsid w:val="006E606E"/>
    <w:rsid w:val="006E7AFE"/>
    <w:rsid w:val="006F0F84"/>
    <w:rsid w:val="006F5EE9"/>
    <w:rsid w:val="00712114"/>
    <w:rsid w:val="00712993"/>
    <w:rsid w:val="007140FD"/>
    <w:rsid w:val="007144B5"/>
    <w:rsid w:val="007162BE"/>
    <w:rsid w:val="00716ABF"/>
    <w:rsid w:val="00716C00"/>
    <w:rsid w:val="00717891"/>
    <w:rsid w:val="00725D99"/>
    <w:rsid w:val="007261B0"/>
    <w:rsid w:val="0073382A"/>
    <w:rsid w:val="0073537E"/>
    <w:rsid w:val="00735460"/>
    <w:rsid w:val="00737BEF"/>
    <w:rsid w:val="00745321"/>
    <w:rsid w:val="00745E66"/>
    <w:rsid w:val="00747158"/>
    <w:rsid w:val="00751E45"/>
    <w:rsid w:val="00752C9F"/>
    <w:rsid w:val="007647C5"/>
    <w:rsid w:val="00764B22"/>
    <w:rsid w:val="0076500B"/>
    <w:rsid w:val="00770A3B"/>
    <w:rsid w:val="00776F41"/>
    <w:rsid w:val="00786A89"/>
    <w:rsid w:val="007909FF"/>
    <w:rsid w:val="00790EC5"/>
    <w:rsid w:val="00795FBC"/>
    <w:rsid w:val="007A4651"/>
    <w:rsid w:val="007A5295"/>
    <w:rsid w:val="007B03E1"/>
    <w:rsid w:val="007B04CD"/>
    <w:rsid w:val="007B365B"/>
    <w:rsid w:val="007C0C12"/>
    <w:rsid w:val="007C2B61"/>
    <w:rsid w:val="007D1334"/>
    <w:rsid w:val="007E0730"/>
    <w:rsid w:val="007E0AB1"/>
    <w:rsid w:val="00813A2E"/>
    <w:rsid w:val="00815F33"/>
    <w:rsid w:val="00816FCF"/>
    <w:rsid w:val="008215CC"/>
    <w:rsid w:val="00831301"/>
    <w:rsid w:val="00834734"/>
    <w:rsid w:val="00835F88"/>
    <w:rsid w:val="008401CC"/>
    <w:rsid w:val="00840C77"/>
    <w:rsid w:val="00840ECF"/>
    <w:rsid w:val="00841E5A"/>
    <w:rsid w:val="00853B3E"/>
    <w:rsid w:val="00855BB9"/>
    <w:rsid w:val="00861AB8"/>
    <w:rsid w:val="00861E4F"/>
    <w:rsid w:val="008627D9"/>
    <w:rsid w:val="0086417C"/>
    <w:rsid w:val="008644E5"/>
    <w:rsid w:val="0088051E"/>
    <w:rsid w:val="00883B86"/>
    <w:rsid w:val="00887FB8"/>
    <w:rsid w:val="00890930"/>
    <w:rsid w:val="00894A22"/>
    <w:rsid w:val="008A304F"/>
    <w:rsid w:val="008A608A"/>
    <w:rsid w:val="008A60D1"/>
    <w:rsid w:val="008B1217"/>
    <w:rsid w:val="008B1E87"/>
    <w:rsid w:val="008B3CB9"/>
    <w:rsid w:val="008B46B0"/>
    <w:rsid w:val="008B47BD"/>
    <w:rsid w:val="008C1571"/>
    <w:rsid w:val="008C399F"/>
    <w:rsid w:val="008C47B2"/>
    <w:rsid w:val="008C5944"/>
    <w:rsid w:val="008C7756"/>
    <w:rsid w:val="008D6113"/>
    <w:rsid w:val="008D68E4"/>
    <w:rsid w:val="008E37E4"/>
    <w:rsid w:val="008E54C2"/>
    <w:rsid w:val="008F062F"/>
    <w:rsid w:val="008F5BF0"/>
    <w:rsid w:val="00901921"/>
    <w:rsid w:val="0090289B"/>
    <w:rsid w:val="00902A7B"/>
    <w:rsid w:val="00905A84"/>
    <w:rsid w:val="00911C5F"/>
    <w:rsid w:val="00916E22"/>
    <w:rsid w:val="00921C61"/>
    <w:rsid w:val="009264C5"/>
    <w:rsid w:val="0092650F"/>
    <w:rsid w:val="009270A6"/>
    <w:rsid w:val="009330A0"/>
    <w:rsid w:val="009438F0"/>
    <w:rsid w:val="00945130"/>
    <w:rsid w:val="00945B64"/>
    <w:rsid w:val="00953506"/>
    <w:rsid w:val="009538F6"/>
    <w:rsid w:val="00957FFA"/>
    <w:rsid w:val="00967E4D"/>
    <w:rsid w:val="00971E18"/>
    <w:rsid w:val="009758F2"/>
    <w:rsid w:val="00982851"/>
    <w:rsid w:val="0098609A"/>
    <w:rsid w:val="0099301B"/>
    <w:rsid w:val="00993916"/>
    <w:rsid w:val="009961C6"/>
    <w:rsid w:val="009A0EF6"/>
    <w:rsid w:val="009A1C8B"/>
    <w:rsid w:val="009A631A"/>
    <w:rsid w:val="009A6FCF"/>
    <w:rsid w:val="009A75F1"/>
    <w:rsid w:val="009B04FD"/>
    <w:rsid w:val="009B2D95"/>
    <w:rsid w:val="009B3A06"/>
    <w:rsid w:val="009B3B18"/>
    <w:rsid w:val="009B51FF"/>
    <w:rsid w:val="009B5BCF"/>
    <w:rsid w:val="009C1647"/>
    <w:rsid w:val="009C2768"/>
    <w:rsid w:val="009C73AE"/>
    <w:rsid w:val="009D2ED6"/>
    <w:rsid w:val="009D2FD7"/>
    <w:rsid w:val="009F47A5"/>
    <w:rsid w:val="009F6E2B"/>
    <w:rsid w:val="00A0485D"/>
    <w:rsid w:val="00A04C8C"/>
    <w:rsid w:val="00A06DB8"/>
    <w:rsid w:val="00A16AED"/>
    <w:rsid w:val="00A21DD4"/>
    <w:rsid w:val="00A252A0"/>
    <w:rsid w:val="00A26699"/>
    <w:rsid w:val="00A27A85"/>
    <w:rsid w:val="00A32472"/>
    <w:rsid w:val="00A35608"/>
    <w:rsid w:val="00A357A3"/>
    <w:rsid w:val="00A35D1C"/>
    <w:rsid w:val="00A36BFF"/>
    <w:rsid w:val="00A42B0F"/>
    <w:rsid w:val="00A43052"/>
    <w:rsid w:val="00A432E2"/>
    <w:rsid w:val="00A52587"/>
    <w:rsid w:val="00A570E8"/>
    <w:rsid w:val="00A570EC"/>
    <w:rsid w:val="00A611BA"/>
    <w:rsid w:val="00A623DB"/>
    <w:rsid w:val="00A650CB"/>
    <w:rsid w:val="00A658DB"/>
    <w:rsid w:val="00A708FA"/>
    <w:rsid w:val="00A82813"/>
    <w:rsid w:val="00A87872"/>
    <w:rsid w:val="00A94C44"/>
    <w:rsid w:val="00A9514B"/>
    <w:rsid w:val="00A95405"/>
    <w:rsid w:val="00A97E46"/>
    <w:rsid w:val="00AA25DC"/>
    <w:rsid w:val="00AC18A3"/>
    <w:rsid w:val="00AC307C"/>
    <w:rsid w:val="00AD3FEB"/>
    <w:rsid w:val="00AE1E85"/>
    <w:rsid w:val="00AE3321"/>
    <w:rsid w:val="00B00563"/>
    <w:rsid w:val="00B076DD"/>
    <w:rsid w:val="00B07CB7"/>
    <w:rsid w:val="00B12F95"/>
    <w:rsid w:val="00B13004"/>
    <w:rsid w:val="00B217A0"/>
    <w:rsid w:val="00B21E32"/>
    <w:rsid w:val="00B27068"/>
    <w:rsid w:val="00B2775B"/>
    <w:rsid w:val="00B30605"/>
    <w:rsid w:val="00B44140"/>
    <w:rsid w:val="00B45855"/>
    <w:rsid w:val="00B4732B"/>
    <w:rsid w:val="00B5008C"/>
    <w:rsid w:val="00B51DDF"/>
    <w:rsid w:val="00B572E4"/>
    <w:rsid w:val="00B60784"/>
    <w:rsid w:val="00B70FAA"/>
    <w:rsid w:val="00B7221E"/>
    <w:rsid w:val="00B72D09"/>
    <w:rsid w:val="00B73CB0"/>
    <w:rsid w:val="00B81E4C"/>
    <w:rsid w:val="00B82A2B"/>
    <w:rsid w:val="00B82D2D"/>
    <w:rsid w:val="00B842BA"/>
    <w:rsid w:val="00B84D9D"/>
    <w:rsid w:val="00B86121"/>
    <w:rsid w:val="00B86E1D"/>
    <w:rsid w:val="00B87B33"/>
    <w:rsid w:val="00B910DB"/>
    <w:rsid w:val="00B91476"/>
    <w:rsid w:val="00B937DA"/>
    <w:rsid w:val="00B95B5E"/>
    <w:rsid w:val="00BA2748"/>
    <w:rsid w:val="00BA2DFF"/>
    <w:rsid w:val="00BA35E5"/>
    <w:rsid w:val="00BA51B0"/>
    <w:rsid w:val="00BA51B2"/>
    <w:rsid w:val="00BA5CAB"/>
    <w:rsid w:val="00BB2C42"/>
    <w:rsid w:val="00BB3908"/>
    <w:rsid w:val="00BC05B7"/>
    <w:rsid w:val="00BC30D1"/>
    <w:rsid w:val="00BC5F2B"/>
    <w:rsid w:val="00BC6632"/>
    <w:rsid w:val="00BD1B75"/>
    <w:rsid w:val="00BD3858"/>
    <w:rsid w:val="00BD4D5B"/>
    <w:rsid w:val="00BD5F5F"/>
    <w:rsid w:val="00BE4061"/>
    <w:rsid w:val="00BE5AE6"/>
    <w:rsid w:val="00BE76D1"/>
    <w:rsid w:val="00BE7787"/>
    <w:rsid w:val="00BF4E6E"/>
    <w:rsid w:val="00BF651D"/>
    <w:rsid w:val="00BF761A"/>
    <w:rsid w:val="00C0744B"/>
    <w:rsid w:val="00C1144A"/>
    <w:rsid w:val="00C179EB"/>
    <w:rsid w:val="00C22D3C"/>
    <w:rsid w:val="00C23EB9"/>
    <w:rsid w:val="00C26EC9"/>
    <w:rsid w:val="00C35439"/>
    <w:rsid w:val="00C371FC"/>
    <w:rsid w:val="00C37C3D"/>
    <w:rsid w:val="00C40219"/>
    <w:rsid w:val="00C551F8"/>
    <w:rsid w:val="00C55478"/>
    <w:rsid w:val="00C56A7A"/>
    <w:rsid w:val="00C625CC"/>
    <w:rsid w:val="00C728D9"/>
    <w:rsid w:val="00C81A51"/>
    <w:rsid w:val="00C81B75"/>
    <w:rsid w:val="00C81D1F"/>
    <w:rsid w:val="00C85B90"/>
    <w:rsid w:val="00C85C3E"/>
    <w:rsid w:val="00C868DF"/>
    <w:rsid w:val="00C972F9"/>
    <w:rsid w:val="00CA0B79"/>
    <w:rsid w:val="00CA2765"/>
    <w:rsid w:val="00CA4A65"/>
    <w:rsid w:val="00CA6F75"/>
    <w:rsid w:val="00CA7009"/>
    <w:rsid w:val="00CC3FB0"/>
    <w:rsid w:val="00CC49B4"/>
    <w:rsid w:val="00CD0701"/>
    <w:rsid w:val="00CD41DE"/>
    <w:rsid w:val="00CE3BBC"/>
    <w:rsid w:val="00CE4623"/>
    <w:rsid w:val="00CE7B58"/>
    <w:rsid w:val="00CF2C02"/>
    <w:rsid w:val="00CF2D3E"/>
    <w:rsid w:val="00CF54DC"/>
    <w:rsid w:val="00CF6291"/>
    <w:rsid w:val="00D03220"/>
    <w:rsid w:val="00D07DEA"/>
    <w:rsid w:val="00D16D01"/>
    <w:rsid w:val="00D22A15"/>
    <w:rsid w:val="00D22E3B"/>
    <w:rsid w:val="00D24DC6"/>
    <w:rsid w:val="00D25F8C"/>
    <w:rsid w:val="00D26D4D"/>
    <w:rsid w:val="00D31372"/>
    <w:rsid w:val="00D357EC"/>
    <w:rsid w:val="00D6036E"/>
    <w:rsid w:val="00D6625C"/>
    <w:rsid w:val="00D67963"/>
    <w:rsid w:val="00D7417B"/>
    <w:rsid w:val="00D76209"/>
    <w:rsid w:val="00D8641D"/>
    <w:rsid w:val="00D93321"/>
    <w:rsid w:val="00D95871"/>
    <w:rsid w:val="00D95E5F"/>
    <w:rsid w:val="00DA1AA8"/>
    <w:rsid w:val="00DA1EA6"/>
    <w:rsid w:val="00DA2798"/>
    <w:rsid w:val="00DA300C"/>
    <w:rsid w:val="00DB0B79"/>
    <w:rsid w:val="00DB1259"/>
    <w:rsid w:val="00DB6785"/>
    <w:rsid w:val="00DC68B9"/>
    <w:rsid w:val="00DD254C"/>
    <w:rsid w:val="00DD3CD0"/>
    <w:rsid w:val="00DD6C2C"/>
    <w:rsid w:val="00DE0C00"/>
    <w:rsid w:val="00DE1826"/>
    <w:rsid w:val="00DE437E"/>
    <w:rsid w:val="00DE6053"/>
    <w:rsid w:val="00DF19EE"/>
    <w:rsid w:val="00DF3B16"/>
    <w:rsid w:val="00E128EF"/>
    <w:rsid w:val="00E1483A"/>
    <w:rsid w:val="00E24CC8"/>
    <w:rsid w:val="00E3281E"/>
    <w:rsid w:val="00E366CB"/>
    <w:rsid w:val="00E379D0"/>
    <w:rsid w:val="00E40260"/>
    <w:rsid w:val="00E448F7"/>
    <w:rsid w:val="00E47118"/>
    <w:rsid w:val="00E5183F"/>
    <w:rsid w:val="00E5206B"/>
    <w:rsid w:val="00E53EFE"/>
    <w:rsid w:val="00E54AC1"/>
    <w:rsid w:val="00E55EF2"/>
    <w:rsid w:val="00E56FB0"/>
    <w:rsid w:val="00E673BB"/>
    <w:rsid w:val="00E6774B"/>
    <w:rsid w:val="00E67F2C"/>
    <w:rsid w:val="00E71DB0"/>
    <w:rsid w:val="00E73E27"/>
    <w:rsid w:val="00E749DF"/>
    <w:rsid w:val="00E75A51"/>
    <w:rsid w:val="00E80B07"/>
    <w:rsid w:val="00E826AD"/>
    <w:rsid w:val="00E850E1"/>
    <w:rsid w:val="00E91A23"/>
    <w:rsid w:val="00E92620"/>
    <w:rsid w:val="00E948A7"/>
    <w:rsid w:val="00E977C7"/>
    <w:rsid w:val="00EA6BAB"/>
    <w:rsid w:val="00EB41F6"/>
    <w:rsid w:val="00EB6640"/>
    <w:rsid w:val="00EB7B41"/>
    <w:rsid w:val="00EC0DB6"/>
    <w:rsid w:val="00EC2E99"/>
    <w:rsid w:val="00EC4F0E"/>
    <w:rsid w:val="00ED4D2B"/>
    <w:rsid w:val="00ED5D0E"/>
    <w:rsid w:val="00ED5FA1"/>
    <w:rsid w:val="00EE1439"/>
    <w:rsid w:val="00EE3379"/>
    <w:rsid w:val="00EE42FD"/>
    <w:rsid w:val="00EE62B3"/>
    <w:rsid w:val="00EE7FB9"/>
    <w:rsid w:val="00EF2EC1"/>
    <w:rsid w:val="00EF57D3"/>
    <w:rsid w:val="00EF5F68"/>
    <w:rsid w:val="00F0141B"/>
    <w:rsid w:val="00F047CE"/>
    <w:rsid w:val="00F06E6A"/>
    <w:rsid w:val="00F07B7B"/>
    <w:rsid w:val="00F10D5E"/>
    <w:rsid w:val="00F124CC"/>
    <w:rsid w:val="00F14D96"/>
    <w:rsid w:val="00F14DEF"/>
    <w:rsid w:val="00F14E81"/>
    <w:rsid w:val="00F157B9"/>
    <w:rsid w:val="00F4281C"/>
    <w:rsid w:val="00F445A3"/>
    <w:rsid w:val="00F51EB4"/>
    <w:rsid w:val="00F56CF3"/>
    <w:rsid w:val="00F60501"/>
    <w:rsid w:val="00F60638"/>
    <w:rsid w:val="00F61008"/>
    <w:rsid w:val="00F6379B"/>
    <w:rsid w:val="00F7023F"/>
    <w:rsid w:val="00F709C1"/>
    <w:rsid w:val="00F72F30"/>
    <w:rsid w:val="00F73226"/>
    <w:rsid w:val="00F752DD"/>
    <w:rsid w:val="00F75E2D"/>
    <w:rsid w:val="00F771E2"/>
    <w:rsid w:val="00F77480"/>
    <w:rsid w:val="00F77A49"/>
    <w:rsid w:val="00F81DDF"/>
    <w:rsid w:val="00F92875"/>
    <w:rsid w:val="00FA0572"/>
    <w:rsid w:val="00FA15F6"/>
    <w:rsid w:val="00FA3484"/>
    <w:rsid w:val="00FA6626"/>
    <w:rsid w:val="00FA69CB"/>
    <w:rsid w:val="00FA76A2"/>
    <w:rsid w:val="00FB15D4"/>
    <w:rsid w:val="00FB589A"/>
    <w:rsid w:val="00FB67BF"/>
    <w:rsid w:val="00FC0016"/>
    <w:rsid w:val="00FC3401"/>
    <w:rsid w:val="00FC60CE"/>
    <w:rsid w:val="00FC72D2"/>
    <w:rsid w:val="00FD1645"/>
    <w:rsid w:val="00FD4FA1"/>
    <w:rsid w:val="00FD66FD"/>
    <w:rsid w:val="00FE1B40"/>
    <w:rsid w:val="00FE2AB0"/>
    <w:rsid w:val="00FF68B5"/>
    <w:rsid w:val="01576A0C"/>
    <w:rsid w:val="01A0150A"/>
    <w:rsid w:val="01AE6E74"/>
    <w:rsid w:val="01BD441C"/>
    <w:rsid w:val="01C91BC5"/>
    <w:rsid w:val="01F974E8"/>
    <w:rsid w:val="0200793B"/>
    <w:rsid w:val="024075E8"/>
    <w:rsid w:val="02554B14"/>
    <w:rsid w:val="02682A2A"/>
    <w:rsid w:val="02847F05"/>
    <w:rsid w:val="02951F95"/>
    <w:rsid w:val="02BC30A7"/>
    <w:rsid w:val="02D840DE"/>
    <w:rsid w:val="02D86518"/>
    <w:rsid w:val="02EF5CDD"/>
    <w:rsid w:val="02F02F4A"/>
    <w:rsid w:val="02FA438B"/>
    <w:rsid w:val="036E267D"/>
    <w:rsid w:val="038C0E81"/>
    <w:rsid w:val="03A70A38"/>
    <w:rsid w:val="044605DF"/>
    <w:rsid w:val="04646D02"/>
    <w:rsid w:val="046C1642"/>
    <w:rsid w:val="047053E2"/>
    <w:rsid w:val="047D5273"/>
    <w:rsid w:val="05471D94"/>
    <w:rsid w:val="05DC53FD"/>
    <w:rsid w:val="05E67171"/>
    <w:rsid w:val="0609094D"/>
    <w:rsid w:val="061614DB"/>
    <w:rsid w:val="06166002"/>
    <w:rsid w:val="066371B1"/>
    <w:rsid w:val="068A65A2"/>
    <w:rsid w:val="06E65187"/>
    <w:rsid w:val="070B3997"/>
    <w:rsid w:val="073026EE"/>
    <w:rsid w:val="075B5D40"/>
    <w:rsid w:val="07711052"/>
    <w:rsid w:val="07A62C4F"/>
    <w:rsid w:val="0802771E"/>
    <w:rsid w:val="08214C2F"/>
    <w:rsid w:val="08745278"/>
    <w:rsid w:val="0877387E"/>
    <w:rsid w:val="087D5842"/>
    <w:rsid w:val="088F72E1"/>
    <w:rsid w:val="08A37A96"/>
    <w:rsid w:val="08A7247E"/>
    <w:rsid w:val="08DF792C"/>
    <w:rsid w:val="094C3466"/>
    <w:rsid w:val="09AB6505"/>
    <w:rsid w:val="09D75426"/>
    <w:rsid w:val="0AA34C5A"/>
    <w:rsid w:val="0ABB751A"/>
    <w:rsid w:val="0AF86116"/>
    <w:rsid w:val="0B3A342D"/>
    <w:rsid w:val="0B563C61"/>
    <w:rsid w:val="0B5B2D1D"/>
    <w:rsid w:val="0B620865"/>
    <w:rsid w:val="0B900786"/>
    <w:rsid w:val="0C014064"/>
    <w:rsid w:val="0C160BA1"/>
    <w:rsid w:val="0C2B641D"/>
    <w:rsid w:val="0C2C3057"/>
    <w:rsid w:val="0C6A432F"/>
    <w:rsid w:val="0C6C3175"/>
    <w:rsid w:val="0CA75583"/>
    <w:rsid w:val="0CAA2C55"/>
    <w:rsid w:val="0CDA08B0"/>
    <w:rsid w:val="0CEA36C2"/>
    <w:rsid w:val="0CEF37BB"/>
    <w:rsid w:val="0CF956B3"/>
    <w:rsid w:val="0D046532"/>
    <w:rsid w:val="0D1B2812"/>
    <w:rsid w:val="0D1F5436"/>
    <w:rsid w:val="0D36034E"/>
    <w:rsid w:val="0D405695"/>
    <w:rsid w:val="0D4C612B"/>
    <w:rsid w:val="0D502A2B"/>
    <w:rsid w:val="0D6E38DE"/>
    <w:rsid w:val="0D764CE0"/>
    <w:rsid w:val="0D774F56"/>
    <w:rsid w:val="0D7954FD"/>
    <w:rsid w:val="0D7C7ACB"/>
    <w:rsid w:val="0D841421"/>
    <w:rsid w:val="0D9F408D"/>
    <w:rsid w:val="0DA91814"/>
    <w:rsid w:val="0DE30502"/>
    <w:rsid w:val="0E0B032B"/>
    <w:rsid w:val="0E0E15F5"/>
    <w:rsid w:val="0E1D2763"/>
    <w:rsid w:val="0E434E7F"/>
    <w:rsid w:val="0E5A03D3"/>
    <w:rsid w:val="0E9839CC"/>
    <w:rsid w:val="0EDF2288"/>
    <w:rsid w:val="0F1F541B"/>
    <w:rsid w:val="0F467307"/>
    <w:rsid w:val="0F4E2FBE"/>
    <w:rsid w:val="0F8F4F15"/>
    <w:rsid w:val="0FA36571"/>
    <w:rsid w:val="0FA57616"/>
    <w:rsid w:val="0FD348E1"/>
    <w:rsid w:val="0FDD28C2"/>
    <w:rsid w:val="0FE94D60"/>
    <w:rsid w:val="0FF85291"/>
    <w:rsid w:val="10246CD9"/>
    <w:rsid w:val="104A573F"/>
    <w:rsid w:val="10855F3B"/>
    <w:rsid w:val="108D4996"/>
    <w:rsid w:val="1098128C"/>
    <w:rsid w:val="109A0B17"/>
    <w:rsid w:val="10B13202"/>
    <w:rsid w:val="10E90416"/>
    <w:rsid w:val="10EB6E85"/>
    <w:rsid w:val="10F759A1"/>
    <w:rsid w:val="110E246D"/>
    <w:rsid w:val="110F4FB2"/>
    <w:rsid w:val="111B6540"/>
    <w:rsid w:val="11B17C1D"/>
    <w:rsid w:val="128B4D23"/>
    <w:rsid w:val="128F7744"/>
    <w:rsid w:val="12B039D1"/>
    <w:rsid w:val="12D0549C"/>
    <w:rsid w:val="13193953"/>
    <w:rsid w:val="13436DD5"/>
    <w:rsid w:val="13881F85"/>
    <w:rsid w:val="13D719AE"/>
    <w:rsid w:val="13E866B0"/>
    <w:rsid w:val="140A5F33"/>
    <w:rsid w:val="14325227"/>
    <w:rsid w:val="144C21F8"/>
    <w:rsid w:val="146B26BB"/>
    <w:rsid w:val="14BA2C59"/>
    <w:rsid w:val="14D049DE"/>
    <w:rsid w:val="14E42AAC"/>
    <w:rsid w:val="14FC30C1"/>
    <w:rsid w:val="151B6442"/>
    <w:rsid w:val="15284D87"/>
    <w:rsid w:val="154A4D7F"/>
    <w:rsid w:val="154D0C92"/>
    <w:rsid w:val="15995251"/>
    <w:rsid w:val="15C34AB0"/>
    <w:rsid w:val="15D34EE8"/>
    <w:rsid w:val="16510A53"/>
    <w:rsid w:val="16775356"/>
    <w:rsid w:val="16AD69D2"/>
    <w:rsid w:val="16BA57D1"/>
    <w:rsid w:val="17112BA5"/>
    <w:rsid w:val="171946A2"/>
    <w:rsid w:val="1729106A"/>
    <w:rsid w:val="17920BDE"/>
    <w:rsid w:val="17AE1509"/>
    <w:rsid w:val="17D24D5F"/>
    <w:rsid w:val="1813493B"/>
    <w:rsid w:val="18374765"/>
    <w:rsid w:val="185540E5"/>
    <w:rsid w:val="188A39C4"/>
    <w:rsid w:val="18BC008C"/>
    <w:rsid w:val="18D21BDA"/>
    <w:rsid w:val="191927D4"/>
    <w:rsid w:val="19433422"/>
    <w:rsid w:val="196A1650"/>
    <w:rsid w:val="199076A2"/>
    <w:rsid w:val="19964797"/>
    <w:rsid w:val="1A0E2268"/>
    <w:rsid w:val="1A4408B5"/>
    <w:rsid w:val="1A741AAF"/>
    <w:rsid w:val="1A845156"/>
    <w:rsid w:val="1A8614E2"/>
    <w:rsid w:val="1AED5784"/>
    <w:rsid w:val="1B8D3E30"/>
    <w:rsid w:val="1BA97566"/>
    <w:rsid w:val="1BAB7230"/>
    <w:rsid w:val="1C033E58"/>
    <w:rsid w:val="1C551701"/>
    <w:rsid w:val="1C78688D"/>
    <w:rsid w:val="1CA70C88"/>
    <w:rsid w:val="1CE05FE6"/>
    <w:rsid w:val="1D24677C"/>
    <w:rsid w:val="1D305121"/>
    <w:rsid w:val="1D372C07"/>
    <w:rsid w:val="1D3A3B36"/>
    <w:rsid w:val="1D610BA2"/>
    <w:rsid w:val="1D6F55A4"/>
    <w:rsid w:val="1D7A71E1"/>
    <w:rsid w:val="1DFB4EFA"/>
    <w:rsid w:val="1DFD2216"/>
    <w:rsid w:val="1E9C55D0"/>
    <w:rsid w:val="1EA64D91"/>
    <w:rsid w:val="1ED12DD9"/>
    <w:rsid w:val="1F1E495D"/>
    <w:rsid w:val="1F3B66CD"/>
    <w:rsid w:val="1F9A2D26"/>
    <w:rsid w:val="1FD038B1"/>
    <w:rsid w:val="20046DFF"/>
    <w:rsid w:val="205D447F"/>
    <w:rsid w:val="206F65F1"/>
    <w:rsid w:val="20936484"/>
    <w:rsid w:val="20B64B15"/>
    <w:rsid w:val="20BD452B"/>
    <w:rsid w:val="20F85CB8"/>
    <w:rsid w:val="212833BD"/>
    <w:rsid w:val="21450638"/>
    <w:rsid w:val="216D4A72"/>
    <w:rsid w:val="21950DDA"/>
    <w:rsid w:val="219F0AC7"/>
    <w:rsid w:val="21A03DB6"/>
    <w:rsid w:val="21D37880"/>
    <w:rsid w:val="22194776"/>
    <w:rsid w:val="224858B3"/>
    <w:rsid w:val="225318EF"/>
    <w:rsid w:val="225E5814"/>
    <w:rsid w:val="22755619"/>
    <w:rsid w:val="22814DDF"/>
    <w:rsid w:val="22834446"/>
    <w:rsid w:val="22A53DCC"/>
    <w:rsid w:val="22B503A8"/>
    <w:rsid w:val="22BC7FA6"/>
    <w:rsid w:val="22C2681B"/>
    <w:rsid w:val="22C41D8D"/>
    <w:rsid w:val="231C6B32"/>
    <w:rsid w:val="232E450F"/>
    <w:rsid w:val="23B82A11"/>
    <w:rsid w:val="23D73EE3"/>
    <w:rsid w:val="241F1A4B"/>
    <w:rsid w:val="2438200B"/>
    <w:rsid w:val="243B3FAC"/>
    <w:rsid w:val="24961D0D"/>
    <w:rsid w:val="249B16D2"/>
    <w:rsid w:val="249B7A78"/>
    <w:rsid w:val="24FD3B3B"/>
    <w:rsid w:val="250F5C5D"/>
    <w:rsid w:val="2519649B"/>
    <w:rsid w:val="252A1FFB"/>
    <w:rsid w:val="25506496"/>
    <w:rsid w:val="2565326D"/>
    <w:rsid w:val="258A4CDD"/>
    <w:rsid w:val="26231823"/>
    <w:rsid w:val="2624159B"/>
    <w:rsid w:val="265B4A93"/>
    <w:rsid w:val="26A5600A"/>
    <w:rsid w:val="26BB237B"/>
    <w:rsid w:val="26EE4083"/>
    <w:rsid w:val="271E248E"/>
    <w:rsid w:val="27486546"/>
    <w:rsid w:val="27C500E8"/>
    <w:rsid w:val="27C952E2"/>
    <w:rsid w:val="27D462FD"/>
    <w:rsid w:val="28254229"/>
    <w:rsid w:val="282E6B76"/>
    <w:rsid w:val="28437BCE"/>
    <w:rsid w:val="287068C1"/>
    <w:rsid w:val="288C0C61"/>
    <w:rsid w:val="28C23075"/>
    <w:rsid w:val="28E161C4"/>
    <w:rsid w:val="28F50017"/>
    <w:rsid w:val="28F96D0F"/>
    <w:rsid w:val="29AE5AA6"/>
    <w:rsid w:val="2A0E264A"/>
    <w:rsid w:val="2A155E9B"/>
    <w:rsid w:val="2A417C35"/>
    <w:rsid w:val="2A721FE9"/>
    <w:rsid w:val="2A805EEE"/>
    <w:rsid w:val="2A8A20AC"/>
    <w:rsid w:val="2A8F792B"/>
    <w:rsid w:val="2AA56730"/>
    <w:rsid w:val="2AB71A7A"/>
    <w:rsid w:val="2AF12B7A"/>
    <w:rsid w:val="2B18384E"/>
    <w:rsid w:val="2B3E3ACA"/>
    <w:rsid w:val="2B482C09"/>
    <w:rsid w:val="2B7D4158"/>
    <w:rsid w:val="2BB003CA"/>
    <w:rsid w:val="2BCE24F0"/>
    <w:rsid w:val="2C035D4D"/>
    <w:rsid w:val="2C2F7252"/>
    <w:rsid w:val="2C6E3C27"/>
    <w:rsid w:val="2C8E07A2"/>
    <w:rsid w:val="2C9B0474"/>
    <w:rsid w:val="2CB53E4C"/>
    <w:rsid w:val="2CBE6FFF"/>
    <w:rsid w:val="2CDB70EA"/>
    <w:rsid w:val="2D063205"/>
    <w:rsid w:val="2D1A126E"/>
    <w:rsid w:val="2D2563A1"/>
    <w:rsid w:val="2D4D587B"/>
    <w:rsid w:val="2D5C5ABE"/>
    <w:rsid w:val="2D821730"/>
    <w:rsid w:val="2DA40F97"/>
    <w:rsid w:val="2DBB3074"/>
    <w:rsid w:val="2E0927F6"/>
    <w:rsid w:val="2E0E21B3"/>
    <w:rsid w:val="2E187E18"/>
    <w:rsid w:val="2E225D93"/>
    <w:rsid w:val="2E505904"/>
    <w:rsid w:val="2E517160"/>
    <w:rsid w:val="2E51745C"/>
    <w:rsid w:val="2E823302"/>
    <w:rsid w:val="2E9E285C"/>
    <w:rsid w:val="2EA17239"/>
    <w:rsid w:val="2F1E618A"/>
    <w:rsid w:val="2F825EC2"/>
    <w:rsid w:val="2FB4573E"/>
    <w:rsid w:val="3003685D"/>
    <w:rsid w:val="3005243D"/>
    <w:rsid w:val="30212362"/>
    <w:rsid w:val="302A50FC"/>
    <w:rsid w:val="30647773"/>
    <w:rsid w:val="30C03F74"/>
    <w:rsid w:val="30E06A1A"/>
    <w:rsid w:val="30F02616"/>
    <w:rsid w:val="31216E03"/>
    <w:rsid w:val="315730CB"/>
    <w:rsid w:val="31776450"/>
    <w:rsid w:val="319E2D8A"/>
    <w:rsid w:val="31C418C9"/>
    <w:rsid w:val="31CB3F73"/>
    <w:rsid w:val="31D40319"/>
    <w:rsid w:val="31D80C57"/>
    <w:rsid w:val="31E74094"/>
    <w:rsid w:val="322D55F0"/>
    <w:rsid w:val="327A055D"/>
    <w:rsid w:val="329C44C9"/>
    <w:rsid w:val="32A01FA9"/>
    <w:rsid w:val="32A0771A"/>
    <w:rsid w:val="32AB72CC"/>
    <w:rsid w:val="32C1089D"/>
    <w:rsid w:val="32E94E4C"/>
    <w:rsid w:val="33053CF6"/>
    <w:rsid w:val="330A669B"/>
    <w:rsid w:val="33656452"/>
    <w:rsid w:val="3388090F"/>
    <w:rsid w:val="33B835E1"/>
    <w:rsid w:val="33C46C09"/>
    <w:rsid w:val="33C76823"/>
    <w:rsid w:val="341E4650"/>
    <w:rsid w:val="34265A76"/>
    <w:rsid w:val="344E4DA2"/>
    <w:rsid w:val="34541B4A"/>
    <w:rsid w:val="345C7D0F"/>
    <w:rsid w:val="347120CB"/>
    <w:rsid w:val="347E1011"/>
    <w:rsid w:val="34830223"/>
    <w:rsid w:val="34DE5698"/>
    <w:rsid w:val="34E83023"/>
    <w:rsid w:val="34F13859"/>
    <w:rsid w:val="35197A4C"/>
    <w:rsid w:val="352F465E"/>
    <w:rsid w:val="354A7C20"/>
    <w:rsid w:val="354C3247"/>
    <w:rsid w:val="35852BAF"/>
    <w:rsid w:val="358856A2"/>
    <w:rsid w:val="35C97159"/>
    <w:rsid w:val="35DD3857"/>
    <w:rsid w:val="364165FC"/>
    <w:rsid w:val="369266B5"/>
    <w:rsid w:val="36CE429A"/>
    <w:rsid w:val="37000F79"/>
    <w:rsid w:val="370943D4"/>
    <w:rsid w:val="372F62FB"/>
    <w:rsid w:val="37364584"/>
    <w:rsid w:val="373C2345"/>
    <w:rsid w:val="378123A9"/>
    <w:rsid w:val="379876F3"/>
    <w:rsid w:val="37B72D72"/>
    <w:rsid w:val="37BB55E6"/>
    <w:rsid w:val="37DB1F6C"/>
    <w:rsid w:val="37F41DD7"/>
    <w:rsid w:val="37FD6A3C"/>
    <w:rsid w:val="381A1B75"/>
    <w:rsid w:val="383C1B70"/>
    <w:rsid w:val="384064AA"/>
    <w:rsid w:val="384B4DE5"/>
    <w:rsid w:val="38763ED8"/>
    <w:rsid w:val="387E532F"/>
    <w:rsid w:val="38885C78"/>
    <w:rsid w:val="388D700B"/>
    <w:rsid w:val="38A4740C"/>
    <w:rsid w:val="38C743D2"/>
    <w:rsid w:val="38CE0040"/>
    <w:rsid w:val="38F947C9"/>
    <w:rsid w:val="392419CF"/>
    <w:rsid w:val="399C13FB"/>
    <w:rsid w:val="39BC3D54"/>
    <w:rsid w:val="39BE1343"/>
    <w:rsid w:val="39BE31D2"/>
    <w:rsid w:val="39E555AE"/>
    <w:rsid w:val="39F85ACE"/>
    <w:rsid w:val="39FE19AD"/>
    <w:rsid w:val="3A4875D7"/>
    <w:rsid w:val="3AB87F08"/>
    <w:rsid w:val="3AF72F82"/>
    <w:rsid w:val="3B04344E"/>
    <w:rsid w:val="3B2D013E"/>
    <w:rsid w:val="3B8A2182"/>
    <w:rsid w:val="3B8F4DF4"/>
    <w:rsid w:val="3BB71777"/>
    <w:rsid w:val="3BF65BD7"/>
    <w:rsid w:val="3C1F1CF5"/>
    <w:rsid w:val="3CB52C63"/>
    <w:rsid w:val="3CDA2A37"/>
    <w:rsid w:val="3CE26B35"/>
    <w:rsid w:val="3CF06248"/>
    <w:rsid w:val="3D0F2EA3"/>
    <w:rsid w:val="3D126672"/>
    <w:rsid w:val="3D1C7D17"/>
    <w:rsid w:val="3D544EA2"/>
    <w:rsid w:val="3D995F73"/>
    <w:rsid w:val="3DE94C21"/>
    <w:rsid w:val="3E2E71BA"/>
    <w:rsid w:val="3E5436E6"/>
    <w:rsid w:val="3E545605"/>
    <w:rsid w:val="3EA34C54"/>
    <w:rsid w:val="3EBC76DA"/>
    <w:rsid w:val="3ED742A1"/>
    <w:rsid w:val="3EEA10AA"/>
    <w:rsid w:val="3F235AF6"/>
    <w:rsid w:val="3F3D5D79"/>
    <w:rsid w:val="3F405E1B"/>
    <w:rsid w:val="3F984D5F"/>
    <w:rsid w:val="3FA55830"/>
    <w:rsid w:val="3FC92B3F"/>
    <w:rsid w:val="40021CD2"/>
    <w:rsid w:val="400301C0"/>
    <w:rsid w:val="405C7B6C"/>
    <w:rsid w:val="408B53C4"/>
    <w:rsid w:val="409206D5"/>
    <w:rsid w:val="40B25CC9"/>
    <w:rsid w:val="410E2FA0"/>
    <w:rsid w:val="41126927"/>
    <w:rsid w:val="41464AA6"/>
    <w:rsid w:val="41464C97"/>
    <w:rsid w:val="41DF489C"/>
    <w:rsid w:val="421673AA"/>
    <w:rsid w:val="422C21D3"/>
    <w:rsid w:val="42350960"/>
    <w:rsid w:val="426F70D4"/>
    <w:rsid w:val="42752DFE"/>
    <w:rsid w:val="427C7112"/>
    <w:rsid w:val="428A2BBD"/>
    <w:rsid w:val="42C57F36"/>
    <w:rsid w:val="42DB6B50"/>
    <w:rsid w:val="42EF2FFB"/>
    <w:rsid w:val="432435BA"/>
    <w:rsid w:val="43811C6D"/>
    <w:rsid w:val="43FC7E34"/>
    <w:rsid w:val="44193FDD"/>
    <w:rsid w:val="4431207D"/>
    <w:rsid w:val="445B5CFC"/>
    <w:rsid w:val="445E4C29"/>
    <w:rsid w:val="44C757E3"/>
    <w:rsid w:val="44D44062"/>
    <w:rsid w:val="44F8123A"/>
    <w:rsid w:val="45027796"/>
    <w:rsid w:val="45201869"/>
    <w:rsid w:val="4540678D"/>
    <w:rsid w:val="455235D7"/>
    <w:rsid w:val="457A4FD0"/>
    <w:rsid w:val="45B44E57"/>
    <w:rsid w:val="46321BFC"/>
    <w:rsid w:val="464D2E24"/>
    <w:rsid w:val="467275FB"/>
    <w:rsid w:val="467D1B4B"/>
    <w:rsid w:val="468B4C01"/>
    <w:rsid w:val="46A05949"/>
    <w:rsid w:val="46B03787"/>
    <w:rsid w:val="46E93901"/>
    <w:rsid w:val="46FF51DB"/>
    <w:rsid w:val="47320639"/>
    <w:rsid w:val="473A07C7"/>
    <w:rsid w:val="474C1CFE"/>
    <w:rsid w:val="47892B0A"/>
    <w:rsid w:val="47F250F2"/>
    <w:rsid w:val="47F47767"/>
    <w:rsid w:val="480E314B"/>
    <w:rsid w:val="481F099B"/>
    <w:rsid w:val="48333D5F"/>
    <w:rsid w:val="48336869"/>
    <w:rsid w:val="48416365"/>
    <w:rsid w:val="48425B85"/>
    <w:rsid w:val="48651873"/>
    <w:rsid w:val="487330B4"/>
    <w:rsid w:val="48852E4B"/>
    <w:rsid w:val="48A7484E"/>
    <w:rsid w:val="48AB7AD2"/>
    <w:rsid w:val="48B97E69"/>
    <w:rsid w:val="490C2A88"/>
    <w:rsid w:val="492E6F78"/>
    <w:rsid w:val="494C582B"/>
    <w:rsid w:val="4958797B"/>
    <w:rsid w:val="49727000"/>
    <w:rsid w:val="49DF50EC"/>
    <w:rsid w:val="4A24099A"/>
    <w:rsid w:val="4A40077C"/>
    <w:rsid w:val="4A4E0151"/>
    <w:rsid w:val="4A895CED"/>
    <w:rsid w:val="4B2627E4"/>
    <w:rsid w:val="4BAD493A"/>
    <w:rsid w:val="4BBD1049"/>
    <w:rsid w:val="4C2850DE"/>
    <w:rsid w:val="4C4736DA"/>
    <w:rsid w:val="4C505C4D"/>
    <w:rsid w:val="4C7F64B0"/>
    <w:rsid w:val="4CDE27F7"/>
    <w:rsid w:val="4D6A0C7B"/>
    <w:rsid w:val="4DB270C4"/>
    <w:rsid w:val="4E0F4DE0"/>
    <w:rsid w:val="4E4D2A0C"/>
    <w:rsid w:val="4E6D75EF"/>
    <w:rsid w:val="4E747F16"/>
    <w:rsid w:val="4EB228D7"/>
    <w:rsid w:val="4EB548D2"/>
    <w:rsid w:val="4EE71234"/>
    <w:rsid w:val="4F642884"/>
    <w:rsid w:val="4F945352"/>
    <w:rsid w:val="4F9F566B"/>
    <w:rsid w:val="4FA90E57"/>
    <w:rsid w:val="4FD76378"/>
    <w:rsid w:val="4FE72ED2"/>
    <w:rsid w:val="4FF84D7B"/>
    <w:rsid w:val="4FFF41B8"/>
    <w:rsid w:val="506400A7"/>
    <w:rsid w:val="50B5354F"/>
    <w:rsid w:val="50E10D22"/>
    <w:rsid w:val="515B2FA0"/>
    <w:rsid w:val="516C6D58"/>
    <w:rsid w:val="51883BC9"/>
    <w:rsid w:val="519954EE"/>
    <w:rsid w:val="51BC69A8"/>
    <w:rsid w:val="51F23A4D"/>
    <w:rsid w:val="5215604D"/>
    <w:rsid w:val="52326C6A"/>
    <w:rsid w:val="52D65847"/>
    <w:rsid w:val="52DC5818"/>
    <w:rsid w:val="53185E16"/>
    <w:rsid w:val="53840D3D"/>
    <w:rsid w:val="539C1BED"/>
    <w:rsid w:val="53AC47FA"/>
    <w:rsid w:val="53E82D8C"/>
    <w:rsid w:val="54155225"/>
    <w:rsid w:val="54434FD7"/>
    <w:rsid w:val="54524DC7"/>
    <w:rsid w:val="5476088F"/>
    <w:rsid w:val="54767200"/>
    <w:rsid w:val="548E5012"/>
    <w:rsid w:val="54946EA5"/>
    <w:rsid w:val="549C1209"/>
    <w:rsid w:val="54B41BB8"/>
    <w:rsid w:val="54F76B7B"/>
    <w:rsid w:val="55010DE9"/>
    <w:rsid w:val="550B7360"/>
    <w:rsid w:val="55187206"/>
    <w:rsid w:val="5521161C"/>
    <w:rsid w:val="55227ACD"/>
    <w:rsid w:val="55562C6F"/>
    <w:rsid w:val="555F0DE9"/>
    <w:rsid w:val="557B2A48"/>
    <w:rsid w:val="5582797D"/>
    <w:rsid w:val="55A0247B"/>
    <w:rsid w:val="55BA2AB1"/>
    <w:rsid w:val="56417C4B"/>
    <w:rsid w:val="564559ED"/>
    <w:rsid w:val="565E16A0"/>
    <w:rsid w:val="566C649E"/>
    <w:rsid w:val="568B7D16"/>
    <w:rsid w:val="569E667C"/>
    <w:rsid w:val="56A56296"/>
    <w:rsid w:val="56EF77A9"/>
    <w:rsid w:val="57185BC6"/>
    <w:rsid w:val="571B584B"/>
    <w:rsid w:val="573D226B"/>
    <w:rsid w:val="57A31A70"/>
    <w:rsid w:val="57C35B91"/>
    <w:rsid w:val="57C80D40"/>
    <w:rsid w:val="583B394C"/>
    <w:rsid w:val="58571090"/>
    <w:rsid w:val="58B83874"/>
    <w:rsid w:val="58CB6131"/>
    <w:rsid w:val="58F01528"/>
    <w:rsid w:val="59225288"/>
    <w:rsid w:val="595C6E02"/>
    <w:rsid w:val="597F386C"/>
    <w:rsid w:val="598148CA"/>
    <w:rsid w:val="5992718C"/>
    <w:rsid w:val="59C148A0"/>
    <w:rsid w:val="59C503C4"/>
    <w:rsid w:val="59C54E94"/>
    <w:rsid w:val="5A7511CB"/>
    <w:rsid w:val="5A8569A3"/>
    <w:rsid w:val="5A882BDD"/>
    <w:rsid w:val="5A963D0F"/>
    <w:rsid w:val="5AA35CE0"/>
    <w:rsid w:val="5ACC27AE"/>
    <w:rsid w:val="5AD738A8"/>
    <w:rsid w:val="5AE74296"/>
    <w:rsid w:val="5AF2367F"/>
    <w:rsid w:val="5B060F09"/>
    <w:rsid w:val="5B1F1D55"/>
    <w:rsid w:val="5B22468D"/>
    <w:rsid w:val="5B291E67"/>
    <w:rsid w:val="5B3271D7"/>
    <w:rsid w:val="5B760304"/>
    <w:rsid w:val="5BDA52CB"/>
    <w:rsid w:val="5C2874F4"/>
    <w:rsid w:val="5C971E1A"/>
    <w:rsid w:val="5CA36FA7"/>
    <w:rsid w:val="5CA7664F"/>
    <w:rsid w:val="5CF60E57"/>
    <w:rsid w:val="5D1C543C"/>
    <w:rsid w:val="5D543F0A"/>
    <w:rsid w:val="5DCC3675"/>
    <w:rsid w:val="5E082F8D"/>
    <w:rsid w:val="5E186CDF"/>
    <w:rsid w:val="5E275239"/>
    <w:rsid w:val="5E693A13"/>
    <w:rsid w:val="5ED72A84"/>
    <w:rsid w:val="5EE32AE2"/>
    <w:rsid w:val="5EE66E8C"/>
    <w:rsid w:val="5F624FD1"/>
    <w:rsid w:val="5F7B5EE9"/>
    <w:rsid w:val="5F9E149B"/>
    <w:rsid w:val="5FA263AE"/>
    <w:rsid w:val="5FA43EFF"/>
    <w:rsid w:val="5FAA42E4"/>
    <w:rsid w:val="5FE04D41"/>
    <w:rsid w:val="602A71D2"/>
    <w:rsid w:val="604C140E"/>
    <w:rsid w:val="60723276"/>
    <w:rsid w:val="609028F6"/>
    <w:rsid w:val="60C42D14"/>
    <w:rsid w:val="610267DE"/>
    <w:rsid w:val="610C1869"/>
    <w:rsid w:val="61511552"/>
    <w:rsid w:val="61B32CB1"/>
    <w:rsid w:val="61D04CCF"/>
    <w:rsid w:val="61FC6176"/>
    <w:rsid w:val="62C850AC"/>
    <w:rsid w:val="63095954"/>
    <w:rsid w:val="63295594"/>
    <w:rsid w:val="632C14B3"/>
    <w:rsid w:val="632C2508"/>
    <w:rsid w:val="632D381B"/>
    <w:rsid w:val="633B40F8"/>
    <w:rsid w:val="6376388D"/>
    <w:rsid w:val="637C4FEA"/>
    <w:rsid w:val="63990205"/>
    <w:rsid w:val="63B86B82"/>
    <w:rsid w:val="63CB4828"/>
    <w:rsid w:val="63E562C2"/>
    <w:rsid w:val="641131AA"/>
    <w:rsid w:val="64153F3B"/>
    <w:rsid w:val="6431668F"/>
    <w:rsid w:val="6446531E"/>
    <w:rsid w:val="645F1293"/>
    <w:rsid w:val="649746E9"/>
    <w:rsid w:val="64F87482"/>
    <w:rsid w:val="65734EF5"/>
    <w:rsid w:val="65B455A1"/>
    <w:rsid w:val="65DB40F0"/>
    <w:rsid w:val="65F242EE"/>
    <w:rsid w:val="66092D92"/>
    <w:rsid w:val="661C75BD"/>
    <w:rsid w:val="66250709"/>
    <w:rsid w:val="66265476"/>
    <w:rsid w:val="66A45207"/>
    <w:rsid w:val="66CE3D9F"/>
    <w:rsid w:val="673760C6"/>
    <w:rsid w:val="67464553"/>
    <w:rsid w:val="676F0466"/>
    <w:rsid w:val="6775001E"/>
    <w:rsid w:val="677B6983"/>
    <w:rsid w:val="67A24503"/>
    <w:rsid w:val="67A33B49"/>
    <w:rsid w:val="67B63E1E"/>
    <w:rsid w:val="67D650DE"/>
    <w:rsid w:val="67EA267E"/>
    <w:rsid w:val="67F0485E"/>
    <w:rsid w:val="683040D9"/>
    <w:rsid w:val="68383780"/>
    <w:rsid w:val="68787C47"/>
    <w:rsid w:val="68DB550E"/>
    <w:rsid w:val="691B3B5C"/>
    <w:rsid w:val="691C37B3"/>
    <w:rsid w:val="692B00E5"/>
    <w:rsid w:val="694E3A9C"/>
    <w:rsid w:val="69584073"/>
    <w:rsid w:val="69753C38"/>
    <w:rsid w:val="69893198"/>
    <w:rsid w:val="69B56A04"/>
    <w:rsid w:val="69B67D29"/>
    <w:rsid w:val="69C05F4E"/>
    <w:rsid w:val="69CC5A7A"/>
    <w:rsid w:val="69CD2876"/>
    <w:rsid w:val="69E228CC"/>
    <w:rsid w:val="6A2C2DF4"/>
    <w:rsid w:val="6A767DFE"/>
    <w:rsid w:val="6A826A7F"/>
    <w:rsid w:val="6A8B4D12"/>
    <w:rsid w:val="6ADE66B8"/>
    <w:rsid w:val="6AFD68A8"/>
    <w:rsid w:val="6B0C2013"/>
    <w:rsid w:val="6B1C0BCE"/>
    <w:rsid w:val="6B2A50A1"/>
    <w:rsid w:val="6B30513B"/>
    <w:rsid w:val="6B4B0176"/>
    <w:rsid w:val="6B4E2D3E"/>
    <w:rsid w:val="6B514CA8"/>
    <w:rsid w:val="6B633598"/>
    <w:rsid w:val="6B695720"/>
    <w:rsid w:val="6B72644A"/>
    <w:rsid w:val="6B7719B4"/>
    <w:rsid w:val="6B8631E7"/>
    <w:rsid w:val="6BB23D40"/>
    <w:rsid w:val="6BBF08DA"/>
    <w:rsid w:val="6BD564EA"/>
    <w:rsid w:val="6BEB21DB"/>
    <w:rsid w:val="6C3D64DF"/>
    <w:rsid w:val="6C420689"/>
    <w:rsid w:val="6C69623A"/>
    <w:rsid w:val="6C986389"/>
    <w:rsid w:val="6CB24FAA"/>
    <w:rsid w:val="6CC129BC"/>
    <w:rsid w:val="6CD06D9A"/>
    <w:rsid w:val="6CD77686"/>
    <w:rsid w:val="6CDD4ECA"/>
    <w:rsid w:val="6CE66763"/>
    <w:rsid w:val="6D69551A"/>
    <w:rsid w:val="6D73494B"/>
    <w:rsid w:val="6D740BEB"/>
    <w:rsid w:val="6D9E1F8B"/>
    <w:rsid w:val="6DDD1463"/>
    <w:rsid w:val="6DE47554"/>
    <w:rsid w:val="6DFB0400"/>
    <w:rsid w:val="6E083D81"/>
    <w:rsid w:val="6E304C9C"/>
    <w:rsid w:val="6E4A569E"/>
    <w:rsid w:val="6E7372FD"/>
    <w:rsid w:val="6ED26B2E"/>
    <w:rsid w:val="6EEB2223"/>
    <w:rsid w:val="6EEE5032"/>
    <w:rsid w:val="6F070B6D"/>
    <w:rsid w:val="6F297C7F"/>
    <w:rsid w:val="6F370F0B"/>
    <w:rsid w:val="6F533011"/>
    <w:rsid w:val="6F6023E5"/>
    <w:rsid w:val="6F74463B"/>
    <w:rsid w:val="6F847F0F"/>
    <w:rsid w:val="6FE72BEC"/>
    <w:rsid w:val="6FF0154F"/>
    <w:rsid w:val="70077E32"/>
    <w:rsid w:val="701D04C3"/>
    <w:rsid w:val="70207AAF"/>
    <w:rsid w:val="702E733C"/>
    <w:rsid w:val="70334C61"/>
    <w:rsid w:val="7058462B"/>
    <w:rsid w:val="70587A30"/>
    <w:rsid w:val="70631FE6"/>
    <w:rsid w:val="708B5165"/>
    <w:rsid w:val="70BC2D0D"/>
    <w:rsid w:val="70C037ED"/>
    <w:rsid w:val="712E0CAD"/>
    <w:rsid w:val="71365150"/>
    <w:rsid w:val="71453E6C"/>
    <w:rsid w:val="71491ACF"/>
    <w:rsid w:val="71AA26E2"/>
    <w:rsid w:val="71B24245"/>
    <w:rsid w:val="71BE4851"/>
    <w:rsid w:val="71CE7C3E"/>
    <w:rsid w:val="72115B84"/>
    <w:rsid w:val="722467F1"/>
    <w:rsid w:val="722A5AE9"/>
    <w:rsid w:val="72342AF6"/>
    <w:rsid w:val="72421063"/>
    <w:rsid w:val="72941165"/>
    <w:rsid w:val="72AA6F05"/>
    <w:rsid w:val="72D954AE"/>
    <w:rsid w:val="72DB7C19"/>
    <w:rsid w:val="72E91A51"/>
    <w:rsid w:val="731F685F"/>
    <w:rsid w:val="7379604F"/>
    <w:rsid w:val="738C32BA"/>
    <w:rsid w:val="73AB1CF8"/>
    <w:rsid w:val="73B34AD5"/>
    <w:rsid w:val="73E84ED7"/>
    <w:rsid w:val="740B6DD2"/>
    <w:rsid w:val="743275FC"/>
    <w:rsid w:val="744A60E7"/>
    <w:rsid w:val="749E3893"/>
    <w:rsid w:val="74A14EF6"/>
    <w:rsid w:val="74FC053B"/>
    <w:rsid w:val="754A6BE8"/>
    <w:rsid w:val="75621210"/>
    <w:rsid w:val="75662603"/>
    <w:rsid w:val="75AB1A31"/>
    <w:rsid w:val="75AB7A8F"/>
    <w:rsid w:val="75B41B90"/>
    <w:rsid w:val="75DE1A40"/>
    <w:rsid w:val="761364A1"/>
    <w:rsid w:val="76205E66"/>
    <w:rsid w:val="76223B82"/>
    <w:rsid w:val="763B6455"/>
    <w:rsid w:val="765C6331"/>
    <w:rsid w:val="76B455F0"/>
    <w:rsid w:val="76D51A64"/>
    <w:rsid w:val="771262B3"/>
    <w:rsid w:val="77256B71"/>
    <w:rsid w:val="7746477C"/>
    <w:rsid w:val="775A7E43"/>
    <w:rsid w:val="776E3E0A"/>
    <w:rsid w:val="77905715"/>
    <w:rsid w:val="779979E0"/>
    <w:rsid w:val="77B052D7"/>
    <w:rsid w:val="77EC236D"/>
    <w:rsid w:val="77EE25C9"/>
    <w:rsid w:val="78054355"/>
    <w:rsid w:val="78153E6C"/>
    <w:rsid w:val="782642CC"/>
    <w:rsid w:val="78496F7D"/>
    <w:rsid w:val="78865FAA"/>
    <w:rsid w:val="788E22F0"/>
    <w:rsid w:val="78CB7852"/>
    <w:rsid w:val="78D93E53"/>
    <w:rsid w:val="7908351A"/>
    <w:rsid w:val="791A5BDE"/>
    <w:rsid w:val="792244FC"/>
    <w:rsid w:val="79321CC0"/>
    <w:rsid w:val="79507C6C"/>
    <w:rsid w:val="79881FD6"/>
    <w:rsid w:val="79A828CF"/>
    <w:rsid w:val="7A222739"/>
    <w:rsid w:val="7A8F7F06"/>
    <w:rsid w:val="7ADA2C05"/>
    <w:rsid w:val="7AEF0655"/>
    <w:rsid w:val="7AF31B1B"/>
    <w:rsid w:val="7B2214EA"/>
    <w:rsid w:val="7B4C559F"/>
    <w:rsid w:val="7B7B4549"/>
    <w:rsid w:val="7BE97480"/>
    <w:rsid w:val="7C045CBD"/>
    <w:rsid w:val="7C116AAA"/>
    <w:rsid w:val="7C220A58"/>
    <w:rsid w:val="7C260122"/>
    <w:rsid w:val="7C377F10"/>
    <w:rsid w:val="7C6B0520"/>
    <w:rsid w:val="7C7133B0"/>
    <w:rsid w:val="7C7166E1"/>
    <w:rsid w:val="7CB50642"/>
    <w:rsid w:val="7CC12815"/>
    <w:rsid w:val="7CC74D54"/>
    <w:rsid w:val="7CDB38E3"/>
    <w:rsid w:val="7CFC0E6E"/>
    <w:rsid w:val="7D131D2E"/>
    <w:rsid w:val="7D3E4A3C"/>
    <w:rsid w:val="7D7B201F"/>
    <w:rsid w:val="7D9F4D2D"/>
    <w:rsid w:val="7DBA5E29"/>
    <w:rsid w:val="7DBB7315"/>
    <w:rsid w:val="7E1449C6"/>
    <w:rsid w:val="7E2716F4"/>
    <w:rsid w:val="7EB27B21"/>
    <w:rsid w:val="7EB31404"/>
    <w:rsid w:val="7EB73ECF"/>
    <w:rsid w:val="7EC860DC"/>
    <w:rsid w:val="7F107F15"/>
    <w:rsid w:val="7F3914A0"/>
    <w:rsid w:val="7F930498"/>
    <w:rsid w:val="7F936BC0"/>
    <w:rsid w:val="7FCA6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link w:val="5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52"/>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53"/>
    <w:semiHidden/>
    <w:unhideWhenUsed/>
    <w:qFormat/>
    <w:uiPriority w:val="0"/>
    <w:pPr>
      <w:keepNext/>
      <w:keepLines/>
      <w:spacing w:before="260" w:after="260" w:line="416" w:lineRule="auto"/>
      <w:outlineLvl w:val="2"/>
    </w:pPr>
    <w:rPr>
      <w:b/>
      <w:bCs/>
      <w:sz w:val="32"/>
      <w:szCs w:val="32"/>
    </w:rPr>
  </w:style>
  <w:style w:type="paragraph" w:styleId="8">
    <w:name w:val="heading 4"/>
    <w:basedOn w:val="1"/>
    <w:next w:val="1"/>
    <w:link w:val="54"/>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adjustRightInd w:val="0"/>
      <w:jc w:val="left"/>
    </w:pPr>
    <w:rPr>
      <w:rFonts w:ascii="宋体" w:hAnsi="宋体" w:cs="宋体"/>
      <w:color w:val="000000"/>
      <w:kern w:val="0"/>
      <w:sz w:val="24"/>
      <w:szCs w:val="24"/>
    </w:rPr>
  </w:style>
  <w:style w:type="paragraph" w:customStyle="1" w:styleId="3">
    <w:name w:val="纯文本1"/>
    <w:basedOn w:val="1"/>
    <w:qFormat/>
    <w:uiPriority w:val="99"/>
    <w:pPr>
      <w:adjustRightInd w:val="0"/>
      <w:textAlignment w:val="baseline"/>
    </w:pPr>
    <w:rPr>
      <w:rFonts w:ascii="宋体" w:hAnsi="Courier New"/>
    </w:rPr>
  </w:style>
  <w:style w:type="paragraph" w:customStyle="1" w:styleId="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9">
    <w:name w:val="table of authorities"/>
    <w:basedOn w:val="1"/>
    <w:next w:val="1"/>
    <w:qFormat/>
    <w:uiPriority w:val="0"/>
    <w:pPr>
      <w:ind w:left="420" w:leftChars="200"/>
    </w:pPr>
  </w:style>
  <w:style w:type="paragraph" w:styleId="10">
    <w:name w:val="Normal Indent"/>
    <w:basedOn w:val="1"/>
    <w:link w:val="41"/>
    <w:qFormat/>
    <w:uiPriority w:val="0"/>
    <w:pPr>
      <w:ind w:firstLine="420"/>
    </w:pPr>
    <w:rPr>
      <w:sz w:val="32"/>
      <w:szCs w:val="20"/>
    </w:rPr>
  </w:style>
  <w:style w:type="paragraph" w:styleId="11">
    <w:name w:val="caption"/>
    <w:basedOn w:val="1"/>
    <w:next w:val="1"/>
    <w:qFormat/>
    <w:uiPriority w:val="0"/>
    <w:pPr>
      <w:spacing w:line="360" w:lineRule="auto"/>
      <w:jc w:val="center"/>
    </w:pPr>
    <w:rPr>
      <w:sz w:val="28"/>
      <w:szCs w:val="20"/>
    </w:rPr>
  </w:style>
  <w:style w:type="paragraph" w:styleId="12">
    <w:name w:val="annotation text"/>
    <w:basedOn w:val="1"/>
    <w:link w:val="49"/>
    <w:semiHidden/>
    <w:unhideWhenUsed/>
    <w:qFormat/>
    <w:uiPriority w:val="0"/>
    <w:pPr>
      <w:jc w:val="left"/>
    </w:pPr>
  </w:style>
  <w:style w:type="paragraph" w:styleId="13">
    <w:name w:val="Body Text"/>
    <w:basedOn w:val="1"/>
    <w:link w:val="55"/>
    <w:qFormat/>
    <w:uiPriority w:val="0"/>
    <w:pPr>
      <w:widowControl/>
      <w:snapToGrid w:val="0"/>
      <w:spacing w:before="60" w:after="160" w:line="259" w:lineRule="auto"/>
      <w:ind w:right="113"/>
    </w:pPr>
    <w:rPr>
      <w:kern w:val="0"/>
      <w:sz w:val="18"/>
      <w:szCs w:val="20"/>
    </w:rPr>
  </w:style>
  <w:style w:type="paragraph" w:styleId="14">
    <w:name w:val="Body Text Indent"/>
    <w:basedOn w:val="1"/>
    <w:link w:val="56"/>
    <w:qFormat/>
    <w:uiPriority w:val="0"/>
    <w:pPr>
      <w:spacing w:after="120"/>
      <w:ind w:left="420" w:leftChars="200"/>
    </w:pPr>
    <w:rPr>
      <w:kern w:val="0"/>
      <w:sz w:val="24"/>
      <w:szCs w:val="20"/>
    </w:rPr>
  </w:style>
  <w:style w:type="paragraph" w:styleId="15">
    <w:name w:val="Block Text"/>
    <w:basedOn w:val="1"/>
    <w:qFormat/>
    <w:uiPriority w:val="0"/>
    <w:pPr>
      <w:spacing w:after="120"/>
      <w:ind w:left="1440" w:leftChars="700" w:right="1440" w:rightChars="700"/>
    </w:pPr>
    <w:rPr>
      <w:szCs w:val="24"/>
    </w:rPr>
  </w:style>
  <w:style w:type="paragraph" w:styleId="16">
    <w:name w:val="Plain Text"/>
    <w:basedOn w:val="1"/>
    <w:link w:val="57"/>
    <w:qFormat/>
    <w:uiPriority w:val="0"/>
    <w:pPr>
      <w:spacing w:line="420" w:lineRule="exact"/>
      <w:ind w:firstLine="200" w:firstLineChars="200"/>
    </w:pPr>
    <w:rPr>
      <w:rFonts w:ascii="宋体" w:hAnsi="Courier New" w:cs="Courier New"/>
    </w:rPr>
  </w:style>
  <w:style w:type="paragraph" w:styleId="17">
    <w:name w:val="Date"/>
    <w:basedOn w:val="1"/>
    <w:next w:val="1"/>
    <w:link w:val="63"/>
    <w:qFormat/>
    <w:uiPriority w:val="0"/>
    <w:pPr>
      <w:ind w:left="100" w:leftChars="2500"/>
    </w:pPr>
    <w:rPr>
      <w:kern w:val="0"/>
      <w:sz w:val="24"/>
      <w:szCs w:val="20"/>
    </w:rPr>
  </w:style>
  <w:style w:type="paragraph" w:styleId="18">
    <w:name w:val="Balloon Text"/>
    <w:basedOn w:val="1"/>
    <w:link w:val="59"/>
    <w:qFormat/>
    <w:uiPriority w:val="0"/>
    <w:rPr>
      <w:kern w:val="0"/>
      <w:sz w:val="18"/>
      <w:szCs w:val="20"/>
    </w:rPr>
  </w:style>
  <w:style w:type="paragraph" w:styleId="19">
    <w:name w:val="footer"/>
    <w:basedOn w:val="1"/>
    <w:link w:val="37"/>
    <w:unhideWhenUsed/>
    <w:qFormat/>
    <w:uiPriority w:val="99"/>
    <w:pPr>
      <w:tabs>
        <w:tab w:val="center" w:pos="4153"/>
        <w:tab w:val="right" w:pos="8306"/>
      </w:tabs>
      <w:snapToGrid w:val="0"/>
      <w:jc w:val="left"/>
    </w:pPr>
    <w:rPr>
      <w:sz w:val="18"/>
      <w:szCs w:val="18"/>
    </w:rPr>
  </w:style>
  <w:style w:type="paragraph" w:styleId="20">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style>
  <w:style w:type="paragraph" w:styleId="22">
    <w:name w:val="toc 2"/>
    <w:basedOn w:val="1"/>
    <w:next w:val="1"/>
    <w:qFormat/>
    <w:uiPriority w:val="39"/>
    <w:pPr>
      <w:ind w:left="420" w:leftChars="200"/>
    </w:pPr>
    <w:rPr>
      <w:szCs w:val="20"/>
    </w:rPr>
  </w:style>
  <w:style w:type="paragraph" w:styleId="23">
    <w:name w:val="Normal (Web)"/>
    <w:basedOn w:val="1"/>
    <w:link w:val="40"/>
    <w:unhideWhenUsed/>
    <w:qFormat/>
    <w:uiPriority w:val="0"/>
    <w:pPr>
      <w:widowControl/>
      <w:spacing w:before="100" w:beforeAutospacing="1" w:after="100" w:afterAutospacing="1"/>
      <w:jc w:val="left"/>
    </w:pPr>
    <w:rPr>
      <w:rFonts w:ascii="宋体" w:hAnsi="宋体" w:cs="宋体"/>
      <w:kern w:val="0"/>
      <w:sz w:val="24"/>
      <w:szCs w:val="24"/>
    </w:rPr>
  </w:style>
  <w:style w:type="paragraph" w:styleId="24">
    <w:name w:val="annotation subject"/>
    <w:basedOn w:val="12"/>
    <w:next w:val="12"/>
    <w:link w:val="50"/>
    <w:semiHidden/>
    <w:unhideWhenUsed/>
    <w:qFormat/>
    <w:uiPriority w:val="0"/>
    <w:rPr>
      <w:b/>
      <w:bCs/>
    </w:rPr>
  </w:style>
  <w:style w:type="paragraph" w:styleId="25">
    <w:name w:val="Body Text First Indent"/>
    <w:basedOn w:val="1"/>
    <w:link w:val="60"/>
    <w:qFormat/>
    <w:uiPriority w:val="0"/>
    <w:pPr>
      <w:widowControl w:val="0"/>
      <w:snapToGrid/>
      <w:spacing w:before="0" w:after="120" w:line="240" w:lineRule="auto"/>
      <w:ind w:right="0" w:firstLine="420" w:firstLineChars="100"/>
    </w:pPr>
    <w:rPr>
      <w:kern w:val="2"/>
      <w:sz w:val="21"/>
      <w:szCs w:val="24"/>
    </w:rPr>
  </w:style>
  <w:style w:type="paragraph" w:styleId="26">
    <w:name w:val="Body Text First Indent 2"/>
    <w:basedOn w:val="14"/>
    <w:next w:val="1"/>
    <w:link w:val="61"/>
    <w:qFormat/>
    <w:uiPriority w:val="0"/>
    <w:pPr>
      <w:ind w:firstLine="420" w:firstLineChars="200"/>
    </w:pPr>
    <w:rPr>
      <w:kern w:val="2"/>
      <w:sz w:val="21"/>
      <w:szCs w:val="24"/>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basedOn w:val="29"/>
    <w:qFormat/>
    <w:uiPriority w:val="0"/>
    <w:rPr>
      <w:color w:val="0563C1" w:themeColor="hyperlink"/>
      <w:u w:val="single"/>
      <w14:textFill>
        <w14:solidFill>
          <w14:schemeClr w14:val="hlink"/>
        </w14:solidFill>
      </w14:textFill>
    </w:rPr>
  </w:style>
  <w:style w:type="character" w:styleId="32">
    <w:name w:val="annotation reference"/>
    <w:basedOn w:val="29"/>
    <w:semiHidden/>
    <w:unhideWhenUsed/>
    <w:qFormat/>
    <w:uiPriority w:val="0"/>
    <w:rPr>
      <w:sz w:val="21"/>
      <w:szCs w:val="21"/>
    </w:rPr>
  </w:style>
  <w:style w:type="paragraph" w:customStyle="1" w:styleId="33">
    <w:name w:val="表格标题"/>
    <w:basedOn w:val="1"/>
    <w:qFormat/>
    <w:uiPriority w:val="0"/>
    <w:pPr>
      <w:spacing w:before="120" w:after="100" w:afterAutospacing="1" w:line="320" w:lineRule="atLeast"/>
      <w:jc w:val="center"/>
    </w:pPr>
  </w:style>
  <w:style w:type="paragraph" w:customStyle="1" w:styleId="34">
    <w:name w:val="表格"/>
    <w:basedOn w:val="11"/>
    <w:next w:val="1"/>
    <w:link w:val="45"/>
    <w:qFormat/>
    <w:uiPriority w:val="0"/>
    <w:pPr>
      <w:adjustRightInd w:val="0"/>
      <w:snapToGrid w:val="0"/>
      <w:spacing w:beforeLines="10" w:afterLines="10" w:line="256" w:lineRule="auto"/>
      <w:jc w:val="center"/>
    </w:pPr>
    <w:rPr>
      <w:rFonts w:ascii="宋体" w:hAnsi="宋体" w:cs="宋体"/>
      <w:kern w:val="0"/>
      <w:sz w:val="20"/>
      <w:szCs w:val="20"/>
    </w:rPr>
  </w:style>
  <w:style w:type="paragraph" w:customStyle="1" w:styleId="35">
    <w:name w:val="样式2"/>
    <w:basedOn w:val="1"/>
    <w:qFormat/>
    <w:uiPriority w:val="0"/>
    <w:pPr>
      <w:spacing w:line="400" w:lineRule="exact"/>
      <w:ind w:firstLine="200" w:firstLineChars="200"/>
    </w:pPr>
    <w:rPr>
      <w:sz w:val="24"/>
      <w:szCs w:val="24"/>
    </w:rPr>
  </w:style>
  <w:style w:type="character" w:customStyle="1" w:styleId="36">
    <w:name w:val="页眉 字符"/>
    <w:basedOn w:val="29"/>
    <w:link w:val="20"/>
    <w:qFormat/>
    <w:uiPriority w:val="0"/>
    <w:rPr>
      <w:rFonts w:ascii="Times New Roman" w:hAnsi="Times New Roman" w:eastAsia="宋体" w:cs="Times New Roman"/>
      <w:sz w:val="18"/>
      <w:szCs w:val="18"/>
    </w:rPr>
  </w:style>
  <w:style w:type="character" w:customStyle="1" w:styleId="37">
    <w:name w:val="页脚 字符"/>
    <w:basedOn w:val="29"/>
    <w:link w:val="19"/>
    <w:qFormat/>
    <w:uiPriority w:val="99"/>
    <w:rPr>
      <w:rFonts w:ascii="Times New Roman" w:hAnsi="Times New Roman" w:eastAsia="宋体" w:cs="Times New Roman"/>
      <w:sz w:val="18"/>
      <w:szCs w:val="18"/>
    </w:rPr>
  </w:style>
  <w:style w:type="character" w:customStyle="1" w:styleId="38">
    <w:name w:val="环评2018 Char"/>
    <w:link w:val="39"/>
    <w:qFormat/>
    <w:uiPriority w:val="0"/>
    <w:rPr>
      <w:rFonts w:ascii="Times new romon" w:hAnsi="Times new romon" w:eastAsia="仿宋"/>
      <w:color w:val="0000FF"/>
      <w:sz w:val="28"/>
      <w:szCs w:val="28"/>
    </w:rPr>
  </w:style>
  <w:style w:type="paragraph" w:customStyle="1" w:styleId="39">
    <w:name w:val="环评2018"/>
    <w:basedOn w:val="1"/>
    <w:link w:val="38"/>
    <w:qFormat/>
    <w:uiPriority w:val="0"/>
    <w:pPr>
      <w:autoSpaceDE w:val="0"/>
      <w:autoSpaceDN w:val="0"/>
      <w:adjustRightInd w:val="0"/>
      <w:spacing w:line="440" w:lineRule="exact"/>
      <w:ind w:firstLine="560" w:firstLineChars="200"/>
    </w:pPr>
    <w:rPr>
      <w:rFonts w:ascii="Times new romon" w:hAnsi="Times new romon" w:eastAsia="仿宋" w:cstheme="minorBidi"/>
      <w:color w:val="0000FF"/>
      <w:sz w:val="28"/>
      <w:szCs w:val="28"/>
    </w:rPr>
  </w:style>
  <w:style w:type="character" w:customStyle="1" w:styleId="40">
    <w:name w:val="普通(网站) 字符1"/>
    <w:link w:val="23"/>
    <w:qFormat/>
    <w:uiPriority w:val="99"/>
    <w:rPr>
      <w:rFonts w:ascii="宋体" w:hAnsi="宋体" w:eastAsia="宋体" w:cs="宋体"/>
      <w:kern w:val="0"/>
      <w:sz w:val="24"/>
      <w:szCs w:val="24"/>
    </w:rPr>
  </w:style>
  <w:style w:type="character" w:customStyle="1" w:styleId="41">
    <w:name w:val="正文缩进 字符"/>
    <w:basedOn w:val="29"/>
    <w:link w:val="10"/>
    <w:qFormat/>
    <w:uiPriority w:val="0"/>
    <w:rPr>
      <w:rFonts w:ascii="Times New Roman" w:hAnsi="Times New Roman" w:eastAsia="宋体" w:cs="Times New Roman"/>
      <w:sz w:val="32"/>
      <w:szCs w:val="20"/>
    </w:rPr>
  </w:style>
  <w:style w:type="paragraph" w:customStyle="1" w:styleId="42">
    <w:name w:val="表格文字"/>
    <w:basedOn w:val="1"/>
    <w:next w:val="1"/>
    <w:link w:val="43"/>
    <w:qFormat/>
    <w:uiPriority w:val="0"/>
    <w:pPr>
      <w:snapToGrid w:val="0"/>
      <w:jc w:val="center"/>
    </w:pPr>
  </w:style>
  <w:style w:type="character" w:customStyle="1" w:styleId="43">
    <w:name w:val="表格文字 Char Char"/>
    <w:link w:val="42"/>
    <w:qFormat/>
    <w:uiPriority w:val="0"/>
    <w:rPr>
      <w:rFonts w:ascii="Times New Roman" w:hAnsi="Times New Roman" w:eastAsia="宋体" w:cs="Times New Roman"/>
      <w:szCs w:val="21"/>
    </w:rPr>
  </w:style>
  <w:style w:type="character" w:customStyle="1" w:styleId="44">
    <w:name w:val="普通(网站) 字符"/>
    <w:qFormat/>
    <w:uiPriority w:val="0"/>
    <w:rPr>
      <w:rFonts w:ascii="宋体" w:hAnsi="宋体" w:eastAsia="宋体"/>
      <w:sz w:val="24"/>
    </w:rPr>
  </w:style>
  <w:style w:type="character" w:customStyle="1" w:styleId="45">
    <w:name w:val="表格 Char"/>
    <w:link w:val="34"/>
    <w:qFormat/>
    <w:uiPriority w:val="0"/>
    <w:rPr>
      <w:rFonts w:ascii="宋体" w:hAnsi="宋体" w:eastAsia="宋体" w:cs="宋体"/>
      <w:kern w:val="0"/>
      <w:sz w:val="20"/>
      <w:szCs w:val="20"/>
    </w:rPr>
  </w:style>
  <w:style w:type="paragraph" w:customStyle="1" w:styleId="46">
    <w:name w:val="Table Paragraph"/>
    <w:basedOn w:val="1"/>
    <w:qFormat/>
    <w:uiPriority w:val="0"/>
    <w:pPr>
      <w:autoSpaceDE w:val="0"/>
      <w:autoSpaceDN w:val="0"/>
      <w:adjustRightInd w:val="0"/>
      <w:jc w:val="left"/>
    </w:pPr>
    <w:rPr>
      <w:kern w:val="0"/>
      <w:sz w:val="24"/>
      <w:szCs w:val="24"/>
    </w:rPr>
  </w:style>
  <w:style w:type="paragraph" w:customStyle="1" w:styleId="47">
    <w:name w:val="密封件正文"/>
    <w:basedOn w:val="1"/>
    <w:link w:val="48"/>
    <w:qFormat/>
    <w:uiPriority w:val="0"/>
    <w:pPr>
      <w:tabs>
        <w:tab w:val="left" w:pos="1455"/>
      </w:tabs>
      <w:spacing w:line="480" w:lineRule="exact"/>
      <w:ind w:firstLine="496" w:firstLineChars="200"/>
    </w:pPr>
    <w:rPr>
      <w:rFonts w:cs="宋体"/>
      <w:spacing w:val="4"/>
      <w:sz w:val="24"/>
      <w:szCs w:val="24"/>
    </w:rPr>
  </w:style>
  <w:style w:type="character" w:customStyle="1" w:styleId="48">
    <w:name w:val="密封件正文 字符"/>
    <w:link w:val="47"/>
    <w:qFormat/>
    <w:uiPriority w:val="0"/>
    <w:rPr>
      <w:rFonts w:ascii="Times New Roman" w:hAnsi="Times New Roman" w:eastAsia="宋体" w:cs="宋体"/>
      <w:spacing w:val="4"/>
      <w:sz w:val="24"/>
      <w:szCs w:val="24"/>
    </w:rPr>
  </w:style>
  <w:style w:type="character" w:customStyle="1" w:styleId="49">
    <w:name w:val="批注文字 字符"/>
    <w:basedOn w:val="29"/>
    <w:link w:val="12"/>
    <w:qFormat/>
    <w:uiPriority w:val="0"/>
    <w:rPr>
      <w:rFonts w:ascii="Times New Roman" w:hAnsi="Times New Roman" w:eastAsia="宋体" w:cs="Times New Roman"/>
      <w:szCs w:val="21"/>
    </w:rPr>
  </w:style>
  <w:style w:type="character" w:customStyle="1" w:styleId="50">
    <w:name w:val="批注主题 字符"/>
    <w:basedOn w:val="49"/>
    <w:link w:val="24"/>
    <w:semiHidden/>
    <w:qFormat/>
    <w:uiPriority w:val="0"/>
    <w:rPr>
      <w:rFonts w:ascii="Times New Roman" w:hAnsi="Times New Roman" w:eastAsia="宋体" w:cs="Times New Roman"/>
      <w:b/>
      <w:bCs/>
      <w:szCs w:val="21"/>
    </w:rPr>
  </w:style>
  <w:style w:type="character" w:customStyle="1" w:styleId="51">
    <w:name w:val="标题 1 字符"/>
    <w:basedOn w:val="29"/>
    <w:link w:val="5"/>
    <w:qFormat/>
    <w:uiPriority w:val="99"/>
    <w:rPr>
      <w:rFonts w:ascii="Times New Roman" w:hAnsi="Times New Roman" w:eastAsia="黑体" w:cs="Times New Roman"/>
      <w:b/>
      <w:bCs/>
      <w:color w:val="000000"/>
      <w:kern w:val="44"/>
      <w:sz w:val="30"/>
      <w:szCs w:val="30"/>
    </w:rPr>
  </w:style>
  <w:style w:type="character" w:customStyle="1" w:styleId="52">
    <w:name w:val="标题 2 字符"/>
    <w:basedOn w:val="29"/>
    <w:link w:val="6"/>
    <w:semiHidden/>
    <w:qFormat/>
    <w:uiPriority w:val="0"/>
    <w:rPr>
      <w:rFonts w:asciiTheme="majorHAnsi" w:hAnsiTheme="majorHAnsi" w:eastAsiaTheme="majorEastAsia" w:cstheme="majorBidi"/>
      <w:b/>
      <w:bCs/>
      <w:sz w:val="32"/>
      <w:szCs w:val="32"/>
    </w:rPr>
  </w:style>
  <w:style w:type="character" w:customStyle="1" w:styleId="53">
    <w:name w:val="标题 3 字符"/>
    <w:basedOn w:val="29"/>
    <w:link w:val="7"/>
    <w:semiHidden/>
    <w:qFormat/>
    <w:uiPriority w:val="0"/>
    <w:rPr>
      <w:rFonts w:ascii="Times New Roman" w:hAnsi="Times New Roman" w:eastAsia="宋体" w:cs="Times New Roman"/>
      <w:b/>
      <w:bCs/>
      <w:sz w:val="32"/>
      <w:szCs w:val="32"/>
    </w:rPr>
  </w:style>
  <w:style w:type="character" w:customStyle="1" w:styleId="54">
    <w:name w:val="标题 4 字符"/>
    <w:basedOn w:val="29"/>
    <w:link w:val="8"/>
    <w:semiHidden/>
    <w:qFormat/>
    <w:uiPriority w:val="0"/>
    <w:rPr>
      <w:rFonts w:asciiTheme="majorHAnsi" w:hAnsiTheme="majorHAnsi" w:eastAsiaTheme="majorEastAsia" w:cstheme="majorBidi"/>
      <w:b/>
      <w:bCs/>
      <w:sz w:val="28"/>
      <w:szCs w:val="28"/>
    </w:rPr>
  </w:style>
  <w:style w:type="character" w:customStyle="1" w:styleId="55">
    <w:name w:val="正文文本 字符"/>
    <w:basedOn w:val="29"/>
    <w:link w:val="13"/>
    <w:qFormat/>
    <w:uiPriority w:val="0"/>
    <w:rPr>
      <w:rFonts w:ascii="Times New Roman" w:hAnsi="Times New Roman" w:eastAsia="宋体" w:cs="Times New Roman"/>
      <w:kern w:val="0"/>
      <w:sz w:val="18"/>
      <w:szCs w:val="20"/>
    </w:rPr>
  </w:style>
  <w:style w:type="character" w:customStyle="1" w:styleId="56">
    <w:name w:val="正文文本缩进 字符"/>
    <w:basedOn w:val="29"/>
    <w:link w:val="14"/>
    <w:qFormat/>
    <w:uiPriority w:val="0"/>
    <w:rPr>
      <w:rFonts w:ascii="Times New Roman" w:hAnsi="Times New Roman" w:eastAsia="宋体" w:cs="Times New Roman"/>
      <w:kern w:val="0"/>
      <w:sz w:val="24"/>
      <w:szCs w:val="20"/>
    </w:rPr>
  </w:style>
  <w:style w:type="character" w:customStyle="1" w:styleId="57">
    <w:name w:val="纯文本 字符"/>
    <w:basedOn w:val="29"/>
    <w:link w:val="16"/>
    <w:qFormat/>
    <w:uiPriority w:val="0"/>
    <w:rPr>
      <w:rFonts w:ascii="宋体" w:hAnsi="Courier New" w:eastAsia="宋体" w:cs="Courier New"/>
      <w:szCs w:val="21"/>
    </w:rPr>
  </w:style>
  <w:style w:type="character" w:customStyle="1" w:styleId="58">
    <w:name w:val="日期 字符"/>
    <w:basedOn w:val="29"/>
    <w:semiHidden/>
    <w:qFormat/>
    <w:uiPriority w:val="0"/>
    <w:rPr>
      <w:rFonts w:ascii="Times New Roman" w:hAnsi="Times New Roman" w:eastAsia="宋体" w:cs="Times New Roman"/>
      <w:szCs w:val="21"/>
    </w:rPr>
  </w:style>
  <w:style w:type="character" w:customStyle="1" w:styleId="59">
    <w:name w:val="批注框文本 字符"/>
    <w:basedOn w:val="29"/>
    <w:link w:val="18"/>
    <w:qFormat/>
    <w:uiPriority w:val="0"/>
    <w:rPr>
      <w:rFonts w:ascii="Times New Roman" w:hAnsi="Times New Roman" w:eastAsia="宋体" w:cs="Times New Roman"/>
      <w:kern w:val="0"/>
      <w:sz w:val="18"/>
      <w:szCs w:val="20"/>
    </w:rPr>
  </w:style>
  <w:style w:type="character" w:customStyle="1" w:styleId="60">
    <w:name w:val="正文文本首行缩进 字符"/>
    <w:basedOn w:val="55"/>
    <w:link w:val="25"/>
    <w:qFormat/>
    <w:uiPriority w:val="0"/>
    <w:rPr>
      <w:rFonts w:ascii="Times New Roman" w:hAnsi="Times New Roman" w:eastAsia="宋体" w:cs="Times New Roman"/>
      <w:kern w:val="0"/>
      <w:sz w:val="18"/>
      <w:szCs w:val="24"/>
    </w:rPr>
  </w:style>
  <w:style w:type="character" w:customStyle="1" w:styleId="61">
    <w:name w:val="正文文本首行缩进 2 字符"/>
    <w:basedOn w:val="56"/>
    <w:link w:val="26"/>
    <w:qFormat/>
    <w:uiPriority w:val="0"/>
    <w:rPr>
      <w:rFonts w:ascii="Times New Roman" w:hAnsi="Times New Roman" w:eastAsia="宋体" w:cs="Times New Roman"/>
      <w:kern w:val="0"/>
      <w:sz w:val="24"/>
      <w:szCs w:val="24"/>
    </w:rPr>
  </w:style>
  <w:style w:type="character" w:customStyle="1" w:styleId="62">
    <w:name w:val="页脚 字符1"/>
    <w:qFormat/>
    <w:uiPriority w:val="99"/>
    <w:rPr>
      <w:sz w:val="18"/>
    </w:rPr>
  </w:style>
  <w:style w:type="character" w:customStyle="1" w:styleId="63">
    <w:name w:val="日期 字符1"/>
    <w:link w:val="17"/>
    <w:qFormat/>
    <w:uiPriority w:val="0"/>
    <w:rPr>
      <w:rFonts w:ascii="Times New Roman" w:hAnsi="Times New Roman" w:eastAsia="宋体" w:cs="Times New Roman"/>
      <w:kern w:val="0"/>
      <w:sz w:val="24"/>
      <w:szCs w:val="20"/>
    </w:rPr>
  </w:style>
  <w:style w:type="character" w:customStyle="1" w:styleId="64">
    <w:name w:val="正文文本 字符1"/>
    <w:semiHidden/>
    <w:qFormat/>
    <w:uiPriority w:val="0"/>
    <w:rPr>
      <w:rFonts w:ascii="Times New Roman" w:hAnsi="Times New Roman" w:eastAsia="宋体"/>
      <w:sz w:val="24"/>
    </w:rPr>
  </w:style>
  <w:style w:type="character" w:customStyle="1" w:styleId="65">
    <w:name w:val="批注文字 字符1"/>
    <w:semiHidden/>
    <w:qFormat/>
    <w:uiPriority w:val="0"/>
    <w:rPr>
      <w:rFonts w:ascii="Times New Roman" w:hAnsi="Times New Roman" w:eastAsia="宋体"/>
      <w:sz w:val="24"/>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8">
    <w:name w:val="1 Char"/>
    <w:basedOn w:val="1"/>
    <w:qFormat/>
    <w:uiPriority w:val="0"/>
    <w:pPr>
      <w:spacing w:line="360" w:lineRule="auto"/>
      <w:ind w:firstLine="1446" w:firstLineChars="200"/>
    </w:pPr>
    <w:rPr>
      <w:sz w:val="24"/>
      <w:szCs w:val="22"/>
    </w:rPr>
  </w:style>
  <w:style w:type="paragraph" w:customStyle="1" w:styleId="69">
    <w:name w:val="标准正文"/>
    <w:basedOn w:val="1"/>
    <w:qFormat/>
    <w:uiPriority w:val="0"/>
    <w:pPr>
      <w:spacing w:line="480" w:lineRule="auto"/>
      <w:ind w:firstLine="560" w:firstLineChars="200"/>
    </w:pPr>
    <w:rPr>
      <w:sz w:val="28"/>
      <w:szCs w:val="20"/>
    </w:rPr>
  </w:style>
  <w:style w:type="paragraph" w:customStyle="1" w:styleId="70">
    <w:name w:val="表格内容样式"/>
    <w:next w:val="1"/>
    <w:qFormat/>
    <w:uiPriority w:val="0"/>
    <w:pPr>
      <w:jc w:val="center"/>
    </w:pPr>
    <w:rPr>
      <w:rFonts w:ascii="Times New Roman" w:hAnsi="Times New Roman" w:eastAsia="宋体" w:cs="Times New Roman"/>
      <w:sz w:val="21"/>
      <w:szCs w:val="22"/>
      <w:lang w:val="en-US" w:eastAsia="zh-CN" w:bidi="ar-SA"/>
    </w:rPr>
  </w:style>
  <w:style w:type="paragraph" w:customStyle="1" w:styleId="71">
    <w:name w:val="表文字"/>
    <w:basedOn w:val="1"/>
    <w:qFormat/>
    <w:uiPriority w:val="0"/>
    <w:pPr>
      <w:overflowPunct w:val="0"/>
      <w:autoSpaceDE w:val="0"/>
      <w:autoSpaceDN w:val="0"/>
      <w:adjustRightInd w:val="0"/>
      <w:jc w:val="center"/>
      <w:textAlignment w:val="baseline"/>
    </w:pPr>
    <w:rPr>
      <w:kern w:val="0"/>
      <w:szCs w:val="20"/>
    </w:rPr>
  </w:style>
  <w:style w:type="character" w:customStyle="1" w:styleId="72">
    <w:name w:val="正文内容 Char"/>
    <w:link w:val="73"/>
    <w:qFormat/>
    <w:uiPriority w:val="0"/>
    <w:rPr>
      <w:sz w:val="24"/>
      <w:szCs w:val="24"/>
    </w:rPr>
  </w:style>
  <w:style w:type="paragraph" w:customStyle="1" w:styleId="73">
    <w:name w:val="正文内容"/>
    <w:link w:val="72"/>
    <w:qFormat/>
    <w:uiPriority w:val="0"/>
    <w:pPr>
      <w:widowControl w:val="0"/>
      <w:snapToGrid w:val="0"/>
      <w:spacing w:before="60" w:after="60" w:line="480" w:lineRule="exact"/>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74">
    <w:name w:val="表格内容5号 Char"/>
    <w:basedOn w:val="29"/>
    <w:link w:val="75"/>
    <w:qFormat/>
    <w:uiPriority w:val="0"/>
    <w:rPr>
      <w:szCs w:val="24"/>
    </w:rPr>
  </w:style>
  <w:style w:type="paragraph" w:customStyle="1" w:styleId="75">
    <w:name w:val="表格内容5号"/>
    <w:link w:val="74"/>
    <w:qFormat/>
    <w:uiPriority w:val="0"/>
    <w:pPr>
      <w:snapToGrid w:val="0"/>
      <w:spacing w:line="240" w:lineRule="atLeast"/>
      <w:jc w:val="center"/>
    </w:pPr>
    <w:rPr>
      <w:rFonts w:asciiTheme="minorHAnsi" w:hAnsiTheme="minorHAnsi" w:eastAsiaTheme="minorEastAsia" w:cstheme="minorBidi"/>
      <w:kern w:val="2"/>
      <w:sz w:val="21"/>
      <w:szCs w:val="24"/>
      <w:lang w:val="en-US" w:eastAsia="zh-CN" w:bidi="ar-SA"/>
    </w:rPr>
  </w:style>
  <w:style w:type="paragraph" w:customStyle="1" w:styleId="76">
    <w:name w:val="zwb_无格式"/>
    <w:basedOn w:val="1"/>
    <w:qFormat/>
    <w:uiPriority w:val="0"/>
    <w:pPr>
      <w:widowControl/>
    </w:pPr>
    <w:rPr>
      <w:szCs w:val="24"/>
    </w:rPr>
  </w:style>
  <w:style w:type="paragraph" w:customStyle="1" w:styleId="77">
    <w:name w:val="表格ST"/>
    <w:qFormat/>
    <w:uiPriority w:val="0"/>
    <w:pPr>
      <w:spacing w:line="300" w:lineRule="exact"/>
      <w:jc w:val="center"/>
    </w:pPr>
    <w:rPr>
      <w:rFonts w:ascii="Times New Roman" w:hAnsi="Times New Roman" w:eastAsia="宋体" w:cs="Times New Roman"/>
      <w:bCs/>
      <w:kern w:val="2"/>
      <w:sz w:val="24"/>
      <w:szCs w:val="24"/>
      <w:lang w:val="en-US" w:eastAsia="zh-CN" w:bidi="ar-SA"/>
    </w:rPr>
  </w:style>
  <w:style w:type="paragraph" w:customStyle="1" w:styleId="78">
    <w:name w:val="表格表头"/>
    <w:basedOn w:val="1"/>
    <w:qFormat/>
    <w:uiPriority w:val="0"/>
    <w:pPr>
      <w:spacing w:line="360" w:lineRule="auto"/>
      <w:jc w:val="center"/>
    </w:pPr>
    <w:rPr>
      <w:b/>
      <w:szCs w:val="22"/>
    </w:rPr>
  </w:style>
  <w:style w:type="character" w:customStyle="1" w:styleId="79">
    <w:name w:val="表格内容 Char"/>
    <w:link w:val="80"/>
    <w:qFormat/>
    <w:uiPriority w:val="0"/>
    <w:rPr>
      <w:rFonts w:eastAsia="仿宋_GB2312"/>
      <w:sz w:val="24"/>
      <w:szCs w:val="24"/>
    </w:rPr>
  </w:style>
  <w:style w:type="paragraph" w:customStyle="1" w:styleId="80">
    <w:name w:val="表格内容"/>
    <w:link w:val="79"/>
    <w:qFormat/>
    <w:uiPriority w:val="0"/>
    <w:pPr>
      <w:widowControl w:val="0"/>
      <w:snapToGrid w:val="0"/>
      <w:spacing w:line="240" w:lineRule="atLeast"/>
      <w:jc w:val="center"/>
    </w:pPr>
    <w:rPr>
      <w:rFonts w:eastAsia="仿宋_GB2312" w:asciiTheme="minorHAnsi" w:hAnsiTheme="minorHAnsi" w:cstheme="minorBidi"/>
      <w:kern w:val="2"/>
      <w:sz w:val="24"/>
      <w:szCs w:val="24"/>
      <w:lang w:val="en-US" w:eastAsia="zh-CN" w:bidi="ar-SA"/>
    </w:rPr>
  </w:style>
  <w:style w:type="character" w:customStyle="1" w:styleId="81">
    <w:name w:val="标题HT Char Char"/>
    <w:link w:val="82"/>
    <w:qFormat/>
    <w:uiPriority w:val="0"/>
    <w:rPr>
      <w:rFonts w:ascii="Arial" w:hAnsi="Arial" w:eastAsia="黑体"/>
      <w:sz w:val="24"/>
      <w:szCs w:val="24"/>
    </w:rPr>
  </w:style>
  <w:style w:type="paragraph" w:customStyle="1" w:styleId="82">
    <w:name w:val="标题HT"/>
    <w:link w:val="81"/>
    <w:qFormat/>
    <w:uiPriority w:val="0"/>
    <w:pPr>
      <w:snapToGrid w:val="0"/>
      <w:spacing w:line="480" w:lineRule="exact"/>
      <w:ind w:firstLine="482"/>
    </w:pPr>
    <w:rPr>
      <w:rFonts w:ascii="Arial" w:hAnsi="Arial" w:eastAsia="黑体" w:cstheme="minorBidi"/>
      <w:kern w:val="2"/>
      <w:sz w:val="24"/>
      <w:szCs w:val="24"/>
      <w:lang w:val="en-US" w:eastAsia="zh-CN" w:bidi="ar-SA"/>
    </w:rPr>
  </w:style>
  <w:style w:type="paragraph" w:customStyle="1" w:styleId="83">
    <w:name w:val="表格文字L16"/>
    <w:basedOn w:val="1"/>
    <w:qFormat/>
    <w:uiPriority w:val="0"/>
    <w:pPr>
      <w:adjustRightInd w:val="0"/>
      <w:snapToGrid w:val="0"/>
      <w:spacing w:line="320" w:lineRule="exact"/>
      <w:ind w:firstLine="200" w:firstLineChars="200"/>
      <w:jc w:val="center"/>
    </w:pPr>
    <w:rPr>
      <w:color w:val="000000"/>
      <w:kern w:val="32"/>
      <w:sz w:val="24"/>
      <w:szCs w:val="20"/>
    </w:rPr>
  </w:style>
  <w:style w:type="character" w:customStyle="1" w:styleId="84">
    <w:name w:val="李表头常用格式 字符"/>
    <w:link w:val="85"/>
    <w:qFormat/>
    <w:uiPriority w:val="0"/>
    <w:rPr>
      <w:rFonts w:ascii="黑体" w:hAnsi="宋体" w:eastAsia="黑体" w:cs="黑体"/>
      <w:color w:val="000000"/>
      <w:szCs w:val="21"/>
    </w:rPr>
  </w:style>
  <w:style w:type="paragraph" w:customStyle="1" w:styleId="85">
    <w:name w:val="李表头常用格式"/>
    <w:basedOn w:val="15"/>
    <w:link w:val="84"/>
    <w:qFormat/>
    <w:uiPriority w:val="0"/>
    <w:pPr>
      <w:snapToGrid w:val="0"/>
      <w:spacing w:after="0" w:line="320" w:lineRule="exact"/>
      <w:ind w:left="0" w:leftChars="0" w:right="0" w:rightChars="-70" w:hanging="420" w:hangingChars="200"/>
      <w:jc w:val="center"/>
    </w:pPr>
    <w:rPr>
      <w:rFonts w:ascii="黑体" w:hAnsi="宋体" w:eastAsia="黑体" w:cs="黑体"/>
      <w:color w:val="000000"/>
      <w:szCs w:val="21"/>
    </w:rPr>
  </w:style>
  <w:style w:type="paragraph" w:customStyle="1" w:styleId="86">
    <w:name w:val="表中"/>
    <w:basedOn w:val="1"/>
    <w:qFormat/>
    <w:uiPriority w:val="0"/>
    <w:pPr>
      <w:spacing w:line="360" w:lineRule="exact"/>
      <w:jc w:val="center"/>
    </w:pPr>
    <w:rPr>
      <w:rFonts w:ascii="Calibri" w:hAnsi="Calibri"/>
    </w:rPr>
  </w:style>
  <w:style w:type="character" w:customStyle="1" w:styleId="87">
    <w:name w:val="图表标题 Char"/>
    <w:link w:val="88"/>
    <w:qFormat/>
    <w:uiPriority w:val="0"/>
    <w:rPr>
      <w:sz w:val="24"/>
      <w:szCs w:val="24"/>
    </w:rPr>
  </w:style>
  <w:style w:type="paragraph" w:customStyle="1" w:styleId="88">
    <w:name w:val="图表标题"/>
    <w:link w:val="87"/>
    <w:qFormat/>
    <w:uiPriority w:val="0"/>
    <w:pPr>
      <w:snapToGrid w:val="0"/>
      <w:spacing w:line="360" w:lineRule="exact"/>
      <w:jc w:val="center"/>
    </w:pPr>
    <w:rPr>
      <w:rFonts w:asciiTheme="minorHAnsi" w:hAnsiTheme="minorHAnsi" w:eastAsiaTheme="minorEastAsia" w:cstheme="minorBidi"/>
      <w:kern w:val="2"/>
      <w:sz w:val="24"/>
      <w:szCs w:val="24"/>
      <w:lang w:val="en-US" w:eastAsia="zh-CN" w:bidi="ar-SA"/>
    </w:rPr>
  </w:style>
  <w:style w:type="character" w:customStyle="1" w:styleId="89">
    <w:name w:val="5号表格 Char"/>
    <w:link w:val="90"/>
    <w:qFormat/>
    <w:uiPriority w:val="0"/>
    <w:rPr>
      <w:bCs/>
      <w:szCs w:val="21"/>
    </w:rPr>
  </w:style>
  <w:style w:type="paragraph" w:customStyle="1" w:styleId="90">
    <w:name w:val="5号表格"/>
    <w:link w:val="89"/>
    <w:qFormat/>
    <w:uiPriority w:val="0"/>
    <w:pPr>
      <w:snapToGrid w:val="0"/>
      <w:jc w:val="center"/>
    </w:pPr>
    <w:rPr>
      <w:rFonts w:asciiTheme="minorHAnsi" w:hAnsiTheme="minorHAnsi" w:eastAsiaTheme="minorEastAsia" w:cstheme="minorBidi"/>
      <w:bCs/>
      <w:kern w:val="2"/>
      <w:sz w:val="21"/>
      <w:szCs w:val="21"/>
      <w:lang w:val="en-US" w:eastAsia="zh-CN" w:bidi="ar-SA"/>
    </w:rPr>
  </w:style>
  <w:style w:type="paragraph" w:customStyle="1" w:styleId="91">
    <w:name w:val="样式 标题 4 + 段前: 5 磅 段后: 3 磅 行距: 固定值 26 磅"/>
    <w:basedOn w:val="8"/>
    <w:qFormat/>
    <w:uiPriority w:val="0"/>
    <w:pPr>
      <w:numPr>
        <w:ilvl w:val="0"/>
        <w:numId w:val="1"/>
      </w:numPr>
      <w:tabs>
        <w:tab w:val="left" w:pos="0"/>
      </w:tabs>
      <w:spacing w:before="0" w:after="0" w:line="500" w:lineRule="exact"/>
    </w:pPr>
    <w:rPr>
      <w:rFonts w:ascii="楷体_GB2312" w:hAnsi="宋体" w:eastAsia="楷体_GB2312" w:cs="Times New Roman"/>
      <w:bCs w:val="0"/>
      <w:color w:val="000000"/>
      <w:sz w:val="21"/>
      <w:szCs w:val="20"/>
    </w:rPr>
  </w:style>
  <w:style w:type="paragraph" w:styleId="92">
    <w:name w:val="List Paragraph"/>
    <w:basedOn w:val="1"/>
    <w:qFormat/>
    <w:uiPriority w:val="34"/>
    <w:pPr>
      <w:ind w:firstLine="420" w:firstLineChars="200"/>
    </w:pPr>
    <w:rPr>
      <w:rFonts w:ascii="Calibri" w:hAnsi="Calibri"/>
      <w:szCs w:val="20"/>
    </w:rPr>
  </w:style>
  <w:style w:type="character" w:customStyle="1" w:styleId="93">
    <w:name w:val="未处理的提及1"/>
    <w:basedOn w:val="29"/>
    <w:semiHidden/>
    <w:unhideWhenUsed/>
    <w:qFormat/>
    <w:uiPriority w:val="99"/>
    <w:rPr>
      <w:color w:val="605E5C"/>
      <w:shd w:val="clear" w:color="auto" w:fill="E1DFDD"/>
    </w:rPr>
  </w:style>
  <w:style w:type="character" w:customStyle="1" w:styleId="94">
    <w:name w:val="【表中文字】 Char"/>
    <w:link w:val="95"/>
    <w:qFormat/>
    <w:uiPriority w:val="0"/>
    <w:rPr>
      <w:lang w:val="zh-CN"/>
    </w:rPr>
  </w:style>
  <w:style w:type="paragraph" w:customStyle="1" w:styleId="95">
    <w:name w:val="【表中文字】"/>
    <w:basedOn w:val="1"/>
    <w:link w:val="94"/>
    <w:qFormat/>
    <w:uiPriority w:val="0"/>
    <w:pPr>
      <w:widowControl/>
      <w:jc w:val="center"/>
    </w:pPr>
    <w:rPr>
      <w:rFonts w:asciiTheme="minorHAnsi" w:hAnsiTheme="minorHAnsi" w:eastAsiaTheme="minorEastAsia" w:cstheme="minorBidi"/>
      <w:szCs w:val="22"/>
      <w:lang w:val="zh-CN"/>
    </w:rPr>
  </w:style>
  <w:style w:type="paragraph" w:customStyle="1" w:styleId="96">
    <w:name w:val="正文1"/>
    <w:basedOn w:val="1"/>
    <w:link w:val="97"/>
    <w:qFormat/>
    <w:uiPriority w:val="0"/>
    <w:pPr>
      <w:adjustRightInd w:val="0"/>
      <w:spacing w:line="360" w:lineRule="auto"/>
      <w:ind w:firstLine="567"/>
      <w:jc w:val="center"/>
      <w:textAlignment w:val="baseline"/>
    </w:pPr>
    <w:rPr>
      <w:kern w:val="0"/>
      <w:sz w:val="24"/>
    </w:rPr>
  </w:style>
  <w:style w:type="character" w:customStyle="1" w:styleId="97">
    <w:name w:val="正文1 Char Char"/>
    <w:link w:val="96"/>
    <w:qFormat/>
    <w:uiPriority w:val="0"/>
    <w:rPr>
      <w:rFonts w:ascii="Times New Roman" w:hAnsi="Times New Roman" w:eastAsia="宋体" w:cs="Times New Roman"/>
      <w:kern w:val="0"/>
      <w:sz w:val="24"/>
      <w:szCs w:val="21"/>
    </w:rPr>
  </w:style>
  <w:style w:type="paragraph" w:customStyle="1" w:styleId="98">
    <w:name w:val="正文01"/>
    <w:basedOn w:val="1"/>
    <w:qFormat/>
    <w:uiPriority w:val="0"/>
    <w:pPr>
      <w:spacing w:before="60" w:line="460" w:lineRule="exact"/>
      <w:ind w:firstLine="200" w:firstLineChars="200"/>
    </w:pPr>
    <w:rPr>
      <w:rFonts w:ascii="Arial" w:hAnsi="Arial"/>
      <w:kern w:val="0"/>
      <w:sz w:val="24"/>
      <w:szCs w:val="24"/>
    </w:rPr>
  </w:style>
  <w:style w:type="character" w:customStyle="1" w:styleId="99">
    <w:name w:val="未处理的提及2"/>
    <w:basedOn w:val="29"/>
    <w:semiHidden/>
    <w:unhideWhenUsed/>
    <w:qFormat/>
    <w:uiPriority w:val="99"/>
    <w:rPr>
      <w:color w:val="605E5C"/>
      <w:shd w:val="clear" w:color="auto" w:fill="E1DFDD"/>
    </w:rPr>
  </w:style>
  <w:style w:type="paragraph" w:customStyle="1" w:styleId="100">
    <w:name w:val="样式 5号表格 + (符号) 宋体 行距: 最小值 0 磅"/>
    <w:basedOn w:val="1"/>
    <w:semiHidden/>
    <w:qFormat/>
    <w:uiPriority w:val="0"/>
    <w:pPr>
      <w:widowControl/>
      <w:snapToGrid w:val="0"/>
      <w:spacing w:line="0" w:lineRule="atLeast"/>
      <w:jc w:val="center"/>
    </w:pPr>
    <w:rPr>
      <w:rFonts w:hAnsi="宋体" w:cs="宋体"/>
      <w:szCs w:val="20"/>
    </w:rPr>
  </w:style>
  <w:style w:type="paragraph" w:customStyle="1" w:styleId="101">
    <w:name w:val="表格样式1"/>
    <w:basedOn w:val="1"/>
    <w:link w:val="102"/>
    <w:qFormat/>
    <w:uiPriority w:val="0"/>
    <w:pPr>
      <w:adjustRightInd w:val="0"/>
      <w:snapToGrid w:val="0"/>
      <w:jc w:val="center"/>
    </w:pPr>
    <w:rPr>
      <w:rFonts w:hint="eastAsia" w:ascii="等线" w:hAnsi="等线" w:eastAsia="等线"/>
    </w:rPr>
  </w:style>
  <w:style w:type="character" w:customStyle="1" w:styleId="102">
    <w:name w:val="表格样式1 Char"/>
    <w:basedOn w:val="29"/>
    <w:link w:val="101"/>
    <w:qFormat/>
    <w:uiPriority w:val="0"/>
  </w:style>
  <w:style w:type="table" w:customStyle="1" w:styleId="103">
    <w:name w:val="网格型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104">
    <w:name w:val="表格样式（新） 字符"/>
    <w:basedOn w:val="29"/>
    <w:link w:val="105"/>
    <w:qFormat/>
    <w:uiPriority w:val="0"/>
    <w:rPr>
      <w:rFonts w:hint="default" w:ascii="Times New Roman" w:hAnsi="Times New Roman" w:eastAsia="宋体" w:cs="Times New Roman"/>
      <w:kern w:val="0"/>
      <w:sz w:val="24"/>
      <w:szCs w:val="20"/>
    </w:rPr>
  </w:style>
  <w:style w:type="paragraph" w:customStyle="1" w:styleId="105">
    <w:name w:val="表格样式（新）"/>
    <w:basedOn w:val="1"/>
    <w:link w:val="104"/>
    <w:qFormat/>
    <w:uiPriority w:val="0"/>
    <w:pPr>
      <w:adjustRightInd w:val="0"/>
      <w:snapToGrid w:val="0"/>
      <w:jc w:val="center"/>
    </w:pPr>
    <w:rPr>
      <w:kern w:val="0"/>
      <w:sz w:val="24"/>
      <w:szCs w:val="20"/>
    </w:rPr>
  </w:style>
  <w:style w:type="paragraph" w:customStyle="1" w:styleId="106">
    <w:name w:val="0正文"/>
    <w:basedOn w:val="14"/>
    <w:qFormat/>
    <w:uiPriority w:val="0"/>
    <w:pPr>
      <w:framePr w:hSpace="180" w:wrap="notBeside" w:vAnchor="margin" w:hAnchor="margin" w:y="327"/>
      <w:spacing w:after="0" w:line="300" w:lineRule="auto"/>
      <w:ind w:left="0" w:leftChars="0" w:firstLine="200" w:firstLineChars="200"/>
    </w:pPr>
    <w:rPr>
      <w:rFonts w:cs="宋体"/>
      <w:kern w:val="2"/>
      <w:szCs w:val="24"/>
    </w:rPr>
  </w:style>
  <w:style w:type="paragraph" w:customStyle="1" w:styleId="107">
    <w:name w:val="样式1"/>
    <w:basedOn w:val="21"/>
    <w:next w:val="15"/>
    <w:qFormat/>
    <w:uiPriority w:val="0"/>
    <w:pPr>
      <w:tabs>
        <w:tab w:val="right" w:leader="dot" w:pos="8891"/>
      </w:tabs>
      <w:spacing w:line="360" w:lineRule="auto"/>
    </w:pPr>
    <w:rPr>
      <w:sz w:val="28"/>
    </w:rPr>
  </w:style>
  <w:style w:type="paragraph" w:customStyle="1" w:styleId="108">
    <w:name w:val="表格格式"/>
    <w:next w:val="109"/>
    <w:qFormat/>
    <w:uiPriority w:val="0"/>
    <w:pPr>
      <w:snapToGrid w:val="0"/>
      <w:jc w:val="center"/>
    </w:pPr>
    <w:rPr>
      <w:rFonts w:ascii="宋体" w:hAnsi="宋体" w:eastAsia="宋体" w:cs="宋体"/>
      <w:bCs/>
      <w:sz w:val="21"/>
      <w:szCs w:val="21"/>
      <w:lang w:val="en-US" w:eastAsia="zh-CN" w:bidi="ar-SA"/>
    </w:rPr>
  </w:style>
  <w:style w:type="paragraph" w:styleId="109">
    <w:name w:val="No Spacing"/>
    <w:basedOn w:val="1"/>
    <w:qFormat/>
    <w:uiPriority w:val="1"/>
    <w:pPr>
      <w:spacing w:line="440" w:lineRule="exact"/>
      <w:ind w:firstLine="600" w:firstLineChars="250"/>
    </w:pPr>
    <w:rPr>
      <w:rFonts w:ascii="Calibri" w:hAnsi="Calibri" w:eastAsia="宋体" w:cs="Times New Roman"/>
      <w:snapToGrid w:val="0"/>
      <w:sz w:val="24"/>
    </w:rPr>
  </w:style>
  <w:style w:type="character" w:customStyle="1" w:styleId="110">
    <w:name w:val="不明显强调1"/>
    <w:qFormat/>
    <w:uiPriority w:val="0"/>
    <w:rPr>
      <w:rFonts w:eastAsia="宋体"/>
      <w:iCs/>
      <w:color w:val="auto"/>
      <w:sz w:val="21"/>
    </w:rPr>
  </w:style>
  <w:style w:type="paragraph" w:customStyle="1" w:styleId="111">
    <w:name w:val="报告书正文"/>
    <w:basedOn w:val="1"/>
    <w:qFormat/>
    <w:uiPriority w:val="0"/>
    <w:pPr>
      <w:spacing w:line="440" w:lineRule="exact"/>
      <w:ind w:firstLine="480" w:firstLineChars="200"/>
      <w:jc w:val="left"/>
    </w:pPr>
    <w:rPr>
      <w:rFonts w:ascii="宋体" w:hAnsi="宋体"/>
      <w:kern w:val="0"/>
      <w:sz w:val="24"/>
      <w:shd w:val="clear" w:color="auto" w:fill="FFFFFF"/>
    </w:rPr>
  </w:style>
  <w:style w:type="paragraph" w:customStyle="1" w:styleId="112">
    <w:name w:val="我的正文1"/>
    <w:basedOn w:val="1"/>
    <w:qFormat/>
    <w:uiPriority w:val="0"/>
    <w:pPr>
      <w:adjustRightInd w:val="0"/>
      <w:snapToGrid w:val="0"/>
      <w:spacing w:line="480" w:lineRule="exact"/>
      <w:ind w:firstLine="503" w:firstLineChars="200"/>
      <w:jc w:val="left"/>
    </w:pPr>
    <w:rPr>
      <w:bCs/>
      <w:sz w:val="24"/>
    </w:rPr>
  </w:style>
  <w:style w:type="paragraph" w:customStyle="1" w:styleId="113">
    <w:name w:val="新利正文"/>
    <w:basedOn w:val="1"/>
    <w:qFormat/>
    <w:uiPriority w:val="0"/>
    <w:pPr>
      <w:adjustRightInd w:val="0"/>
      <w:snapToGrid w:val="0"/>
      <w:spacing w:before="25" w:beforeLines="25" w:line="440" w:lineRule="exact"/>
      <w:ind w:firstLine="200" w:firstLineChars="200"/>
    </w:pPr>
    <w:rPr>
      <w:color w:val="000000"/>
      <w:sz w:val="24"/>
    </w:rPr>
  </w:style>
  <w:style w:type="character" w:customStyle="1" w:styleId="114">
    <w:name w:val="表头 Char2"/>
    <w:qFormat/>
    <w:uiPriority w:val="0"/>
    <w:rPr>
      <w:rFonts w:ascii="宋体" w:hAnsi="宋体" w:eastAsia="仿宋_GB2312"/>
      <w:b/>
      <w:snapToGrid w:val="0"/>
      <w:sz w:val="30"/>
      <w:lang w:val="en-US" w:eastAsia="zh-CN" w:bidi="ar-SA"/>
    </w:rPr>
  </w:style>
  <w:style w:type="paragraph" w:customStyle="1" w:styleId="115">
    <w:name w:val="[基本段落]"/>
    <w:basedOn w:val="116"/>
    <w:unhideWhenUsed/>
    <w:qFormat/>
    <w:uiPriority w:val="99"/>
    <w:pPr>
      <w:spacing w:line="480" w:lineRule="atLeast"/>
      <w:ind w:firstLine="510"/>
    </w:pPr>
    <w:rPr>
      <w:rFonts w:ascii="黑体" w:hAnsi="黑体" w:eastAsia="黑体"/>
      <w:sz w:val="26"/>
    </w:rPr>
  </w:style>
  <w:style w:type="paragraph" w:customStyle="1" w:styleId="116">
    <w:name w:val="[无段落样式]"/>
    <w:unhideWhenUsed/>
    <w:qFormat/>
    <w:uiPriority w:val="99"/>
    <w:pPr>
      <w:widowControl w:val="0"/>
      <w:autoSpaceDE w:val="0"/>
      <w:autoSpaceDN w:val="0"/>
      <w:adjustRightInd w:val="0"/>
      <w:spacing w:line="288" w:lineRule="auto"/>
      <w:jc w:val="both"/>
      <w:textAlignment w:val="center"/>
    </w:pPr>
    <w:rPr>
      <w:rFonts w:hint="eastAsia" w:ascii="宋体" w:hAnsi="宋体" w:eastAsia="宋体" w:cs="Times New Roman"/>
      <w:color w:val="000000"/>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6.wmf"/><Relationship Id="rId42" Type="http://schemas.openxmlformats.org/officeDocument/2006/relationships/image" Target="media/image25.wmf"/><Relationship Id="rId41" Type="http://schemas.openxmlformats.org/officeDocument/2006/relationships/image" Target="media/image24.wmf"/><Relationship Id="rId40" Type="http://schemas.openxmlformats.org/officeDocument/2006/relationships/image" Target="media/image23.wmf"/><Relationship Id="rId4" Type="http://schemas.openxmlformats.org/officeDocument/2006/relationships/header" Target="header1.xml"/><Relationship Id="rId39" Type="http://schemas.openxmlformats.org/officeDocument/2006/relationships/image" Target="media/image22.wmf"/><Relationship Id="rId38" Type="http://schemas.openxmlformats.org/officeDocument/2006/relationships/image" Target="media/image21.wmf"/><Relationship Id="rId37" Type="http://schemas.openxmlformats.org/officeDocument/2006/relationships/image" Target="media/image20.wmf"/><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file:///F:\&#29615;&#35780;&#25253;&#21578;\Administrator\AppData\Roaming\Tencent\Users\1049960459\TIM\WinTemp\RichOle\%25252525252525252525252525252525252525252525252525252525252525252525252525252525252525252525252525252525252525252525252525252525252525252525252525252525252525252525252525252525252525252525252525252525255b2OM$Q~9VA%2525252525252525252525252525252525252525252525252525252525252525252525252525252525252525252525252525252525252525252525252525252525252525252525252525252525252525252525252525252525252525252525252525252525603U0OK~8X)9(6.png"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http://www.biaozhi.net/enews/UploadFiles/smallImg/783.gif" TargetMode="External"/><Relationship Id="rId27" Type="http://schemas.openxmlformats.org/officeDocument/2006/relationships/image" Target="media/image12.png"/><Relationship Id="rId26" Type="http://schemas.openxmlformats.org/officeDocument/2006/relationships/image" Target="http://www.biaozhi.net/enews/UploadFiles/smallImg/785.gif" TargetMode="External"/><Relationship Id="rId25" Type="http://schemas.openxmlformats.org/officeDocument/2006/relationships/image" Target="media/image11.png"/><Relationship Id="rId24" Type="http://schemas.openxmlformats.org/officeDocument/2006/relationships/image" Target="http://www.biaozhi.net/enews/UploadFiles/smallImg/781.gif" TargetMode="External"/><Relationship Id="rId23" Type="http://schemas.openxmlformats.org/officeDocument/2006/relationships/image" Target="media/image10.png"/><Relationship Id="rId22" Type="http://schemas.openxmlformats.org/officeDocument/2006/relationships/image" Target="media/image9.wmf"/><Relationship Id="rId21" Type="http://schemas.openxmlformats.org/officeDocument/2006/relationships/oleObject" Target="embeddings/oleObject3.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compatLnSpc="1">
        <a:noAutofit/>
      </a:bodyPr>
      <a:lstStyle/>
      <a:style>
        <a:lnRef idx="2">
          <a:schemeClr val="accent1">
            <a:shade val="50000"/>
          </a:schemeClr>
        </a:lnRef>
        <a:fillRef idx="1">
          <a:schemeClr val="accent1"/>
        </a:fillRef>
        <a:effectRef idx="0">
          <a:schemeClr val="accent1"/>
        </a:effectRef>
        <a:fontRef idx="minor">
          <a:schemeClr val="lt1"/>
        </a:fontRef>
      </a:style>
    </a:spDef>
    <a:lnDef>
      <a:spPr>
        <a:ln w="12700">
          <a:solidFill>
            <a:srgbClr val="FF0000"/>
          </a:solidFill>
          <a:headEnd type="none"/>
          <a:tailEnd type="arrow"/>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0C20C5-4C28-48C3-AB9C-67C92811E37E}">
  <ds:schemaRefs/>
</ds:datastoreItem>
</file>

<file path=docProps/app.xml><?xml version="1.0" encoding="utf-8"?>
<Properties xmlns="http://schemas.openxmlformats.org/officeDocument/2006/extended-properties" xmlns:vt="http://schemas.openxmlformats.org/officeDocument/2006/docPropsVTypes">
  <Template>Normal.dotm</Template>
  <Pages>168</Pages>
  <Words>71972</Words>
  <Characters>85052</Characters>
  <Lines>636</Lines>
  <Paragraphs>179</Paragraphs>
  <TotalTime>1</TotalTime>
  <ScaleCrop>false</ScaleCrop>
  <LinksUpToDate>false</LinksUpToDate>
  <CharactersWithSpaces>85725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2021-12-26T11:34:00Z</dcterms:created>
  <dc:creator>Z GL</dc:creator>
  <cp:lastModifiedBy>777</cp:lastModifiedBy>
  <cp:lastPrinted>2022-09-23T07:36:00Z</cp:lastPrinted>
  <dcterms:modified xsi:type="dcterms:W3CDTF">2023-03-20T03:25:12Z</dcterms:modified>
  <cp:revision>621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171A06CA3AF449E5AFCA25E34AE8BBE6</vt:lpwstr>
  </property>
</Properties>
</file>