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
    <w:p/>
    <w:p/>
    <w:p/>
    <w:p/>
    <w:p/>
    <w:p/>
    <w:p/>
    <w:p>
      <w:pPr>
        <w:adjustRightInd w:val="0"/>
        <w:snapToGrid w:val="0"/>
        <w:jc w:val="center"/>
        <w:rPr>
          <w:rFonts w:ascii="方正小标宋_GBK" w:hAnsi="方正小标宋_GBK"/>
          <w:b/>
          <w:sz w:val="72"/>
          <w:szCs w:val="72"/>
        </w:rPr>
      </w:pPr>
      <w:r>
        <w:rPr>
          <w:rFonts w:ascii="方正小标宋_GBK" w:hAnsi="方正小标宋_GBK"/>
          <w:b/>
          <w:sz w:val="72"/>
          <w:szCs w:val="72"/>
        </w:rPr>
        <w:t>建设项目环境影响报告表</w:t>
      </w:r>
    </w:p>
    <w:p>
      <w:pPr>
        <w:adjustRightInd w:val="0"/>
        <w:snapToGrid w:val="0"/>
        <w:spacing w:before="156" w:beforeLines="50"/>
        <w:jc w:val="center"/>
        <w:rPr>
          <w:rFonts w:ascii="楷体_GB2312" w:hAnsi="楷体_GB2312"/>
          <w:b/>
          <w:sz w:val="48"/>
          <w:szCs w:val="48"/>
        </w:rPr>
      </w:pPr>
      <w:r>
        <w:rPr>
          <w:rFonts w:ascii="楷体_GB2312" w:hAnsi="楷体_GB2312"/>
          <w:b/>
          <w:sz w:val="48"/>
          <w:szCs w:val="48"/>
        </w:rPr>
        <w:t>（生态影响类）</w:t>
      </w:r>
    </w:p>
    <w:p>
      <w:pPr>
        <w:adjustRightInd w:val="0"/>
        <w:snapToGrid w:val="0"/>
        <w:spacing w:before="156" w:beforeLines="50"/>
        <w:jc w:val="center"/>
        <w:rPr>
          <w:rFonts w:ascii="楷体_GB2312" w:hAnsi="楷体_GB2312"/>
          <w:bCs/>
          <w:sz w:val="48"/>
          <w:szCs w:val="48"/>
        </w:rPr>
      </w:pPr>
    </w:p>
    <w:p>
      <w:pPr>
        <w:adjustRightInd w:val="0"/>
        <w:snapToGrid w:val="0"/>
        <w:spacing w:before="156" w:beforeLines="50"/>
        <w:jc w:val="center"/>
        <w:rPr>
          <w:rFonts w:ascii="楷体_GB2312" w:hAnsi="楷体_GB2312"/>
          <w:bCs/>
          <w:sz w:val="48"/>
          <w:szCs w:val="48"/>
        </w:rPr>
      </w:pPr>
    </w:p>
    <w:p>
      <w:pPr>
        <w:adjustRightInd w:val="0"/>
        <w:snapToGrid w:val="0"/>
        <w:spacing w:before="156" w:beforeLines="50"/>
        <w:jc w:val="center"/>
        <w:rPr>
          <w:rFonts w:ascii="楷体_GB2312" w:hAnsi="楷体_GB2312"/>
          <w:bCs/>
          <w:sz w:val="48"/>
          <w:szCs w:val="48"/>
        </w:rPr>
      </w:pPr>
    </w:p>
    <w:p>
      <w:pPr>
        <w:keepNext w:val="0"/>
        <w:keepLines w:val="0"/>
        <w:pageBreakBefore w:val="0"/>
        <w:widowControl w:val="0"/>
        <w:kinsoku/>
        <w:wordWrap/>
        <w:overflowPunct/>
        <w:topLinePunct w:val="0"/>
        <w:autoSpaceDE/>
        <w:autoSpaceDN/>
        <w:bidi w:val="0"/>
        <w:adjustRightInd w:val="0"/>
        <w:snapToGrid w:val="0"/>
        <w:spacing w:before="156" w:beforeLines="50"/>
        <w:ind w:firstLine="321" w:firstLineChars="100"/>
        <w:jc w:val="both"/>
        <w:textAlignment w:val="auto"/>
        <w:rPr>
          <w:rFonts w:ascii="楷体_GB2312" w:hAnsi="楷体_GB2312"/>
          <w:b/>
          <w:sz w:val="32"/>
          <w:szCs w:val="32"/>
          <w:u w:val="single"/>
        </w:rPr>
      </w:pPr>
      <w:r>
        <w:rPr>
          <w:rFonts w:hint="eastAsia" w:ascii="楷体_GB2312" w:hAnsi="楷体_GB2312"/>
          <w:b/>
          <w:sz w:val="32"/>
          <w:szCs w:val="32"/>
        </w:rPr>
        <w:t>项目名称：</w:t>
      </w:r>
      <w:r>
        <w:rPr>
          <w:rFonts w:hint="eastAsia" w:ascii="楷体_GB2312" w:hAnsi="楷体_GB2312"/>
          <w:b/>
          <w:sz w:val="32"/>
          <w:szCs w:val="32"/>
          <w:u w:val="single"/>
          <w:lang w:val="en-US" w:eastAsia="zh-CN"/>
        </w:rPr>
        <w:t>五台县湖滨大街西延等三条道路管网建设</w:t>
      </w:r>
      <w:r>
        <w:rPr>
          <w:rFonts w:hint="eastAsia" w:ascii="楷体_GB2312" w:hAnsi="楷体_GB2312"/>
          <w:b/>
          <w:sz w:val="32"/>
          <w:szCs w:val="32"/>
          <w:u w:val="single"/>
        </w:rPr>
        <w:t>项目</w:t>
      </w:r>
    </w:p>
    <w:p>
      <w:pPr>
        <w:keepNext w:val="0"/>
        <w:keepLines w:val="0"/>
        <w:pageBreakBefore w:val="0"/>
        <w:widowControl w:val="0"/>
        <w:kinsoku/>
        <w:wordWrap/>
        <w:overflowPunct/>
        <w:topLinePunct w:val="0"/>
        <w:autoSpaceDE/>
        <w:autoSpaceDN/>
        <w:bidi w:val="0"/>
        <w:adjustRightInd w:val="0"/>
        <w:snapToGrid w:val="0"/>
        <w:spacing w:before="156" w:beforeLines="50"/>
        <w:ind w:firstLine="321" w:firstLineChars="100"/>
        <w:jc w:val="both"/>
        <w:textAlignment w:val="auto"/>
        <w:rPr>
          <w:rFonts w:hint="default" w:ascii="楷体_GB2312" w:hAnsi="楷体_GB2312" w:eastAsia="宋体"/>
          <w:b/>
          <w:sz w:val="32"/>
          <w:szCs w:val="32"/>
          <w:u w:val="single"/>
          <w:lang w:val="en-US" w:eastAsia="zh-CN"/>
        </w:rPr>
      </w:pPr>
      <w:r>
        <w:rPr>
          <w:rFonts w:hint="eastAsia" w:ascii="楷体_GB2312" w:hAnsi="楷体_GB2312"/>
          <w:b/>
          <w:sz w:val="32"/>
          <w:szCs w:val="32"/>
        </w:rPr>
        <w:t>建设单位</w:t>
      </w:r>
      <w:r>
        <w:rPr>
          <w:rFonts w:ascii="仿宋_GB2312" w:hAnsi="仿宋_GB2312"/>
          <w:b/>
          <w:sz w:val="32"/>
          <w:szCs w:val="32"/>
        </w:rPr>
        <w:t>（盖章）</w:t>
      </w:r>
      <w:r>
        <w:rPr>
          <w:rFonts w:hint="eastAsia" w:ascii="楷体_GB2312" w:hAnsi="楷体_GB2312"/>
          <w:b/>
          <w:sz w:val="32"/>
          <w:szCs w:val="32"/>
        </w:rPr>
        <w:t>：</w:t>
      </w:r>
      <w:r>
        <w:rPr>
          <w:rFonts w:hint="eastAsia" w:ascii="楷体_GB2312" w:hAnsi="楷体_GB2312"/>
          <w:b/>
          <w:sz w:val="32"/>
          <w:szCs w:val="32"/>
          <w:u w:val="single"/>
          <w:lang w:val="en-US" w:eastAsia="zh-CN"/>
        </w:rPr>
        <w:t>五台县住房和城乡建设管理局</w:t>
      </w:r>
    </w:p>
    <w:p>
      <w:pPr>
        <w:keepNext w:val="0"/>
        <w:keepLines w:val="0"/>
        <w:pageBreakBefore w:val="0"/>
        <w:widowControl w:val="0"/>
        <w:kinsoku/>
        <w:wordWrap/>
        <w:overflowPunct/>
        <w:topLinePunct w:val="0"/>
        <w:autoSpaceDE/>
        <w:autoSpaceDN/>
        <w:bidi w:val="0"/>
        <w:adjustRightInd w:val="0"/>
        <w:snapToGrid w:val="0"/>
        <w:spacing w:before="156" w:beforeLines="50"/>
        <w:ind w:firstLine="321" w:firstLineChars="100"/>
        <w:jc w:val="both"/>
        <w:textAlignment w:val="auto"/>
        <w:rPr>
          <w:rFonts w:ascii="楷体_GB2312" w:hAnsi="楷体_GB2312"/>
          <w:b/>
          <w:sz w:val="32"/>
          <w:szCs w:val="32"/>
        </w:rPr>
      </w:pPr>
      <w:r>
        <w:rPr>
          <w:rFonts w:hint="eastAsia" w:ascii="楷体_GB2312" w:hAnsi="楷体_GB2312"/>
          <w:b/>
          <w:sz w:val="32"/>
          <w:szCs w:val="32"/>
        </w:rPr>
        <w:t>编制日期：</w:t>
      </w:r>
      <w:r>
        <w:rPr>
          <w:rFonts w:hint="eastAsia" w:ascii="楷体_GB2312" w:hAnsi="楷体_GB2312"/>
          <w:b/>
          <w:sz w:val="32"/>
          <w:szCs w:val="32"/>
          <w:u w:val="single"/>
        </w:rPr>
        <w:t xml:space="preserve"> </w:t>
      </w:r>
      <w:r>
        <w:rPr>
          <w:rFonts w:ascii="楷体_GB2312" w:hAnsi="楷体_GB2312"/>
          <w:b/>
          <w:sz w:val="32"/>
          <w:szCs w:val="32"/>
          <w:u w:val="single"/>
        </w:rPr>
        <w:t xml:space="preserve">   </w:t>
      </w:r>
      <w:r>
        <w:rPr>
          <w:rFonts w:hint="eastAsia" w:ascii="楷体_GB2312" w:hAnsi="楷体_GB2312"/>
          <w:b/>
          <w:sz w:val="32"/>
          <w:szCs w:val="32"/>
          <w:u w:val="single"/>
          <w:lang w:val="en-US" w:eastAsia="zh-CN"/>
        </w:rPr>
        <w:t xml:space="preserve"> </w:t>
      </w:r>
      <w:r>
        <w:rPr>
          <w:rFonts w:ascii="楷体_GB2312" w:hAnsi="楷体_GB2312"/>
          <w:b/>
          <w:sz w:val="32"/>
          <w:szCs w:val="32"/>
          <w:u w:val="single"/>
        </w:rPr>
        <w:t xml:space="preserve">  </w:t>
      </w:r>
      <w:r>
        <w:rPr>
          <w:rFonts w:hint="eastAsia" w:ascii="楷体_GB2312" w:hAnsi="楷体_GB2312"/>
          <w:b/>
          <w:sz w:val="32"/>
          <w:szCs w:val="32"/>
          <w:u w:val="single"/>
          <w:lang w:val="en-US" w:eastAsia="zh-CN"/>
        </w:rPr>
        <w:t xml:space="preserve"> 二〇二三年三月</w:t>
      </w:r>
      <w:r>
        <w:rPr>
          <w:rFonts w:hint="eastAsia" w:ascii="楷体_GB2312" w:hAnsi="楷体_GB2312"/>
          <w:b/>
          <w:sz w:val="32"/>
          <w:szCs w:val="32"/>
          <w:u w:val="single"/>
        </w:rPr>
        <w:t xml:space="preserve"> </w:t>
      </w:r>
      <w:r>
        <w:rPr>
          <w:rFonts w:ascii="楷体_GB2312" w:hAnsi="楷体_GB2312"/>
          <w:b/>
          <w:sz w:val="32"/>
          <w:szCs w:val="32"/>
          <w:u w:val="single"/>
        </w:rPr>
        <w:t xml:space="preserve">   </w:t>
      </w:r>
      <w:r>
        <w:rPr>
          <w:rFonts w:hint="eastAsia" w:ascii="楷体_GB2312" w:hAnsi="楷体_GB2312"/>
          <w:b/>
          <w:sz w:val="32"/>
          <w:szCs w:val="32"/>
          <w:u w:val="single"/>
          <w:lang w:val="en-US" w:eastAsia="zh-CN"/>
        </w:rPr>
        <w:t xml:space="preserve">  </w:t>
      </w:r>
      <w:r>
        <w:rPr>
          <w:rFonts w:ascii="楷体_GB2312" w:hAnsi="楷体_GB2312"/>
          <w:b/>
          <w:sz w:val="32"/>
          <w:szCs w:val="32"/>
          <w:u w:val="single"/>
        </w:rPr>
        <w:t xml:space="preserve">      </w:t>
      </w:r>
    </w:p>
    <w:p>
      <w:pPr>
        <w:jc w:val="center"/>
        <w:rPr>
          <w:rFonts w:ascii="楷体_GB2312" w:hAnsi="楷体_GB2312"/>
          <w:sz w:val="36"/>
          <w:szCs w:val="36"/>
        </w:rPr>
      </w:pPr>
    </w:p>
    <w:p>
      <w:pPr>
        <w:jc w:val="center"/>
        <w:rPr>
          <w:rFonts w:ascii="楷体_GB2312" w:hAnsi="楷体_GB2312"/>
          <w:sz w:val="36"/>
          <w:szCs w:val="36"/>
        </w:rPr>
      </w:pPr>
    </w:p>
    <w:p>
      <w:pPr>
        <w:jc w:val="center"/>
        <w:rPr>
          <w:rFonts w:ascii="楷体_GB2312" w:hAnsi="楷体_GB2312"/>
          <w:sz w:val="36"/>
          <w:szCs w:val="36"/>
        </w:rPr>
      </w:pPr>
    </w:p>
    <w:p>
      <w:pPr>
        <w:jc w:val="center"/>
        <w:rPr>
          <w:rFonts w:ascii="楷体_GB2312" w:hAnsi="楷体_GB2312"/>
          <w:sz w:val="36"/>
          <w:szCs w:val="36"/>
        </w:rPr>
      </w:pPr>
    </w:p>
    <w:p>
      <w:pPr>
        <w:jc w:val="center"/>
        <w:rPr>
          <w:rFonts w:ascii="楷体_GB2312" w:hAnsi="楷体_GB2312"/>
          <w:sz w:val="36"/>
          <w:szCs w:val="36"/>
        </w:rPr>
      </w:pPr>
    </w:p>
    <w:p>
      <w:pPr>
        <w:jc w:val="center"/>
        <w:rPr>
          <w:rFonts w:ascii="楷体_GB2312" w:hAnsi="楷体_GB2312"/>
          <w:b/>
          <w:bCs/>
          <w:sz w:val="36"/>
          <w:szCs w:val="36"/>
        </w:rPr>
      </w:pPr>
    </w:p>
    <w:p>
      <w:pPr>
        <w:jc w:val="center"/>
        <w:rPr>
          <w:rFonts w:ascii="楷体_GB2312" w:hAnsi="楷体_GB2312"/>
          <w:b/>
          <w:bCs/>
          <w:sz w:val="36"/>
          <w:szCs w:val="36"/>
        </w:rPr>
      </w:pPr>
    </w:p>
    <w:p>
      <w:pPr>
        <w:jc w:val="center"/>
        <w:rPr>
          <w:rFonts w:ascii="楷体_GB2312" w:hAnsi="楷体_GB2312"/>
          <w:b/>
          <w:bCs/>
          <w:sz w:val="36"/>
          <w:szCs w:val="36"/>
        </w:rPr>
        <w:sectPr>
          <w:footerReference r:id="rId3" w:type="default"/>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ascii="楷体_GB2312" w:hAnsi="楷体_GB2312"/>
          <w:b/>
          <w:bCs/>
          <w:sz w:val="36"/>
          <w:szCs w:val="36"/>
        </w:rPr>
        <w:t>中华人民共和国生态环境部制</w:t>
      </w:r>
    </w:p>
    <w:p>
      <w:pPr>
        <w:pStyle w:val="19"/>
        <w:jc w:val="center"/>
        <w:outlineLvl w:val="0"/>
        <w:rPr>
          <w:rFonts w:ascii="黑体" w:hAnsi="黑体" w:eastAsia="黑体"/>
          <w:sz w:val="30"/>
          <w:szCs w:val="30"/>
        </w:rPr>
      </w:pPr>
      <w:r>
        <w:rPr>
          <w:rFonts w:hint="eastAsia" w:ascii="黑体" w:hAnsi="黑体" w:eastAsia="黑体"/>
          <w:sz w:val="30"/>
          <w:szCs w:val="30"/>
        </w:rPr>
        <w:t>一、建设项目基本情况</w:t>
      </w:r>
    </w:p>
    <w:tbl>
      <w:tblPr>
        <w:tblStyle w:val="21"/>
        <w:tblW w:w="9441" w:type="dxa"/>
        <w:tblInd w:w="-294"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472"/>
        <w:gridCol w:w="15"/>
        <w:gridCol w:w="1498"/>
        <w:gridCol w:w="2731"/>
        <w:gridCol w:w="1897"/>
        <w:gridCol w:w="282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985" w:type="dxa"/>
            <w:gridSpan w:val="3"/>
            <w:tcBorders>
              <w:top w:val="single" w:color="auto" w:sz="8" w:space="0"/>
              <w:left w:val="single" w:color="auto" w:sz="8" w:space="0"/>
              <w:bottom w:val="single" w:color="auto" w:sz="4" w:space="0"/>
              <w:right w:val="single" w:color="auto" w:sz="4" w:space="0"/>
            </w:tcBorders>
            <w:tcMar>
              <w:top w:w="16" w:type="dxa"/>
              <w:left w:w="16" w:type="dxa"/>
              <w:bottom w:w="0" w:type="dxa"/>
              <w:right w:w="16" w:type="dxa"/>
            </w:tcMar>
            <w:vAlign w:val="center"/>
          </w:tcPr>
          <w:p>
            <w:pPr>
              <w:adjustRightInd w:val="0"/>
              <w:snapToGrid w:val="0"/>
              <w:spacing w:line="360" w:lineRule="exact"/>
              <w:jc w:val="center"/>
              <w:rPr>
                <w:rFonts w:hint="default" w:ascii="Times New Roman" w:hAnsi="Times New Roman" w:cs="Times New Roman"/>
                <w:sz w:val="24"/>
                <w:szCs w:val="24"/>
              </w:rPr>
            </w:pPr>
            <w:r>
              <w:rPr>
                <w:rFonts w:hint="default" w:ascii="Times New Roman" w:hAnsi="Times New Roman" w:cs="Times New Roman"/>
                <w:sz w:val="24"/>
                <w:szCs w:val="24"/>
              </w:rPr>
              <w:t>建设项目名称</w:t>
            </w:r>
          </w:p>
        </w:tc>
        <w:tc>
          <w:tcPr>
            <w:tcW w:w="7456" w:type="dxa"/>
            <w:gridSpan w:val="3"/>
            <w:tcBorders>
              <w:top w:val="single" w:color="auto" w:sz="8" w:space="0"/>
              <w:left w:val="single" w:color="auto" w:sz="4" w:space="0"/>
              <w:bottom w:val="single" w:color="auto" w:sz="4" w:space="0"/>
              <w:right w:val="single" w:color="auto" w:sz="8" w:space="0"/>
            </w:tcBorders>
            <w:vAlign w:val="center"/>
          </w:tcPr>
          <w:p>
            <w:pPr>
              <w:adjustRightInd w:val="0"/>
              <w:snapToGrid w:val="0"/>
              <w:spacing w:line="360" w:lineRule="exact"/>
              <w:jc w:val="center"/>
              <w:rPr>
                <w:rFonts w:hint="default" w:ascii="Times New Roman" w:hAnsi="Times New Roman" w:cs="Times New Roman"/>
                <w:sz w:val="24"/>
                <w:szCs w:val="24"/>
              </w:rPr>
            </w:pPr>
            <w:r>
              <w:rPr>
                <w:rFonts w:hint="default" w:ascii="Times New Roman" w:hAnsi="Times New Roman" w:cs="Times New Roman"/>
                <w:sz w:val="24"/>
                <w:szCs w:val="24"/>
              </w:rPr>
              <w:t>五台县湖滨大街西延等三条道路管网建设项目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985" w:type="dxa"/>
            <w:gridSpan w:val="3"/>
            <w:tcBorders>
              <w:top w:val="single" w:color="auto" w:sz="4" w:space="0"/>
              <w:left w:val="single" w:color="auto" w:sz="8" w:space="0"/>
              <w:bottom w:val="single" w:color="auto" w:sz="4" w:space="0"/>
              <w:right w:val="single" w:color="auto" w:sz="4" w:space="0"/>
            </w:tcBorders>
            <w:tcMar>
              <w:top w:w="16" w:type="dxa"/>
              <w:left w:w="16" w:type="dxa"/>
              <w:bottom w:w="0" w:type="dxa"/>
              <w:right w:w="16" w:type="dxa"/>
            </w:tcMar>
            <w:vAlign w:val="center"/>
          </w:tcPr>
          <w:p>
            <w:pPr>
              <w:adjustRightInd w:val="0"/>
              <w:snapToGrid w:val="0"/>
              <w:spacing w:line="360" w:lineRule="exact"/>
              <w:jc w:val="center"/>
              <w:rPr>
                <w:rFonts w:hint="default" w:ascii="Times New Roman" w:hAnsi="Times New Roman" w:cs="Times New Roman"/>
                <w:sz w:val="24"/>
                <w:szCs w:val="24"/>
              </w:rPr>
            </w:pPr>
            <w:r>
              <w:rPr>
                <w:rFonts w:hint="default" w:ascii="Times New Roman" w:hAnsi="Times New Roman" w:cs="Times New Roman"/>
                <w:sz w:val="24"/>
                <w:szCs w:val="24"/>
              </w:rPr>
              <w:t>项目代码</w:t>
            </w:r>
          </w:p>
        </w:tc>
        <w:tc>
          <w:tcPr>
            <w:tcW w:w="7456" w:type="dxa"/>
            <w:gridSpan w:val="3"/>
            <w:tcBorders>
              <w:top w:val="single" w:color="auto" w:sz="4" w:space="0"/>
              <w:left w:val="single" w:color="auto" w:sz="4" w:space="0"/>
              <w:bottom w:val="single" w:color="auto" w:sz="4" w:space="0"/>
              <w:right w:val="single" w:color="auto" w:sz="8" w:space="0"/>
            </w:tcBorders>
            <w:vAlign w:val="center"/>
          </w:tcPr>
          <w:p>
            <w:pPr>
              <w:adjustRightInd w:val="0"/>
              <w:snapToGrid w:val="0"/>
              <w:spacing w:line="360" w:lineRule="exact"/>
              <w:jc w:val="center"/>
              <w:rPr>
                <w:rFonts w:hint="default" w:ascii="Times New Roman" w:hAnsi="Times New Roman" w:eastAsia="宋体" w:cs="Times New Roman"/>
                <w:sz w:val="24"/>
                <w:szCs w:val="24"/>
                <w:lang w:val="en-US" w:eastAsia="zh-CN"/>
              </w:rPr>
            </w:pPr>
            <w:r>
              <w:rPr>
                <w:rFonts w:hint="default" w:ascii="Times New Roman" w:hAnsi="Times New Roman" w:cs="Times New Roman"/>
                <w:sz w:val="24"/>
                <w:szCs w:val="24"/>
                <w:lang w:val="en-US" w:eastAsia="zh-CN"/>
              </w:rPr>
              <w:t>2206-140922-89-01-282266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985" w:type="dxa"/>
            <w:gridSpan w:val="3"/>
            <w:tcBorders>
              <w:top w:val="single" w:color="auto" w:sz="4" w:space="0"/>
              <w:left w:val="single" w:color="auto" w:sz="8" w:space="0"/>
              <w:bottom w:val="single" w:color="auto" w:sz="4" w:space="0"/>
              <w:right w:val="single" w:color="auto" w:sz="4" w:space="0"/>
            </w:tcBorders>
            <w:tcMar>
              <w:top w:w="16" w:type="dxa"/>
              <w:left w:w="16" w:type="dxa"/>
              <w:bottom w:w="0" w:type="dxa"/>
              <w:right w:w="16" w:type="dxa"/>
            </w:tcMar>
            <w:vAlign w:val="center"/>
          </w:tcPr>
          <w:p>
            <w:pPr>
              <w:adjustRightInd w:val="0"/>
              <w:snapToGrid w:val="0"/>
              <w:spacing w:line="360" w:lineRule="exact"/>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建设单位联系人</w:t>
            </w:r>
          </w:p>
        </w:tc>
        <w:tc>
          <w:tcPr>
            <w:tcW w:w="2731"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jc w:val="center"/>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贾利宏</w:t>
            </w:r>
          </w:p>
        </w:tc>
        <w:tc>
          <w:tcPr>
            <w:tcW w:w="1897"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联系方式</w:t>
            </w:r>
          </w:p>
        </w:tc>
        <w:tc>
          <w:tcPr>
            <w:tcW w:w="2828" w:type="dxa"/>
            <w:tcBorders>
              <w:top w:val="single" w:color="auto" w:sz="4" w:space="0"/>
              <w:left w:val="single" w:color="auto" w:sz="4" w:space="0"/>
              <w:bottom w:val="single" w:color="auto" w:sz="4" w:space="0"/>
              <w:right w:val="single" w:color="auto" w:sz="8" w:space="0"/>
            </w:tcBorders>
            <w:vAlign w:val="center"/>
          </w:tcPr>
          <w:p>
            <w:pPr>
              <w:adjustRightInd w:val="0"/>
              <w:snapToGrid w:val="0"/>
              <w:spacing w:line="360" w:lineRule="exact"/>
              <w:jc w:val="center"/>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13453053635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985" w:type="dxa"/>
            <w:gridSpan w:val="3"/>
            <w:tcBorders>
              <w:top w:val="single" w:color="auto" w:sz="4" w:space="0"/>
              <w:left w:val="single" w:color="auto" w:sz="8" w:space="0"/>
              <w:bottom w:val="single" w:color="auto" w:sz="4" w:space="0"/>
              <w:right w:val="single" w:color="auto" w:sz="4" w:space="0"/>
            </w:tcBorders>
            <w:tcMar>
              <w:top w:w="16" w:type="dxa"/>
              <w:left w:w="16" w:type="dxa"/>
              <w:bottom w:w="0" w:type="dxa"/>
              <w:right w:w="16" w:type="dxa"/>
            </w:tcMar>
            <w:vAlign w:val="center"/>
          </w:tcPr>
          <w:p>
            <w:pPr>
              <w:adjustRightInd w:val="0"/>
              <w:snapToGrid w:val="0"/>
              <w:spacing w:line="360" w:lineRule="exact"/>
              <w:jc w:val="center"/>
              <w:rPr>
                <w:rFonts w:hint="default" w:ascii="Times New Roman" w:hAnsi="Times New Roman" w:cs="Times New Roman"/>
                <w:sz w:val="24"/>
                <w:szCs w:val="24"/>
              </w:rPr>
            </w:pPr>
            <w:r>
              <w:rPr>
                <w:rFonts w:hint="default" w:ascii="Times New Roman" w:hAnsi="Times New Roman" w:cs="Times New Roman"/>
                <w:sz w:val="24"/>
                <w:szCs w:val="24"/>
              </w:rPr>
              <w:t>建设地点</w:t>
            </w:r>
          </w:p>
        </w:tc>
        <w:tc>
          <w:tcPr>
            <w:tcW w:w="7456" w:type="dxa"/>
            <w:gridSpan w:val="3"/>
            <w:tcBorders>
              <w:top w:val="single" w:color="auto" w:sz="4" w:space="0"/>
              <w:left w:val="single" w:color="auto" w:sz="4" w:space="0"/>
              <w:bottom w:val="single" w:color="auto" w:sz="4" w:space="0"/>
              <w:right w:val="single" w:color="auto" w:sz="8" w:space="0"/>
            </w:tcBorders>
            <w:vAlign w:val="center"/>
          </w:tcPr>
          <w:p>
            <w:pPr>
              <w:adjustRightInd w:val="0"/>
              <w:snapToGrid w:val="0"/>
              <w:spacing w:line="360" w:lineRule="exact"/>
              <w:jc w:val="both"/>
              <w:rPr>
                <w:rFonts w:hint="default" w:ascii="Times New Roman" w:hAnsi="Times New Roman" w:cs="Times New Roman"/>
                <w:sz w:val="24"/>
                <w:szCs w:val="24"/>
                <w:lang w:val="en-US" w:eastAsia="zh-CN"/>
              </w:rPr>
            </w:pPr>
            <w:r>
              <w:rPr>
                <w:rFonts w:hint="default" w:ascii="Times New Roman" w:hAnsi="Times New Roman" w:cs="Times New Roman"/>
                <w:sz w:val="24"/>
                <w:szCs w:val="24"/>
                <w:u w:val="single"/>
                <w:lang w:val="en-US" w:eastAsia="zh-CN"/>
              </w:rPr>
              <w:t>位于</w:t>
            </w:r>
            <w:r>
              <w:rPr>
                <w:rFonts w:hint="default" w:ascii="Times New Roman" w:hAnsi="Times New Roman" w:cs="Times New Roman"/>
                <w:sz w:val="24"/>
                <w:szCs w:val="24"/>
                <w:u w:val="single"/>
              </w:rPr>
              <w:t>山西</w:t>
            </w:r>
            <w:r>
              <w:rPr>
                <w:rFonts w:hint="default" w:ascii="Times New Roman" w:hAnsi="Times New Roman" w:cs="Times New Roman"/>
                <w:sz w:val="24"/>
                <w:szCs w:val="24"/>
              </w:rPr>
              <w:t>省</w:t>
            </w:r>
            <w:r>
              <w:rPr>
                <w:rFonts w:hint="default" w:ascii="Times New Roman" w:hAnsi="Times New Roman" w:cs="Times New Roman"/>
                <w:sz w:val="24"/>
                <w:szCs w:val="24"/>
                <w:u w:val="single"/>
                <w:lang w:val="en-US" w:eastAsia="zh-CN"/>
              </w:rPr>
              <w:t>忻州</w:t>
            </w:r>
            <w:r>
              <w:rPr>
                <w:rFonts w:hint="default" w:ascii="Times New Roman" w:hAnsi="Times New Roman" w:cs="Times New Roman"/>
                <w:sz w:val="24"/>
                <w:szCs w:val="24"/>
              </w:rPr>
              <w:t>市</w:t>
            </w:r>
            <w:r>
              <w:rPr>
                <w:rFonts w:hint="default" w:ascii="Times New Roman" w:hAnsi="Times New Roman" w:cs="Times New Roman"/>
                <w:sz w:val="24"/>
                <w:szCs w:val="24"/>
                <w:u w:val="single"/>
                <w:lang w:val="en-US" w:eastAsia="zh-CN"/>
              </w:rPr>
              <w:t>五台</w:t>
            </w:r>
            <w:r>
              <w:rPr>
                <w:rFonts w:hint="default" w:ascii="Times New Roman" w:hAnsi="Times New Roman" w:cs="Times New Roman"/>
                <w:sz w:val="24"/>
                <w:szCs w:val="24"/>
              </w:rPr>
              <w:t>县</w:t>
            </w:r>
            <w:r>
              <w:rPr>
                <w:rFonts w:hint="default" w:ascii="Times New Roman" w:hAnsi="Times New Roman" w:cs="Times New Roman"/>
                <w:sz w:val="24"/>
                <w:szCs w:val="24"/>
                <w:u w:val="single"/>
                <w:lang w:val="en-US" w:eastAsia="zh-CN"/>
              </w:rPr>
              <w:t>台城</w:t>
            </w:r>
            <w:r>
              <w:rPr>
                <w:rFonts w:hint="default" w:ascii="Times New Roman" w:hAnsi="Times New Roman" w:cs="Times New Roman"/>
                <w:sz w:val="24"/>
                <w:szCs w:val="24"/>
              </w:rPr>
              <w:t>镇</w:t>
            </w:r>
            <w:r>
              <w:rPr>
                <w:rFonts w:hint="default" w:ascii="Times New Roman" w:hAnsi="Times New Roman" w:cs="Times New Roman"/>
                <w:sz w:val="24"/>
                <w:szCs w:val="24"/>
                <w:lang w:eastAsia="zh-CN"/>
              </w:rPr>
              <w:t>，</w:t>
            </w:r>
            <w:r>
              <w:rPr>
                <w:rFonts w:hint="default" w:ascii="Times New Roman" w:hAnsi="Times New Roman" w:cs="Times New Roman"/>
                <w:sz w:val="24"/>
                <w:szCs w:val="24"/>
                <w:lang w:val="en-US" w:eastAsia="zh-CN"/>
              </w:rPr>
              <w:t>其中：</w:t>
            </w:r>
          </w:p>
          <w:p>
            <w:pPr>
              <w:adjustRightInd w:val="0"/>
              <w:snapToGrid w:val="0"/>
              <w:spacing w:line="360" w:lineRule="exact"/>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东外环路：起点为五台南收费站北侧（王庄村牌楼），终点接至五黄路（金水泉宾馆）</w:t>
            </w:r>
            <w:r>
              <w:rPr>
                <w:rFonts w:hint="eastAsia" w:cs="Times New Roman"/>
                <w:sz w:val="24"/>
                <w:szCs w:val="24"/>
                <w:lang w:val="en-US" w:eastAsia="zh-CN"/>
              </w:rPr>
              <w:t>；</w:t>
            </w:r>
          </w:p>
          <w:p>
            <w:pPr>
              <w:adjustRightInd w:val="0"/>
              <w:snapToGrid w:val="0"/>
              <w:spacing w:line="360" w:lineRule="exact"/>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湖滨大街西延：起点为规划文昌路，终点与既有湖滨大街相接；</w:t>
            </w:r>
          </w:p>
          <w:p>
            <w:pPr>
              <w:adjustRightInd w:val="0"/>
              <w:snapToGrid w:val="0"/>
              <w:spacing w:line="360" w:lineRule="exact"/>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文昌路：起点为既有文昌路，终点至湖滨大街</w:t>
            </w:r>
            <w:r>
              <w:rPr>
                <w:rFonts w:hint="eastAsia" w:cs="Times New Roman"/>
                <w:sz w:val="24"/>
                <w:szCs w:val="24"/>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985" w:type="dxa"/>
            <w:gridSpan w:val="3"/>
            <w:tcBorders>
              <w:top w:val="single" w:color="auto" w:sz="4" w:space="0"/>
              <w:left w:val="single" w:color="auto" w:sz="8" w:space="0"/>
              <w:bottom w:val="single" w:color="auto" w:sz="4" w:space="0"/>
              <w:right w:val="single" w:color="auto" w:sz="4" w:space="0"/>
            </w:tcBorders>
            <w:tcMar>
              <w:top w:w="16" w:type="dxa"/>
              <w:left w:w="16" w:type="dxa"/>
              <w:bottom w:w="0" w:type="dxa"/>
              <w:right w:w="16" w:type="dxa"/>
            </w:tcMar>
            <w:vAlign w:val="center"/>
          </w:tcPr>
          <w:p>
            <w:pPr>
              <w:adjustRightInd w:val="0"/>
              <w:snapToGrid w:val="0"/>
              <w:spacing w:line="360" w:lineRule="exact"/>
              <w:jc w:val="center"/>
              <w:rPr>
                <w:rFonts w:hint="default" w:ascii="Times New Roman" w:hAnsi="Times New Roman" w:cs="Times New Roman"/>
                <w:sz w:val="24"/>
                <w:szCs w:val="24"/>
              </w:rPr>
            </w:pPr>
            <w:r>
              <w:rPr>
                <w:rFonts w:hint="default" w:ascii="Times New Roman" w:hAnsi="Times New Roman" w:cs="Times New Roman"/>
                <w:sz w:val="24"/>
                <w:szCs w:val="24"/>
              </w:rPr>
              <w:t>地理坐标</w:t>
            </w:r>
          </w:p>
        </w:tc>
        <w:tc>
          <w:tcPr>
            <w:tcW w:w="7456" w:type="dxa"/>
            <w:gridSpan w:val="3"/>
            <w:tcBorders>
              <w:top w:val="single" w:color="auto" w:sz="4" w:space="0"/>
              <w:left w:val="single" w:color="auto" w:sz="4" w:space="0"/>
              <w:bottom w:val="single" w:color="auto" w:sz="4" w:space="0"/>
              <w:right w:val="single" w:color="auto" w:sz="8" w:space="0"/>
            </w:tcBorders>
            <w:vAlign w:val="center"/>
          </w:tcPr>
          <w:p>
            <w:pPr>
              <w:adjustRightInd w:val="0"/>
              <w:snapToGrid w:val="0"/>
              <w:spacing w:line="360" w:lineRule="exact"/>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东外环路：起点E113°</w:t>
            </w:r>
            <w:r>
              <w:rPr>
                <w:rFonts w:hint="eastAsia" w:ascii="Times New Roman" w:hAnsi="Times New Roman" w:cs="Times New Roman"/>
                <w:sz w:val="24"/>
                <w:szCs w:val="24"/>
                <w:lang w:val="en-US" w:eastAsia="zh-CN"/>
              </w:rPr>
              <w:t>15</w:t>
            </w:r>
            <w:r>
              <w:rPr>
                <w:rFonts w:hint="default" w:ascii="Times New Roman" w:hAnsi="Times New Roman" w:cs="Times New Roman"/>
                <w:sz w:val="24"/>
                <w:szCs w:val="24"/>
                <w:lang w:val="en-US" w:eastAsia="zh-CN"/>
              </w:rPr>
              <w:t>'</w:t>
            </w:r>
            <w:r>
              <w:rPr>
                <w:rFonts w:hint="eastAsia" w:ascii="Times New Roman" w:hAnsi="Times New Roman" w:cs="Times New Roman"/>
                <w:sz w:val="24"/>
                <w:szCs w:val="24"/>
                <w:lang w:val="en-US" w:eastAsia="zh-CN"/>
              </w:rPr>
              <w:t>59.253</w:t>
            </w:r>
            <w:r>
              <w:rPr>
                <w:rFonts w:hint="default" w:ascii="Times New Roman" w:hAnsi="Times New Roman" w:cs="Times New Roman"/>
                <w:sz w:val="24"/>
                <w:szCs w:val="24"/>
                <w:lang w:val="en-US" w:eastAsia="zh-CN"/>
              </w:rPr>
              <w:t>"，N3</w:t>
            </w:r>
            <w:r>
              <w:rPr>
                <w:rFonts w:hint="eastAsia" w:ascii="Times New Roman" w:hAnsi="Times New Roman" w:cs="Times New Roman"/>
                <w:sz w:val="24"/>
                <w:szCs w:val="24"/>
                <w:lang w:val="en-US" w:eastAsia="zh-CN"/>
              </w:rPr>
              <w:t>8</w:t>
            </w:r>
            <w:r>
              <w:rPr>
                <w:rFonts w:hint="default" w:ascii="Times New Roman" w:hAnsi="Times New Roman" w:cs="Times New Roman"/>
                <w:sz w:val="24"/>
                <w:szCs w:val="24"/>
                <w:lang w:val="en-US" w:eastAsia="zh-CN"/>
              </w:rPr>
              <w:t>°</w:t>
            </w:r>
            <w:r>
              <w:rPr>
                <w:rFonts w:hint="eastAsia" w:ascii="Times New Roman" w:hAnsi="Times New Roman" w:cs="Times New Roman"/>
                <w:sz w:val="24"/>
                <w:szCs w:val="24"/>
                <w:lang w:val="en-US" w:eastAsia="zh-CN"/>
              </w:rPr>
              <w:t>41</w:t>
            </w:r>
            <w:r>
              <w:rPr>
                <w:rFonts w:hint="default" w:ascii="Times New Roman" w:hAnsi="Times New Roman" w:cs="Times New Roman"/>
                <w:sz w:val="24"/>
                <w:szCs w:val="24"/>
                <w:lang w:val="en-US" w:eastAsia="zh-CN"/>
              </w:rPr>
              <w:t>'</w:t>
            </w:r>
            <w:r>
              <w:rPr>
                <w:rFonts w:hint="eastAsia" w:ascii="Times New Roman" w:hAnsi="Times New Roman" w:cs="Times New Roman"/>
                <w:sz w:val="24"/>
                <w:szCs w:val="24"/>
                <w:lang w:val="en-US" w:eastAsia="zh-CN"/>
              </w:rPr>
              <w:t>46</w:t>
            </w:r>
            <w:r>
              <w:rPr>
                <w:rFonts w:hint="default" w:ascii="Times New Roman" w:hAnsi="Times New Roman" w:cs="Times New Roman"/>
                <w:sz w:val="24"/>
                <w:szCs w:val="24"/>
                <w:lang w:val="en-US" w:eastAsia="zh-CN"/>
              </w:rPr>
              <w:t>.</w:t>
            </w:r>
            <w:r>
              <w:rPr>
                <w:rFonts w:hint="eastAsia" w:ascii="Times New Roman" w:hAnsi="Times New Roman" w:cs="Times New Roman"/>
                <w:sz w:val="24"/>
                <w:szCs w:val="24"/>
                <w:lang w:val="en-US" w:eastAsia="zh-CN"/>
              </w:rPr>
              <w:t>340</w:t>
            </w:r>
            <w:r>
              <w:rPr>
                <w:rFonts w:hint="default" w:ascii="Times New Roman" w:hAnsi="Times New Roman" w:cs="Times New Roman"/>
                <w:sz w:val="24"/>
                <w:szCs w:val="24"/>
                <w:lang w:val="en-US" w:eastAsia="zh-CN"/>
              </w:rPr>
              <w:t>"，终点E113°</w:t>
            </w:r>
            <w:r>
              <w:rPr>
                <w:rFonts w:hint="eastAsia" w:ascii="Times New Roman" w:hAnsi="Times New Roman" w:cs="Times New Roman"/>
                <w:sz w:val="24"/>
                <w:szCs w:val="24"/>
                <w:lang w:val="en-US" w:eastAsia="zh-CN"/>
              </w:rPr>
              <w:t>15</w:t>
            </w:r>
            <w:r>
              <w:rPr>
                <w:rFonts w:hint="default" w:ascii="Times New Roman" w:hAnsi="Times New Roman" w:cs="Times New Roman"/>
                <w:sz w:val="24"/>
                <w:szCs w:val="24"/>
                <w:lang w:val="en-US" w:eastAsia="zh-CN"/>
              </w:rPr>
              <w:t>'</w:t>
            </w:r>
            <w:r>
              <w:rPr>
                <w:rFonts w:hint="eastAsia" w:ascii="Times New Roman" w:hAnsi="Times New Roman" w:cs="Times New Roman"/>
                <w:sz w:val="24"/>
                <w:szCs w:val="24"/>
                <w:lang w:val="en-US" w:eastAsia="zh-CN"/>
              </w:rPr>
              <w:t>38.319</w:t>
            </w:r>
            <w:r>
              <w:rPr>
                <w:rFonts w:hint="default" w:ascii="Times New Roman" w:hAnsi="Times New Roman" w:cs="Times New Roman"/>
                <w:sz w:val="24"/>
                <w:szCs w:val="24"/>
                <w:lang w:val="en-US" w:eastAsia="zh-CN"/>
              </w:rPr>
              <w:t>"，N3</w:t>
            </w:r>
            <w:r>
              <w:rPr>
                <w:rFonts w:hint="eastAsia" w:ascii="Times New Roman" w:hAnsi="Times New Roman" w:cs="Times New Roman"/>
                <w:sz w:val="24"/>
                <w:szCs w:val="24"/>
                <w:lang w:val="en-US" w:eastAsia="zh-CN"/>
              </w:rPr>
              <w:t>8</w:t>
            </w:r>
            <w:r>
              <w:rPr>
                <w:rFonts w:hint="default" w:ascii="Times New Roman" w:hAnsi="Times New Roman" w:cs="Times New Roman"/>
                <w:sz w:val="24"/>
                <w:szCs w:val="24"/>
                <w:lang w:val="en-US" w:eastAsia="zh-CN"/>
              </w:rPr>
              <w:t>°</w:t>
            </w:r>
            <w:r>
              <w:rPr>
                <w:rFonts w:hint="eastAsia" w:ascii="Times New Roman" w:hAnsi="Times New Roman" w:cs="Times New Roman"/>
                <w:sz w:val="24"/>
                <w:szCs w:val="24"/>
                <w:lang w:val="en-US" w:eastAsia="zh-CN"/>
              </w:rPr>
              <w:t>43</w:t>
            </w:r>
            <w:r>
              <w:rPr>
                <w:rFonts w:hint="default" w:ascii="Times New Roman" w:hAnsi="Times New Roman" w:cs="Times New Roman"/>
                <w:sz w:val="24"/>
                <w:szCs w:val="24"/>
                <w:lang w:val="en-US" w:eastAsia="zh-CN"/>
              </w:rPr>
              <w:t>'</w:t>
            </w:r>
            <w:r>
              <w:rPr>
                <w:rFonts w:hint="eastAsia" w:ascii="Times New Roman" w:hAnsi="Times New Roman" w:cs="Times New Roman"/>
                <w:sz w:val="24"/>
                <w:szCs w:val="24"/>
                <w:lang w:val="en-US" w:eastAsia="zh-CN"/>
              </w:rPr>
              <w:t>19.280</w:t>
            </w:r>
            <w:r>
              <w:rPr>
                <w:rFonts w:hint="default" w:ascii="Times New Roman" w:hAnsi="Times New Roman" w:cs="Times New Roman"/>
                <w:sz w:val="24"/>
                <w:szCs w:val="24"/>
                <w:lang w:val="en-US" w:eastAsia="zh-CN"/>
              </w:rPr>
              <w:t>"</w:t>
            </w:r>
            <w:r>
              <w:rPr>
                <w:rFonts w:hint="eastAsia" w:cs="Times New Roman"/>
                <w:sz w:val="24"/>
                <w:szCs w:val="24"/>
                <w:lang w:val="en-US" w:eastAsia="zh-CN"/>
              </w:rPr>
              <w:t>；</w:t>
            </w:r>
          </w:p>
          <w:p>
            <w:pPr>
              <w:adjustRightInd w:val="0"/>
              <w:snapToGrid w:val="0"/>
              <w:spacing w:line="360" w:lineRule="exact"/>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湖滨大街西延：起点E113°14′18.86</w:t>
            </w:r>
            <w:r>
              <w:rPr>
                <w:rFonts w:hint="eastAsia" w:cs="Times New Roman"/>
                <w:sz w:val="24"/>
                <w:szCs w:val="24"/>
                <w:lang w:val="en-US" w:eastAsia="zh-CN"/>
              </w:rPr>
              <w:t>4</w:t>
            </w:r>
            <w:r>
              <w:rPr>
                <w:rFonts w:hint="default" w:ascii="Times New Roman" w:hAnsi="Times New Roman" w:cs="Times New Roman"/>
                <w:sz w:val="24"/>
                <w:szCs w:val="24"/>
                <w:lang w:val="en-US" w:eastAsia="zh-CN"/>
              </w:rPr>
              <w:t>"，N38°44′12.652"，终点E113°14′49.59</w:t>
            </w:r>
            <w:r>
              <w:rPr>
                <w:rFonts w:hint="eastAsia" w:cs="Times New Roman"/>
                <w:sz w:val="24"/>
                <w:szCs w:val="24"/>
                <w:lang w:val="en-US" w:eastAsia="zh-CN"/>
              </w:rPr>
              <w:t>9</w:t>
            </w:r>
            <w:r>
              <w:rPr>
                <w:rFonts w:hint="default" w:ascii="Times New Roman" w:hAnsi="Times New Roman" w:cs="Times New Roman"/>
                <w:sz w:val="24"/>
                <w:szCs w:val="24"/>
                <w:lang w:val="en-US" w:eastAsia="zh-CN"/>
              </w:rPr>
              <w:t>"，N38°44′16.30</w:t>
            </w:r>
            <w:r>
              <w:rPr>
                <w:rFonts w:hint="eastAsia" w:cs="Times New Roman"/>
                <w:sz w:val="24"/>
                <w:szCs w:val="24"/>
                <w:lang w:val="en-US" w:eastAsia="zh-CN"/>
              </w:rPr>
              <w:t>3</w:t>
            </w:r>
            <w:r>
              <w:rPr>
                <w:rFonts w:hint="default" w:ascii="Times New Roman" w:hAnsi="Times New Roman" w:cs="Times New Roman"/>
                <w:sz w:val="24"/>
                <w:szCs w:val="24"/>
                <w:lang w:val="en-US" w:eastAsia="zh-CN"/>
              </w:rPr>
              <w:t>"；</w:t>
            </w:r>
          </w:p>
          <w:p>
            <w:pPr>
              <w:adjustRightInd w:val="0"/>
              <w:snapToGrid w:val="0"/>
              <w:spacing w:line="360" w:lineRule="exact"/>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文昌路：起点E113°14′37.128"，N38°43′48.93</w:t>
            </w:r>
            <w:r>
              <w:rPr>
                <w:rFonts w:hint="eastAsia" w:cs="Times New Roman"/>
                <w:sz w:val="24"/>
                <w:szCs w:val="24"/>
                <w:lang w:val="en-US" w:eastAsia="zh-CN"/>
              </w:rPr>
              <w:t>9</w:t>
            </w:r>
            <w:r>
              <w:rPr>
                <w:rFonts w:hint="default" w:ascii="Times New Roman" w:hAnsi="Times New Roman" w:cs="Times New Roman"/>
                <w:sz w:val="24"/>
                <w:szCs w:val="24"/>
                <w:lang w:val="en-US" w:eastAsia="zh-CN"/>
              </w:rPr>
              <w:t>"，终点E113°14′18.86</w:t>
            </w:r>
            <w:r>
              <w:rPr>
                <w:rFonts w:hint="eastAsia" w:cs="Times New Roman"/>
                <w:sz w:val="24"/>
                <w:szCs w:val="24"/>
                <w:lang w:val="en-US" w:eastAsia="zh-CN"/>
              </w:rPr>
              <w:t>4</w:t>
            </w:r>
            <w:r>
              <w:rPr>
                <w:rFonts w:hint="default" w:ascii="Times New Roman" w:hAnsi="Times New Roman" w:cs="Times New Roman"/>
                <w:sz w:val="24"/>
                <w:szCs w:val="24"/>
                <w:lang w:val="en-US" w:eastAsia="zh-CN"/>
              </w:rPr>
              <w:t>"，N38°44′12.652"</w:t>
            </w:r>
            <w:r>
              <w:rPr>
                <w:rFonts w:hint="eastAsia" w:cs="Times New Roman"/>
                <w:sz w:val="24"/>
                <w:szCs w:val="24"/>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985" w:type="dxa"/>
            <w:gridSpan w:val="3"/>
            <w:tcBorders>
              <w:top w:val="single" w:color="auto" w:sz="4" w:space="0"/>
              <w:left w:val="single" w:color="auto" w:sz="8" w:space="0"/>
              <w:bottom w:val="single" w:color="auto" w:sz="4" w:space="0"/>
              <w:right w:val="single" w:color="auto" w:sz="4" w:space="0"/>
            </w:tcBorders>
            <w:tcMar>
              <w:top w:w="16" w:type="dxa"/>
              <w:left w:w="16" w:type="dxa"/>
              <w:bottom w:w="0" w:type="dxa"/>
              <w:right w:w="16" w:type="dxa"/>
            </w:tcMar>
            <w:vAlign w:val="center"/>
          </w:tcPr>
          <w:p>
            <w:pPr>
              <w:adjustRightInd w:val="0"/>
              <w:snapToGrid w:val="0"/>
              <w:spacing w:line="360" w:lineRule="exact"/>
              <w:jc w:val="center"/>
              <w:rPr>
                <w:rFonts w:hint="default" w:ascii="Times New Roman" w:hAnsi="Times New Roman" w:cs="Times New Roman"/>
                <w:sz w:val="24"/>
                <w:szCs w:val="24"/>
              </w:rPr>
            </w:pPr>
            <w:r>
              <w:rPr>
                <w:rFonts w:hint="default" w:ascii="Times New Roman" w:hAnsi="Times New Roman" w:cs="Times New Roman"/>
                <w:sz w:val="24"/>
                <w:szCs w:val="24"/>
              </w:rPr>
              <w:t>建设项目</w:t>
            </w:r>
          </w:p>
          <w:p>
            <w:pPr>
              <w:adjustRightInd w:val="0"/>
              <w:snapToGrid w:val="0"/>
              <w:spacing w:line="360" w:lineRule="exact"/>
              <w:jc w:val="center"/>
              <w:rPr>
                <w:rFonts w:hint="default" w:ascii="Times New Roman" w:hAnsi="Times New Roman" w:cs="Times New Roman"/>
                <w:sz w:val="24"/>
                <w:szCs w:val="24"/>
              </w:rPr>
            </w:pPr>
            <w:r>
              <w:rPr>
                <w:rFonts w:hint="default" w:ascii="Times New Roman" w:hAnsi="Times New Roman" w:cs="Times New Roman"/>
                <w:sz w:val="24"/>
                <w:szCs w:val="24"/>
              </w:rPr>
              <w:t>行业类别</w:t>
            </w:r>
          </w:p>
        </w:tc>
        <w:tc>
          <w:tcPr>
            <w:tcW w:w="2731"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jc w:val="both"/>
              <w:rPr>
                <w:rFonts w:hint="default" w:ascii="Times New Roman" w:hAnsi="Times New Roman" w:cs="Times New Roman"/>
                <w:sz w:val="24"/>
                <w:szCs w:val="24"/>
              </w:rPr>
            </w:pPr>
            <w:r>
              <w:rPr>
                <w:rFonts w:hint="default" w:ascii="Times New Roman" w:hAnsi="Times New Roman" w:cs="Times New Roman"/>
                <w:sz w:val="24"/>
                <w:szCs w:val="24"/>
                <w:lang w:val="en-US" w:eastAsia="zh-CN"/>
              </w:rPr>
              <w:t>五十二</w:t>
            </w:r>
            <w:r>
              <w:rPr>
                <w:rFonts w:hint="default" w:ascii="Times New Roman" w:hAnsi="Times New Roman" w:cs="Times New Roman"/>
                <w:sz w:val="24"/>
                <w:szCs w:val="24"/>
              </w:rPr>
              <w:t>、</w:t>
            </w:r>
            <w:r>
              <w:rPr>
                <w:rFonts w:hint="default" w:ascii="Times New Roman" w:hAnsi="Times New Roman" w:cs="Times New Roman"/>
                <w:sz w:val="24"/>
                <w:szCs w:val="24"/>
                <w:lang w:val="en-US" w:eastAsia="zh-CN"/>
              </w:rPr>
              <w:t>交通运输业、管道运输业</w:t>
            </w:r>
            <w:r>
              <w:rPr>
                <w:rFonts w:hint="default" w:ascii="Times New Roman" w:hAnsi="Times New Roman" w:cs="Times New Roman"/>
                <w:sz w:val="24"/>
                <w:szCs w:val="24"/>
                <w:lang w:eastAsia="zh-CN"/>
              </w:rPr>
              <w:t>；</w:t>
            </w:r>
            <w:r>
              <w:rPr>
                <w:rFonts w:hint="default" w:ascii="Times New Roman" w:hAnsi="Times New Roman" w:cs="Times New Roman"/>
                <w:sz w:val="24"/>
                <w:szCs w:val="24"/>
                <w:lang w:val="en-US" w:eastAsia="zh-CN"/>
              </w:rPr>
              <w:t>131</w:t>
            </w:r>
            <w:r>
              <w:rPr>
                <w:rFonts w:hint="default" w:ascii="Times New Roman" w:hAnsi="Times New Roman" w:cs="Times New Roman"/>
                <w:sz w:val="24"/>
                <w:szCs w:val="24"/>
                <w:lang w:eastAsia="zh-CN"/>
              </w:rPr>
              <w:t>、</w:t>
            </w:r>
            <w:r>
              <w:rPr>
                <w:rFonts w:hint="default" w:ascii="Times New Roman" w:hAnsi="Times New Roman" w:cs="Times New Roman"/>
                <w:sz w:val="24"/>
                <w:szCs w:val="24"/>
                <w:lang w:val="en-US" w:eastAsia="zh-CN"/>
              </w:rPr>
              <w:t>城市道路（不含维护；不含支路、人行天桥、人行地道）</w:t>
            </w:r>
          </w:p>
        </w:tc>
        <w:tc>
          <w:tcPr>
            <w:tcW w:w="1897"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jc w:val="center"/>
              <w:rPr>
                <w:rFonts w:hint="default" w:ascii="Times New Roman" w:hAnsi="Times New Roman" w:cs="Times New Roman"/>
                <w:sz w:val="24"/>
                <w:szCs w:val="24"/>
              </w:rPr>
            </w:pPr>
            <w:r>
              <w:rPr>
                <w:rFonts w:hint="default" w:ascii="Times New Roman" w:hAnsi="Times New Roman" w:cs="Times New Roman"/>
                <w:sz w:val="24"/>
                <w:szCs w:val="24"/>
              </w:rPr>
              <w:t>用地（用海）面积（m</w:t>
            </w:r>
            <w:r>
              <w:rPr>
                <w:rFonts w:hint="default" w:ascii="Times New Roman" w:hAnsi="Times New Roman" w:cs="Times New Roman"/>
                <w:sz w:val="24"/>
                <w:szCs w:val="24"/>
                <w:vertAlign w:val="superscript"/>
              </w:rPr>
              <w:t>2</w:t>
            </w:r>
            <w:r>
              <w:rPr>
                <w:rFonts w:hint="default" w:ascii="Times New Roman" w:hAnsi="Times New Roman" w:cs="Times New Roman"/>
                <w:sz w:val="24"/>
                <w:szCs w:val="24"/>
              </w:rPr>
              <w:t>）/长度（km）</w:t>
            </w:r>
          </w:p>
        </w:tc>
        <w:tc>
          <w:tcPr>
            <w:tcW w:w="2828" w:type="dxa"/>
            <w:tcBorders>
              <w:top w:val="single" w:color="auto" w:sz="4" w:space="0"/>
              <w:left w:val="single" w:color="auto" w:sz="4" w:space="0"/>
              <w:bottom w:val="single" w:color="auto" w:sz="4" w:space="0"/>
              <w:right w:val="single" w:color="auto" w:sz="8" w:space="0"/>
            </w:tcBorders>
            <w:vAlign w:val="center"/>
          </w:tcPr>
          <w:p>
            <w:pPr>
              <w:adjustRightInd w:val="0"/>
              <w:snapToGrid w:val="0"/>
              <w:spacing w:line="360" w:lineRule="exact"/>
              <w:jc w:val="both"/>
              <w:rPr>
                <w:rFonts w:hint="eastAsia"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东外环路：</w:t>
            </w:r>
            <w:r>
              <w:rPr>
                <w:rFonts w:hint="eastAsia" w:ascii="Times New Roman" w:hAnsi="Times New Roman" w:cs="Times New Roman"/>
                <w:color w:val="auto"/>
                <w:sz w:val="24"/>
                <w:szCs w:val="24"/>
                <w:lang w:val="en-US" w:eastAsia="zh-CN"/>
              </w:rPr>
              <w:t>全长2985.25m，0~1960段宽26m，剩余宽46m；</w:t>
            </w:r>
          </w:p>
          <w:p>
            <w:pPr>
              <w:adjustRightInd w:val="0"/>
              <w:snapToGrid w:val="0"/>
              <w:spacing w:line="360" w:lineRule="exact"/>
              <w:jc w:val="both"/>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湖滨大街西延：全长</w:t>
            </w:r>
            <w:r>
              <w:rPr>
                <w:rFonts w:hint="eastAsia" w:cs="Times New Roman"/>
                <w:color w:val="auto"/>
                <w:sz w:val="24"/>
                <w:szCs w:val="24"/>
                <w:lang w:val="en-US" w:eastAsia="zh-CN"/>
              </w:rPr>
              <w:t>750.829m</w:t>
            </w:r>
            <w:r>
              <w:rPr>
                <w:rFonts w:hint="default" w:ascii="Times New Roman" w:hAnsi="Times New Roman" w:cs="Times New Roman"/>
                <w:color w:val="auto"/>
                <w:sz w:val="24"/>
                <w:szCs w:val="24"/>
                <w:lang w:val="en-US" w:eastAsia="zh-CN"/>
              </w:rPr>
              <w:t>，宽50</w:t>
            </w:r>
            <w:r>
              <w:rPr>
                <w:rFonts w:hint="eastAsia" w:cs="Times New Roman"/>
                <w:color w:val="auto"/>
                <w:sz w:val="24"/>
                <w:szCs w:val="24"/>
                <w:lang w:val="en-US" w:eastAsia="zh-CN"/>
              </w:rPr>
              <w:t>m</w:t>
            </w:r>
            <w:r>
              <w:rPr>
                <w:rFonts w:hint="default" w:ascii="Times New Roman" w:hAnsi="Times New Roman" w:cs="Times New Roman"/>
                <w:color w:val="auto"/>
                <w:sz w:val="24"/>
                <w:szCs w:val="24"/>
                <w:lang w:val="en-US" w:eastAsia="zh-CN"/>
              </w:rPr>
              <w:t>；</w:t>
            </w:r>
          </w:p>
          <w:p>
            <w:pPr>
              <w:pStyle w:val="26"/>
              <w:rPr>
                <w:rFonts w:hint="default" w:ascii="Times New Roman" w:hAnsi="Times New Roman" w:cs="Times New Roman"/>
                <w:sz w:val="24"/>
                <w:szCs w:val="24"/>
                <w:lang w:val="en-US" w:eastAsia="zh-CN"/>
              </w:rPr>
            </w:pPr>
            <w:r>
              <w:rPr>
                <w:rFonts w:hint="default" w:ascii="Times New Roman" w:hAnsi="Times New Roman" w:cs="Times New Roman"/>
                <w:color w:val="auto"/>
                <w:sz w:val="24"/>
                <w:szCs w:val="24"/>
                <w:lang w:val="en-US" w:eastAsia="zh-CN"/>
              </w:rPr>
              <w:t>文昌路：总长</w:t>
            </w:r>
            <w:r>
              <w:rPr>
                <w:rFonts w:hint="eastAsia" w:ascii="Times New Roman" w:hAnsi="Times New Roman" w:cs="Times New Roman"/>
                <w:color w:val="auto"/>
                <w:sz w:val="24"/>
                <w:szCs w:val="24"/>
                <w:lang w:val="en-US" w:eastAsia="zh-CN"/>
              </w:rPr>
              <w:t>1139.484m</w:t>
            </w:r>
            <w:r>
              <w:rPr>
                <w:rFonts w:hint="default" w:ascii="Times New Roman" w:hAnsi="Times New Roman" w:cs="Times New Roman"/>
                <w:color w:val="auto"/>
                <w:sz w:val="24"/>
                <w:szCs w:val="24"/>
                <w:lang w:val="en-US" w:eastAsia="zh-CN"/>
              </w:rPr>
              <w:t>，</w:t>
            </w:r>
            <w:r>
              <w:rPr>
                <w:rFonts w:hint="eastAsia" w:ascii="Times New Roman" w:hAnsi="Times New Roman" w:cs="Times New Roman"/>
                <w:color w:val="auto"/>
                <w:sz w:val="24"/>
                <w:szCs w:val="24"/>
                <w:lang w:val="en-US" w:eastAsia="zh-CN"/>
              </w:rPr>
              <w:t>宽20m；</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985" w:type="dxa"/>
            <w:gridSpan w:val="3"/>
            <w:tcBorders>
              <w:top w:val="single" w:color="auto" w:sz="4" w:space="0"/>
              <w:left w:val="single" w:color="auto" w:sz="8" w:space="0"/>
              <w:bottom w:val="single" w:color="auto" w:sz="4" w:space="0"/>
              <w:right w:val="single" w:color="auto" w:sz="4" w:space="0"/>
            </w:tcBorders>
            <w:tcMar>
              <w:top w:w="16" w:type="dxa"/>
              <w:left w:w="16" w:type="dxa"/>
              <w:bottom w:w="0" w:type="dxa"/>
              <w:right w:w="16" w:type="dxa"/>
            </w:tcMar>
            <w:vAlign w:val="center"/>
          </w:tcPr>
          <w:p>
            <w:pPr>
              <w:adjustRightInd w:val="0"/>
              <w:snapToGrid w:val="0"/>
              <w:spacing w:line="360" w:lineRule="exact"/>
              <w:jc w:val="center"/>
              <w:rPr>
                <w:rFonts w:hint="default" w:ascii="Times New Roman" w:hAnsi="Times New Roman" w:cs="Times New Roman"/>
                <w:sz w:val="24"/>
                <w:szCs w:val="24"/>
              </w:rPr>
            </w:pPr>
            <w:r>
              <w:rPr>
                <w:rFonts w:hint="default" w:ascii="Times New Roman" w:hAnsi="Times New Roman" w:cs="Times New Roman"/>
                <w:sz w:val="24"/>
                <w:szCs w:val="24"/>
              </w:rPr>
              <w:t>建设性质</w:t>
            </w:r>
          </w:p>
        </w:tc>
        <w:tc>
          <w:tcPr>
            <w:tcW w:w="2731"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jc w:val="left"/>
              <w:rPr>
                <w:rFonts w:hint="eastAsia" w:ascii="宋体" w:hAnsi="宋体" w:eastAsia="宋体" w:cs="宋体"/>
                <w:sz w:val="24"/>
                <w:szCs w:val="24"/>
              </w:rPr>
            </w:pPr>
            <w:r>
              <w:rPr>
                <w:rFonts w:hint="eastAsia" w:ascii="宋体" w:hAnsi="宋体" w:eastAsia="宋体" w:cs="宋体"/>
                <w:sz w:val="24"/>
                <w:szCs w:val="24"/>
              </w:rPr>
              <w:sym w:font="Wingdings 2" w:char="0052"/>
            </w:r>
            <w:r>
              <w:rPr>
                <w:rFonts w:hint="eastAsia" w:ascii="宋体" w:hAnsi="宋体" w:eastAsia="宋体" w:cs="宋体"/>
                <w:sz w:val="24"/>
                <w:szCs w:val="24"/>
              </w:rPr>
              <w:t>新建（迁建）</w:t>
            </w:r>
          </w:p>
          <w:p>
            <w:pPr>
              <w:adjustRightInd w:val="0"/>
              <w:snapToGrid w:val="0"/>
              <w:spacing w:line="360" w:lineRule="exact"/>
              <w:jc w:val="left"/>
              <w:rPr>
                <w:rFonts w:hint="eastAsia" w:ascii="宋体" w:hAnsi="宋体" w:eastAsia="宋体" w:cs="宋体"/>
                <w:sz w:val="24"/>
                <w:szCs w:val="24"/>
              </w:rPr>
            </w:pPr>
            <w:r>
              <w:rPr>
                <w:rFonts w:hint="eastAsia" w:ascii="宋体" w:hAnsi="宋体" w:eastAsia="宋体" w:cs="宋体"/>
                <w:sz w:val="24"/>
                <w:szCs w:val="24"/>
              </w:rPr>
              <w:sym w:font="Wingdings 2" w:char="0052"/>
            </w:r>
            <w:r>
              <w:rPr>
                <w:rFonts w:hint="eastAsia" w:ascii="宋体" w:hAnsi="宋体" w:eastAsia="宋体" w:cs="宋体"/>
                <w:sz w:val="24"/>
                <w:szCs w:val="24"/>
              </w:rPr>
              <w:t>改建</w:t>
            </w:r>
          </w:p>
          <w:p>
            <w:pPr>
              <w:adjustRightInd w:val="0"/>
              <w:snapToGrid w:val="0"/>
              <w:spacing w:line="360" w:lineRule="exact"/>
              <w:jc w:val="left"/>
              <w:rPr>
                <w:rFonts w:hint="eastAsia" w:ascii="宋体" w:hAnsi="宋体" w:eastAsia="宋体" w:cs="宋体"/>
                <w:sz w:val="24"/>
                <w:szCs w:val="24"/>
              </w:rPr>
            </w:pPr>
            <w:r>
              <w:rPr>
                <w:rFonts w:hint="eastAsia" w:ascii="宋体" w:hAnsi="宋体" w:eastAsia="宋体" w:cs="宋体"/>
                <w:sz w:val="24"/>
                <w:szCs w:val="24"/>
              </w:rPr>
              <w:t>□扩建</w:t>
            </w:r>
          </w:p>
          <w:p>
            <w:pPr>
              <w:adjustRightInd w:val="0"/>
              <w:snapToGrid w:val="0"/>
              <w:spacing w:line="360" w:lineRule="exact"/>
              <w:jc w:val="left"/>
              <w:rPr>
                <w:rFonts w:hint="default" w:ascii="Times New Roman" w:hAnsi="Times New Roman" w:cs="Times New Roman"/>
                <w:sz w:val="24"/>
                <w:szCs w:val="24"/>
              </w:rPr>
            </w:pPr>
            <w:r>
              <w:rPr>
                <w:rFonts w:hint="eastAsia" w:ascii="宋体" w:hAnsi="宋体" w:eastAsia="宋体" w:cs="宋体"/>
                <w:sz w:val="24"/>
                <w:szCs w:val="24"/>
              </w:rPr>
              <w:t>□技术改造</w:t>
            </w:r>
          </w:p>
        </w:tc>
        <w:tc>
          <w:tcPr>
            <w:tcW w:w="1897"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jc w:val="center"/>
              <w:rPr>
                <w:rFonts w:hint="default" w:ascii="Times New Roman" w:hAnsi="Times New Roman" w:cs="Times New Roman"/>
                <w:sz w:val="24"/>
                <w:szCs w:val="24"/>
              </w:rPr>
            </w:pPr>
            <w:r>
              <w:rPr>
                <w:rFonts w:hint="default" w:ascii="Times New Roman" w:hAnsi="Times New Roman" w:cs="Times New Roman"/>
                <w:sz w:val="24"/>
                <w:szCs w:val="24"/>
              </w:rPr>
              <w:t>建设项目</w:t>
            </w:r>
          </w:p>
          <w:p>
            <w:pPr>
              <w:adjustRightInd w:val="0"/>
              <w:snapToGrid w:val="0"/>
              <w:spacing w:line="360" w:lineRule="exact"/>
              <w:jc w:val="center"/>
              <w:rPr>
                <w:rFonts w:hint="default" w:ascii="Times New Roman" w:hAnsi="Times New Roman" w:cs="Times New Roman"/>
                <w:sz w:val="24"/>
                <w:szCs w:val="24"/>
              </w:rPr>
            </w:pPr>
            <w:r>
              <w:rPr>
                <w:rFonts w:hint="default" w:ascii="Times New Roman" w:hAnsi="Times New Roman" w:cs="Times New Roman"/>
                <w:sz w:val="24"/>
                <w:szCs w:val="24"/>
              </w:rPr>
              <w:t>申报情形</w:t>
            </w:r>
          </w:p>
        </w:tc>
        <w:tc>
          <w:tcPr>
            <w:tcW w:w="2828" w:type="dxa"/>
            <w:tcBorders>
              <w:top w:val="single" w:color="auto" w:sz="4" w:space="0"/>
              <w:left w:val="single" w:color="auto" w:sz="4" w:space="0"/>
              <w:bottom w:val="single" w:color="auto" w:sz="4" w:space="0"/>
              <w:right w:val="single" w:color="auto" w:sz="8" w:space="0"/>
            </w:tcBorders>
            <w:vAlign w:val="center"/>
          </w:tcPr>
          <w:p>
            <w:pPr>
              <w:adjustRightInd w:val="0"/>
              <w:snapToGrid w:val="0"/>
              <w:spacing w:line="360" w:lineRule="exact"/>
              <w:jc w:val="left"/>
              <w:rPr>
                <w:rFonts w:hint="default" w:ascii="Times New Roman" w:hAnsi="Times New Roman" w:cs="Times New Roman"/>
                <w:sz w:val="24"/>
                <w:szCs w:val="24"/>
              </w:rPr>
            </w:pPr>
            <w:r>
              <w:rPr>
                <w:rFonts w:hint="eastAsia" w:ascii="宋体" w:hAnsi="宋体" w:eastAsia="宋体" w:cs="宋体"/>
                <w:sz w:val="24"/>
                <w:szCs w:val="24"/>
              </w:rPr>
              <w:sym w:font="Wingdings 2" w:char="0052"/>
            </w:r>
            <w:r>
              <w:rPr>
                <w:rFonts w:hint="default" w:ascii="Times New Roman" w:hAnsi="Times New Roman" w:cs="Times New Roman"/>
                <w:sz w:val="24"/>
                <w:szCs w:val="24"/>
              </w:rPr>
              <w:t>首次申报项目</w:t>
            </w:r>
          </w:p>
          <w:p>
            <w:pPr>
              <w:adjustRightInd w:val="0"/>
              <w:snapToGrid w:val="0"/>
              <w:spacing w:line="360" w:lineRule="exact"/>
              <w:jc w:val="left"/>
              <w:rPr>
                <w:rFonts w:hint="default" w:ascii="Times New Roman" w:hAnsi="Times New Roman" w:cs="Times New Roman"/>
                <w:sz w:val="24"/>
                <w:szCs w:val="24"/>
              </w:rPr>
            </w:pPr>
            <w:r>
              <w:rPr>
                <w:rFonts w:hint="eastAsia" w:ascii="宋体" w:hAnsi="宋体" w:eastAsia="宋体" w:cs="宋体"/>
                <w:sz w:val="24"/>
                <w:szCs w:val="24"/>
              </w:rPr>
              <w:sym w:font="Wingdings 2" w:char="00A3"/>
            </w:r>
            <w:r>
              <w:rPr>
                <w:rFonts w:hint="default" w:ascii="Times New Roman" w:hAnsi="Times New Roman" w:cs="Times New Roman"/>
                <w:sz w:val="24"/>
                <w:szCs w:val="24"/>
              </w:rPr>
              <w:t>不予批准后再次申报项目</w:t>
            </w:r>
          </w:p>
          <w:p>
            <w:pPr>
              <w:adjustRightInd w:val="0"/>
              <w:snapToGrid w:val="0"/>
              <w:spacing w:line="360" w:lineRule="exact"/>
              <w:jc w:val="left"/>
              <w:rPr>
                <w:rFonts w:hint="default" w:ascii="Times New Roman" w:hAnsi="Times New Roman" w:cs="Times New Roman"/>
                <w:sz w:val="24"/>
                <w:szCs w:val="24"/>
              </w:rPr>
            </w:pPr>
            <w:r>
              <w:rPr>
                <w:rFonts w:hint="eastAsia" w:ascii="宋体" w:hAnsi="宋体" w:eastAsia="宋体" w:cs="宋体"/>
                <w:sz w:val="24"/>
                <w:szCs w:val="24"/>
              </w:rPr>
              <w:sym w:font="Wingdings 2" w:char="00A3"/>
            </w:r>
            <w:r>
              <w:rPr>
                <w:rFonts w:hint="default" w:ascii="Times New Roman" w:hAnsi="Times New Roman" w:cs="Times New Roman"/>
                <w:sz w:val="24"/>
                <w:szCs w:val="24"/>
              </w:rPr>
              <w:t>超五年重新审核项目</w:t>
            </w:r>
          </w:p>
          <w:p>
            <w:pPr>
              <w:adjustRightInd w:val="0"/>
              <w:snapToGrid w:val="0"/>
              <w:spacing w:line="360" w:lineRule="exact"/>
              <w:rPr>
                <w:rFonts w:hint="default" w:ascii="Times New Roman" w:hAnsi="Times New Roman" w:cs="Times New Roman"/>
                <w:sz w:val="24"/>
                <w:szCs w:val="24"/>
              </w:rPr>
            </w:pPr>
            <w:r>
              <w:rPr>
                <w:rFonts w:hint="eastAsia" w:ascii="宋体" w:hAnsi="宋体" w:eastAsia="宋体" w:cs="宋体"/>
                <w:sz w:val="24"/>
                <w:szCs w:val="24"/>
              </w:rPr>
              <w:sym w:font="Wingdings 2" w:char="00A3"/>
            </w:r>
            <w:r>
              <w:rPr>
                <w:rFonts w:hint="default" w:ascii="Times New Roman" w:hAnsi="Times New Roman" w:cs="Times New Roman"/>
                <w:sz w:val="24"/>
                <w:szCs w:val="24"/>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985" w:type="dxa"/>
            <w:gridSpan w:val="3"/>
            <w:tcBorders>
              <w:top w:val="single" w:color="auto" w:sz="4" w:space="0"/>
              <w:left w:val="single" w:color="auto" w:sz="8" w:space="0"/>
              <w:bottom w:val="single" w:color="auto" w:sz="4" w:space="0"/>
              <w:right w:val="single" w:color="auto" w:sz="4" w:space="0"/>
            </w:tcBorders>
            <w:tcMar>
              <w:top w:w="16" w:type="dxa"/>
              <w:left w:w="16" w:type="dxa"/>
              <w:bottom w:w="0" w:type="dxa"/>
              <w:right w:w="16" w:type="dxa"/>
            </w:tcMar>
            <w:vAlign w:val="center"/>
          </w:tcPr>
          <w:p>
            <w:pPr>
              <w:adjustRightInd w:val="0"/>
              <w:snapToGrid w:val="0"/>
              <w:spacing w:line="360" w:lineRule="exact"/>
              <w:jc w:val="center"/>
              <w:rPr>
                <w:rFonts w:hint="default" w:ascii="Times New Roman" w:hAnsi="Times New Roman" w:cs="Times New Roman"/>
                <w:sz w:val="24"/>
                <w:szCs w:val="24"/>
              </w:rPr>
            </w:pPr>
            <w:r>
              <w:rPr>
                <w:rFonts w:hint="default" w:ascii="Times New Roman" w:hAnsi="Times New Roman" w:cs="Times New Roman"/>
                <w:sz w:val="24"/>
                <w:szCs w:val="24"/>
              </w:rPr>
              <w:t>项目审批（核准/</w:t>
            </w:r>
          </w:p>
          <w:p>
            <w:pPr>
              <w:adjustRightInd w:val="0"/>
              <w:snapToGrid w:val="0"/>
              <w:spacing w:line="360" w:lineRule="exact"/>
              <w:jc w:val="center"/>
              <w:rPr>
                <w:rFonts w:hint="default" w:ascii="Times New Roman" w:hAnsi="Times New Roman" w:cs="Times New Roman"/>
                <w:sz w:val="24"/>
                <w:szCs w:val="24"/>
              </w:rPr>
            </w:pPr>
            <w:r>
              <w:rPr>
                <w:rFonts w:hint="default" w:ascii="Times New Roman" w:hAnsi="Times New Roman" w:cs="Times New Roman"/>
                <w:sz w:val="24"/>
                <w:szCs w:val="24"/>
              </w:rPr>
              <w:t>备案）部门（选填）</w:t>
            </w:r>
          </w:p>
        </w:tc>
        <w:tc>
          <w:tcPr>
            <w:tcW w:w="2731"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jc w:val="center"/>
              <w:rPr>
                <w:rFonts w:hint="default" w:ascii="Times New Roman" w:hAnsi="Times New Roman" w:cs="Times New Roman"/>
                <w:sz w:val="24"/>
                <w:szCs w:val="24"/>
              </w:rPr>
            </w:pPr>
            <w:r>
              <w:rPr>
                <w:rFonts w:hint="eastAsia" w:cs="Times New Roman"/>
                <w:sz w:val="24"/>
                <w:szCs w:val="24"/>
                <w:lang w:val="en-US" w:eastAsia="zh-CN"/>
              </w:rPr>
              <w:t>五台县</w:t>
            </w:r>
            <w:r>
              <w:rPr>
                <w:rFonts w:hint="default" w:ascii="Times New Roman" w:hAnsi="Times New Roman" w:cs="Times New Roman"/>
                <w:sz w:val="24"/>
                <w:szCs w:val="24"/>
              </w:rPr>
              <w:t>行政审批服务管理局</w:t>
            </w:r>
          </w:p>
        </w:tc>
        <w:tc>
          <w:tcPr>
            <w:tcW w:w="1897"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jc w:val="center"/>
              <w:rPr>
                <w:rFonts w:hint="default" w:ascii="Times New Roman" w:hAnsi="Times New Roman" w:cs="Times New Roman"/>
                <w:sz w:val="24"/>
                <w:szCs w:val="24"/>
              </w:rPr>
            </w:pPr>
            <w:r>
              <w:rPr>
                <w:rFonts w:hint="default" w:ascii="Times New Roman" w:hAnsi="Times New Roman" w:cs="Times New Roman"/>
                <w:sz w:val="24"/>
                <w:szCs w:val="24"/>
              </w:rPr>
              <w:t>项目审批（核准/</w:t>
            </w:r>
          </w:p>
          <w:p>
            <w:pPr>
              <w:adjustRightInd w:val="0"/>
              <w:snapToGrid w:val="0"/>
              <w:spacing w:line="360" w:lineRule="exact"/>
              <w:jc w:val="center"/>
              <w:rPr>
                <w:rFonts w:hint="default" w:ascii="Times New Roman" w:hAnsi="Times New Roman" w:cs="Times New Roman"/>
                <w:sz w:val="24"/>
                <w:szCs w:val="24"/>
              </w:rPr>
            </w:pPr>
            <w:r>
              <w:rPr>
                <w:rFonts w:hint="default" w:ascii="Times New Roman" w:hAnsi="Times New Roman" w:cs="Times New Roman"/>
                <w:sz w:val="24"/>
                <w:szCs w:val="24"/>
              </w:rPr>
              <w:t>备案）文号（选填）</w:t>
            </w:r>
          </w:p>
        </w:tc>
        <w:tc>
          <w:tcPr>
            <w:tcW w:w="2828" w:type="dxa"/>
            <w:tcBorders>
              <w:top w:val="single" w:color="auto" w:sz="4" w:space="0"/>
              <w:left w:val="single" w:color="auto" w:sz="4" w:space="0"/>
              <w:bottom w:val="single" w:color="auto" w:sz="4" w:space="0"/>
              <w:right w:val="single" w:color="auto" w:sz="8" w:space="0"/>
            </w:tcBorders>
            <w:vAlign w:val="center"/>
          </w:tcPr>
          <w:p>
            <w:pPr>
              <w:adjustRightInd w:val="0"/>
              <w:snapToGrid w:val="0"/>
              <w:spacing w:line="360" w:lineRule="exact"/>
              <w:jc w:val="center"/>
              <w:rPr>
                <w:rFonts w:hint="default" w:ascii="Times New Roman" w:hAnsi="Times New Roman" w:eastAsia="宋体" w:cs="Times New Roman"/>
                <w:sz w:val="24"/>
                <w:szCs w:val="24"/>
                <w:lang w:val="en-US" w:eastAsia="zh-CN"/>
              </w:rPr>
            </w:pPr>
            <w:r>
              <w:rPr>
                <w:rFonts w:hint="eastAsia" w:cs="Times New Roman"/>
                <w:sz w:val="24"/>
                <w:szCs w:val="24"/>
                <w:lang w:val="en-US" w:eastAsia="zh-CN"/>
              </w:rPr>
              <w:t>五审管函〔2022〕78号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985" w:type="dxa"/>
            <w:gridSpan w:val="3"/>
            <w:tcBorders>
              <w:top w:val="single" w:color="auto" w:sz="4" w:space="0"/>
              <w:left w:val="single" w:color="auto" w:sz="8" w:space="0"/>
              <w:bottom w:val="single" w:color="auto" w:sz="4" w:space="0"/>
              <w:right w:val="single" w:color="auto" w:sz="4" w:space="0"/>
            </w:tcBorders>
            <w:tcMar>
              <w:top w:w="16" w:type="dxa"/>
              <w:left w:w="16" w:type="dxa"/>
              <w:bottom w:w="0" w:type="dxa"/>
              <w:right w:w="16" w:type="dxa"/>
            </w:tcMar>
            <w:vAlign w:val="center"/>
          </w:tcPr>
          <w:p>
            <w:pPr>
              <w:adjustRightInd w:val="0"/>
              <w:snapToGrid w:val="0"/>
              <w:spacing w:line="360" w:lineRule="exact"/>
              <w:jc w:val="center"/>
              <w:rPr>
                <w:rFonts w:hint="default" w:ascii="Times New Roman" w:hAnsi="Times New Roman" w:cs="Times New Roman"/>
                <w:sz w:val="24"/>
                <w:szCs w:val="24"/>
              </w:rPr>
            </w:pPr>
            <w:r>
              <w:rPr>
                <w:rFonts w:hint="default" w:ascii="Times New Roman" w:hAnsi="Times New Roman" w:cs="Times New Roman"/>
                <w:sz w:val="24"/>
                <w:szCs w:val="24"/>
              </w:rPr>
              <w:t>总投资（万元）</w:t>
            </w:r>
          </w:p>
        </w:tc>
        <w:tc>
          <w:tcPr>
            <w:tcW w:w="2731"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jc w:val="center"/>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49987.09（初设概算）</w:t>
            </w:r>
          </w:p>
        </w:tc>
        <w:tc>
          <w:tcPr>
            <w:tcW w:w="1897" w:type="dxa"/>
            <w:tcBorders>
              <w:top w:val="single" w:color="auto" w:sz="4" w:space="0"/>
              <w:left w:val="single" w:color="auto" w:sz="4" w:space="0"/>
              <w:bottom w:val="single" w:color="auto" w:sz="4" w:space="0"/>
              <w:right w:val="single" w:color="auto" w:sz="4" w:space="0"/>
            </w:tcBorders>
            <w:tcMar>
              <w:top w:w="16" w:type="dxa"/>
              <w:left w:w="16" w:type="dxa"/>
              <w:bottom w:w="0" w:type="dxa"/>
              <w:right w:w="16" w:type="dxa"/>
            </w:tcMar>
            <w:vAlign w:val="center"/>
          </w:tcPr>
          <w:p>
            <w:pPr>
              <w:adjustRightInd w:val="0"/>
              <w:snapToGrid w:val="0"/>
              <w:spacing w:line="360" w:lineRule="exact"/>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环保投资（万元）</w:t>
            </w:r>
          </w:p>
        </w:tc>
        <w:tc>
          <w:tcPr>
            <w:tcW w:w="2828" w:type="dxa"/>
            <w:tcBorders>
              <w:top w:val="single" w:color="auto" w:sz="4" w:space="0"/>
              <w:left w:val="single" w:color="auto" w:sz="4" w:space="0"/>
              <w:bottom w:val="single" w:color="auto" w:sz="4" w:space="0"/>
              <w:right w:val="single" w:color="auto" w:sz="8" w:space="0"/>
            </w:tcBorders>
            <w:vAlign w:val="center"/>
          </w:tcPr>
          <w:p>
            <w:pPr>
              <w:adjustRightInd w:val="0"/>
              <w:snapToGrid w:val="0"/>
              <w:spacing w:line="360" w:lineRule="exact"/>
              <w:jc w:val="center"/>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970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985" w:type="dxa"/>
            <w:gridSpan w:val="3"/>
            <w:tcBorders>
              <w:top w:val="single" w:color="auto" w:sz="4" w:space="0"/>
              <w:left w:val="single" w:color="auto" w:sz="8" w:space="0"/>
              <w:bottom w:val="single" w:color="auto" w:sz="4" w:space="0"/>
              <w:right w:val="single" w:color="auto" w:sz="4" w:space="0"/>
            </w:tcBorders>
            <w:tcMar>
              <w:top w:w="16" w:type="dxa"/>
              <w:left w:w="16" w:type="dxa"/>
              <w:bottom w:w="0" w:type="dxa"/>
              <w:right w:w="16" w:type="dxa"/>
            </w:tcMar>
            <w:vAlign w:val="center"/>
          </w:tcPr>
          <w:p>
            <w:pPr>
              <w:adjustRightInd w:val="0"/>
              <w:snapToGrid w:val="0"/>
              <w:spacing w:line="360" w:lineRule="exact"/>
              <w:jc w:val="center"/>
              <w:rPr>
                <w:rFonts w:hint="default" w:ascii="Times New Roman" w:hAnsi="Times New Roman" w:cs="Times New Roman"/>
                <w:sz w:val="24"/>
                <w:szCs w:val="24"/>
              </w:rPr>
            </w:pPr>
            <w:r>
              <w:rPr>
                <w:rFonts w:hint="default" w:ascii="Times New Roman" w:hAnsi="Times New Roman" w:cs="Times New Roman"/>
                <w:sz w:val="24"/>
                <w:szCs w:val="24"/>
              </w:rPr>
              <w:t>环保投资占比（%）</w:t>
            </w:r>
          </w:p>
        </w:tc>
        <w:tc>
          <w:tcPr>
            <w:tcW w:w="2731"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jc w:val="center"/>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1.94</w:t>
            </w:r>
          </w:p>
        </w:tc>
        <w:tc>
          <w:tcPr>
            <w:tcW w:w="1897" w:type="dxa"/>
            <w:tcBorders>
              <w:top w:val="single" w:color="auto" w:sz="4" w:space="0"/>
              <w:left w:val="single" w:color="auto" w:sz="4" w:space="0"/>
              <w:bottom w:val="single" w:color="auto" w:sz="4" w:space="0"/>
              <w:right w:val="single" w:color="auto" w:sz="4" w:space="0"/>
            </w:tcBorders>
            <w:tcMar>
              <w:top w:w="16" w:type="dxa"/>
              <w:left w:w="16" w:type="dxa"/>
              <w:bottom w:w="0" w:type="dxa"/>
              <w:right w:w="16" w:type="dxa"/>
            </w:tcMar>
            <w:vAlign w:val="center"/>
          </w:tcPr>
          <w:p>
            <w:pPr>
              <w:adjustRightInd w:val="0"/>
              <w:snapToGrid w:val="0"/>
              <w:spacing w:line="360" w:lineRule="exact"/>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施工工期</w:t>
            </w:r>
          </w:p>
        </w:tc>
        <w:tc>
          <w:tcPr>
            <w:tcW w:w="2828" w:type="dxa"/>
            <w:tcBorders>
              <w:top w:val="single" w:color="auto" w:sz="4" w:space="0"/>
              <w:left w:val="single" w:color="auto" w:sz="4" w:space="0"/>
              <w:bottom w:val="single" w:color="auto" w:sz="4" w:space="0"/>
              <w:right w:val="single" w:color="auto" w:sz="8" w:space="0"/>
            </w:tcBorders>
            <w:vAlign w:val="center"/>
          </w:tcPr>
          <w:p>
            <w:pPr>
              <w:adjustRightInd w:val="0"/>
              <w:snapToGrid w:val="0"/>
              <w:spacing w:line="360" w:lineRule="exact"/>
              <w:jc w:val="center"/>
              <w:rPr>
                <w:rFonts w:hint="default" w:ascii="Times New Roman" w:hAnsi="Times New Roman" w:cs="Times New Roman"/>
                <w:color w:val="auto"/>
                <w:sz w:val="24"/>
                <w:szCs w:val="24"/>
              </w:rPr>
            </w:pPr>
            <w:r>
              <w:rPr>
                <w:rFonts w:hint="eastAsia" w:cs="Times New Roman"/>
                <w:color w:val="auto"/>
                <w:sz w:val="24"/>
                <w:szCs w:val="24"/>
                <w:lang w:val="en-US" w:eastAsia="zh-CN"/>
              </w:rPr>
              <w:t>18</w:t>
            </w:r>
            <w:r>
              <w:rPr>
                <w:rFonts w:hint="default" w:ascii="Times New Roman" w:hAnsi="Times New Roman" w:cs="Times New Roman"/>
                <w:color w:val="auto"/>
                <w:sz w:val="24"/>
                <w:szCs w:val="24"/>
              </w:rPr>
              <w:t>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985" w:type="dxa"/>
            <w:gridSpan w:val="3"/>
            <w:tcBorders>
              <w:top w:val="single" w:color="auto" w:sz="4" w:space="0"/>
              <w:left w:val="single" w:color="auto" w:sz="8" w:space="0"/>
              <w:bottom w:val="single" w:color="auto" w:sz="4" w:space="0"/>
              <w:right w:val="single" w:color="auto" w:sz="4" w:space="0"/>
            </w:tcBorders>
            <w:tcMar>
              <w:top w:w="16" w:type="dxa"/>
              <w:left w:w="16" w:type="dxa"/>
              <w:bottom w:w="0" w:type="dxa"/>
              <w:right w:w="16" w:type="dxa"/>
            </w:tcMar>
            <w:vAlign w:val="center"/>
          </w:tcPr>
          <w:p>
            <w:pPr>
              <w:adjustRightInd w:val="0"/>
              <w:snapToGrid w:val="0"/>
              <w:spacing w:line="360" w:lineRule="exact"/>
              <w:jc w:val="center"/>
              <w:rPr>
                <w:rFonts w:hint="default" w:ascii="Times New Roman" w:hAnsi="Times New Roman" w:cs="Times New Roman"/>
                <w:sz w:val="24"/>
                <w:szCs w:val="24"/>
              </w:rPr>
            </w:pPr>
            <w:r>
              <w:rPr>
                <w:rFonts w:hint="default" w:ascii="Times New Roman" w:hAnsi="Times New Roman" w:cs="Times New Roman"/>
                <w:sz w:val="24"/>
                <w:szCs w:val="24"/>
              </w:rPr>
              <w:t>是否开工建设</w:t>
            </w:r>
          </w:p>
        </w:tc>
        <w:tc>
          <w:tcPr>
            <w:tcW w:w="7456" w:type="dxa"/>
            <w:gridSpan w:val="3"/>
            <w:tcBorders>
              <w:top w:val="single" w:color="auto" w:sz="4" w:space="0"/>
              <w:left w:val="single" w:color="auto" w:sz="4" w:space="0"/>
              <w:bottom w:val="single" w:color="auto" w:sz="4" w:space="0"/>
              <w:right w:val="single" w:color="auto" w:sz="8" w:space="0"/>
            </w:tcBorders>
            <w:vAlign w:val="center"/>
          </w:tcPr>
          <w:p>
            <w:pPr>
              <w:adjustRightInd w:val="0"/>
              <w:snapToGrid w:val="0"/>
              <w:spacing w:line="360" w:lineRule="exact"/>
              <w:ind w:firstLine="105"/>
              <w:jc w:val="left"/>
              <w:rPr>
                <w:rFonts w:hint="default" w:ascii="Times New Roman" w:hAnsi="Times New Roman" w:cs="Times New Roman"/>
                <w:sz w:val="24"/>
                <w:szCs w:val="24"/>
              </w:rPr>
            </w:pPr>
            <w:r>
              <w:rPr>
                <w:rFonts w:hint="eastAsia" w:ascii="宋体" w:hAnsi="宋体" w:eastAsia="宋体" w:cs="宋体"/>
                <w:sz w:val="24"/>
                <w:szCs w:val="24"/>
              </w:rPr>
              <w:sym w:font="Wingdings 2" w:char="0052"/>
            </w:r>
            <w:r>
              <w:rPr>
                <w:rFonts w:hint="default" w:ascii="Times New Roman" w:hAnsi="Times New Roman" w:cs="Times New Roman"/>
                <w:sz w:val="24"/>
                <w:szCs w:val="24"/>
              </w:rPr>
              <w:t>否</w:t>
            </w:r>
          </w:p>
          <w:p>
            <w:pPr>
              <w:adjustRightInd w:val="0"/>
              <w:snapToGrid w:val="0"/>
              <w:spacing w:line="360" w:lineRule="exact"/>
              <w:ind w:firstLine="92"/>
              <w:jc w:val="left"/>
              <w:rPr>
                <w:rFonts w:hint="default" w:ascii="Times New Roman" w:hAnsi="Times New Roman" w:cs="Times New Roman"/>
                <w:sz w:val="24"/>
                <w:szCs w:val="24"/>
              </w:rPr>
            </w:pPr>
            <w:r>
              <w:rPr>
                <w:rFonts w:hint="eastAsia" w:ascii="宋体" w:hAnsi="宋体" w:eastAsia="宋体" w:cs="宋体"/>
                <w:sz w:val="24"/>
                <w:szCs w:val="24"/>
              </w:rPr>
              <w:sym w:font="Wingdings 2" w:char="00A3"/>
            </w:r>
            <w:r>
              <w:rPr>
                <w:rFonts w:hint="default" w:ascii="Times New Roman" w:hAnsi="Times New Roman" w:cs="Times New Roman"/>
                <w:sz w:val="24"/>
                <w:szCs w:val="24"/>
              </w:rPr>
              <w:t>是：</w:t>
            </w:r>
            <w:r>
              <w:rPr>
                <w:rFonts w:hint="default" w:ascii="Times New Roman" w:hAnsi="Times New Roman" w:cs="Times New Roman"/>
                <w:sz w:val="24"/>
                <w:szCs w:val="24"/>
                <w:u w:val="single"/>
              </w:rPr>
              <w:t xml:space="preserve">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134" w:hRule="atLeast"/>
        </w:trPr>
        <w:tc>
          <w:tcPr>
            <w:tcW w:w="472" w:type="dxa"/>
            <w:tcBorders>
              <w:top w:val="single" w:color="auto" w:sz="4" w:space="0"/>
              <w:left w:val="single" w:color="auto" w:sz="8" w:space="0"/>
              <w:bottom w:val="single" w:color="auto" w:sz="4" w:space="0"/>
              <w:right w:val="single" w:color="auto" w:sz="4" w:space="0"/>
            </w:tcBorders>
            <w:tcMar>
              <w:top w:w="16" w:type="dxa"/>
              <w:left w:w="16" w:type="dxa"/>
              <w:bottom w:w="0" w:type="dxa"/>
              <w:right w:w="16" w:type="dxa"/>
            </w:tcMar>
            <w:vAlign w:val="center"/>
          </w:tcPr>
          <w:p>
            <w:pPr>
              <w:adjustRightInd w:val="0"/>
              <w:snapToGrid w:val="0"/>
              <w:spacing w:line="360" w:lineRule="exact"/>
              <w:jc w:val="center"/>
              <w:rPr>
                <w:rFonts w:hint="default" w:ascii="Times New Roman" w:hAnsi="Times New Roman" w:cs="Times New Roman"/>
                <w:sz w:val="24"/>
                <w:szCs w:val="24"/>
              </w:rPr>
            </w:pPr>
            <w:r>
              <w:rPr>
                <w:rFonts w:hint="default" w:ascii="Times New Roman" w:hAnsi="Times New Roman" w:cs="Times New Roman"/>
                <w:sz w:val="24"/>
                <w:szCs w:val="24"/>
              </w:rPr>
              <w:t>专项评价设置情况</w:t>
            </w:r>
          </w:p>
        </w:tc>
        <w:tc>
          <w:tcPr>
            <w:tcW w:w="8969" w:type="dxa"/>
            <w:gridSpan w:val="5"/>
            <w:tcBorders>
              <w:top w:val="single" w:color="auto" w:sz="4" w:space="0"/>
              <w:left w:val="single" w:color="auto" w:sz="4" w:space="0"/>
              <w:bottom w:val="single" w:color="auto" w:sz="4" w:space="0"/>
              <w:right w:val="single" w:color="auto" w:sz="8" w:space="0"/>
            </w:tcBorders>
            <w:tcMar>
              <w:top w:w="16" w:type="dxa"/>
              <w:left w:w="16" w:type="dxa"/>
              <w:bottom w:w="0" w:type="dxa"/>
              <w:right w:w="16" w:type="dxa"/>
            </w:tcMar>
            <w:vAlign w:val="center"/>
          </w:tcPr>
          <w:p>
            <w:pPr>
              <w:autoSpaceDE w:val="0"/>
              <w:autoSpaceDN w:val="0"/>
              <w:adjustRightInd w:val="0"/>
              <w:snapToGrid w:val="0"/>
              <w:spacing w:line="480" w:lineRule="exact"/>
              <w:ind w:firstLine="480" w:firstLineChars="200"/>
              <w:rPr>
                <w:rFonts w:hint="default" w:ascii="Times New Roman" w:hAnsi="Times New Roman" w:cs="Times New Roman"/>
                <w:kern w:val="0"/>
                <w:sz w:val="24"/>
                <w:szCs w:val="24"/>
              </w:rPr>
            </w:pPr>
            <w:r>
              <w:rPr>
                <w:rFonts w:hint="default" w:ascii="Times New Roman" w:hAnsi="Times New Roman" w:cs="Times New Roman"/>
                <w:kern w:val="0"/>
                <w:sz w:val="24"/>
                <w:szCs w:val="24"/>
                <w:lang w:val="en-US" w:eastAsia="zh-CN"/>
              </w:rPr>
              <w:t>根据《建设项目环境影响报告表编制技术指南》（</w:t>
            </w:r>
            <w:r>
              <w:rPr>
                <w:rFonts w:hint="eastAsia" w:cs="Times New Roman"/>
                <w:kern w:val="0"/>
                <w:sz w:val="24"/>
                <w:szCs w:val="24"/>
                <w:lang w:val="en-US" w:eastAsia="zh-CN"/>
              </w:rPr>
              <w:t>生态</w:t>
            </w:r>
            <w:r>
              <w:rPr>
                <w:rFonts w:hint="default" w:ascii="Times New Roman" w:hAnsi="Times New Roman" w:cs="Times New Roman"/>
                <w:kern w:val="0"/>
                <w:sz w:val="24"/>
                <w:szCs w:val="24"/>
                <w:lang w:val="en-US" w:eastAsia="zh-CN"/>
              </w:rPr>
              <w:t>影响类）</w:t>
            </w:r>
            <w:r>
              <w:rPr>
                <w:rFonts w:hint="eastAsia" w:cs="Times New Roman"/>
                <w:kern w:val="0"/>
                <w:sz w:val="24"/>
                <w:szCs w:val="24"/>
                <w:lang w:val="en-US" w:eastAsia="zh-CN"/>
              </w:rPr>
              <w:t>（试行）</w:t>
            </w:r>
            <w:r>
              <w:rPr>
                <w:rFonts w:hint="default" w:ascii="Times New Roman" w:hAnsi="Times New Roman" w:cs="Times New Roman"/>
                <w:kern w:val="0"/>
                <w:sz w:val="24"/>
                <w:szCs w:val="24"/>
                <w:lang w:val="en-US" w:eastAsia="zh-CN"/>
              </w:rPr>
              <w:t>，</w:t>
            </w:r>
            <w:r>
              <w:rPr>
                <w:rFonts w:hint="eastAsia" w:cs="Times New Roman"/>
                <w:kern w:val="0"/>
                <w:sz w:val="24"/>
                <w:szCs w:val="24"/>
                <w:lang w:val="en-US" w:eastAsia="zh-CN"/>
              </w:rPr>
              <w:t>城市道路（不含维护、不含支路、人行天桥、人行地道）</w:t>
            </w:r>
            <w:r>
              <w:rPr>
                <w:rFonts w:hint="default" w:ascii="Times New Roman" w:hAnsi="Times New Roman" w:cs="Times New Roman"/>
                <w:kern w:val="0"/>
                <w:sz w:val="24"/>
                <w:szCs w:val="24"/>
                <w:lang w:val="en-US" w:eastAsia="zh-CN"/>
              </w:rPr>
              <w:t>需设置噪声专项评价</w:t>
            </w:r>
            <w:r>
              <w:rPr>
                <w:rFonts w:hint="eastAsia" w:cs="Times New Roman"/>
                <w:kern w:val="0"/>
                <w:sz w:val="24"/>
                <w:szCs w:val="24"/>
                <w:lang w:val="en-US" w:eastAsia="zh-CN"/>
              </w:rPr>
              <w:t>；</w:t>
            </w:r>
            <w:r>
              <w:rPr>
                <w:rFonts w:hint="default" w:ascii="Times New Roman" w:hAnsi="Times New Roman" w:cs="Times New Roman"/>
                <w:kern w:val="0"/>
                <w:sz w:val="24"/>
                <w:szCs w:val="24"/>
                <w:lang w:val="en-US" w:eastAsia="zh-CN"/>
              </w:rPr>
              <w:t>因此，本次评价设置了《噪声专项评价》。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134" w:hRule="atLeast"/>
        </w:trPr>
        <w:tc>
          <w:tcPr>
            <w:tcW w:w="472" w:type="dxa"/>
            <w:tcBorders>
              <w:top w:val="single" w:color="auto" w:sz="4" w:space="0"/>
              <w:left w:val="single" w:color="auto" w:sz="8" w:space="0"/>
              <w:bottom w:val="single" w:color="auto" w:sz="4" w:space="0"/>
              <w:right w:val="single" w:color="auto" w:sz="4" w:space="0"/>
            </w:tcBorders>
            <w:tcMar>
              <w:top w:w="16" w:type="dxa"/>
              <w:left w:w="16" w:type="dxa"/>
              <w:bottom w:w="0" w:type="dxa"/>
              <w:right w:w="16" w:type="dxa"/>
            </w:tcMar>
            <w:vAlign w:val="center"/>
          </w:tcPr>
          <w:p>
            <w:pPr>
              <w:adjustRightInd w:val="0"/>
              <w:snapToGrid w:val="0"/>
              <w:spacing w:line="360" w:lineRule="exact"/>
              <w:jc w:val="center"/>
              <w:rPr>
                <w:rFonts w:hint="default" w:ascii="Times New Roman" w:hAnsi="Times New Roman" w:cs="Times New Roman"/>
                <w:sz w:val="24"/>
                <w:szCs w:val="24"/>
              </w:rPr>
            </w:pPr>
            <w:r>
              <w:rPr>
                <w:rFonts w:hint="default" w:ascii="Times New Roman" w:hAnsi="Times New Roman" w:cs="Times New Roman"/>
                <w:sz w:val="24"/>
                <w:szCs w:val="24"/>
              </w:rPr>
              <w:t>规划情况</w:t>
            </w:r>
          </w:p>
        </w:tc>
        <w:tc>
          <w:tcPr>
            <w:tcW w:w="8969" w:type="dxa"/>
            <w:gridSpan w:val="5"/>
            <w:tcBorders>
              <w:top w:val="single" w:color="auto" w:sz="4" w:space="0"/>
              <w:left w:val="single" w:color="auto" w:sz="4" w:space="0"/>
              <w:bottom w:val="single" w:color="auto" w:sz="4" w:space="0"/>
              <w:right w:val="single" w:color="auto" w:sz="8" w:space="0"/>
            </w:tcBorders>
            <w:tcMar>
              <w:top w:w="16" w:type="dxa"/>
              <w:left w:w="16" w:type="dxa"/>
              <w:bottom w:w="0" w:type="dxa"/>
              <w:right w:w="16"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eastAsia" w:cs="Times New Roman"/>
                <w:kern w:val="0"/>
                <w:sz w:val="24"/>
                <w:szCs w:val="24"/>
                <w:lang w:val="en-US" w:eastAsia="zh-CN"/>
              </w:rPr>
            </w:pPr>
            <w:r>
              <w:rPr>
                <w:rFonts w:hint="eastAsia" w:cs="Times New Roman"/>
                <w:kern w:val="0"/>
                <w:sz w:val="24"/>
                <w:szCs w:val="24"/>
                <w:lang w:val="en-US" w:eastAsia="zh-CN"/>
              </w:rPr>
              <w:t>根据</w:t>
            </w:r>
            <w:r>
              <w:rPr>
                <w:rFonts w:hint="default" w:ascii="Times New Roman" w:hAnsi="Times New Roman" w:cs="Times New Roman"/>
                <w:kern w:val="0"/>
                <w:sz w:val="24"/>
                <w:szCs w:val="24"/>
                <w:lang w:val="en-US" w:eastAsia="zh-CN"/>
              </w:rPr>
              <w:t>《五台县县城总体规划》（2012~2030）中</w:t>
            </w:r>
            <w:r>
              <w:rPr>
                <w:rFonts w:hint="eastAsia" w:cs="Times New Roman"/>
                <w:kern w:val="0"/>
                <w:sz w:val="24"/>
                <w:szCs w:val="24"/>
                <w:lang w:val="en-US" w:eastAsia="zh-CN"/>
              </w:rPr>
              <w:t>“中心城区综合交通规划”中</w:t>
            </w:r>
            <w:r>
              <w:rPr>
                <w:rFonts w:hint="default" w:ascii="Times New Roman" w:hAnsi="Times New Roman" w:cs="Times New Roman"/>
                <w:kern w:val="0"/>
                <w:sz w:val="24"/>
                <w:szCs w:val="24"/>
                <w:lang w:val="en-US" w:eastAsia="zh-CN"/>
              </w:rPr>
              <w:t>的内容</w:t>
            </w:r>
            <w:r>
              <w:rPr>
                <w:rFonts w:hint="eastAsia" w:cs="Times New Roman"/>
                <w:kern w:val="0"/>
                <w:sz w:val="24"/>
                <w:szCs w:val="24"/>
                <w:lang w:val="en-US" w:eastAsia="zh-CN"/>
              </w:rPr>
              <w:t>：</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2" w:firstLineChars="200"/>
              <w:textAlignment w:val="auto"/>
              <w:rPr>
                <w:rFonts w:hint="default" w:cs="Times New Roman"/>
                <w:b/>
                <w:bCs/>
                <w:kern w:val="0"/>
                <w:sz w:val="24"/>
                <w:szCs w:val="24"/>
                <w:lang w:val="en-US" w:eastAsia="zh-CN"/>
              </w:rPr>
            </w:pPr>
            <w:r>
              <w:rPr>
                <w:rFonts w:hint="eastAsia" w:cs="Times New Roman"/>
                <w:b/>
                <w:bCs/>
                <w:kern w:val="0"/>
                <w:sz w:val="24"/>
                <w:szCs w:val="24"/>
                <w:lang w:val="en-US" w:eastAsia="zh-CN"/>
              </w:rPr>
              <w:t>1、现状概况</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2" w:firstLineChars="200"/>
              <w:textAlignment w:val="auto"/>
              <w:rPr>
                <w:rFonts w:hint="default" w:cs="Times New Roman"/>
                <w:b/>
                <w:bCs/>
                <w:kern w:val="0"/>
                <w:sz w:val="24"/>
                <w:szCs w:val="24"/>
                <w:lang w:val="en-US" w:eastAsia="zh-CN"/>
              </w:rPr>
            </w:pPr>
            <w:r>
              <w:rPr>
                <w:rFonts w:hint="eastAsia" w:cs="Times New Roman"/>
                <w:b/>
                <w:bCs/>
                <w:kern w:val="0"/>
                <w:sz w:val="24"/>
                <w:szCs w:val="24"/>
                <w:lang w:val="en-US" w:eastAsia="zh-CN"/>
              </w:rPr>
              <w:t>城区交通：</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eastAsia" w:cs="Times New Roman"/>
                <w:b w:val="0"/>
                <w:bCs w:val="0"/>
                <w:kern w:val="0"/>
                <w:sz w:val="24"/>
                <w:szCs w:val="24"/>
                <w:lang w:val="en-US" w:eastAsia="zh-CN"/>
              </w:rPr>
            </w:pPr>
            <w:r>
              <w:rPr>
                <w:rFonts w:hint="eastAsia" w:cs="Times New Roman"/>
                <w:b w:val="0"/>
                <w:bCs w:val="0"/>
                <w:kern w:val="0"/>
                <w:sz w:val="24"/>
                <w:szCs w:val="24"/>
                <w:lang w:val="en-US" w:eastAsia="zh-CN"/>
              </w:rPr>
              <w:t>五台县县城建成区主要道路有文昌路、西米市街、向前街、新建路、朝阳街、迎宾路。主要道路已硬化，为沥青路面，部分支路为水泥、砂、石路面或砖铺路面。</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eastAsia" w:cs="Times New Roman"/>
                <w:b w:val="0"/>
                <w:bCs w:val="0"/>
                <w:kern w:val="0"/>
                <w:sz w:val="24"/>
                <w:szCs w:val="24"/>
                <w:lang w:val="en-US" w:eastAsia="zh-CN"/>
              </w:rPr>
            </w:pPr>
            <w:r>
              <w:rPr>
                <w:rFonts w:hint="eastAsia" w:cs="Times New Roman"/>
                <w:b w:val="0"/>
                <w:bCs w:val="0"/>
                <w:kern w:val="0"/>
                <w:sz w:val="24"/>
                <w:szCs w:val="24"/>
                <w:lang w:val="en-US" w:eastAsia="zh-CN"/>
              </w:rPr>
              <w:t>现状建成区主要道路长度为10.7km。红线宽度在30m以上的主干道有文昌路、迎宾路，红线在20m以上主干道有新建路。上述主干道总长8.2km，占道路总长度的76.7%。现状次干道红线宽度在20m以上的有西米市街、朝阳街、向前街等，次干道总长为2.5km，占道路总长的23.3%。</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2" w:firstLineChars="200"/>
              <w:textAlignment w:val="auto"/>
              <w:rPr>
                <w:rFonts w:hint="default" w:cs="Times New Roman"/>
                <w:b/>
                <w:bCs/>
                <w:kern w:val="0"/>
                <w:sz w:val="24"/>
                <w:szCs w:val="24"/>
                <w:lang w:val="en-US" w:eastAsia="zh-CN"/>
              </w:rPr>
            </w:pPr>
            <w:r>
              <w:rPr>
                <w:rFonts w:hint="eastAsia" w:cs="Times New Roman"/>
                <w:b/>
                <w:bCs/>
                <w:kern w:val="0"/>
                <w:sz w:val="24"/>
                <w:szCs w:val="24"/>
                <w:lang w:val="en-US" w:eastAsia="zh-CN"/>
              </w:rPr>
              <w:t>2、道路系统规划</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2" w:firstLineChars="200"/>
              <w:textAlignment w:val="auto"/>
              <w:rPr>
                <w:rFonts w:hint="default" w:cs="Times New Roman"/>
                <w:b/>
                <w:bCs/>
                <w:kern w:val="0"/>
                <w:sz w:val="24"/>
                <w:szCs w:val="24"/>
                <w:lang w:val="en-US" w:eastAsia="zh-CN"/>
              </w:rPr>
            </w:pPr>
            <w:r>
              <w:rPr>
                <w:rFonts w:hint="eastAsia" w:cs="Times New Roman"/>
                <w:b/>
                <w:bCs/>
                <w:kern w:val="0"/>
                <w:sz w:val="24"/>
                <w:szCs w:val="24"/>
                <w:lang w:val="en-US" w:eastAsia="zh-CN"/>
              </w:rPr>
              <w:t>（1）路网布局结构</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eastAsia" w:cs="Times New Roman"/>
                <w:b w:val="0"/>
                <w:bCs w:val="0"/>
                <w:kern w:val="0"/>
                <w:sz w:val="24"/>
                <w:szCs w:val="24"/>
                <w:lang w:val="en-US" w:eastAsia="zh-CN"/>
              </w:rPr>
            </w:pPr>
            <w:r>
              <w:rPr>
                <w:rFonts w:hint="eastAsia" w:cs="Times New Roman"/>
                <w:b w:val="0"/>
                <w:bCs w:val="0"/>
                <w:kern w:val="0"/>
                <w:sz w:val="24"/>
                <w:szCs w:val="24"/>
                <w:lang w:val="en-US" w:eastAsia="zh-CN"/>
              </w:rPr>
              <w:t>从城市布局结构和用地特征来看，各组团的向心交通和组团间的联系交通是交通需求的主流。将城市道路网分为两个层次：组团间联系道路和组团内部道路。</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eastAsia" w:cs="Times New Roman"/>
                <w:b/>
                <w:bCs/>
                <w:kern w:val="0"/>
                <w:sz w:val="24"/>
                <w:szCs w:val="24"/>
                <w:lang w:val="en-US" w:eastAsia="zh-CN"/>
              </w:rPr>
            </w:pPr>
            <w:r>
              <w:rPr>
                <w:rFonts w:hint="eastAsia" w:cs="Times New Roman"/>
                <w:b w:val="0"/>
                <w:bCs w:val="0"/>
                <w:kern w:val="0"/>
                <w:sz w:val="24"/>
                <w:szCs w:val="24"/>
                <w:lang w:val="en-US" w:eastAsia="zh-CN"/>
              </w:rPr>
              <w:t>①</w:t>
            </w:r>
            <w:r>
              <w:rPr>
                <w:rFonts w:hint="eastAsia" w:cs="Times New Roman"/>
                <w:b/>
                <w:bCs/>
                <w:kern w:val="0"/>
                <w:sz w:val="24"/>
                <w:szCs w:val="24"/>
                <w:lang w:val="en-US" w:eastAsia="zh-CN"/>
              </w:rPr>
              <w:t>组团间联系道路：</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cs="Times New Roman"/>
                <w:kern w:val="0"/>
                <w:sz w:val="24"/>
                <w:szCs w:val="24"/>
              </w:rPr>
            </w:pPr>
            <w:r>
              <w:rPr>
                <w:rFonts w:hint="default" w:ascii="Times New Roman" w:hAnsi="Times New Roman" w:cs="Times New Roman"/>
                <w:kern w:val="0"/>
                <w:sz w:val="24"/>
                <w:szCs w:val="24"/>
                <w:lang w:val="en-US" w:eastAsia="zh-CN"/>
              </w:rPr>
              <w:t>结合城市空间布局形态和土地利用特点，规划五台中心城区各个组团之间的联系道路采用</w:t>
            </w:r>
            <w:r>
              <w:rPr>
                <w:rFonts w:hint="eastAsia" w:cs="Times New Roman"/>
                <w:kern w:val="0"/>
                <w:sz w:val="24"/>
                <w:szCs w:val="24"/>
                <w:lang w:val="en-US" w:eastAsia="zh-CN"/>
              </w:rPr>
              <w:t>“</w:t>
            </w:r>
            <w:r>
              <w:rPr>
                <w:rFonts w:hint="default" w:ascii="Times New Roman" w:hAnsi="Times New Roman" w:cs="Times New Roman"/>
                <w:kern w:val="0"/>
                <w:sz w:val="24"/>
                <w:szCs w:val="24"/>
                <w:lang w:val="en-US" w:eastAsia="zh-CN"/>
              </w:rPr>
              <w:t>一环、两纵、三横</w:t>
            </w:r>
            <w:r>
              <w:rPr>
                <w:rFonts w:hint="eastAsia" w:cs="Times New Roman"/>
                <w:kern w:val="0"/>
                <w:sz w:val="24"/>
                <w:szCs w:val="24"/>
                <w:lang w:val="en-US" w:eastAsia="zh-CN"/>
              </w:rPr>
              <w:t>”</w:t>
            </w:r>
            <w:r>
              <w:rPr>
                <w:rFonts w:hint="default" w:ascii="Times New Roman" w:hAnsi="Times New Roman" w:cs="Times New Roman"/>
                <w:kern w:val="0"/>
                <w:sz w:val="24"/>
                <w:szCs w:val="24"/>
                <w:lang w:val="en-US" w:eastAsia="zh-CN"/>
              </w:rPr>
              <w:t>的布局形式，由城市快速路、城市主干路共共构成。</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cs="Times New Roman"/>
                <w:kern w:val="0"/>
                <w:sz w:val="24"/>
                <w:szCs w:val="24"/>
              </w:rPr>
            </w:pPr>
            <w:r>
              <w:rPr>
                <w:rFonts w:hint="eastAsia" w:cs="Times New Roman"/>
                <w:kern w:val="0"/>
                <w:sz w:val="24"/>
                <w:szCs w:val="24"/>
                <w:lang w:val="en-US" w:eastAsia="zh-CN"/>
              </w:rPr>
              <w:t>“</w:t>
            </w:r>
            <w:r>
              <w:rPr>
                <w:rFonts w:hint="default" w:ascii="Times New Roman" w:hAnsi="Times New Roman" w:cs="Times New Roman"/>
                <w:kern w:val="0"/>
                <w:sz w:val="24"/>
                <w:szCs w:val="24"/>
                <w:lang w:val="en-US" w:eastAsia="zh-CN"/>
              </w:rPr>
              <w:t>一环</w:t>
            </w:r>
            <w:r>
              <w:rPr>
                <w:rFonts w:hint="eastAsia" w:cs="Times New Roman"/>
                <w:kern w:val="0"/>
                <w:sz w:val="24"/>
                <w:szCs w:val="24"/>
                <w:lang w:val="en-US" w:eastAsia="zh-CN"/>
              </w:rPr>
              <w:t>”</w:t>
            </w:r>
            <w:r>
              <w:rPr>
                <w:rFonts w:hint="default" w:ascii="Times New Roman" w:hAnsi="Times New Roman" w:cs="Times New Roman"/>
                <w:kern w:val="0"/>
                <w:sz w:val="24"/>
                <w:szCs w:val="24"/>
                <w:lang w:val="en-US" w:eastAsia="zh-CN"/>
              </w:rPr>
              <w:t>即：由站前大道，西环路，北环路，东外环路构成的绕城环形路网。</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cs="Times New Roman"/>
                <w:kern w:val="0"/>
                <w:sz w:val="24"/>
                <w:szCs w:val="24"/>
              </w:rPr>
            </w:pPr>
            <w:r>
              <w:rPr>
                <w:rFonts w:hint="default" w:ascii="Times New Roman" w:hAnsi="Times New Roman" w:cs="Times New Roman"/>
                <w:kern w:val="0"/>
                <w:sz w:val="24"/>
                <w:szCs w:val="24"/>
                <w:lang w:val="en-US" w:eastAsia="zh-CN"/>
              </w:rPr>
              <w:t>主要的纵向联系：</w:t>
            </w:r>
            <w:r>
              <w:rPr>
                <w:rFonts w:hint="eastAsia" w:cs="Times New Roman"/>
                <w:kern w:val="0"/>
                <w:sz w:val="24"/>
                <w:szCs w:val="24"/>
                <w:lang w:val="en-US" w:eastAsia="zh-CN"/>
              </w:rPr>
              <w:t>“</w:t>
            </w:r>
            <w:r>
              <w:rPr>
                <w:rFonts w:hint="default" w:ascii="Times New Roman" w:hAnsi="Times New Roman" w:cs="Times New Roman"/>
                <w:kern w:val="0"/>
                <w:sz w:val="24"/>
                <w:szCs w:val="24"/>
                <w:lang w:val="en-US" w:eastAsia="zh-CN"/>
              </w:rPr>
              <w:t>一纵</w:t>
            </w:r>
            <w:r>
              <w:rPr>
                <w:rFonts w:hint="eastAsia" w:cs="Times New Roman"/>
                <w:kern w:val="0"/>
                <w:sz w:val="24"/>
                <w:szCs w:val="24"/>
                <w:lang w:val="en-US" w:eastAsia="zh-CN"/>
              </w:rPr>
              <w:t>”</w:t>
            </w:r>
            <w:r>
              <w:rPr>
                <w:rFonts w:hint="default" w:ascii="Times New Roman" w:hAnsi="Times New Roman" w:cs="Times New Roman"/>
                <w:kern w:val="0"/>
                <w:sz w:val="24"/>
                <w:szCs w:val="24"/>
                <w:lang w:val="en-US" w:eastAsia="zh-CN"/>
              </w:rPr>
              <w:t>为穿过中心城区的迎宾路，连接忻州和阜平县是五台县主要对外交通道路，同时连接沟南，老城区和古城组团；</w:t>
            </w:r>
            <w:r>
              <w:rPr>
                <w:rFonts w:hint="eastAsia" w:cs="Times New Roman"/>
                <w:kern w:val="0"/>
                <w:sz w:val="24"/>
                <w:szCs w:val="24"/>
                <w:lang w:val="en-US" w:eastAsia="zh-CN"/>
              </w:rPr>
              <w:t>“</w:t>
            </w:r>
            <w:r>
              <w:rPr>
                <w:rFonts w:hint="default" w:ascii="Times New Roman" w:hAnsi="Times New Roman" w:cs="Times New Roman"/>
                <w:kern w:val="0"/>
                <w:sz w:val="24"/>
                <w:szCs w:val="24"/>
                <w:lang w:val="en-US" w:eastAsia="zh-CN"/>
              </w:rPr>
              <w:t>二纵</w:t>
            </w:r>
            <w:r>
              <w:rPr>
                <w:rFonts w:hint="eastAsia" w:cs="Times New Roman"/>
                <w:kern w:val="0"/>
                <w:sz w:val="24"/>
                <w:szCs w:val="24"/>
                <w:lang w:val="en-US" w:eastAsia="zh-CN"/>
              </w:rPr>
              <w:t>”</w:t>
            </w:r>
            <w:r>
              <w:rPr>
                <w:rFonts w:hint="default" w:ascii="Times New Roman" w:hAnsi="Times New Roman" w:cs="Times New Roman"/>
                <w:kern w:val="0"/>
                <w:sz w:val="24"/>
                <w:szCs w:val="24"/>
                <w:lang w:val="en-US" w:eastAsia="zh-CN"/>
              </w:rPr>
              <w:t>为文昌路，它起于老城区南部文昌山，自北向南依次贯穿城北新区和老城组团，止于城南工业区。</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cs="Times New Roman"/>
                <w:kern w:val="0"/>
                <w:sz w:val="24"/>
                <w:szCs w:val="24"/>
              </w:rPr>
            </w:pPr>
            <w:r>
              <w:rPr>
                <w:rFonts w:hint="default" w:ascii="Times New Roman" w:hAnsi="Times New Roman" w:cs="Times New Roman"/>
                <w:kern w:val="0"/>
                <w:sz w:val="24"/>
                <w:szCs w:val="24"/>
                <w:lang w:val="en-US" w:eastAsia="zh-CN"/>
              </w:rPr>
              <w:t>主要的横向联系：</w:t>
            </w:r>
            <w:r>
              <w:rPr>
                <w:rFonts w:hint="eastAsia" w:cs="Times New Roman"/>
                <w:kern w:val="0"/>
                <w:sz w:val="24"/>
                <w:szCs w:val="24"/>
                <w:lang w:val="en-US" w:eastAsia="zh-CN"/>
              </w:rPr>
              <w:t>“</w:t>
            </w:r>
            <w:r>
              <w:rPr>
                <w:rFonts w:hint="default" w:ascii="Times New Roman" w:hAnsi="Times New Roman" w:cs="Times New Roman"/>
                <w:kern w:val="0"/>
                <w:sz w:val="24"/>
                <w:szCs w:val="24"/>
                <w:lang w:val="en-US" w:eastAsia="zh-CN"/>
              </w:rPr>
              <w:t>一横</w:t>
            </w:r>
            <w:r>
              <w:rPr>
                <w:rFonts w:hint="eastAsia" w:cs="Times New Roman"/>
                <w:kern w:val="0"/>
                <w:sz w:val="24"/>
                <w:szCs w:val="24"/>
                <w:lang w:val="en-US" w:eastAsia="zh-CN"/>
              </w:rPr>
              <w:t>”</w:t>
            </w:r>
            <w:r>
              <w:rPr>
                <w:rFonts w:hint="default" w:ascii="Times New Roman" w:hAnsi="Times New Roman" w:cs="Times New Roman"/>
                <w:kern w:val="0"/>
                <w:sz w:val="24"/>
                <w:szCs w:val="24"/>
                <w:lang w:val="en-US" w:eastAsia="zh-CN"/>
              </w:rPr>
              <w:t>为东西向的西米市街城市主干路，它与西环路和东环路城市主干道相连，是南北向主要通道；</w:t>
            </w:r>
            <w:r>
              <w:rPr>
                <w:rFonts w:hint="eastAsia" w:cs="Times New Roman"/>
                <w:kern w:val="0"/>
                <w:sz w:val="24"/>
                <w:szCs w:val="24"/>
                <w:lang w:val="en-US" w:eastAsia="zh-CN"/>
              </w:rPr>
              <w:t>“</w:t>
            </w:r>
            <w:r>
              <w:rPr>
                <w:rFonts w:hint="default" w:ascii="Times New Roman" w:hAnsi="Times New Roman" w:cs="Times New Roman"/>
                <w:kern w:val="0"/>
                <w:sz w:val="24"/>
                <w:szCs w:val="24"/>
                <w:lang w:val="en-US" w:eastAsia="zh-CN"/>
              </w:rPr>
              <w:t>两横</w:t>
            </w:r>
            <w:r>
              <w:rPr>
                <w:rFonts w:hint="eastAsia" w:cs="Times New Roman"/>
                <w:kern w:val="0"/>
                <w:sz w:val="24"/>
                <w:szCs w:val="24"/>
                <w:lang w:val="en-US" w:eastAsia="zh-CN"/>
              </w:rPr>
              <w:t>”</w:t>
            </w:r>
            <w:r>
              <w:rPr>
                <w:rFonts w:hint="default" w:ascii="Times New Roman" w:hAnsi="Times New Roman" w:cs="Times New Roman"/>
                <w:kern w:val="0"/>
                <w:sz w:val="24"/>
                <w:szCs w:val="24"/>
                <w:lang w:val="en-US" w:eastAsia="zh-CN"/>
              </w:rPr>
              <w:t>为城北新区沿唐家湾水库的的湖滨大道，湖滨大街是新区的主干路，同时连接老城组团和古城组团。</w:t>
            </w:r>
            <w:r>
              <w:rPr>
                <w:rFonts w:hint="eastAsia" w:cs="Times New Roman"/>
                <w:kern w:val="0"/>
                <w:sz w:val="24"/>
                <w:szCs w:val="24"/>
                <w:lang w:val="en-US" w:eastAsia="zh-CN"/>
              </w:rPr>
              <w:t>“</w:t>
            </w:r>
            <w:r>
              <w:rPr>
                <w:rFonts w:hint="default" w:ascii="Times New Roman" w:hAnsi="Times New Roman" w:cs="Times New Roman"/>
                <w:kern w:val="0"/>
                <w:sz w:val="24"/>
                <w:szCs w:val="24"/>
                <w:lang w:val="en-US" w:eastAsia="zh-CN"/>
              </w:rPr>
              <w:t>三横</w:t>
            </w:r>
            <w:r>
              <w:rPr>
                <w:rFonts w:hint="eastAsia" w:cs="Times New Roman"/>
                <w:kern w:val="0"/>
                <w:sz w:val="24"/>
                <w:szCs w:val="24"/>
                <w:lang w:val="en-US" w:eastAsia="zh-CN"/>
              </w:rPr>
              <w:t>”</w:t>
            </w:r>
            <w:r>
              <w:rPr>
                <w:rFonts w:hint="default" w:ascii="Times New Roman" w:hAnsi="Times New Roman" w:cs="Times New Roman"/>
                <w:kern w:val="0"/>
                <w:sz w:val="24"/>
                <w:szCs w:val="24"/>
                <w:lang w:val="en-US" w:eastAsia="zh-CN"/>
              </w:rPr>
              <w:t>为台忻大道，主要为东西向的过境道路，同时服务工业区和沟南组团</w:t>
            </w:r>
            <w:r>
              <w:rPr>
                <w:rFonts w:hint="eastAsia" w:cs="Times New Roman"/>
                <w:kern w:val="0"/>
                <w:sz w:val="24"/>
                <w:szCs w:val="24"/>
                <w:lang w:val="en-US" w:eastAsia="zh-CN"/>
              </w:rPr>
              <w:t>。</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2" w:firstLineChars="200"/>
              <w:textAlignment w:val="auto"/>
              <w:rPr>
                <w:rFonts w:hint="eastAsia" w:cs="Times New Roman"/>
                <w:b/>
                <w:bCs/>
                <w:kern w:val="0"/>
                <w:sz w:val="24"/>
                <w:szCs w:val="24"/>
                <w:lang w:val="en-US" w:eastAsia="zh-CN"/>
              </w:rPr>
            </w:pPr>
            <w:r>
              <w:rPr>
                <w:rFonts w:hint="eastAsia" w:cs="Times New Roman"/>
                <w:b/>
                <w:bCs/>
                <w:kern w:val="0"/>
                <w:sz w:val="24"/>
                <w:szCs w:val="24"/>
                <w:lang w:val="en-US" w:eastAsia="zh-CN"/>
              </w:rPr>
              <w:t>②组团内部道路：</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cs="Times New Roman"/>
                <w:kern w:val="0"/>
                <w:sz w:val="24"/>
                <w:szCs w:val="24"/>
              </w:rPr>
            </w:pPr>
            <w:r>
              <w:rPr>
                <w:rFonts w:hint="default" w:ascii="Times New Roman" w:hAnsi="Times New Roman" w:cs="Times New Roman"/>
                <w:kern w:val="0"/>
                <w:sz w:val="24"/>
                <w:szCs w:val="24"/>
                <w:lang w:val="en-US" w:eastAsia="zh-CN"/>
              </w:rPr>
              <w:t>结合各组团地形地貌特征，规划中心城区路网在方格网的基础上呈有机自由布局。由各个组团主次干路构成道路骨架系统。</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2" w:firstLineChars="200"/>
              <w:textAlignment w:val="auto"/>
              <w:rPr>
                <w:rFonts w:hint="eastAsia" w:cs="Times New Roman"/>
                <w:b/>
                <w:bCs/>
                <w:kern w:val="0"/>
                <w:sz w:val="24"/>
                <w:szCs w:val="24"/>
                <w:lang w:val="en-US" w:eastAsia="zh-CN"/>
              </w:rPr>
            </w:pPr>
            <w:r>
              <w:rPr>
                <w:rFonts w:hint="eastAsia" w:cs="Times New Roman"/>
                <w:b/>
                <w:bCs/>
                <w:kern w:val="0"/>
                <w:sz w:val="24"/>
                <w:szCs w:val="24"/>
                <w:lang w:val="en-US" w:eastAsia="zh-CN"/>
              </w:rPr>
              <w:t>③道路系统规划：</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2" w:firstLineChars="200"/>
              <w:textAlignment w:val="auto"/>
              <w:rPr>
                <w:rFonts w:hint="default" w:ascii="Times New Roman" w:hAnsi="Times New Roman" w:cs="Times New Roman"/>
                <w:kern w:val="0"/>
                <w:sz w:val="24"/>
                <w:szCs w:val="24"/>
              </w:rPr>
            </w:pPr>
            <w:r>
              <w:rPr>
                <w:rFonts w:hint="default" w:ascii="Times New Roman" w:hAnsi="Times New Roman" w:cs="Times New Roman"/>
                <w:b/>
                <w:bCs/>
                <w:kern w:val="0"/>
                <w:sz w:val="24"/>
                <w:szCs w:val="24"/>
                <w:lang w:val="en-US" w:eastAsia="zh-CN"/>
              </w:rPr>
              <w:t>城市主干路：</w:t>
            </w:r>
            <w:r>
              <w:rPr>
                <w:rFonts w:hint="default" w:ascii="Times New Roman" w:hAnsi="Times New Roman" w:cs="Times New Roman"/>
                <w:kern w:val="0"/>
                <w:sz w:val="24"/>
                <w:szCs w:val="24"/>
                <w:lang w:val="en-US" w:eastAsia="zh-CN"/>
              </w:rPr>
              <w:t>构成城市组团的道路骨架，并为组团提供主要的公交服务。道路红线宽度30-40米，设计速度：40</w:t>
            </w:r>
            <w:r>
              <w:rPr>
                <w:rFonts w:hint="eastAsia" w:cs="Times New Roman"/>
                <w:kern w:val="0"/>
                <w:sz w:val="24"/>
                <w:szCs w:val="24"/>
                <w:lang w:val="en-US" w:eastAsia="zh-CN"/>
              </w:rPr>
              <w:t>-</w:t>
            </w:r>
            <w:r>
              <w:rPr>
                <w:rFonts w:hint="default" w:ascii="Times New Roman" w:hAnsi="Times New Roman" w:cs="Times New Roman"/>
                <w:kern w:val="0"/>
                <w:sz w:val="24"/>
                <w:szCs w:val="24"/>
                <w:lang w:val="en-US" w:eastAsia="zh-CN"/>
              </w:rPr>
              <w:t>60km/h。</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2" w:firstLineChars="200"/>
              <w:textAlignment w:val="auto"/>
              <w:rPr>
                <w:rFonts w:hint="default" w:ascii="Times New Roman" w:hAnsi="Times New Roman" w:cs="Times New Roman"/>
                <w:kern w:val="0"/>
                <w:sz w:val="24"/>
                <w:szCs w:val="24"/>
              </w:rPr>
            </w:pPr>
            <w:r>
              <w:rPr>
                <w:rFonts w:hint="default" w:ascii="Times New Roman" w:hAnsi="Times New Roman" w:cs="Times New Roman"/>
                <w:b/>
                <w:bCs/>
                <w:kern w:val="0"/>
                <w:sz w:val="24"/>
                <w:szCs w:val="24"/>
                <w:lang w:val="en-US" w:eastAsia="zh-CN"/>
              </w:rPr>
              <w:t>次干路：</w:t>
            </w:r>
            <w:r>
              <w:rPr>
                <w:rFonts w:hint="default" w:ascii="Times New Roman" w:hAnsi="Times New Roman" w:cs="Times New Roman"/>
                <w:kern w:val="0"/>
                <w:sz w:val="24"/>
                <w:szCs w:val="24"/>
                <w:lang w:val="en-US" w:eastAsia="zh-CN"/>
              </w:rPr>
              <w:t>连接主干路和支路的道路，直接或间接服务于城市用地，承担城市主干路的集散交通，在道路网中起到</w:t>
            </w:r>
            <w:r>
              <w:rPr>
                <w:rFonts w:hint="eastAsia" w:cs="Times New Roman"/>
                <w:kern w:val="0"/>
                <w:sz w:val="24"/>
                <w:szCs w:val="24"/>
                <w:lang w:val="en-US" w:eastAsia="zh-CN"/>
              </w:rPr>
              <w:t>“</w:t>
            </w:r>
            <w:r>
              <w:rPr>
                <w:rFonts w:hint="default" w:ascii="Times New Roman" w:hAnsi="Times New Roman" w:cs="Times New Roman"/>
                <w:kern w:val="0"/>
                <w:sz w:val="24"/>
                <w:szCs w:val="24"/>
                <w:lang w:val="en-US" w:eastAsia="zh-CN"/>
              </w:rPr>
              <w:t>通</w:t>
            </w:r>
            <w:r>
              <w:rPr>
                <w:rFonts w:hint="eastAsia" w:cs="Times New Roman"/>
                <w:kern w:val="0"/>
                <w:sz w:val="24"/>
                <w:szCs w:val="24"/>
                <w:lang w:val="en-US" w:eastAsia="zh-CN"/>
              </w:rPr>
              <w:t>”</w:t>
            </w:r>
            <w:r>
              <w:rPr>
                <w:rFonts w:hint="default" w:ascii="Times New Roman" w:hAnsi="Times New Roman" w:cs="Times New Roman"/>
                <w:kern w:val="0"/>
                <w:sz w:val="24"/>
                <w:szCs w:val="24"/>
                <w:lang w:val="en-US" w:eastAsia="zh-CN"/>
              </w:rPr>
              <w:t>、</w:t>
            </w:r>
            <w:r>
              <w:rPr>
                <w:rFonts w:hint="eastAsia" w:cs="Times New Roman"/>
                <w:kern w:val="0"/>
                <w:sz w:val="24"/>
                <w:szCs w:val="24"/>
                <w:lang w:val="en-US" w:eastAsia="zh-CN"/>
              </w:rPr>
              <w:t>“</w:t>
            </w:r>
            <w:r>
              <w:rPr>
                <w:rFonts w:hint="default" w:ascii="Times New Roman" w:hAnsi="Times New Roman" w:cs="Times New Roman"/>
                <w:kern w:val="0"/>
                <w:sz w:val="24"/>
                <w:szCs w:val="24"/>
                <w:lang w:val="en-US" w:eastAsia="zh-CN"/>
              </w:rPr>
              <w:t>达</w:t>
            </w:r>
            <w:r>
              <w:rPr>
                <w:rFonts w:hint="eastAsia" w:cs="Times New Roman"/>
                <w:kern w:val="0"/>
                <w:sz w:val="24"/>
                <w:szCs w:val="24"/>
                <w:lang w:val="en-US" w:eastAsia="zh-CN"/>
              </w:rPr>
              <w:t>”</w:t>
            </w:r>
            <w:r>
              <w:rPr>
                <w:rFonts w:hint="default" w:ascii="Times New Roman" w:hAnsi="Times New Roman" w:cs="Times New Roman"/>
                <w:kern w:val="0"/>
                <w:sz w:val="24"/>
                <w:szCs w:val="24"/>
                <w:lang w:val="en-US" w:eastAsia="zh-CN"/>
              </w:rPr>
              <w:t>兼顾的作用。道路红线宽度20-30米，设计速度：40km/h。</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2" w:firstLineChars="200"/>
              <w:textAlignment w:val="auto"/>
              <w:rPr>
                <w:rFonts w:hint="default" w:ascii="Times New Roman" w:hAnsi="Times New Roman" w:cs="Times New Roman"/>
                <w:kern w:val="0"/>
                <w:sz w:val="24"/>
                <w:szCs w:val="24"/>
                <w:lang w:val="en-US" w:eastAsia="zh-CN"/>
              </w:rPr>
            </w:pPr>
            <w:r>
              <w:rPr>
                <w:rFonts w:hint="default" w:ascii="Times New Roman" w:hAnsi="Times New Roman" w:cs="Times New Roman"/>
                <w:b/>
                <w:bCs/>
                <w:kern w:val="0"/>
                <w:sz w:val="24"/>
                <w:szCs w:val="24"/>
                <w:lang w:val="en-US" w:eastAsia="zh-CN"/>
              </w:rPr>
              <w:t>支路：</w:t>
            </w:r>
            <w:r>
              <w:rPr>
                <w:rFonts w:hint="default" w:ascii="Times New Roman" w:hAnsi="Times New Roman" w:cs="Times New Roman"/>
                <w:kern w:val="0"/>
                <w:sz w:val="24"/>
                <w:szCs w:val="24"/>
                <w:lang w:val="en-US" w:eastAsia="zh-CN"/>
              </w:rPr>
              <w:t>支路在城市道路网中起到</w:t>
            </w:r>
            <w:r>
              <w:rPr>
                <w:rFonts w:hint="eastAsia" w:cs="Times New Roman"/>
                <w:kern w:val="0"/>
                <w:sz w:val="24"/>
                <w:szCs w:val="24"/>
                <w:lang w:val="en-US" w:eastAsia="zh-CN"/>
              </w:rPr>
              <w:t>“</w:t>
            </w:r>
            <w:r>
              <w:rPr>
                <w:rFonts w:hint="default" w:ascii="Times New Roman" w:hAnsi="Times New Roman" w:cs="Times New Roman"/>
                <w:kern w:val="0"/>
                <w:sz w:val="24"/>
                <w:szCs w:val="24"/>
                <w:lang w:val="en-US" w:eastAsia="zh-CN"/>
              </w:rPr>
              <w:t>达</w:t>
            </w:r>
            <w:r>
              <w:rPr>
                <w:rFonts w:hint="eastAsia" w:cs="Times New Roman"/>
                <w:kern w:val="0"/>
                <w:sz w:val="24"/>
                <w:szCs w:val="24"/>
                <w:lang w:val="en-US" w:eastAsia="zh-CN"/>
              </w:rPr>
              <w:t>”</w:t>
            </w:r>
            <w:r>
              <w:rPr>
                <w:rFonts w:hint="default" w:ascii="Times New Roman" w:hAnsi="Times New Roman" w:cs="Times New Roman"/>
                <w:kern w:val="0"/>
                <w:sz w:val="24"/>
                <w:szCs w:val="24"/>
                <w:lang w:val="en-US" w:eastAsia="zh-CN"/>
              </w:rPr>
              <w:t>的作用，直接服务于城市用地的内部道路，主要承担小区内用地产生的交通流，直接用于人流和车流的集散。总体规划阶段，仅考虑影响城市干道网的主要支路，其它支路在下阶段规划中确定。</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cs="Times New Roman"/>
                <w:kern w:val="0"/>
                <w:sz w:val="24"/>
                <w:szCs w:val="24"/>
              </w:rPr>
            </w:pPr>
            <w:r>
              <w:rPr>
                <w:rFonts w:hint="default" w:ascii="Times New Roman" w:hAnsi="Times New Roman" w:cs="Times New Roman"/>
                <w:kern w:val="0"/>
                <w:sz w:val="24"/>
                <w:szCs w:val="24"/>
                <w:lang w:val="en-US" w:eastAsia="zh-CN"/>
              </w:rPr>
              <w:t>主干道间距为800</w:t>
            </w:r>
            <w:r>
              <w:rPr>
                <w:rFonts w:hint="eastAsia" w:cs="Times New Roman"/>
                <w:kern w:val="0"/>
                <w:sz w:val="24"/>
                <w:szCs w:val="24"/>
                <w:lang w:val="en-US" w:eastAsia="zh-CN"/>
              </w:rPr>
              <w:t>-</w:t>
            </w:r>
            <w:r>
              <w:rPr>
                <w:rFonts w:hint="default" w:ascii="Times New Roman" w:hAnsi="Times New Roman" w:cs="Times New Roman"/>
                <w:kern w:val="0"/>
                <w:sz w:val="24"/>
                <w:szCs w:val="24"/>
                <w:lang w:val="en-US" w:eastAsia="zh-CN"/>
              </w:rPr>
              <w:t>1000米，次干道间距为400</w:t>
            </w:r>
            <w:r>
              <w:rPr>
                <w:rFonts w:hint="eastAsia" w:cs="Times New Roman"/>
                <w:kern w:val="0"/>
                <w:sz w:val="24"/>
                <w:szCs w:val="24"/>
                <w:lang w:val="en-US" w:eastAsia="zh-CN"/>
              </w:rPr>
              <w:t>-</w:t>
            </w:r>
            <w:r>
              <w:rPr>
                <w:rFonts w:hint="default" w:ascii="Times New Roman" w:hAnsi="Times New Roman" w:cs="Times New Roman"/>
                <w:kern w:val="0"/>
                <w:sz w:val="24"/>
                <w:szCs w:val="24"/>
                <w:lang w:val="en-US" w:eastAsia="zh-CN"/>
              </w:rPr>
              <w:t>500米，支路之间的间距不大于300米。</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134" w:hRule="atLeast"/>
        </w:trPr>
        <w:tc>
          <w:tcPr>
            <w:tcW w:w="487" w:type="dxa"/>
            <w:gridSpan w:val="2"/>
            <w:tcBorders>
              <w:top w:val="single" w:color="auto" w:sz="4" w:space="0"/>
              <w:left w:val="single" w:color="auto" w:sz="8" w:space="0"/>
              <w:bottom w:val="single" w:color="auto" w:sz="4" w:space="0"/>
              <w:right w:val="single" w:color="auto" w:sz="4" w:space="0"/>
            </w:tcBorders>
            <w:tcMar>
              <w:top w:w="16" w:type="dxa"/>
              <w:left w:w="16" w:type="dxa"/>
              <w:bottom w:w="0" w:type="dxa"/>
              <w:right w:w="16" w:type="dxa"/>
            </w:tcMar>
            <w:vAlign w:val="center"/>
          </w:tcPr>
          <w:p>
            <w:pPr>
              <w:adjustRightInd w:val="0"/>
              <w:snapToGrid w:val="0"/>
              <w:spacing w:line="360" w:lineRule="exact"/>
              <w:jc w:val="center"/>
              <w:rPr>
                <w:rFonts w:hint="default" w:ascii="Times New Roman" w:hAnsi="Times New Roman" w:cs="Times New Roman"/>
                <w:sz w:val="24"/>
                <w:szCs w:val="24"/>
              </w:rPr>
            </w:pPr>
            <w:r>
              <w:rPr>
                <w:rFonts w:hint="default" w:ascii="Times New Roman" w:hAnsi="Times New Roman" w:cs="Times New Roman"/>
                <w:sz w:val="24"/>
                <w:szCs w:val="24"/>
              </w:rPr>
              <w:t>规划环境影响</w:t>
            </w:r>
          </w:p>
          <w:p>
            <w:pPr>
              <w:adjustRightInd w:val="0"/>
              <w:snapToGrid w:val="0"/>
              <w:spacing w:line="360" w:lineRule="exact"/>
              <w:jc w:val="center"/>
              <w:rPr>
                <w:rFonts w:hint="default" w:ascii="Times New Roman" w:hAnsi="Times New Roman" w:cs="Times New Roman"/>
                <w:sz w:val="24"/>
                <w:szCs w:val="24"/>
              </w:rPr>
            </w:pPr>
            <w:r>
              <w:rPr>
                <w:rFonts w:hint="default" w:ascii="Times New Roman" w:hAnsi="Times New Roman" w:cs="Times New Roman"/>
                <w:sz w:val="24"/>
                <w:szCs w:val="24"/>
              </w:rPr>
              <w:t>评价情况</w:t>
            </w:r>
          </w:p>
        </w:tc>
        <w:tc>
          <w:tcPr>
            <w:tcW w:w="8954" w:type="dxa"/>
            <w:gridSpan w:val="4"/>
            <w:tcBorders>
              <w:top w:val="single" w:color="auto" w:sz="4" w:space="0"/>
              <w:left w:val="single" w:color="auto" w:sz="4" w:space="0"/>
              <w:bottom w:val="single" w:color="auto" w:sz="4" w:space="0"/>
              <w:right w:val="single" w:color="auto" w:sz="8" w:space="0"/>
            </w:tcBorders>
            <w:tcMar>
              <w:top w:w="16" w:type="dxa"/>
              <w:left w:w="16" w:type="dxa"/>
              <w:bottom w:w="0" w:type="dxa"/>
              <w:right w:w="16" w:type="dxa"/>
            </w:tcMar>
            <w:vAlign w:val="center"/>
          </w:tcPr>
          <w:p>
            <w:pPr>
              <w:adjustRightInd w:val="0"/>
              <w:snapToGrid w:val="0"/>
              <w:spacing w:line="480" w:lineRule="exact"/>
              <w:ind w:firstLine="480" w:firstLineChars="200"/>
              <w:jc w:val="left"/>
              <w:rPr>
                <w:rFonts w:hint="eastAsia" w:cs="Times New Roman"/>
                <w:kern w:val="0"/>
                <w:sz w:val="24"/>
                <w:szCs w:val="24"/>
                <w:lang w:val="en-US" w:eastAsia="zh-CN"/>
              </w:rPr>
            </w:pPr>
          </w:p>
          <w:p>
            <w:pPr>
              <w:adjustRightInd w:val="0"/>
              <w:snapToGrid w:val="0"/>
              <w:spacing w:line="480" w:lineRule="exact"/>
              <w:ind w:firstLine="480" w:firstLineChars="200"/>
              <w:jc w:val="left"/>
              <w:rPr>
                <w:rFonts w:hint="eastAsia" w:cs="Times New Roman"/>
                <w:kern w:val="0"/>
                <w:sz w:val="24"/>
                <w:szCs w:val="24"/>
                <w:lang w:val="en-US" w:eastAsia="zh-CN"/>
              </w:rPr>
            </w:pPr>
          </w:p>
          <w:p>
            <w:pPr>
              <w:adjustRightInd w:val="0"/>
              <w:snapToGrid w:val="0"/>
              <w:spacing w:line="480" w:lineRule="exact"/>
              <w:ind w:firstLine="480" w:firstLineChars="200"/>
              <w:jc w:val="left"/>
              <w:rPr>
                <w:rFonts w:hint="eastAsia" w:cs="Times New Roman"/>
                <w:kern w:val="0"/>
                <w:sz w:val="24"/>
                <w:szCs w:val="24"/>
                <w:lang w:val="en-US" w:eastAsia="zh-CN"/>
              </w:rPr>
            </w:pPr>
          </w:p>
          <w:p>
            <w:pPr>
              <w:adjustRightInd w:val="0"/>
              <w:snapToGrid w:val="0"/>
              <w:spacing w:line="480" w:lineRule="exact"/>
              <w:ind w:firstLine="480" w:firstLineChars="200"/>
              <w:jc w:val="left"/>
              <w:rPr>
                <w:rFonts w:hint="eastAsia" w:cs="Times New Roman"/>
                <w:kern w:val="0"/>
                <w:sz w:val="24"/>
                <w:szCs w:val="24"/>
                <w:lang w:val="en-US" w:eastAsia="zh-CN"/>
              </w:rPr>
            </w:pPr>
          </w:p>
          <w:p>
            <w:pPr>
              <w:adjustRightInd w:val="0"/>
              <w:snapToGrid w:val="0"/>
              <w:spacing w:line="480" w:lineRule="exact"/>
              <w:ind w:firstLine="480" w:firstLineChars="200"/>
              <w:jc w:val="left"/>
              <w:rPr>
                <w:rFonts w:hint="eastAsia" w:cs="Times New Roman"/>
                <w:kern w:val="0"/>
                <w:sz w:val="24"/>
                <w:szCs w:val="24"/>
                <w:lang w:val="en-US" w:eastAsia="zh-CN"/>
              </w:rPr>
            </w:pPr>
            <w:r>
              <w:rPr>
                <w:rFonts w:hint="eastAsia" w:cs="Times New Roman"/>
                <w:kern w:val="0"/>
                <w:sz w:val="24"/>
                <w:szCs w:val="24"/>
                <w:lang w:val="en-US" w:eastAsia="zh-CN"/>
              </w:rPr>
              <w:t>无。</w:t>
            </w:r>
          </w:p>
          <w:p>
            <w:pPr>
              <w:adjustRightInd w:val="0"/>
              <w:snapToGrid w:val="0"/>
              <w:spacing w:line="480" w:lineRule="exact"/>
              <w:ind w:firstLine="480" w:firstLineChars="200"/>
              <w:jc w:val="left"/>
              <w:rPr>
                <w:rFonts w:hint="eastAsia" w:cs="Times New Roman"/>
                <w:kern w:val="0"/>
                <w:sz w:val="24"/>
                <w:szCs w:val="24"/>
                <w:lang w:val="en-US" w:eastAsia="zh-CN"/>
              </w:rPr>
            </w:pPr>
          </w:p>
          <w:p>
            <w:pPr>
              <w:adjustRightInd w:val="0"/>
              <w:snapToGrid w:val="0"/>
              <w:spacing w:line="480" w:lineRule="exact"/>
              <w:ind w:firstLine="480" w:firstLineChars="200"/>
              <w:jc w:val="left"/>
              <w:rPr>
                <w:rFonts w:hint="eastAsia" w:cs="Times New Roman"/>
                <w:kern w:val="0"/>
                <w:sz w:val="24"/>
                <w:szCs w:val="24"/>
                <w:lang w:val="en-US" w:eastAsia="zh-CN"/>
              </w:rPr>
            </w:pPr>
          </w:p>
          <w:p>
            <w:pPr>
              <w:adjustRightInd w:val="0"/>
              <w:snapToGrid w:val="0"/>
              <w:spacing w:line="480" w:lineRule="exact"/>
              <w:ind w:firstLine="480" w:firstLineChars="200"/>
              <w:jc w:val="left"/>
              <w:rPr>
                <w:rFonts w:hint="eastAsia" w:cs="Times New Roman"/>
                <w:kern w:val="0"/>
                <w:sz w:val="24"/>
                <w:szCs w:val="24"/>
                <w:lang w:val="en-US" w:eastAsia="zh-CN"/>
              </w:rPr>
            </w:pPr>
          </w:p>
          <w:p>
            <w:pPr>
              <w:adjustRightInd w:val="0"/>
              <w:snapToGrid w:val="0"/>
              <w:spacing w:line="480" w:lineRule="exact"/>
              <w:ind w:firstLine="480" w:firstLineChars="200"/>
              <w:jc w:val="left"/>
              <w:rPr>
                <w:rFonts w:hint="default" w:ascii="Times New Roman" w:hAnsi="Times New Roman" w:eastAsia="宋体" w:cs="Times New Roman"/>
                <w:kern w:val="0"/>
                <w:sz w:val="24"/>
                <w:szCs w:val="24"/>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134" w:hRule="atLeast"/>
        </w:trPr>
        <w:tc>
          <w:tcPr>
            <w:tcW w:w="487" w:type="dxa"/>
            <w:gridSpan w:val="2"/>
            <w:tcBorders>
              <w:top w:val="single" w:color="auto" w:sz="4" w:space="0"/>
              <w:left w:val="single" w:color="auto" w:sz="8" w:space="0"/>
              <w:bottom w:val="single" w:color="auto" w:sz="4" w:space="0"/>
              <w:right w:val="single" w:color="auto" w:sz="4" w:space="0"/>
            </w:tcBorders>
            <w:tcMar>
              <w:top w:w="16" w:type="dxa"/>
              <w:left w:w="16" w:type="dxa"/>
              <w:bottom w:w="0" w:type="dxa"/>
              <w:right w:w="16" w:type="dxa"/>
            </w:tcMar>
            <w:vAlign w:val="center"/>
          </w:tcPr>
          <w:p>
            <w:pPr>
              <w:adjustRightInd w:val="0"/>
              <w:snapToGrid w:val="0"/>
              <w:spacing w:line="360" w:lineRule="exact"/>
              <w:jc w:val="center"/>
              <w:rPr>
                <w:rFonts w:hint="default" w:ascii="Times New Roman" w:hAnsi="Times New Roman" w:cs="Times New Roman"/>
                <w:sz w:val="24"/>
                <w:szCs w:val="24"/>
              </w:rPr>
            </w:pPr>
            <w:r>
              <w:rPr>
                <w:rFonts w:hint="default" w:ascii="Times New Roman" w:hAnsi="Times New Roman" w:cs="Times New Roman"/>
                <w:sz w:val="24"/>
                <w:szCs w:val="24"/>
              </w:rPr>
              <w:t>规划及规划环境影响评价符合性分析</w:t>
            </w:r>
          </w:p>
        </w:tc>
        <w:tc>
          <w:tcPr>
            <w:tcW w:w="8954" w:type="dxa"/>
            <w:gridSpan w:val="4"/>
            <w:tcBorders>
              <w:top w:val="single" w:color="auto" w:sz="4" w:space="0"/>
              <w:left w:val="single" w:color="auto" w:sz="4" w:space="0"/>
              <w:bottom w:val="single" w:color="auto" w:sz="4" w:space="0"/>
              <w:right w:val="single" w:color="auto" w:sz="8" w:space="0"/>
            </w:tcBorders>
            <w:tcMar>
              <w:top w:w="16" w:type="dxa"/>
              <w:left w:w="16" w:type="dxa"/>
              <w:bottom w:w="0" w:type="dxa"/>
              <w:right w:w="16" w:type="dxa"/>
            </w:tcMar>
            <w:vAlign w:val="center"/>
          </w:tcPr>
          <w:p>
            <w:pPr>
              <w:autoSpaceDE w:val="0"/>
              <w:autoSpaceDN w:val="0"/>
              <w:adjustRightInd w:val="0"/>
              <w:snapToGrid w:val="0"/>
              <w:spacing w:line="480" w:lineRule="exact"/>
              <w:ind w:firstLine="480"/>
              <w:rPr>
                <w:rFonts w:hint="default" w:ascii="Times New Roman" w:hAnsi="Times New Roman" w:cs="Times New Roman"/>
                <w:b/>
                <w:bCs/>
                <w:kern w:val="0"/>
                <w:sz w:val="24"/>
                <w:szCs w:val="24"/>
                <w:lang w:val="en-US" w:eastAsia="zh-CN"/>
              </w:rPr>
            </w:pPr>
          </w:p>
          <w:p>
            <w:pPr>
              <w:autoSpaceDE w:val="0"/>
              <w:autoSpaceDN w:val="0"/>
              <w:adjustRightInd w:val="0"/>
              <w:snapToGrid w:val="0"/>
              <w:spacing w:line="480" w:lineRule="exact"/>
              <w:ind w:firstLine="480"/>
              <w:rPr>
                <w:rFonts w:hint="default" w:ascii="Times New Roman" w:hAnsi="Times New Roman" w:cs="Times New Roman"/>
                <w:b/>
                <w:bCs/>
                <w:kern w:val="0"/>
                <w:sz w:val="24"/>
                <w:szCs w:val="24"/>
                <w:lang w:val="en-US" w:eastAsia="zh-CN"/>
              </w:rPr>
            </w:pPr>
          </w:p>
          <w:p>
            <w:pPr>
              <w:autoSpaceDE w:val="0"/>
              <w:autoSpaceDN w:val="0"/>
              <w:adjustRightInd w:val="0"/>
              <w:snapToGrid w:val="0"/>
              <w:spacing w:line="480" w:lineRule="exact"/>
              <w:ind w:firstLine="480"/>
              <w:rPr>
                <w:rFonts w:hint="default" w:ascii="Times New Roman" w:hAnsi="Times New Roman" w:cs="Times New Roman"/>
                <w:b/>
                <w:bCs/>
                <w:kern w:val="0"/>
                <w:sz w:val="24"/>
                <w:szCs w:val="24"/>
                <w:lang w:val="en-US" w:eastAsia="zh-CN"/>
              </w:rPr>
            </w:pPr>
          </w:p>
          <w:p>
            <w:pPr>
              <w:autoSpaceDE w:val="0"/>
              <w:autoSpaceDN w:val="0"/>
              <w:adjustRightInd w:val="0"/>
              <w:snapToGrid w:val="0"/>
              <w:spacing w:line="480" w:lineRule="exact"/>
              <w:ind w:firstLine="480"/>
              <w:rPr>
                <w:rFonts w:hint="eastAsia" w:cs="Times New Roman"/>
                <w:kern w:val="0"/>
                <w:sz w:val="24"/>
                <w:szCs w:val="24"/>
                <w:lang w:val="en-US" w:eastAsia="zh-CN"/>
              </w:rPr>
            </w:pPr>
            <w:r>
              <w:rPr>
                <w:rFonts w:hint="default" w:ascii="Times New Roman" w:hAnsi="Times New Roman" w:cs="Times New Roman"/>
                <w:b/>
                <w:bCs/>
                <w:kern w:val="0"/>
                <w:sz w:val="24"/>
                <w:szCs w:val="24"/>
                <w:lang w:val="en-US" w:eastAsia="zh-CN"/>
              </w:rPr>
              <w:t>《五台县县城总体规划》（2012~2030）中</w:t>
            </w:r>
            <w:r>
              <w:rPr>
                <w:rFonts w:hint="eastAsia" w:cs="Times New Roman"/>
                <w:b/>
                <w:bCs/>
                <w:kern w:val="0"/>
                <w:sz w:val="24"/>
                <w:szCs w:val="24"/>
                <w:lang w:val="en-US" w:eastAsia="zh-CN"/>
              </w:rPr>
              <w:t>“</w:t>
            </w:r>
            <w:r>
              <w:rPr>
                <w:rFonts w:hint="default" w:ascii="Times New Roman" w:hAnsi="Times New Roman" w:cs="Times New Roman"/>
                <w:b/>
                <w:bCs/>
                <w:kern w:val="0"/>
                <w:sz w:val="24"/>
                <w:szCs w:val="24"/>
                <w:lang w:val="en-US" w:eastAsia="zh-CN"/>
              </w:rPr>
              <w:t>道路交通规划</w:t>
            </w:r>
            <w:r>
              <w:rPr>
                <w:rFonts w:hint="eastAsia" w:cs="Times New Roman"/>
                <w:b/>
                <w:bCs/>
                <w:kern w:val="0"/>
                <w:sz w:val="24"/>
                <w:szCs w:val="24"/>
                <w:lang w:val="en-US" w:eastAsia="zh-CN"/>
              </w:rPr>
              <w:t>”的符合性分析：</w:t>
            </w:r>
          </w:p>
          <w:p>
            <w:pPr>
              <w:autoSpaceDE w:val="0"/>
              <w:autoSpaceDN w:val="0"/>
              <w:adjustRightInd w:val="0"/>
              <w:snapToGrid w:val="0"/>
              <w:spacing w:line="480" w:lineRule="exact"/>
              <w:ind w:firstLine="480"/>
              <w:rPr>
                <w:rFonts w:hint="eastAsia"/>
                <w:kern w:val="0"/>
                <w:sz w:val="24"/>
                <w:lang w:val="en-US" w:eastAsia="zh-CN"/>
              </w:rPr>
            </w:pPr>
            <w:r>
              <w:rPr>
                <w:rFonts w:hint="eastAsia"/>
                <w:b/>
                <w:bCs/>
                <w:kern w:val="0"/>
                <w:sz w:val="24"/>
                <w:lang w:val="en-US" w:eastAsia="zh-CN"/>
              </w:rPr>
              <w:t>东外环路：</w:t>
            </w:r>
            <w:r>
              <w:rPr>
                <w:rFonts w:hint="eastAsia"/>
                <w:b w:val="0"/>
                <w:bCs w:val="0"/>
                <w:kern w:val="0"/>
                <w:sz w:val="24"/>
                <w:lang w:val="en-US" w:eastAsia="zh-CN"/>
              </w:rPr>
              <w:t>现</w:t>
            </w:r>
            <w:r>
              <w:rPr>
                <w:rFonts w:hint="eastAsia"/>
                <w:kern w:val="0"/>
                <w:sz w:val="24"/>
                <w:lang w:val="en-US" w:eastAsia="zh-CN"/>
              </w:rPr>
              <w:t>有</w:t>
            </w:r>
            <w:r>
              <w:rPr>
                <w:rFonts w:hint="eastAsia" w:cs="Times New Roman"/>
                <w:kern w:val="0"/>
                <w:sz w:val="24"/>
                <w:szCs w:val="24"/>
                <w:lang w:val="en-US" w:eastAsia="zh-CN"/>
              </w:rPr>
              <w:t>东外环路作为城南区对外交通的一条主要通道，是规划路网中的一环；现有东外环路为南北走向，城市主干路；东外环路作为五台县城对外交通的主要交通要道，现状道路宽度较窄，随着五台县经济社会发展，交通量需求必将大大增加，现状道路不能满足交通需求。东外环路作为城南新区对外交通的一条主要通道，它的改扩建将大大缓解五台县对外的交通压力</w:t>
            </w:r>
            <w:r>
              <w:rPr>
                <w:rFonts w:hint="eastAsia" w:cs="Times New Roman"/>
                <w:color w:val="auto"/>
                <w:kern w:val="0"/>
                <w:sz w:val="24"/>
                <w:szCs w:val="24"/>
                <w:lang w:val="en-US" w:eastAsia="zh-CN"/>
              </w:rPr>
              <w:t>；同时道路两侧主要为农田，涉及拆迁量少，拆迁成本较低，对沿线居民及社会造成影响较小。</w:t>
            </w:r>
          </w:p>
          <w:p>
            <w:pPr>
              <w:autoSpaceDE w:val="0"/>
              <w:autoSpaceDN w:val="0"/>
              <w:adjustRightInd w:val="0"/>
              <w:snapToGrid w:val="0"/>
              <w:spacing w:line="480" w:lineRule="exact"/>
              <w:ind w:firstLine="480"/>
              <w:rPr>
                <w:rFonts w:hint="eastAsia"/>
                <w:b w:val="0"/>
                <w:bCs w:val="0"/>
                <w:kern w:val="0"/>
                <w:sz w:val="24"/>
                <w:lang w:val="en-US" w:eastAsia="zh-CN"/>
              </w:rPr>
            </w:pPr>
            <w:r>
              <w:rPr>
                <w:rFonts w:hint="eastAsia"/>
                <w:b/>
                <w:bCs/>
                <w:kern w:val="0"/>
                <w:sz w:val="24"/>
                <w:lang w:val="en-US" w:eastAsia="zh-CN"/>
              </w:rPr>
              <w:t>文昌路：</w:t>
            </w:r>
            <w:r>
              <w:rPr>
                <w:rFonts w:hint="eastAsia"/>
                <w:b w:val="0"/>
                <w:bCs w:val="0"/>
                <w:kern w:val="0"/>
                <w:sz w:val="24"/>
                <w:lang w:val="en-US" w:eastAsia="zh-CN"/>
              </w:rPr>
              <w:t>文昌路既是中心城区南北向的主要道路，也是城北新区的一条环湖道路，是规划路网中的一纵；</w:t>
            </w:r>
            <w:r>
              <w:rPr>
                <w:rFonts w:hint="eastAsia" w:cs="Times New Roman"/>
                <w:kern w:val="0"/>
                <w:sz w:val="24"/>
                <w:szCs w:val="24"/>
                <w:lang w:val="en-US" w:eastAsia="zh-CN"/>
              </w:rPr>
              <w:t>现有</w:t>
            </w:r>
            <w:r>
              <w:rPr>
                <w:rFonts w:hint="eastAsia"/>
                <w:b w:val="0"/>
                <w:bCs w:val="0"/>
                <w:kern w:val="0"/>
                <w:sz w:val="24"/>
                <w:lang w:val="en-US" w:eastAsia="zh-CN"/>
              </w:rPr>
              <w:t>文昌路</w:t>
            </w:r>
            <w:r>
              <w:rPr>
                <w:rFonts w:hint="eastAsia" w:cs="Times New Roman"/>
                <w:kern w:val="0"/>
                <w:sz w:val="24"/>
                <w:szCs w:val="24"/>
                <w:lang w:val="en-US" w:eastAsia="zh-CN"/>
              </w:rPr>
              <w:t>为南北走向，城市主干路；</w:t>
            </w:r>
            <w:r>
              <w:rPr>
                <w:rFonts w:hint="eastAsia"/>
                <w:b w:val="0"/>
                <w:bCs w:val="0"/>
                <w:kern w:val="0"/>
                <w:sz w:val="24"/>
                <w:lang w:val="en-US" w:eastAsia="zh-CN"/>
              </w:rPr>
              <w:t>文昌路环唐家湾水库段作为唐家湾水库的西环路，现状路面破坏严重，坑洼不平，路面较窄且弯多，行车视线不好，急需裁弯取直，扩宽路面；文昌路沿湖而建，可作为景观大道，供游人通行，社会经济效益明显。</w:t>
            </w:r>
          </w:p>
          <w:p>
            <w:pPr>
              <w:autoSpaceDE w:val="0"/>
              <w:autoSpaceDN w:val="0"/>
              <w:adjustRightInd w:val="0"/>
              <w:snapToGrid w:val="0"/>
              <w:spacing w:line="480" w:lineRule="exact"/>
              <w:ind w:firstLine="480"/>
              <w:rPr>
                <w:rFonts w:hint="eastAsia"/>
                <w:kern w:val="0"/>
                <w:sz w:val="24"/>
                <w:lang w:val="en-US" w:eastAsia="zh-CN"/>
              </w:rPr>
            </w:pPr>
            <w:r>
              <w:rPr>
                <w:rFonts w:hint="eastAsia"/>
                <w:b/>
                <w:bCs/>
                <w:kern w:val="0"/>
                <w:sz w:val="24"/>
                <w:lang w:val="en-US" w:eastAsia="zh-CN"/>
              </w:rPr>
              <w:t>湖滨大街：</w:t>
            </w:r>
            <w:r>
              <w:rPr>
                <w:rFonts w:hint="eastAsia" w:cs="Times New Roman"/>
                <w:kern w:val="0"/>
                <w:sz w:val="24"/>
                <w:szCs w:val="24"/>
                <w:lang w:val="en-US" w:eastAsia="zh-CN"/>
              </w:rPr>
              <w:t>湖滨大街作为中心城区东西向的主要通道，是规划路网中的一横；现有湖滨大街为东西走向，城市主干路；湖滨大街西延作为湖滨大街向西的延伸段，一直因为唐家湾村的拆迁而使湖滨大街多年形成断头路；它的建设将打通湖滨大街与文昌路的连接，和文昌路一起形成中心城区的环湖道路。</w:t>
            </w:r>
          </w:p>
          <w:p>
            <w:pPr>
              <w:autoSpaceDE w:val="0"/>
              <w:autoSpaceDN w:val="0"/>
              <w:adjustRightInd w:val="0"/>
              <w:snapToGrid w:val="0"/>
              <w:spacing w:line="480" w:lineRule="exact"/>
              <w:ind w:firstLine="480"/>
              <w:rPr>
                <w:rFonts w:hint="default" w:eastAsia="宋体" w:cs="Times New Roman"/>
                <w:kern w:val="0"/>
                <w:sz w:val="24"/>
                <w:szCs w:val="24"/>
                <w:lang w:val="en-US" w:eastAsia="zh-CN"/>
              </w:rPr>
            </w:pPr>
            <w:r>
              <w:rPr>
                <w:rFonts w:hint="eastAsia"/>
                <w:kern w:val="0"/>
                <w:sz w:val="24"/>
                <w:lang w:val="en-US" w:eastAsia="zh-CN"/>
              </w:rPr>
              <w:t>本项目</w:t>
            </w:r>
            <w:r>
              <w:rPr>
                <w:rFonts w:hint="default" w:ascii="Times New Roman" w:hAnsi="Times New Roman" w:cs="Times New Roman"/>
                <w:sz w:val="24"/>
                <w:szCs w:val="24"/>
              </w:rPr>
              <w:t>湖滨大街西延等三条道路</w:t>
            </w:r>
            <w:r>
              <w:rPr>
                <w:rFonts w:hint="eastAsia"/>
                <w:kern w:val="0"/>
                <w:sz w:val="24"/>
                <w:lang w:val="en-US" w:eastAsia="zh-CN"/>
              </w:rPr>
              <w:t>均是五台县路网中的主要骨架，</w:t>
            </w:r>
            <w:r>
              <w:rPr>
                <w:rFonts w:hint="eastAsia" w:cs="Times New Roman"/>
                <w:kern w:val="0"/>
                <w:sz w:val="24"/>
                <w:szCs w:val="24"/>
                <w:lang w:val="en-US" w:eastAsia="zh-CN"/>
              </w:rPr>
              <w:t>本项目的实施将促进</w:t>
            </w:r>
            <w:r>
              <w:rPr>
                <w:rFonts w:hint="default" w:ascii="Times New Roman" w:hAnsi="Times New Roman" w:cs="Times New Roman"/>
                <w:kern w:val="0"/>
                <w:sz w:val="24"/>
                <w:szCs w:val="24"/>
                <w:lang w:val="en-US" w:eastAsia="zh-CN"/>
              </w:rPr>
              <w:t>《五台县县城总体规划》（2012~2030）中</w:t>
            </w:r>
            <w:r>
              <w:rPr>
                <w:rFonts w:hint="eastAsia" w:cs="Times New Roman"/>
                <w:kern w:val="0"/>
                <w:sz w:val="24"/>
                <w:szCs w:val="24"/>
                <w:lang w:val="en-US" w:eastAsia="zh-CN"/>
              </w:rPr>
              <w:t>“</w:t>
            </w:r>
            <w:r>
              <w:rPr>
                <w:rFonts w:hint="default" w:ascii="Times New Roman" w:hAnsi="Times New Roman" w:cs="Times New Roman"/>
                <w:kern w:val="0"/>
                <w:sz w:val="24"/>
                <w:szCs w:val="24"/>
                <w:lang w:val="en-US" w:eastAsia="zh-CN"/>
              </w:rPr>
              <w:t>道路交通规划</w:t>
            </w:r>
            <w:r>
              <w:rPr>
                <w:rFonts w:hint="eastAsia" w:cs="Times New Roman"/>
                <w:kern w:val="0"/>
                <w:sz w:val="24"/>
                <w:szCs w:val="24"/>
                <w:lang w:val="en-US" w:eastAsia="zh-CN"/>
              </w:rPr>
              <w:t>”的实施，项目建设完成后对五台县中心城区道路网的完善具有重要意义。</w:t>
            </w:r>
            <w:r>
              <w:rPr>
                <w:rFonts w:hint="default" w:ascii="Times New Roman" w:hAnsi="Times New Roman" w:cs="Times New Roman"/>
                <w:sz w:val="24"/>
                <w:szCs w:val="24"/>
              </w:rPr>
              <w:t>湖滨大街西延等三条道路</w:t>
            </w:r>
            <w:r>
              <w:rPr>
                <w:rFonts w:hint="eastAsia" w:ascii="Times New Roman" w:hAnsi="Times New Roman" w:cs="Times New Roman"/>
                <w:sz w:val="24"/>
                <w:szCs w:val="24"/>
                <w:lang w:val="en-US" w:eastAsia="zh-CN"/>
              </w:rPr>
              <w:t>已列入正在编制的国土空间规划。</w:t>
            </w:r>
          </w:p>
          <w:p>
            <w:pPr>
              <w:autoSpaceDE w:val="0"/>
              <w:autoSpaceDN w:val="0"/>
              <w:adjustRightInd w:val="0"/>
              <w:snapToGrid w:val="0"/>
              <w:spacing w:line="480" w:lineRule="exact"/>
              <w:ind w:firstLine="480" w:firstLineChars="200"/>
              <w:rPr>
                <w:rFonts w:hint="eastAsia" w:cs="Times New Roman"/>
                <w:kern w:val="0"/>
                <w:sz w:val="24"/>
                <w:szCs w:val="24"/>
                <w:lang w:val="en-US" w:eastAsia="zh-CN"/>
              </w:rPr>
            </w:pPr>
            <w:r>
              <w:rPr>
                <w:rFonts w:hint="eastAsia" w:cs="Times New Roman"/>
                <w:kern w:val="0"/>
                <w:sz w:val="24"/>
                <w:szCs w:val="24"/>
                <w:lang w:val="en-US" w:eastAsia="zh-CN"/>
              </w:rPr>
              <w:t>本项目在五台县道路规划中的位置见下图。</w:t>
            </w:r>
          </w:p>
          <w:p>
            <w:pPr>
              <w:autoSpaceDE w:val="0"/>
              <w:autoSpaceDN w:val="0"/>
              <w:adjustRightInd w:val="0"/>
              <w:snapToGrid w:val="0"/>
              <w:spacing w:line="480" w:lineRule="exact"/>
              <w:ind w:firstLine="480" w:firstLineChars="200"/>
              <w:rPr>
                <w:rFonts w:hint="eastAsia" w:cs="Times New Roman"/>
                <w:kern w:val="0"/>
                <w:sz w:val="24"/>
                <w:szCs w:val="24"/>
                <w:lang w:val="en-US" w:eastAsia="zh-CN"/>
              </w:rPr>
            </w:pPr>
          </w:p>
          <w:p>
            <w:pPr>
              <w:autoSpaceDE w:val="0"/>
              <w:autoSpaceDN w:val="0"/>
              <w:adjustRightInd w:val="0"/>
              <w:snapToGrid w:val="0"/>
              <w:spacing w:line="480" w:lineRule="exact"/>
              <w:ind w:firstLine="480" w:firstLineChars="200"/>
              <w:rPr>
                <w:rFonts w:hint="eastAsia" w:cs="Times New Roman"/>
                <w:kern w:val="0"/>
                <w:sz w:val="24"/>
                <w:szCs w:val="24"/>
                <w:lang w:val="en-US" w:eastAsia="zh-CN"/>
              </w:rPr>
            </w:pPr>
          </w:p>
          <w:p>
            <w:pPr>
              <w:autoSpaceDE w:val="0"/>
              <w:autoSpaceDN w:val="0"/>
              <w:adjustRightInd w:val="0"/>
              <w:snapToGrid w:val="0"/>
              <w:spacing w:line="480" w:lineRule="exact"/>
              <w:ind w:firstLine="480" w:firstLineChars="200"/>
              <w:rPr>
                <w:rFonts w:hint="eastAsia" w:cs="Times New Roman"/>
                <w:kern w:val="0"/>
                <w:sz w:val="24"/>
                <w:szCs w:val="24"/>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kern w:val="0"/>
                <w:sz w:val="24"/>
                <w:szCs w:val="24"/>
              </w:rPr>
            </w:pPr>
            <w:r>
              <w:rPr>
                <w:sz w:val="21"/>
              </w:rPr>
              <mc:AlternateContent>
                <mc:Choice Requires="wps">
                  <w:drawing>
                    <wp:anchor distT="0" distB="0" distL="114300" distR="114300" simplePos="0" relativeHeight="251661312" behindDoc="0" locked="0" layoutInCell="1" allowOverlap="1">
                      <wp:simplePos x="0" y="0"/>
                      <wp:positionH relativeFrom="column">
                        <wp:posOffset>184785</wp:posOffset>
                      </wp:positionH>
                      <wp:positionV relativeFrom="paragraph">
                        <wp:posOffset>4349750</wp:posOffset>
                      </wp:positionV>
                      <wp:extent cx="889635" cy="297180"/>
                      <wp:effectExtent l="6350" t="732790" r="856615" b="17780"/>
                      <wp:wrapNone/>
                      <wp:docPr id="65" name="线形标注 2 65"/>
                      <wp:cNvGraphicFramePr/>
                      <a:graphic xmlns:a="http://schemas.openxmlformats.org/drawingml/2006/main">
                        <a:graphicData uri="http://schemas.microsoft.com/office/word/2010/wordprocessingShape">
                          <wps:wsp>
                            <wps:cNvSpPr/>
                            <wps:spPr>
                              <a:xfrm flipH="1">
                                <a:off x="0" y="0"/>
                                <a:ext cx="889635" cy="297180"/>
                              </a:xfrm>
                              <a:prstGeom prst="borderCallout2">
                                <a:avLst>
                                  <a:gd name="adj1" fmla="val 18750"/>
                                  <a:gd name="adj2" fmla="val -8333"/>
                                  <a:gd name="adj3" fmla="val 18750"/>
                                  <a:gd name="adj4" fmla="val -16667"/>
                                  <a:gd name="adj5" fmla="val -245085"/>
                                  <a:gd name="adj6" fmla="val -94503"/>
                                </a:avLst>
                              </a:prstGeom>
                              <a:noFill/>
                              <a:ln>
                                <a:solidFill>
                                  <a:srgbClr val="010EBD"/>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eastAsia="宋体"/>
                                      <w:color w:val="0000FF"/>
                                      <w:lang w:val="en-US" w:eastAsia="zh-CN"/>
                                    </w:rPr>
                                  </w:pPr>
                                  <w:r>
                                    <w:rPr>
                                      <w:rFonts w:hint="eastAsia"/>
                                      <w:b/>
                                      <w:bCs/>
                                      <w:color w:val="0000FF"/>
                                      <w:lang w:val="en-US" w:eastAsia="zh-CN"/>
                                    </w:rPr>
                                    <w:t>现有文昌路</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8" type="#_x0000_t48" style="position:absolute;left:0pt;flip:x;margin-left:14.55pt;margin-top:342.5pt;height:23.4pt;width:70.05pt;z-index:251661312;v-text-anchor:middle;mso-width-relative:page;mso-height-relative:page;" filled="f" stroked="t" coordsize="21600,21600" o:gfxdata="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" adj="-20413,-52938,-3600,4050,-1800,4050">
                      <v:fill on="f" focussize="0,0"/>
                      <v:stroke weight="1pt" color="#010EBD [3204]" miterlimit="8" joinstyle="miter"/>
                      <v:imagedata o:title=""/>
                      <o:lock v:ext="edit" aspectratio="f"/>
                      <v:textbox>
                        <w:txbxContent>
                          <w:p>
                            <w:pPr>
                              <w:jc w:val="center"/>
                              <w:rPr>
                                <w:rFonts w:hint="default" w:eastAsia="宋体"/>
                                <w:color w:val="0000FF"/>
                                <w:lang w:val="en-US" w:eastAsia="zh-CN"/>
                              </w:rPr>
                            </w:pPr>
                            <w:r>
                              <w:rPr>
                                <w:rFonts w:hint="eastAsia"/>
                                <w:b/>
                                <w:bCs/>
                                <w:color w:val="0000FF"/>
                                <w:lang w:val="en-US" w:eastAsia="zh-CN"/>
                              </w:rPr>
                              <w:t>现有文昌路</w:t>
                            </w:r>
                          </w:p>
                        </w:txbxContent>
                      </v:textbox>
                    </v:shape>
                  </w:pict>
                </mc:Fallback>
              </mc:AlternateContent>
            </w:r>
            <w:r>
              <w:rPr>
                <w:sz w:val="21"/>
              </w:rPr>
              <mc:AlternateContent>
                <mc:Choice Requires="wps">
                  <w:drawing>
                    <wp:anchor distT="0" distB="0" distL="114300" distR="114300" simplePos="0" relativeHeight="251660288" behindDoc="0" locked="0" layoutInCell="1" allowOverlap="1">
                      <wp:simplePos x="0" y="0"/>
                      <wp:positionH relativeFrom="column">
                        <wp:posOffset>1717040</wp:posOffset>
                      </wp:positionH>
                      <wp:positionV relativeFrom="paragraph">
                        <wp:posOffset>601345</wp:posOffset>
                      </wp:positionV>
                      <wp:extent cx="1068705" cy="479425"/>
                      <wp:effectExtent l="651510" t="6350" r="13335" b="1323975"/>
                      <wp:wrapNone/>
                      <wp:docPr id="62" name="线形标注 2 62"/>
                      <wp:cNvGraphicFramePr/>
                      <a:graphic xmlns:a="http://schemas.openxmlformats.org/drawingml/2006/main">
                        <a:graphicData uri="http://schemas.microsoft.com/office/word/2010/wordprocessingShape">
                          <wps:wsp>
                            <wps:cNvSpPr/>
                            <wps:spPr>
                              <a:xfrm>
                                <a:off x="0" y="0"/>
                                <a:ext cx="1068705" cy="479425"/>
                              </a:xfrm>
                              <a:prstGeom prst="borderCallout2">
                                <a:avLst>
                                  <a:gd name="adj1" fmla="val 18750"/>
                                  <a:gd name="adj2" fmla="val -8333"/>
                                  <a:gd name="adj3" fmla="val 18750"/>
                                  <a:gd name="adj4" fmla="val -16667"/>
                                  <a:gd name="adj5" fmla="val 374304"/>
                                  <a:gd name="adj6" fmla="val -60368"/>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eastAsia="宋体"/>
                                      <w:color w:val="FF0000"/>
                                      <w:lang w:val="en-US" w:eastAsia="zh-CN"/>
                                    </w:rPr>
                                  </w:pPr>
                                  <w:r>
                                    <w:rPr>
                                      <w:rFonts w:hint="eastAsia"/>
                                      <w:b/>
                                      <w:bCs/>
                                      <w:color w:val="FF0000"/>
                                      <w:lang w:val="en-US" w:eastAsia="zh-CN"/>
                                    </w:rPr>
                                    <w:t>本次新建湖滨大街西延</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8" type="#_x0000_t48" style="position:absolute;left:0pt;margin-left:135.2pt;margin-top:47.35pt;height:37.75pt;width:84.15pt;z-index:251660288;v-text-anchor:middle;mso-width-relative:page;mso-height-relative:page;" filled="f" stroked="t" coordsize="21600,21600" o:gfxdata="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" adj="-13039,80850,-3600,4050,-1800,4050">
                      <v:fill on="f" focussize="0,0"/>
                      <v:stroke weight="1pt" color="#FF0000 [3204]" miterlimit="8" joinstyle="miter"/>
                      <v:imagedata o:title=""/>
                      <o:lock v:ext="edit" aspectratio="f"/>
                      <v:textbox>
                        <w:txbxContent>
                          <w:p>
                            <w:pPr>
                              <w:jc w:val="center"/>
                              <w:rPr>
                                <w:rFonts w:hint="default" w:eastAsia="宋体"/>
                                <w:color w:val="FF0000"/>
                                <w:lang w:val="en-US" w:eastAsia="zh-CN"/>
                              </w:rPr>
                            </w:pPr>
                            <w:r>
                              <w:rPr>
                                <w:rFonts w:hint="eastAsia"/>
                                <w:b/>
                                <w:bCs/>
                                <w:color w:val="FF0000"/>
                                <w:lang w:val="en-US" w:eastAsia="zh-CN"/>
                              </w:rPr>
                              <w:t>本次新建湖滨大街西延</w:t>
                            </w:r>
                          </w:p>
                        </w:txbxContent>
                      </v:textbox>
                    </v:shape>
                  </w:pict>
                </mc:Fallback>
              </mc:AlternateContent>
            </w:r>
            <w:r>
              <w:rPr>
                <w:sz w:val="21"/>
              </w:rPr>
              <mc:AlternateContent>
                <mc:Choice Requires="wps">
                  <w:drawing>
                    <wp:anchor distT="0" distB="0" distL="114300" distR="114300" simplePos="0" relativeHeight="251659264" behindDoc="0" locked="0" layoutInCell="1" allowOverlap="1">
                      <wp:simplePos x="0" y="0"/>
                      <wp:positionH relativeFrom="column">
                        <wp:posOffset>3343275</wp:posOffset>
                      </wp:positionH>
                      <wp:positionV relativeFrom="paragraph">
                        <wp:posOffset>1096010</wp:posOffset>
                      </wp:positionV>
                      <wp:extent cx="1068705" cy="297815"/>
                      <wp:effectExtent l="819785" t="6350" r="16510" b="800735"/>
                      <wp:wrapNone/>
                      <wp:docPr id="61" name="线形标注 2 61"/>
                      <wp:cNvGraphicFramePr/>
                      <a:graphic xmlns:a="http://schemas.openxmlformats.org/drawingml/2006/main">
                        <a:graphicData uri="http://schemas.microsoft.com/office/word/2010/wordprocessingShape">
                          <wps:wsp>
                            <wps:cNvSpPr/>
                            <wps:spPr>
                              <a:xfrm>
                                <a:off x="4147185" y="3576320"/>
                                <a:ext cx="1068705" cy="297815"/>
                              </a:xfrm>
                              <a:prstGeom prst="borderCallout2">
                                <a:avLst>
                                  <a:gd name="adj1" fmla="val 18750"/>
                                  <a:gd name="adj2" fmla="val -8333"/>
                                  <a:gd name="adj3" fmla="val 18750"/>
                                  <a:gd name="adj4" fmla="val -16667"/>
                                  <a:gd name="adj5" fmla="val 367377"/>
                                  <a:gd name="adj6" fmla="val -76173"/>
                                </a:avLst>
                              </a:prstGeom>
                              <a:noFill/>
                              <a:ln>
                                <a:solidFill>
                                  <a:srgbClr val="010EBD"/>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eastAsia="宋体"/>
                                      <w:color w:val="0000FF"/>
                                      <w:lang w:val="en-US" w:eastAsia="zh-CN"/>
                                    </w:rPr>
                                  </w:pPr>
                                  <w:r>
                                    <w:rPr>
                                      <w:rFonts w:hint="eastAsia"/>
                                      <w:b/>
                                      <w:bCs/>
                                      <w:color w:val="0000FF"/>
                                      <w:lang w:val="en-US" w:eastAsia="zh-CN"/>
                                    </w:rPr>
                                    <w:t>现有湖滨大街</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8" type="#_x0000_t48" style="position:absolute;left:0pt;margin-left:263.25pt;margin-top:86.3pt;height:23.45pt;width:84.15pt;z-index:251659264;v-text-anchor:middle;mso-width-relative:page;mso-height-relative:page;" filled="f" stroked="t" coordsize="21600,21600" o:gfxdata="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" adj="-16453,79353,-3600,4050,-1800,4050">
                      <v:fill on="f" focussize="0,0"/>
                      <v:stroke weight="1pt" color="#010EBD [3204]" miterlimit="8" joinstyle="miter"/>
                      <v:imagedata o:title=""/>
                      <o:lock v:ext="edit" aspectratio="f"/>
                      <v:textbox>
                        <w:txbxContent>
                          <w:p>
                            <w:pPr>
                              <w:jc w:val="center"/>
                              <w:rPr>
                                <w:rFonts w:hint="default" w:eastAsia="宋体"/>
                                <w:color w:val="0000FF"/>
                                <w:lang w:val="en-US" w:eastAsia="zh-CN"/>
                              </w:rPr>
                            </w:pPr>
                            <w:r>
                              <w:rPr>
                                <w:rFonts w:hint="eastAsia"/>
                                <w:b/>
                                <w:bCs/>
                                <w:color w:val="0000FF"/>
                                <w:lang w:val="en-US" w:eastAsia="zh-CN"/>
                              </w:rPr>
                              <w:t>现有湖滨大街</w:t>
                            </w:r>
                          </w:p>
                        </w:txbxContent>
                      </v:textbox>
                    </v:shape>
                  </w:pict>
                </mc:Fallback>
              </mc:AlternateContent>
            </w:r>
            <w:r>
              <w:rPr>
                <w:sz w:val="21"/>
              </w:rPr>
              <mc:AlternateContent>
                <mc:Choice Requires="wps">
                  <w:drawing>
                    <wp:anchor distT="0" distB="0" distL="114300" distR="114300" simplePos="0" relativeHeight="251662336" behindDoc="0" locked="0" layoutInCell="1" allowOverlap="1">
                      <wp:simplePos x="0" y="0"/>
                      <wp:positionH relativeFrom="column">
                        <wp:posOffset>189865</wp:posOffset>
                      </wp:positionH>
                      <wp:positionV relativeFrom="paragraph">
                        <wp:posOffset>2924810</wp:posOffset>
                      </wp:positionV>
                      <wp:extent cx="773430" cy="491490"/>
                      <wp:effectExtent l="6350" t="302895" r="248920" b="24765"/>
                      <wp:wrapNone/>
                      <wp:docPr id="66" name="线形标注 2 66"/>
                      <wp:cNvGraphicFramePr/>
                      <a:graphic xmlns:a="http://schemas.openxmlformats.org/drawingml/2006/main">
                        <a:graphicData uri="http://schemas.microsoft.com/office/word/2010/wordprocessingShape">
                          <wps:wsp>
                            <wps:cNvSpPr/>
                            <wps:spPr>
                              <a:xfrm flipH="1">
                                <a:off x="0" y="0"/>
                                <a:ext cx="773430" cy="491490"/>
                              </a:xfrm>
                              <a:prstGeom prst="borderCallout2">
                                <a:avLst>
                                  <a:gd name="adj1" fmla="val 18750"/>
                                  <a:gd name="adj2" fmla="val -8333"/>
                                  <a:gd name="adj3" fmla="val 18750"/>
                                  <a:gd name="adj4" fmla="val -16667"/>
                                  <a:gd name="adj5" fmla="val -61369"/>
                                  <a:gd name="adj6" fmla="val -29556"/>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eastAsia="宋体"/>
                                      <w:color w:val="FF0000"/>
                                      <w:lang w:val="en-US" w:eastAsia="zh-CN"/>
                                    </w:rPr>
                                  </w:pPr>
                                  <w:r>
                                    <w:rPr>
                                      <w:rFonts w:hint="eastAsia"/>
                                      <w:b/>
                                      <w:bCs/>
                                      <w:color w:val="FF0000"/>
                                      <w:lang w:val="en-US" w:eastAsia="zh-CN"/>
                                    </w:rPr>
                                    <w:t>本次改建文昌路</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8" type="#_x0000_t48" style="position:absolute;left:0pt;flip:x;margin-left:14.95pt;margin-top:230.3pt;height:38.7pt;width:60.9pt;z-index:251662336;v-text-anchor:middle;mso-width-relative:page;mso-height-relative:page;" filled="f" stroked="t" coordsize="21600,21600" o:gfxdata="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" adj="-6384,-13256,-3600,4050,-1800,4050">
                      <v:fill on="f" focussize="0,0"/>
                      <v:stroke weight="1pt" color="#FF0000 [3204]" miterlimit="8" joinstyle="miter"/>
                      <v:imagedata o:title=""/>
                      <o:lock v:ext="edit" aspectratio="f"/>
                      <v:textbox>
                        <w:txbxContent>
                          <w:p>
                            <w:pPr>
                              <w:jc w:val="center"/>
                              <w:rPr>
                                <w:rFonts w:hint="default" w:eastAsia="宋体"/>
                                <w:color w:val="FF0000"/>
                                <w:lang w:val="en-US" w:eastAsia="zh-CN"/>
                              </w:rPr>
                            </w:pPr>
                            <w:r>
                              <w:rPr>
                                <w:rFonts w:hint="eastAsia"/>
                                <w:b/>
                                <w:bCs/>
                                <w:color w:val="FF0000"/>
                                <w:lang w:val="en-US" w:eastAsia="zh-CN"/>
                              </w:rPr>
                              <w:t>本次改建文昌路</w:t>
                            </w:r>
                          </w:p>
                        </w:txbxContent>
                      </v:textbox>
                    </v:shape>
                  </w:pict>
                </mc:Fallback>
              </mc:AlternateContent>
            </w:r>
            <w:r>
              <w:rPr>
                <w:sz w:val="21"/>
              </w:rPr>
              <mc:AlternateContent>
                <mc:Choice Requires="wps">
                  <w:drawing>
                    <wp:anchor distT="0" distB="0" distL="114300" distR="114300" simplePos="0" relativeHeight="251742208" behindDoc="0" locked="0" layoutInCell="1" allowOverlap="1">
                      <wp:simplePos x="0" y="0"/>
                      <wp:positionH relativeFrom="column">
                        <wp:posOffset>879475</wp:posOffset>
                      </wp:positionH>
                      <wp:positionV relativeFrom="paragraph">
                        <wp:posOffset>2421255</wp:posOffset>
                      </wp:positionV>
                      <wp:extent cx="972185" cy="641985"/>
                      <wp:effectExtent l="11430" t="3175" r="26035" b="21590"/>
                      <wp:wrapNone/>
                      <wp:docPr id="229" name="任意多边形 229"/>
                      <wp:cNvGraphicFramePr/>
                      <a:graphic xmlns:a="http://schemas.openxmlformats.org/drawingml/2006/main">
                        <a:graphicData uri="http://schemas.microsoft.com/office/word/2010/wordprocessingShape">
                          <wps:wsp>
                            <wps:cNvSpPr/>
                            <wps:spPr>
                              <a:xfrm>
                                <a:off x="1981835" y="3510280"/>
                                <a:ext cx="972185" cy="641985"/>
                              </a:xfrm>
                              <a:custGeom>
                                <a:avLst/>
                                <a:gdLst>
                                  <a:gd name="connisteX0" fmla="*/ 972380 w 972380"/>
                                  <a:gd name="connsiteY0" fmla="*/ 641985 h 641985"/>
                                  <a:gd name="connisteX1" fmla="*/ 943805 w 972380"/>
                                  <a:gd name="connsiteY1" fmla="*/ 579755 h 641985"/>
                                  <a:gd name="connisteX2" fmla="*/ 860620 w 972380"/>
                                  <a:gd name="connsiteY2" fmla="*/ 518160 h 641985"/>
                                  <a:gd name="connisteX3" fmla="*/ 451045 w 972380"/>
                                  <a:gd name="connsiteY3" fmla="*/ 240665 h 641985"/>
                                  <a:gd name="connisteX4" fmla="*/ 338650 w 972380"/>
                                  <a:gd name="connsiteY4" fmla="*/ 198755 h 641985"/>
                                  <a:gd name="connisteX5" fmla="*/ 256100 w 972380"/>
                                  <a:gd name="connsiteY5" fmla="*/ 186690 h 641985"/>
                                  <a:gd name="connisteX6" fmla="*/ 144340 w 972380"/>
                                  <a:gd name="connsiteY6" fmla="*/ 137160 h 641985"/>
                                  <a:gd name="connisteX7" fmla="*/ 73855 w 972380"/>
                                  <a:gd name="connsiteY7" fmla="*/ 91440 h 641985"/>
                                  <a:gd name="connisteX8" fmla="*/ 7815 w 972380"/>
                                  <a:gd name="connsiteY8" fmla="*/ 29210 h 641985"/>
                                  <a:gd name="connisteX9" fmla="*/ 3370 w 972380"/>
                                  <a:gd name="connsiteY9" fmla="*/ 0 h 64198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Lst>
                                <a:rect l="l" t="t" r="r" b="b"/>
                                <a:pathLst>
                                  <a:path w="972380" h="641985">
                                    <a:moveTo>
                                      <a:pt x="972380" y="641985"/>
                                    </a:moveTo>
                                    <a:cubicBezTo>
                                      <a:pt x="968570" y="630555"/>
                                      <a:pt x="966030" y="604520"/>
                                      <a:pt x="943805" y="579755"/>
                                    </a:cubicBezTo>
                                    <a:cubicBezTo>
                                      <a:pt x="921580" y="554990"/>
                                      <a:pt x="959045" y="586105"/>
                                      <a:pt x="860620" y="518160"/>
                                    </a:cubicBezTo>
                                    <a:cubicBezTo>
                                      <a:pt x="762195" y="450215"/>
                                      <a:pt x="555185" y="304800"/>
                                      <a:pt x="451045" y="240665"/>
                                    </a:cubicBezTo>
                                    <a:cubicBezTo>
                                      <a:pt x="346905" y="176530"/>
                                      <a:pt x="377385" y="209550"/>
                                      <a:pt x="338650" y="198755"/>
                                    </a:cubicBezTo>
                                    <a:cubicBezTo>
                                      <a:pt x="299915" y="187960"/>
                                      <a:pt x="294835" y="198755"/>
                                      <a:pt x="256100" y="186690"/>
                                    </a:cubicBezTo>
                                    <a:cubicBezTo>
                                      <a:pt x="217365" y="174625"/>
                                      <a:pt x="180535" y="156210"/>
                                      <a:pt x="144340" y="137160"/>
                                    </a:cubicBezTo>
                                    <a:cubicBezTo>
                                      <a:pt x="108145" y="118110"/>
                                      <a:pt x="101160" y="113030"/>
                                      <a:pt x="73855" y="91440"/>
                                    </a:cubicBezTo>
                                    <a:cubicBezTo>
                                      <a:pt x="46550" y="69850"/>
                                      <a:pt x="21785" y="47625"/>
                                      <a:pt x="7815" y="29210"/>
                                    </a:cubicBezTo>
                                    <a:cubicBezTo>
                                      <a:pt x="-6155" y="10795"/>
                                      <a:pt x="2735" y="4445"/>
                                      <a:pt x="3370" y="0"/>
                                    </a:cubicBezTo>
                                  </a:path>
                                </a:pathLst>
                              </a:custGeom>
                              <a:noFill/>
                              <a:ln w="2222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69.25pt;margin-top:190.65pt;height:50.55pt;width:76.55pt;z-index:251742208;mso-width-relative:page;mso-height-relative:page;" filled="f" stroked="t" coordsize="972380,641985" o:gfxdata="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" path="m972380,641985c968570,630555,966030,604520,943805,579755c921580,554990,959045,586105,860620,518160c762195,450215,555185,304800,451045,240665c346905,176530,377385,209550,338650,198755c299915,187960,294835,198755,256100,186690c217365,174625,180535,156210,144340,137160c108145,118110,101160,113030,73855,91440c46550,69850,21785,47625,7815,29210c-6155,10795,2735,4445,3370,0e">
                      <v:path o:connectlocs="972185,641985;943615,579755;860447,518160;450954,240665;338582,198755;256048,186690;144311,137160;73840,91440;7813,29210;3369,0" o:connectangles="0,0,0,0,0,0,0,0,0,0"/>
                      <v:fill on="f" focussize="0,0"/>
                      <v:stroke weight="1.75pt" color="#FFFF00 [3204]" miterlimit="8" joinstyle="miter"/>
                      <v:imagedata o:title=""/>
                      <o:lock v:ext="edit" aspectratio="f"/>
                    </v:shape>
                  </w:pict>
                </mc:Fallback>
              </mc:AlternateContent>
            </w:r>
            <w:r>
              <w:rPr>
                <w:sz w:val="21"/>
              </w:rPr>
              <mc:AlternateContent>
                <mc:Choice Requires="wps">
                  <w:drawing>
                    <wp:anchor distT="0" distB="0" distL="114300" distR="114300" simplePos="0" relativeHeight="251741184" behindDoc="0" locked="0" layoutInCell="1" allowOverlap="1">
                      <wp:simplePos x="0" y="0"/>
                      <wp:positionH relativeFrom="column">
                        <wp:posOffset>882650</wp:posOffset>
                      </wp:positionH>
                      <wp:positionV relativeFrom="paragraph">
                        <wp:posOffset>2348230</wp:posOffset>
                      </wp:positionV>
                      <wp:extent cx="524510" cy="73025"/>
                      <wp:effectExtent l="1270" t="10795" r="7620" b="11430"/>
                      <wp:wrapNone/>
                      <wp:docPr id="228" name="直接连接符 228"/>
                      <wp:cNvGraphicFramePr/>
                      <a:graphic xmlns:a="http://schemas.openxmlformats.org/drawingml/2006/main">
                        <a:graphicData uri="http://schemas.microsoft.com/office/word/2010/wordprocessingShape">
                          <wps:wsp>
                            <wps:cNvCnPr>
                              <a:stCxn id="229" idx="9"/>
                            </wps:cNvCnPr>
                            <wps:spPr>
                              <a:xfrm flipV="1">
                                <a:off x="2022475" y="3510280"/>
                                <a:ext cx="524510" cy="73025"/>
                              </a:xfrm>
                              <a:prstGeom prst="line">
                                <a:avLst/>
                              </a:prstGeom>
                              <a:ln w="22225">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69.5pt;margin-top:184.9pt;height:5.75pt;width:41.3pt;z-index:251741184;mso-width-relative:page;mso-height-relative:page;" filled="f" stroked="t" coordsize="21600,21600" o:gfxdata="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HAoNmjaAAAACwEAAA8AAAAAAAAA&#10;AQAgAAAAIgAAAGRycy9kb3ducmV2LnhtbFBLAQIUABQAAAAIAIdO4kBjOWfJDwIAAPcDAAAOAAAA&#10;AAAAAAEAIAAAACkBAABkcnMvZTJvRG9jLnhtbFBLBQYAAAAABgAGAFkBAACqBQAAAAA=&#10;">
                      <v:fill on="f" focussize="0,0"/>
                      <v:stroke weight="1.75pt" color="#FFFF00 [3204]" miterlimit="8" joinstyle="miter"/>
                      <v:imagedata o:title=""/>
                      <o:lock v:ext="edit" aspectratio="f"/>
                    </v:line>
                  </w:pict>
                </mc:Fallback>
              </mc:AlternateContent>
            </w:r>
            <w:r>
              <w:rPr>
                <w:sz w:val="21"/>
              </w:rPr>
              <mc:AlternateContent>
                <mc:Choice Requires="wps">
                  <w:drawing>
                    <wp:anchor distT="0" distB="0" distL="114300" distR="114300" simplePos="0" relativeHeight="251740160" behindDoc="0" locked="0" layoutInCell="1" allowOverlap="1">
                      <wp:simplePos x="0" y="0"/>
                      <wp:positionH relativeFrom="column">
                        <wp:posOffset>1864360</wp:posOffset>
                      </wp:positionH>
                      <wp:positionV relativeFrom="paragraph">
                        <wp:posOffset>3058795</wp:posOffset>
                      </wp:positionV>
                      <wp:extent cx="988060" cy="3679190"/>
                      <wp:effectExtent l="12700" t="1905" r="27940" b="14605"/>
                      <wp:wrapNone/>
                      <wp:docPr id="220" name="任意多边形 220"/>
                      <wp:cNvGraphicFramePr/>
                      <a:graphic xmlns:a="http://schemas.openxmlformats.org/drawingml/2006/main">
                        <a:graphicData uri="http://schemas.microsoft.com/office/word/2010/wordprocessingShape">
                          <wps:wsp>
                            <wps:cNvSpPr/>
                            <wps:spPr>
                              <a:xfrm>
                                <a:off x="2947670" y="4155440"/>
                                <a:ext cx="988060" cy="3679190"/>
                              </a:xfrm>
                              <a:custGeom>
                                <a:avLst/>
                                <a:gdLst>
                                  <a:gd name="connisteX0" fmla="*/ 0 w 988060"/>
                                  <a:gd name="connsiteY0" fmla="*/ 0 h 3679190"/>
                                  <a:gd name="connisteX1" fmla="*/ 59055 w 988060"/>
                                  <a:gd name="connsiteY1" fmla="*/ 393065 h 3679190"/>
                                  <a:gd name="connisteX2" fmla="*/ 100965 w 988060"/>
                                  <a:gd name="connsiteY2" fmla="*/ 839470 h 3679190"/>
                                  <a:gd name="connisteX3" fmla="*/ 118745 w 988060"/>
                                  <a:gd name="connsiteY3" fmla="*/ 1042035 h 3679190"/>
                                  <a:gd name="connisteX4" fmla="*/ 142875 w 988060"/>
                                  <a:gd name="connsiteY4" fmla="*/ 1107440 h 3679190"/>
                                  <a:gd name="connisteX5" fmla="*/ 148590 w 988060"/>
                                  <a:gd name="connsiteY5" fmla="*/ 1130935 h 3679190"/>
                                  <a:gd name="connisteX6" fmla="*/ 333375 w 988060"/>
                                  <a:gd name="connsiteY6" fmla="*/ 1315720 h 3679190"/>
                                  <a:gd name="connisteX7" fmla="*/ 368935 w 988060"/>
                                  <a:gd name="connsiteY7" fmla="*/ 1375410 h 3679190"/>
                                  <a:gd name="connisteX8" fmla="*/ 404495 w 988060"/>
                                  <a:gd name="connsiteY8" fmla="*/ 1440815 h 3679190"/>
                                  <a:gd name="connisteX9" fmla="*/ 422275 w 988060"/>
                                  <a:gd name="connsiteY9" fmla="*/ 1559560 h 3679190"/>
                                  <a:gd name="connisteX10" fmla="*/ 469900 w 988060"/>
                                  <a:gd name="connsiteY10" fmla="*/ 1827530 h 3679190"/>
                                  <a:gd name="connisteX11" fmla="*/ 494030 w 988060"/>
                                  <a:gd name="connsiteY11" fmla="*/ 1940560 h 3679190"/>
                                  <a:gd name="connisteX12" fmla="*/ 571500 w 988060"/>
                                  <a:gd name="connsiteY12" fmla="*/ 2131060 h 3679190"/>
                                  <a:gd name="connisteX13" fmla="*/ 619125 w 988060"/>
                                  <a:gd name="connsiteY13" fmla="*/ 2244090 h 3679190"/>
                                  <a:gd name="connisteX14" fmla="*/ 654685 w 988060"/>
                                  <a:gd name="connsiteY14" fmla="*/ 2381250 h 3679190"/>
                                  <a:gd name="connisteX15" fmla="*/ 743585 w 988060"/>
                                  <a:gd name="connsiteY15" fmla="*/ 2738120 h 3679190"/>
                                  <a:gd name="connisteX16" fmla="*/ 988060 w 988060"/>
                                  <a:gd name="connsiteY16" fmla="*/ 3679190 h 367919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Lst>
                                <a:rect l="l" t="t" r="r" b="b"/>
                                <a:pathLst>
                                  <a:path w="988060" h="3679190">
                                    <a:moveTo>
                                      <a:pt x="0" y="0"/>
                                    </a:moveTo>
                                    <a:cubicBezTo>
                                      <a:pt x="10795" y="69850"/>
                                      <a:pt x="38735" y="225425"/>
                                      <a:pt x="59055" y="393065"/>
                                    </a:cubicBezTo>
                                    <a:cubicBezTo>
                                      <a:pt x="79375" y="560705"/>
                                      <a:pt x="88900" y="709930"/>
                                      <a:pt x="100965" y="839470"/>
                                    </a:cubicBezTo>
                                    <a:cubicBezTo>
                                      <a:pt x="113030" y="969010"/>
                                      <a:pt x="110490" y="988695"/>
                                      <a:pt x="118745" y="1042035"/>
                                    </a:cubicBezTo>
                                    <a:cubicBezTo>
                                      <a:pt x="127000" y="1095375"/>
                                      <a:pt x="137160" y="1089660"/>
                                      <a:pt x="142875" y="1107440"/>
                                    </a:cubicBezTo>
                                    <a:cubicBezTo>
                                      <a:pt x="148590" y="1125220"/>
                                      <a:pt x="110490" y="1089025"/>
                                      <a:pt x="148590" y="1130935"/>
                                    </a:cubicBezTo>
                                    <a:cubicBezTo>
                                      <a:pt x="186690" y="1172845"/>
                                      <a:pt x="289560" y="1266825"/>
                                      <a:pt x="333375" y="1315720"/>
                                    </a:cubicBezTo>
                                    <a:cubicBezTo>
                                      <a:pt x="377190" y="1364615"/>
                                      <a:pt x="354965" y="1350645"/>
                                      <a:pt x="368935" y="1375410"/>
                                    </a:cubicBezTo>
                                    <a:cubicBezTo>
                                      <a:pt x="382905" y="1400175"/>
                                      <a:pt x="393700" y="1403985"/>
                                      <a:pt x="404495" y="1440815"/>
                                    </a:cubicBezTo>
                                    <a:cubicBezTo>
                                      <a:pt x="415290" y="1477645"/>
                                      <a:pt x="408940" y="1482090"/>
                                      <a:pt x="422275" y="1559560"/>
                                    </a:cubicBezTo>
                                    <a:cubicBezTo>
                                      <a:pt x="435610" y="1637030"/>
                                      <a:pt x="455295" y="1751330"/>
                                      <a:pt x="469900" y="1827530"/>
                                    </a:cubicBezTo>
                                    <a:cubicBezTo>
                                      <a:pt x="484505" y="1903730"/>
                                      <a:pt x="473710" y="1879600"/>
                                      <a:pt x="494030" y="1940560"/>
                                    </a:cubicBezTo>
                                    <a:cubicBezTo>
                                      <a:pt x="514350" y="2001520"/>
                                      <a:pt x="546735" y="2070100"/>
                                      <a:pt x="571500" y="2131060"/>
                                    </a:cubicBezTo>
                                    <a:cubicBezTo>
                                      <a:pt x="596265" y="2192020"/>
                                      <a:pt x="602615" y="2193925"/>
                                      <a:pt x="619125" y="2244090"/>
                                    </a:cubicBezTo>
                                    <a:cubicBezTo>
                                      <a:pt x="635635" y="2294255"/>
                                      <a:pt x="629920" y="2282190"/>
                                      <a:pt x="654685" y="2381250"/>
                                    </a:cubicBezTo>
                                    <a:cubicBezTo>
                                      <a:pt x="679450" y="2480310"/>
                                      <a:pt x="676910" y="2478405"/>
                                      <a:pt x="743585" y="2738120"/>
                                    </a:cubicBezTo>
                                    <a:cubicBezTo>
                                      <a:pt x="810260" y="2997835"/>
                                      <a:pt x="941070" y="3498215"/>
                                      <a:pt x="988060" y="3679190"/>
                                    </a:cubicBezTo>
                                  </a:path>
                                </a:pathLst>
                              </a:custGeom>
                              <a:noFill/>
                              <a:ln w="25400">
                                <a:solidFill>
                                  <a:srgbClr val="021CBC"/>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146.8pt;margin-top:240.85pt;height:289.7pt;width:77.8pt;z-index:251740160;mso-width-relative:page;mso-height-relative:page;" filled="f" stroked="t" coordsize="988060,3679190" o:gfxdata="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" path="m0,0c10795,69850,38735,225425,59055,393065c79375,560705,88900,709930,100965,839470c113030,969010,110490,988695,118745,1042035c127000,1095375,137160,1089660,142875,1107440c148590,1125220,110490,1089025,148590,1130935c186690,1172845,289560,1266825,333375,1315720c377190,1364615,354965,1350645,368935,1375410c382905,1400175,393700,1403985,404495,1440815c415290,1477645,408940,1482090,422275,1559560c435610,1637030,455295,1751330,469900,1827530c484505,1903730,473710,1879600,494030,1940560c514350,2001520,546735,2070100,571500,2131060c596265,2192020,602615,2193925,619125,2244090c635635,2294255,629920,2282190,654685,2381250c679450,2480310,676910,2478405,743585,2738120c810260,2997835,941070,3498215,988060,3679190e">
                      <v:path o:connectlocs="0,0;59055,393065;100965,839470;118745,1042035;142875,1107440;148590,1130935;333375,1315720;368935,1375410;404495,1440815;422275,1559560;469900,1827530;494030,1940560;571500,2131060;619125,2244090;654685,2381250;743585,2738120;988060,3679190" o:connectangles="0,0,0,0,0,0,0,0,0,0,0,0,0,0,0,0,0"/>
                      <v:fill on="f" focussize="0,0"/>
                      <v:stroke weight="2pt" color="#021CBC [3204]" miterlimit="8" joinstyle="miter"/>
                      <v:imagedata o:title=""/>
                      <o:lock v:ext="edit" aspectratio="f"/>
                    </v:shape>
                  </w:pict>
                </mc:Fallback>
              </mc:AlternateContent>
            </w:r>
            <w:r>
              <w:rPr>
                <w:sz w:val="21"/>
              </w:rPr>
              <mc:AlternateContent>
                <mc:Choice Requires="wps">
                  <w:drawing>
                    <wp:anchor distT="0" distB="0" distL="114300" distR="114300" simplePos="0" relativeHeight="251664384" behindDoc="0" locked="0" layoutInCell="1" allowOverlap="1">
                      <wp:simplePos x="0" y="0"/>
                      <wp:positionH relativeFrom="column">
                        <wp:posOffset>4150360</wp:posOffset>
                      </wp:positionH>
                      <wp:positionV relativeFrom="paragraph">
                        <wp:posOffset>3548380</wp:posOffset>
                      </wp:positionV>
                      <wp:extent cx="942340" cy="461010"/>
                      <wp:effectExtent l="620395" t="6350" r="18415" b="770890"/>
                      <wp:wrapNone/>
                      <wp:docPr id="68" name="线形标注 2 68"/>
                      <wp:cNvGraphicFramePr/>
                      <a:graphic xmlns:a="http://schemas.openxmlformats.org/drawingml/2006/main">
                        <a:graphicData uri="http://schemas.microsoft.com/office/word/2010/wordprocessingShape">
                          <wps:wsp>
                            <wps:cNvSpPr/>
                            <wps:spPr>
                              <a:xfrm>
                                <a:off x="0" y="0"/>
                                <a:ext cx="942340" cy="461010"/>
                              </a:xfrm>
                              <a:prstGeom prst="borderCallout2">
                                <a:avLst>
                                  <a:gd name="adj1" fmla="val 18750"/>
                                  <a:gd name="adj2" fmla="val -8333"/>
                                  <a:gd name="adj3" fmla="val 18750"/>
                                  <a:gd name="adj4" fmla="val -16667"/>
                                  <a:gd name="adj5" fmla="val 263911"/>
                                  <a:gd name="adj6" fmla="val -65229"/>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eastAsia="宋体"/>
                                      <w:color w:val="FF0000"/>
                                      <w:lang w:val="en-US" w:eastAsia="zh-CN"/>
                                    </w:rPr>
                                  </w:pPr>
                                  <w:r>
                                    <w:rPr>
                                      <w:rFonts w:hint="eastAsia"/>
                                      <w:b/>
                                      <w:bCs/>
                                      <w:color w:val="FF0000"/>
                                      <w:lang w:val="en-US" w:eastAsia="zh-CN"/>
                                    </w:rPr>
                                    <w:t>本次扩建东外环路</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8" type="#_x0000_t48" style="position:absolute;left:0pt;margin-left:326.8pt;margin-top:279.4pt;height:36.3pt;width:74.2pt;z-index:251664384;v-text-anchor:middle;mso-width-relative:page;mso-height-relative:page;" filled="f" stroked="t" coordsize="21600,21600" o:gfxdata="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" adj="-14089,57005,-3600,4050,-1800,4050">
                      <v:fill on="f" focussize="0,0"/>
                      <v:stroke weight="1pt" color="#FF0000 [3204]" miterlimit="8" joinstyle="miter"/>
                      <v:imagedata o:title=""/>
                      <o:lock v:ext="edit" aspectratio="f"/>
                      <v:textbox>
                        <w:txbxContent>
                          <w:p>
                            <w:pPr>
                              <w:jc w:val="center"/>
                              <w:rPr>
                                <w:rFonts w:hint="default" w:eastAsia="宋体"/>
                                <w:color w:val="FF0000"/>
                                <w:lang w:val="en-US" w:eastAsia="zh-CN"/>
                              </w:rPr>
                            </w:pPr>
                            <w:r>
                              <w:rPr>
                                <w:rFonts w:hint="eastAsia"/>
                                <w:b/>
                                <w:bCs/>
                                <w:color w:val="FF0000"/>
                                <w:lang w:val="en-US" w:eastAsia="zh-CN"/>
                              </w:rPr>
                              <w:t>本次扩建东外环路</w:t>
                            </w:r>
                          </w:p>
                        </w:txbxContent>
                      </v:textbox>
                    </v:shape>
                  </w:pict>
                </mc:Fallback>
              </mc:AlternateContent>
            </w:r>
            <w:r>
              <w:rPr>
                <w:sz w:val="21"/>
              </w:rPr>
              <mc:AlternateContent>
                <mc:Choice Requires="wps">
                  <w:drawing>
                    <wp:anchor distT="0" distB="0" distL="114300" distR="114300" simplePos="0" relativeHeight="251739136" behindDoc="0" locked="0" layoutInCell="1" allowOverlap="1">
                      <wp:simplePos x="0" y="0"/>
                      <wp:positionH relativeFrom="column">
                        <wp:posOffset>3244850</wp:posOffset>
                      </wp:positionH>
                      <wp:positionV relativeFrom="paragraph">
                        <wp:posOffset>3870960</wp:posOffset>
                      </wp:positionV>
                      <wp:extent cx="537210" cy="3012440"/>
                      <wp:effectExtent l="12700" t="2540" r="21590" b="13970"/>
                      <wp:wrapNone/>
                      <wp:docPr id="219" name="任意多边形 219"/>
                      <wp:cNvGraphicFramePr/>
                      <a:graphic xmlns:a="http://schemas.openxmlformats.org/drawingml/2006/main">
                        <a:graphicData uri="http://schemas.microsoft.com/office/word/2010/wordprocessingShape">
                          <wps:wsp>
                            <wps:cNvSpPr/>
                            <wps:spPr>
                              <a:xfrm>
                                <a:off x="4322445" y="4967605"/>
                                <a:ext cx="537210" cy="3012440"/>
                              </a:xfrm>
                              <a:custGeom>
                                <a:avLst/>
                                <a:gdLst>
                                  <a:gd name="connisteX0" fmla="*/ 0 w 537383"/>
                                  <a:gd name="connsiteY0" fmla="*/ 0 h 3012440"/>
                                  <a:gd name="connisteX1" fmla="*/ 95250 w 537383"/>
                                  <a:gd name="connsiteY1" fmla="*/ 428625 h 3012440"/>
                                  <a:gd name="connisteX2" fmla="*/ 113030 w 537383"/>
                                  <a:gd name="connsiteY2" fmla="*/ 542290 h 3012440"/>
                                  <a:gd name="connisteX3" fmla="*/ 149225 w 537383"/>
                                  <a:gd name="connsiteY3" fmla="*/ 613410 h 3012440"/>
                                  <a:gd name="connisteX4" fmla="*/ 244475 w 537383"/>
                                  <a:gd name="connsiteY4" fmla="*/ 720725 h 3012440"/>
                                  <a:gd name="connisteX5" fmla="*/ 267970 w 537383"/>
                                  <a:gd name="connsiteY5" fmla="*/ 786130 h 3012440"/>
                                  <a:gd name="connisteX6" fmla="*/ 309880 w 537383"/>
                                  <a:gd name="connsiteY6" fmla="*/ 1095375 h 3012440"/>
                                  <a:gd name="connisteX7" fmla="*/ 327660 w 537383"/>
                                  <a:gd name="connsiteY7" fmla="*/ 1184910 h 3012440"/>
                                  <a:gd name="connisteX8" fmla="*/ 327660 w 537383"/>
                                  <a:gd name="connsiteY8" fmla="*/ 1292225 h 3012440"/>
                                  <a:gd name="connisteX9" fmla="*/ 345440 w 537383"/>
                                  <a:gd name="connsiteY9" fmla="*/ 1417320 h 3012440"/>
                                  <a:gd name="connisteX10" fmla="*/ 387350 w 537383"/>
                                  <a:gd name="connsiteY10" fmla="*/ 1583690 h 3012440"/>
                                  <a:gd name="connisteX11" fmla="*/ 494030 w 537383"/>
                                  <a:gd name="connsiteY11" fmla="*/ 1851660 h 3012440"/>
                                  <a:gd name="connisteX12" fmla="*/ 523875 w 537383"/>
                                  <a:gd name="connsiteY12" fmla="*/ 1976755 h 3012440"/>
                                  <a:gd name="connisteX13" fmla="*/ 523875 w 537383"/>
                                  <a:gd name="connsiteY13" fmla="*/ 2209165 h 3012440"/>
                                  <a:gd name="connisteX14" fmla="*/ 387350 w 537383"/>
                                  <a:gd name="connsiteY14" fmla="*/ 3012440 h 301244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Lst>
                                <a:rect l="l" t="t" r="r" b="b"/>
                                <a:pathLst>
                                  <a:path w="537383" h="3012440">
                                    <a:moveTo>
                                      <a:pt x="0" y="0"/>
                                    </a:moveTo>
                                    <a:cubicBezTo>
                                      <a:pt x="18415" y="83185"/>
                                      <a:pt x="72390" y="320040"/>
                                      <a:pt x="95250" y="428625"/>
                                    </a:cubicBezTo>
                                    <a:cubicBezTo>
                                      <a:pt x="118110" y="537210"/>
                                      <a:pt x="102235" y="505460"/>
                                      <a:pt x="113030" y="542290"/>
                                    </a:cubicBezTo>
                                    <a:cubicBezTo>
                                      <a:pt x="123825" y="579120"/>
                                      <a:pt x="123190" y="577850"/>
                                      <a:pt x="149225" y="613410"/>
                                    </a:cubicBezTo>
                                    <a:cubicBezTo>
                                      <a:pt x="175260" y="648970"/>
                                      <a:pt x="220980" y="686435"/>
                                      <a:pt x="244475" y="720725"/>
                                    </a:cubicBezTo>
                                    <a:cubicBezTo>
                                      <a:pt x="267970" y="755015"/>
                                      <a:pt x="254635" y="711200"/>
                                      <a:pt x="267970" y="786130"/>
                                    </a:cubicBezTo>
                                    <a:cubicBezTo>
                                      <a:pt x="281305" y="861060"/>
                                      <a:pt x="297815" y="1015365"/>
                                      <a:pt x="309880" y="1095375"/>
                                    </a:cubicBezTo>
                                    <a:cubicBezTo>
                                      <a:pt x="321945" y="1175385"/>
                                      <a:pt x="323850" y="1145540"/>
                                      <a:pt x="327660" y="1184910"/>
                                    </a:cubicBezTo>
                                    <a:cubicBezTo>
                                      <a:pt x="331470" y="1224280"/>
                                      <a:pt x="323850" y="1245870"/>
                                      <a:pt x="327660" y="1292225"/>
                                    </a:cubicBezTo>
                                    <a:cubicBezTo>
                                      <a:pt x="331470" y="1338580"/>
                                      <a:pt x="333375" y="1358900"/>
                                      <a:pt x="345440" y="1417320"/>
                                    </a:cubicBezTo>
                                    <a:cubicBezTo>
                                      <a:pt x="357505" y="1475740"/>
                                      <a:pt x="357505" y="1496695"/>
                                      <a:pt x="387350" y="1583690"/>
                                    </a:cubicBezTo>
                                    <a:cubicBezTo>
                                      <a:pt x="417195" y="1670685"/>
                                      <a:pt x="466725" y="1772920"/>
                                      <a:pt x="494030" y="1851660"/>
                                    </a:cubicBezTo>
                                    <a:cubicBezTo>
                                      <a:pt x="521335" y="1930400"/>
                                      <a:pt x="518160" y="1905000"/>
                                      <a:pt x="523875" y="1976755"/>
                                    </a:cubicBezTo>
                                    <a:cubicBezTo>
                                      <a:pt x="529590" y="2048510"/>
                                      <a:pt x="551180" y="2002155"/>
                                      <a:pt x="523875" y="2209165"/>
                                    </a:cubicBezTo>
                                    <a:cubicBezTo>
                                      <a:pt x="496570" y="2416175"/>
                                      <a:pt x="414655" y="2856230"/>
                                      <a:pt x="387350" y="3012440"/>
                                    </a:cubicBezTo>
                                  </a:path>
                                </a:pathLst>
                              </a:custGeom>
                              <a:noFill/>
                              <a:ln w="254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55.5pt;margin-top:304.8pt;height:237.2pt;width:42.3pt;z-index:251739136;mso-width-relative:page;mso-height-relative:page;" filled="f" stroked="t" coordsize="537383,3012440" o:gfxdata="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" path="m0,0c18415,83185,72390,320040,95250,428625c118110,537210,102235,505460,113030,542290c123825,579120,123190,577850,149225,613410c175260,648970,220980,686435,244475,720725c267970,755015,254635,711200,267970,786130c281305,861060,297815,1015365,309880,1095375c321945,1175385,323850,1145540,327660,1184910c331470,1224280,323850,1245870,327660,1292225c331470,1338580,333375,1358900,345440,1417320c357505,1475740,357505,1496695,387350,1583690c417195,1670685,466725,1772920,494030,1851660c521335,1930400,518160,1905000,523875,1976755c529590,2048510,551180,2002155,523875,2209165c496570,2416175,414655,2856230,387350,3012440e">
                      <v:path o:connectlocs="0,0;95219,428625;112993,542290;149176,613410;244396,720725;267883,786130;309780,1095375;327554,1184910;327554,1292225;345328,1417320;387225,1583690;493870,1851660;523706,1976755;523706,2209165;387225,3012440" o:connectangles="0,0,0,0,0,0,0,0,0,0,0,0,0,0,0"/>
                      <v:fill on="f" focussize="0,0"/>
                      <v:stroke weight="2pt" color="#FFFF00 [3204]" miterlimit="8" joinstyle="miter"/>
                      <v:imagedata o:title=""/>
                      <o:lock v:ext="edit" aspectratio="f"/>
                    </v:shape>
                  </w:pict>
                </mc:Fallback>
              </mc:AlternateContent>
            </w:r>
            <w:r>
              <w:rPr>
                <w:sz w:val="21"/>
              </w:rPr>
              <mc:AlternateContent>
                <mc:Choice Requires="wps">
                  <w:drawing>
                    <wp:anchor distT="0" distB="0" distL="114300" distR="114300" simplePos="0" relativeHeight="251738112" behindDoc="0" locked="0" layoutInCell="1" allowOverlap="1">
                      <wp:simplePos x="0" y="0"/>
                      <wp:positionH relativeFrom="column">
                        <wp:posOffset>3220085</wp:posOffset>
                      </wp:positionH>
                      <wp:positionV relativeFrom="paragraph">
                        <wp:posOffset>3870960</wp:posOffset>
                      </wp:positionV>
                      <wp:extent cx="519430" cy="3000375"/>
                      <wp:effectExtent l="12700" t="2540" r="20320" b="6985"/>
                      <wp:wrapNone/>
                      <wp:docPr id="218" name="任意多边形 218"/>
                      <wp:cNvGraphicFramePr/>
                      <a:graphic xmlns:a="http://schemas.openxmlformats.org/drawingml/2006/main">
                        <a:graphicData uri="http://schemas.microsoft.com/office/word/2010/wordprocessingShape">
                          <wps:wsp>
                            <wps:cNvSpPr/>
                            <wps:spPr>
                              <a:xfrm>
                                <a:off x="4320540" y="4967605"/>
                                <a:ext cx="519430" cy="3000375"/>
                              </a:xfrm>
                              <a:custGeom>
                                <a:avLst/>
                                <a:gdLst>
                                  <a:gd name="connisteX0" fmla="*/ 0 w 519262"/>
                                  <a:gd name="connsiteY0" fmla="*/ 0 h 3000375"/>
                                  <a:gd name="connisteX1" fmla="*/ 113030 w 519262"/>
                                  <a:gd name="connsiteY1" fmla="*/ 506095 h 3000375"/>
                                  <a:gd name="connisteX2" fmla="*/ 154940 w 519262"/>
                                  <a:gd name="connsiteY2" fmla="*/ 613410 h 3000375"/>
                                  <a:gd name="connisteX3" fmla="*/ 238125 w 519262"/>
                                  <a:gd name="connsiteY3" fmla="*/ 708660 h 3000375"/>
                                  <a:gd name="connisteX4" fmla="*/ 261620 w 519262"/>
                                  <a:gd name="connsiteY4" fmla="*/ 762000 h 3000375"/>
                                  <a:gd name="connisteX5" fmla="*/ 285750 w 519262"/>
                                  <a:gd name="connsiteY5" fmla="*/ 923290 h 3000375"/>
                                  <a:gd name="connisteX6" fmla="*/ 291465 w 519262"/>
                                  <a:gd name="connsiteY6" fmla="*/ 1006475 h 3000375"/>
                                  <a:gd name="connisteX7" fmla="*/ 321310 w 519262"/>
                                  <a:gd name="connsiteY7" fmla="*/ 1113790 h 3000375"/>
                                  <a:gd name="connisteX8" fmla="*/ 327025 w 519262"/>
                                  <a:gd name="connsiteY8" fmla="*/ 1232535 h 3000375"/>
                                  <a:gd name="connisteX9" fmla="*/ 345440 w 519262"/>
                                  <a:gd name="connsiteY9" fmla="*/ 1405255 h 3000375"/>
                                  <a:gd name="connisteX10" fmla="*/ 393065 w 519262"/>
                                  <a:gd name="connsiteY10" fmla="*/ 1590040 h 3000375"/>
                                  <a:gd name="connisteX11" fmla="*/ 452120 w 519262"/>
                                  <a:gd name="connsiteY11" fmla="*/ 1762125 h 3000375"/>
                                  <a:gd name="connisteX12" fmla="*/ 511810 w 519262"/>
                                  <a:gd name="connsiteY12" fmla="*/ 1905000 h 3000375"/>
                                  <a:gd name="connisteX13" fmla="*/ 517525 w 519262"/>
                                  <a:gd name="connsiteY13" fmla="*/ 2030095 h 3000375"/>
                                  <a:gd name="connisteX14" fmla="*/ 517525 w 519262"/>
                                  <a:gd name="connsiteY14" fmla="*/ 2084070 h 3000375"/>
                                  <a:gd name="connisteX15" fmla="*/ 511810 w 519262"/>
                                  <a:gd name="connsiteY15" fmla="*/ 2179320 h 3000375"/>
                                  <a:gd name="connisteX16" fmla="*/ 476250 w 519262"/>
                                  <a:gd name="connsiteY16" fmla="*/ 2428875 h 3000375"/>
                                  <a:gd name="connisteX17" fmla="*/ 374650 w 519262"/>
                                  <a:gd name="connsiteY17" fmla="*/ 3000375 h 30003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Lst>
                                <a:rect l="l" t="t" r="r" b="b"/>
                                <a:pathLst>
                                  <a:path w="519263" h="3000375">
                                    <a:moveTo>
                                      <a:pt x="0" y="0"/>
                                    </a:moveTo>
                                    <a:cubicBezTo>
                                      <a:pt x="21590" y="99060"/>
                                      <a:pt x="81915" y="383540"/>
                                      <a:pt x="113030" y="506095"/>
                                    </a:cubicBezTo>
                                    <a:cubicBezTo>
                                      <a:pt x="144145" y="628650"/>
                                      <a:pt x="130175" y="572770"/>
                                      <a:pt x="154940" y="613410"/>
                                    </a:cubicBezTo>
                                    <a:cubicBezTo>
                                      <a:pt x="179705" y="654050"/>
                                      <a:pt x="216535" y="678815"/>
                                      <a:pt x="238125" y="708660"/>
                                    </a:cubicBezTo>
                                    <a:cubicBezTo>
                                      <a:pt x="259715" y="738505"/>
                                      <a:pt x="252095" y="718820"/>
                                      <a:pt x="261620" y="762000"/>
                                    </a:cubicBezTo>
                                    <a:cubicBezTo>
                                      <a:pt x="271145" y="805180"/>
                                      <a:pt x="280035" y="874395"/>
                                      <a:pt x="285750" y="923290"/>
                                    </a:cubicBezTo>
                                    <a:cubicBezTo>
                                      <a:pt x="291465" y="972185"/>
                                      <a:pt x="284480" y="968375"/>
                                      <a:pt x="291465" y="1006475"/>
                                    </a:cubicBezTo>
                                    <a:cubicBezTo>
                                      <a:pt x="298450" y="1044575"/>
                                      <a:pt x="314325" y="1068705"/>
                                      <a:pt x="321310" y="1113790"/>
                                    </a:cubicBezTo>
                                    <a:cubicBezTo>
                                      <a:pt x="328295" y="1158875"/>
                                      <a:pt x="321945" y="1174115"/>
                                      <a:pt x="327025" y="1232535"/>
                                    </a:cubicBezTo>
                                    <a:cubicBezTo>
                                      <a:pt x="332105" y="1290955"/>
                                      <a:pt x="332105" y="1333500"/>
                                      <a:pt x="345440" y="1405255"/>
                                    </a:cubicBezTo>
                                    <a:cubicBezTo>
                                      <a:pt x="358775" y="1477010"/>
                                      <a:pt x="371475" y="1518920"/>
                                      <a:pt x="393065" y="1590040"/>
                                    </a:cubicBezTo>
                                    <a:cubicBezTo>
                                      <a:pt x="414655" y="1661160"/>
                                      <a:pt x="428625" y="1699260"/>
                                      <a:pt x="452120" y="1762125"/>
                                    </a:cubicBezTo>
                                    <a:cubicBezTo>
                                      <a:pt x="475615" y="1824990"/>
                                      <a:pt x="498475" y="1851660"/>
                                      <a:pt x="511810" y="1905000"/>
                                    </a:cubicBezTo>
                                    <a:cubicBezTo>
                                      <a:pt x="525145" y="1958340"/>
                                      <a:pt x="516255" y="1994535"/>
                                      <a:pt x="517525" y="2030095"/>
                                    </a:cubicBezTo>
                                    <a:cubicBezTo>
                                      <a:pt x="518795" y="2065655"/>
                                      <a:pt x="518795" y="2054225"/>
                                      <a:pt x="517525" y="2084070"/>
                                    </a:cubicBezTo>
                                    <a:cubicBezTo>
                                      <a:pt x="516255" y="2113915"/>
                                      <a:pt x="520065" y="2110105"/>
                                      <a:pt x="511810" y="2179320"/>
                                    </a:cubicBezTo>
                                    <a:cubicBezTo>
                                      <a:pt x="503555" y="2248535"/>
                                      <a:pt x="503555" y="2264410"/>
                                      <a:pt x="476250" y="2428875"/>
                                    </a:cubicBezTo>
                                    <a:cubicBezTo>
                                      <a:pt x="448945" y="2593340"/>
                                      <a:pt x="394335" y="2891155"/>
                                      <a:pt x="374650" y="3000375"/>
                                    </a:cubicBezTo>
                                  </a:path>
                                </a:pathLst>
                              </a:custGeom>
                              <a:noFill/>
                              <a:ln w="25400">
                                <a:solidFill>
                                  <a:srgbClr val="021CBC"/>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53.55pt;margin-top:304.8pt;height:236.25pt;width:40.9pt;z-index:251738112;mso-width-relative:page;mso-height-relative:page;" filled="f" stroked="t" coordsize="519263,3000375" o:gfxdata="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" path="m0,0c21590,99060,81915,383540,113030,506095c144145,628650,130175,572770,154940,613410c179705,654050,216535,678815,238125,708660c259715,738505,252095,718820,261620,762000c271145,805180,280035,874395,285750,923290c291465,972185,284480,968375,291465,1006475c298450,1044575,314325,1068705,321310,1113790c328295,1158875,321945,1174115,327025,1232535c332105,1290955,332105,1333500,345440,1405255c358775,1477010,371475,1518920,393065,1590040c414655,1661160,428625,1699260,452120,1762125c475615,1824990,498475,1851660,511810,1905000c525145,1958340,516255,1994535,517525,2030095c518795,2065655,518795,2054225,517525,2084070c516255,2113915,520065,2110105,511810,2179320c503555,2248535,503555,2264410,476250,2428875c448945,2593340,394335,2891155,374650,3000375e">
                      <v:path o:connectlocs="0,0;113066,506095;154990,613410;238202,708660;261704,762000;285842,923290;291559,1006475;321413,1113790;327130,1232535;345551,1405255;393192,1590040;452266,1762125;511975,1905000;517692,2030095;517692,2084070;511975,2179320;476404,2428875;374771,3000375" o:connectangles="0,0,0,0,0,0,0,0,0,0,0,0,0,0,0,0,0,0"/>
                      <v:fill on="f" focussize="0,0"/>
                      <v:stroke weight="2pt" color="#021CBC [3204]" miterlimit="8" joinstyle="miter"/>
                      <v:imagedata o:title=""/>
                      <o:lock v:ext="edit" aspectratio="f"/>
                    </v:shape>
                  </w:pict>
                </mc:Fallback>
              </mc:AlternateContent>
            </w:r>
            <w:r>
              <w:rPr>
                <w:sz w:val="21"/>
              </w:rPr>
              <mc:AlternateContent>
                <mc:Choice Requires="wps">
                  <w:drawing>
                    <wp:anchor distT="0" distB="0" distL="114300" distR="114300" simplePos="0" relativeHeight="251737088" behindDoc="0" locked="0" layoutInCell="1" allowOverlap="1">
                      <wp:simplePos x="0" y="0"/>
                      <wp:positionH relativeFrom="column">
                        <wp:posOffset>1409065</wp:posOffset>
                      </wp:positionH>
                      <wp:positionV relativeFrom="paragraph">
                        <wp:posOffset>2174875</wp:posOffset>
                      </wp:positionV>
                      <wp:extent cx="1343025" cy="171450"/>
                      <wp:effectExtent l="1905" t="13970" r="7620" b="24130"/>
                      <wp:wrapNone/>
                      <wp:docPr id="217" name="任意多边形 217"/>
                      <wp:cNvGraphicFramePr/>
                      <a:graphic xmlns:a="http://schemas.openxmlformats.org/drawingml/2006/main">
                        <a:graphicData uri="http://schemas.microsoft.com/office/word/2010/wordprocessingShape">
                          <wps:wsp>
                            <wps:cNvSpPr/>
                            <wps:spPr>
                              <a:xfrm>
                                <a:off x="2503805" y="3261995"/>
                                <a:ext cx="1343025" cy="171450"/>
                              </a:xfrm>
                              <a:custGeom>
                                <a:avLst/>
                                <a:gdLst>
                                  <a:gd name="connisteX0" fmla="*/ 0 w 1343025"/>
                                  <a:gd name="connsiteY0" fmla="*/ 171450 h 171450"/>
                                  <a:gd name="connisteX1" fmla="*/ 933450 w 1343025"/>
                                  <a:gd name="connsiteY1" fmla="*/ 47625 h 171450"/>
                                  <a:gd name="connisteX2" fmla="*/ 1343025 w 1343025"/>
                                  <a:gd name="connsiteY2" fmla="*/ 0 h 171450"/>
                                </a:gdLst>
                                <a:ahLst/>
                                <a:cxnLst>
                                  <a:cxn ang="0">
                                    <a:pos x="connisteX0" y="connsiteY0"/>
                                  </a:cxn>
                                  <a:cxn ang="0">
                                    <a:pos x="connisteX1" y="connsiteY1"/>
                                  </a:cxn>
                                  <a:cxn ang="0">
                                    <a:pos x="connisteX2" y="connsiteY2"/>
                                  </a:cxn>
                                </a:cxnLst>
                                <a:rect l="l" t="t" r="r" b="b"/>
                                <a:pathLst>
                                  <a:path w="1343025" h="171450">
                                    <a:moveTo>
                                      <a:pt x="0" y="171450"/>
                                    </a:moveTo>
                                    <a:cubicBezTo>
                                      <a:pt x="178435" y="147320"/>
                                      <a:pt x="664845" y="81915"/>
                                      <a:pt x="933450" y="47625"/>
                                    </a:cubicBezTo>
                                    <a:cubicBezTo>
                                      <a:pt x="1202055" y="13335"/>
                                      <a:pt x="1279525" y="6985"/>
                                      <a:pt x="1343025" y="0"/>
                                    </a:cubicBezTo>
                                  </a:path>
                                </a:pathLst>
                              </a:custGeom>
                              <a:noFill/>
                              <a:ln w="28575">
                                <a:solidFill>
                                  <a:srgbClr val="021CBC"/>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110.95pt;margin-top:171.25pt;height:13.5pt;width:105.75pt;z-index:251737088;mso-width-relative:page;mso-height-relative:page;" filled="f" stroked="t" coordsize="1343025,171450" o:gfxdata="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" path="m0,171450c178435,147320,664845,81915,933450,47625c1202055,13335,1279525,6985,1343025,0e">
                      <v:path o:connectlocs="0,171450;933450,47625;1343025,0" o:connectangles="0,0,0"/>
                      <v:fill on="f" focussize="0,0"/>
                      <v:stroke weight="2.25pt" color="#021CBC [3204]" miterlimit="8" joinstyle="miter"/>
                      <v:imagedata o:title=""/>
                      <o:lock v:ext="edit" aspectratio="f"/>
                    </v:shape>
                  </w:pict>
                </mc:Fallback>
              </mc:AlternateContent>
            </w:r>
            <w:r>
              <w:rPr>
                <w:sz w:val="21"/>
              </w:rPr>
              <mc:AlternateContent>
                <mc:Choice Requires="wps">
                  <w:drawing>
                    <wp:anchor distT="0" distB="0" distL="114300" distR="114300" simplePos="0" relativeHeight="251663360" behindDoc="0" locked="0" layoutInCell="1" allowOverlap="1">
                      <wp:simplePos x="0" y="0"/>
                      <wp:positionH relativeFrom="column">
                        <wp:posOffset>1981835</wp:posOffset>
                      </wp:positionH>
                      <wp:positionV relativeFrom="paragraph">
                        <wp:posOffset>7156450</wp:posOffset>
                      </wp:positionV>
                      <wp:extent cx="1094740" cy="297180"/>
                      <wp:effectExtent l="6350" t="813435" r="632460" b="13335"/>
                      <wp:wrapNone/>
                      <wp:docPr id="67" name="线形标注 2 67"/>
                      <wp:cNvGraphicFramePr/>
                      <a:graphic xmlns:a="http://schemas.openxmlformats.org/drawingml/2006/main">
                        <a:graphicData uri="http://schemas.microsoft.com/office/word/2010/wordprocessingShape">
                          <wps:wsp>
                            <wps:cNvSpPr/>
                            <wps:spPr>
                              <a:xfrm flipH="1">
                                <a:off x="0" y="0"/>
                                <a:ext cx="1094740" cy="297180"/>
                              </a:xfrm>
                              <a:prstGeom prst="borderCallout2">
                                <a:avLst>
                                  <a:gd name="adj1" fmla="val 18750"/>
                                  <a:gd name="adj2" fmla="val -8333"/>
                                  <a:gd name="adj3" fmla="val 18750"/>
                                  <a:gd name="adj4" fmla="val -16667"/>
                                  <a:gd name="adj5" fmla="val -272649"/>
                                  <a:gd name="adj6" fmla="val -57134"/>
                                </a:avLst>
                              </a:prstGeom>
                              <a:noFill/>
                              <a:ln>
                                <a:solidFill>
                                  <a:srgbClr val="010EBD"/>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eastAsia="宋体"/>
                                      <w:color w:val="0000FF"/>
                                      <w:lang w:val="en-US" w:eastAsia="zh-CN"/>
                                    </w:rPr>
                                  </w:pPr>
                                  <w:r>
                                    <w:rPr>
                                      <w:rFonts w:hint="eastAsia"/>
                                      <w:b/>
                                      <w:bCs/>
                                      <w:color w:val="0000FF"/>
                                      <w:lang w:val="en-US" w:eastAsia="zh-CN"/>
                                    </w:rPr>
                                    <w:t>现有东外环路</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8" type="#_x0000_t48" style="position:absolute;left:0pt;flip:x;margin-left:156.05pt;margin-top:563.5pt;height:23.4pt;width:86.2pt;z-index:251663360;v-text-anchor:middle;mso-width-relative:page;mso-height-relative:page;" filled="f" stroked="t" coordsize="21600,21600" o:gfxdata="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" adj="-12341,-58892,-3600,4050,-1800,4050">
                      <v:fill on="f" focussize="0,0"/>
                      <v:stroke weight="1pt" color="#010EBD [3204]" miterlimit="8" joinstyle="miter"/>
                      <v:imagedata o:title=""/>
                      <o:lock v:ext="edit" aspectratio="f"/>
                      <v:textbox>
                        <w:txbxContent>
                          <w:p>
                            <w:pPr>
                              <w:jc w:val="center"/>
                              <w:rPr>
                                <w:rFonts w:hint="default" w:eastAsia="宋体"/>
                                <w:color w:val="0000FF"/>
                                <w:lang w:val="en-US" w:eastAsia="zh-CN"/>
                              </w:rPr>
                            </w:pPr>
                            <w:r>
                              <w:rPr>
                                <w:rFonts w:hint="eastAsia"/>
                                <w:b/>
                                <w:bCs/>
                                <w:color w:val="0000FF"/>
                                <w:lang w:val="en-US" w:eastAsia="zh-CN"/>
                              </w:rPr>
                              <w:t>现有东外环路</w:t>
                            </w:r>
                          </w:p>
                        </w:txbxContent>
                      </v:textbox>
                    </v:shape>
                  </w:pict>
                </mc:Fallback>
              </mc:AlternateContent>
            </w:r>
            <w:r>
              <w:rPr>
                <w:sz w:val="21"/>
              </w:rPr>
              <w:drawing>
                <wp:inline distT="0" distB="0" distL="114300" distR="114300">
                  <wp:extent cx="5657850" cy="8011160"/>
                  <wp:effectExtent l="0" t="0" r="0" b="8890"/>
                  <wp:docPr id="215" name="图片 215" descr="27-中心城区综合交通规划图-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descr="27-中心城区综合交通规划图-Model"/>
                          <pic:cNvPicPr>
                            <a:picLocks noChangeAspect="1"/>
                          </pic:cNvPicPr>
                        </pic:nvPicPr>
                        <pic:blipFill>
                          <a:blip r:embed="rId10"/>
                          <a:stretch>
                            <a:fillRect/>
                          </a:stretch>
                        </pic:blipFill>
                        <pic:spPr>
                          <a:xfrm>
                            <a:off x="0" y="0"/>
                            <a:ext cx="5657850" cy="8011160"/>
                          </a:xfrm>
                          <a:prstGeom prst="rect">
                            <a:avLst/>
                          </a:prstGeom>
                        </pic:spPr>
                      </pic:pic>
                    </a:graphicData>
                  </a:graphic>
                </wp:inline>
              </w:drawing>
            </w:r>
          </w:p>
          <w:p>
            <w:pPr>
              <w:autoSpaceDE w:val="0"/>
              <w:autoSpaceDN w:val="0"/>
              <w:adjustRightInd w:val="0"/>
              <w:snapToGrid w:val="0"/>
              <w:spacing w:line="480" w:lineRule="exact"/>
              <w:jc w:val="center"/>
              <w:rPr>
                <w:rFonts w:hint="default" w:ascii="Times New Roman" w:hAnsi="Times New Roman" w:cs="Times New Roman"/>
                <w:kern w:val="0"/>
                <w:sz w:val="24"/>
                <w:szCs w:val="24"/>
                <w:lang w:val="en-US"/>
              </w:rPr>
            </w:pPr>
            <w:r>
              <w:rPr>
                <w:rFonts w:hint="eastAsia" w:ascii="黑体" w:hAnsi="黑体" w:eastAsia="黑体" w:cs="黑体"/>
                <w:kern w:val="0"/>
                <w:sz w:val="24"/>
                <w:szCs w:val="24"/>
                <w:lang w:val="en-US" w:eastAsia="zh-CN"/>
              </w:rPr>
              <w:t>图1-1  本项目在五台县道路规划中的位置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87" w:type="dxa"/>
            <w:gridSpan w:val="2"/>
            <w:tcBorders>
              <w:top w:val="single" w:color="auto" w:sz="4" w:space="0"/>
              <w:left w:val="single" w:color="auto" w:sz="8" w:space="0"/>
              <w:bottom w:val="single" w:color="auto" w:sz="8" w:space="0"/>
              <w:right w:val="single" w:color="auto" w:sz="4" w:space="0"/>
            </w:tcBorders>
            <w:tcMar>
              <w:top w:w="16" w:type="dxa"/>
              <w:left w:w="16" w:type="dxa"/>
              <w:bottom w:w="0" w:type="dxa"/>
              <w:right w:w="16" w:type="dxa"/>
            </w:tcMar>
            <w:vAlign w:val="center"/>
          </w:tcPr>
          <w:p>
            <w:pPr>
              <w:autoSpaceDE w:val="0"/>
              <w:autoSpaceDN w:val="0"/>
              <w:adjustRightInd w:val="0"/>
              <w:snapToGrid w:val="0"/>
              <w:spacing w:line="480" w:lineRule="exact"/>
              <w:jc w:val="center"/>
              <w:rPr>
                <w:rFonts w:hint="default" w:ascii="Times New Roman" w:hAnsi="Times New Roman" w:cs="Times New Roman"/>
                <w:kern w:val="0"/>
                <w:sz w:val="24"/>
                <w:szCs w:val="24"/>
              </w:rPr>
            </w:pPr>
            <w:bookmarkStart w:id="0" w:name="_Hlk56690880"/>
            <w:r>
              <w:rPr>
                <w:rFonts w:hint="default" w:ascii="Times New Roman" w:hAnsi="Times New Roman" w:cs="Times New Roman"/>
                <w:kern w:val="0"/>
                <w:sz w:val="24"/>
                <w:szCs w:val="24"/>
              </w:rPr>
              <w:t>其他符合性分析</w:t>
            </w:r>
            <w:bookmarkEnd w:id="0"/>
          </w:p>
        </w:tc>
        <w:tc>
          <w:tcPr>
            <w:tcW w:w="8954" w:type="dxa"/>
            <w:gridSpan w:val="4"/>
            <w:tcBorders>
              <w:top w:val="single" w:color="auto" w:sz="4" w:space="0"/>
              <w:left w:val="single" w:color="auto" w:sz="4" w:space="0"/>
              <w:bottom w:val="single" w:color="auto" w:sz="8" w:space="0"/>
              <w:right w:val="single" w:color="auto" w:sz="8" w:space="0"/>
            </w:tcBorders>
            <w:tcMar>
              <w:top w:w="16" w:type="dxa"/>
              <w:left w:w="16" w:type="dxa"/>
              <w:bottom w:w="0" w:type="dxa"/>
              <w:right w:w="16" w:type="dxa"/>
            </w:tcMar>
            <w:vAlign w:val="center"/>
          </w:tcPr>
          <w:p>
            <w:pPr>
              <w:autoSpaceDE w:val="0"/>
              <w:autoSpaceDN w:val="0"/>
              <w:adjustRightInd w:val="0"/>
              <w:snapToGrid w:val="0"/>
              <w:spacing w:line="480" w:lineRule="exact"/>
              <w:ind w:firstLine="482" w:firstLineChars="200"/>
              <w:rPr>
                <w:rFonts w:hint="default" w:ascii="Times New Roman" w:hAnsi="Times New Roman" w:cs="Times New Roman"/>
                <w:b/>
                <w:bCs/>
                <w:kern w:val="0"/>
                <w:sz w:val="24"/>
                <w:szCs w:val="24"/>
              </w:rPr>
            </w:pPr>
            <w:r>
              <w:rPr>
                <w:rFonts w:hint="default" w:ascii="Times New Roman" w:hAnsi="Times New Roman" w:cs="Times New Roman"/>
                <w:b/>
                <w:bCs/>
                <w:kern w:val="0"/>
                <w:sz w:val="24"/>
                <w:szCs w:val="24"/>
              </w:rPr>
              <w:t>1、“三线一单”符合性分析</w:t>
            </w:r>
          </w:p>
          <w:p>
            <w:pPr>
              <w:autoSpaceDE w:val="0"/>
              <w:autoSpaceDN w:val="0"/>
              <w:adjustRightInd w:val="0"/>
              <w:snapToGrid w:val="0"/>
              <w:spacing w:line="480" w:lineRule="exact"/>
              <w:ind w:firstLine="482" w:firstLineChars="200"/>
              <w:rPr>
                <w:rFonts w:hint="default" w:ascii="Times New Roman" w:hAnsi="Times New Roman" w:cs="Times New Roman"/>
                <w:b/>
                <w:bCs/>
                <w:kern w:val="0"/>
                <w:sz w:val="24"/>
                <w:szCs w:val="24"/>
              </w:rPr>
            </w:pPr>
            <w:r>
              <w:rPr>
                <w:rFonts w:hint="default" w:ascii="Times New Roman" w:hAnsi="Times New Roman" w:cs="Times New Roman"/>
                <w:b/>
                <w:bCs/>
                <w:kern w:val="0"/>
                <w:sz w:val="24"/>
                <w:szCs w:val="24"/>
              </w:rPr>
              <w:t>（1）与生态保护红线的符合性分析</w:t>
            </w:r>
          </w:p>
          <w:p>
            <w:pPr>
              <w:autoSpaceDE w:val="0"/>
              <w:autoSpaceDN w:val="0"/>
              <w:adjustRightInd w:val="0"/>
              <w:snapToGrid w:val="0"/>
              <w:spacing w:line="480" w:lineRule="exact"/>
              <w:ind w:firstLine="480" w:firstLineChars="200"/>
              <w:rPr>
                <w:rFonts w:hint="default" w:ascii="Times New Roman" w:hAnsi="Times New Roman" w:cs="Times New Roman"/>
                <w:color w:val="auto"/>
                <w:kern w:val="0"/>
                <w:sz w:val="24"/>
              </w:rPr>
            </w:pPr>
            <w:r>
              <w:rPr>
                <w:rFonts w:hint="default" w:ascii="Times New Roman" w:hAnsi="Times New Roman" w:cs="Times New Roman"/>
                <w:color w:val="auto"/>
                <w:kern w:val="0"/>
                <w:sz w:val="24"/>
              </w:rPr>
              <w:t>根据《生态保护红线划定技术指南》，山西省生态保护红线可能涉及的区域主要包括水源涵养区、水土保持区、防风固沙区、生物多样性维护区等陆地重要生态功能区，或水土流失敏感区、土地沙化敏感区、石漠化敏感区、高寒生态脆弱区、干旱、半干旱生态脆弱区等陆地生态环境敏感区和脆弱区、国家级自然保护区、世界文化自然遗产、国家级风景名胜区、国家森林公园和国家地质公园等禁止开发区。</w:t>
            </w:r>
          </w:p>
          <w:p>
            <w:pPr>
              <w:autoSpaceDE w:val="0"/>
              <w:autoSpaceDN w:val="0"/>
              <w:adjustRightInd w:val="0"/>
              <w:snapToGrid w:val="0"/>
              <w:spacing w:line="480" w:lineRule="exact"/>
              <w:ind w:firstLine="480" w:firstLineChars="200"/>
              <w:rPr>
                <w:rFonts w:hint="default" w:ascii="Times New Roman" w:hAnsi="Times New Roman" w:eastAsia="宋体" w:cs="Times New Roman"/>
                <w:color w:val="auto"/>
                <w:kern w:val="0"/>
                <w:sz w:val="24"/>
                <w:szCs w:val="24"/>
                <w:lang w:val="en-US" w:eastAsia="zh-CN"/>
              </w:rPr>
            </w:pPr>
            <w:r>
              <w:rPr>
                <w:rFonts w:hint="eastAsia" w:cs="Times New Roman"/>
                <w:color w:val="auto"/>
                <w:kern w:val="0"/>
                <w:sz w:val="24"/>
                <w:szCs w:val="24"/>
                <w:lang w:val="en-US" w:eastAsia="zh-CN"/>
              </w:rPr>
              <w:t>本项目拟建3条道路均位于五台县县城中心城区，</w:t>
            </w:r>
            <w:r>
              <w:rPr>
                <w:rFonts w:hint="default" w:ascii="Times New Roman" w:hAnsi="Times New Roman" w:cs="Times New Roman"/>
                <w:color w:val="auto"/>
                <w:sz w:val="24"/>
              </w:rPr>
              <w:t>根据山西省“三线一单”图集中的忻州市</w:t>
            </w:r>
            <w:r>
              <w:rPr>
                <w:rFonts w:hint="eastAsia" w:cs="Times New Roman"/>
                <w:color w:val="auto"/>
                <w:sz w:val="24"/>
                <w:lang w:val="en-US" w:eastAsia="zh-CN"/>
              </w:rPr>
              <w:t>生态环境</w:t>
            </w:r>
            <w:r>
              <w:rPr>
                <w:rFonts w:hint="default" w:ascii="Times New Roman" w:hAnsi="Times New Roman" w:cs="Times New Roman"/>
                <w:color w:val="auto"/>
                <w:sz w:val="24"/>
              </w:rPr>
              <w:t>管控单元图，本项目位于</w:t>
            </w:r>
            <w:r>
              <w:rPr>
                <w:rFonts w:hint="eastAsia" w:cs="Times New Roman"/>
                <w:color w:val="auto"/>
                <w:sz w:val="24"/>
                <w:lang w:val="en-US" w:eastAsia="zh-CN"/>
              </w:rPr>
              <w:t>重点管控</w:t>
            </w:r>
            <w:r>
              <w:rPr>
                <w:rFonts w:hint="default" w:ascii="Times New Roman" w:hAnsi="Times New Roman" w:cs="Times New Roman"/>
                <w:color w:val="auto"/>
                <w:sz w:val="24"/>
              </w:rPr>
              <w:t>单元。忻州市</w:t>
            </w:r>
            <w:r>
              <w:rPr>
                <w:rFonts w:hint="eastAsia" w:cs="Times New Roman"/>
                <w:color w:val="auto"/>
                <w:sz w:val="24"/>
                <w:lang w:val="en-US" w:eastAsia="zh-CN"/>
              </w:rPr>
              <w:t>生态环境</w:t>
            </w:r>
            <w:r>
              <w:rPr>
                <w:rFonts w:hint="default" w:ascii="Times New Roman" w:hAnsi="Times New Roman" w:cs="Times New Roman"/>
                <w:color w:val="auto"/>
                <w:sz w:val="24"/>
              </w:rPr>
              <w:t>管控单元图见附图4。</w:t>
            </w:r>
          </w:p>
          <w:p>
            <w:pPr>
              <w:autoSpaceDE w:val="0"/>
              <w:autoSpaceDN w:val="0"/>
              <w:adjustRightInd w:val="0"/>
              <w:snapToGrid w:val="0"/>
              <w:spacing w:line="480" w:lineRule="exact"/>
              <w:ind w:firstLine="480" w:firstLineChars="200"/>
              <w:rPr>
                <w:rFonts w:hint="default" w:ascii="Times New Roman" w:hAnsi="Times New Roman" w:cs="Times New Roman"/>
                <w:kern w:val="0"/>
                <w:sz w:val="24"/>
                <w:szCs w:val="24"/>
              </w:rPr>
            </w:pPr>
            <w:r>
              <w:rPr>
                <w:rFonts w:hint="default" w:ascii="Times New Roman" w:hAnsi="Times New Roman" w:cs="Times New Roman"/>
                <w:color w:val="auto"/>
                <w:sz w:val="24"/>
              </w:rPr>
              <w:t>根据《山西省人民政府关于实施“三线一单”生态环境分区管控的意见》（晋政发[2020]26号）以及《忻州市人民政府关于印发忻州市“三线一单”生态环境分区管控实施方案的通知》（忻政发[2021]12号），本项目与</w:t>
            </w:r>
            <w:r>
              <w:rPr>
                <w:rFonts w:hint="eastAsia" w:cs="Times New Roman"/>
                <w:color w:val="auto"/>
                <w:sz w:val="24"/>
                <w:lang w:val="en-US" w:eastAsia="zh-CN"/>
              </w:rPr>
              <w:t>重点管控</w:t>
            </w:r>
            <w:r>
              <w:rPr>
                <w:rFonts w:hint="default" w:ascii="Times New Roman" w:hAnsi="Times New Roman" w:cs="Times New Roman"/>
                <w:color w:val="auto"/>
                <w:sz w:val="24"/>
              </w:rPr>
              <w:t>单元</w:t>
            </w:r>
            <w:r>
              <w:rPr>
                <w:rFonts w:hint="default" w:ascii="Times New Roman" w:hAnsi="Times New Roman" w:cs="Times New Roman"/>
                <w:color w:val="auto"/>
                <w:sz w:val="24"/>
                <w:lang w:val="en-US" w:eastAsia="zh-CN"/>
              </w:rPr>
              <w:t>管控要求</w:t>
            </w:r>
            <w:r>
              <w:rPr>
                <w:rFonts w:hint="default" w:ascii="Times New Roman" w:hAnsi="Times New Roman" w:cs="Times New Roman"/>
                <w:color w:val="auto"/>
                <w:sz w:val="24"/>
              </w:rPr>
              <w:t>的符合性分析见下表。</w:t>
            </w:r>
          </w:p>
          <w:p>
            <w:pPr>
              <w:autoSpaceDE w:val="0"/>
              <w:autoSpaceDN w:val="0"/>
              <w:adjustRightInd w:val="0"/>
              <w:snapToGrid w:val="0"/>
              <w:spacing w:line="480" w:lineRule="exact"/>
              <w:jc w:val="center"/>
              <w:rPr>
                <w:rFonts w:hint="eastAsia" w:ascii="黑体" w:hAnsi="黑体" w:eastAsia="黑体" w:cs="宋体"/>
                <w:color w:val="auto"/>
                <w:kern w:val="0"/>
                <w:sz w:val="24"/>
              </w:rPr>
            </w:pPr>
            <w:r>
              <w:rPr>
                <w:rFonts w:hint="default" w:ascii="Times New Roman" w:hAnsi="Times New Roman" w:eastAsia="黑体" w:cs="Times New Roman"/>
                <w:color w:val="auto"/>
                <w:kern w:val="0"/>
                <w:sz w:val="24"/>
              </w:rPr>
              <w:t>表1-1  与《山西省人民政府关于实施“三线一单”生态环境分区管控的意见》</w:t>
            </w:r>
            <w:r>
              <w:rPr>
                <w:rFonts w:hint="eastAsia" w:ascii="黑体" w:hAnsi="黑体" w:eastAsia="黑体" w:cs="宋体"/>
                <w:color w:val="auto"/>
                <w:kern w:val="0"/>
                <w:sz w:val="24"/>
              </w:rPr>
              <w:t>中</w:t>
            </w:r>
            <w:r>
              <w:rPr>
                <w:rFonts w:hint="eastAsia" w:ascii="黑体" w:hAnsi="黑体" w:eastAsia="黑体" w:cs="宋体"/>
                <w:color w:val="auto"/>
                <w:kern w:val="0"/>
                <w:sz w:val="24"/>
                <w:lang w:val="en-US" w:eastAsia="zh-CN"/>
              </w:rPr>
              <w:t>重点管控</w:t>
            </w:r>
            <w:r>
              <w:rPr>
                <w:rFonts w:hint="eastAsia" w:ascii="黑体" w:hAnsi="黑体" w:eastAsia="黑体" w:cs="宋体"/>
                <w:color w:val="auto"/>
                <w:kern w:val="0"/>
                <w:sz w:val="24"/>
              </w:rPr>
              <w:t>单元</w:t>
            </w:r>
            <w:r>
              <w:rPr>
                <w:rFonts w:hint="eastAsia" w:ascii="黑体" w:hAnsi="黑体" w:eastAsia="黑体" w:cs="宋体"/>
                <w:color w:val="auto"/>
                <w:kern w:val="0"/>
                <w:sz w:val="24"/>
                <w:lang w:val="en-US" w:eastAsia="zh-CN"/>
              </w:rPr>
              <w:t>管控要求</w:t>
            </w:r>
            <w:r>
              <w:rPr>
                <w:rFonts w:hint="eastAsia" w:ascii="黑体" w:hAnsi="黑体" w:eastAsia="黑体" w:cs="宋体"/>
                <w:color w:val="auto"/>
                <w:kern w:val="0"/>
                <w:sz w:val="24"/>
              </w:rPr>
              <w:t>的符合性分析</w:t>
            </w:r>
          </w:p>
          <w:tbl>
            <w:tblPr>
              <w:tblStyle w:val="21"/>
              <w:tblW w:w="4896" w:type="pct"/>
              <w:tblInd w:w="8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53"/>
              <w:gridCol w:w="42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2551" w:type="pct"/>
                  <w:shd w:val="clear" w:color="auto" w:fill="auto"/>
                  <w:vAlign w:val="center"/>
                </w:tcPr>
                <w:p>
                  <w:pPr>
                    <w:keepNext w:val="0"/>
                    <w:keepLines w:val="0"/>
                    <w:suppressLineNumbers w:val="0"/>
                    <w:autoSpaceDE w:val="0"/>
                    <w:autoSpaceDN w:val="0"/>
                    <w:adjustRightInd w:val="0"/>
                    <w:snapToGrid w:val="0"/>
                    <w:spacing w:before="0" w:beforeAutospacing="0" w:after="0" w:afterAutospacing="0" w:line="360" w:lineRule="exact"/>
                    <w:ind w:left="0" w:right="0"/>
                    <w:jc w:val="center"/>
                    <w:rPr>
                      <w:rFonts w:hint="eastAsia" w:cs="宋体"/>
                      <w:color w:val="auto"/>
                      <w:kern w:val="0"/>
                      <w:szCs w:val="21"/>
                    </w:rPr>
                  </w:pPr>
                  <w:r>
                    <w:rPr>
                      <w:rFonts w:hint="eastAsia" w:cs="宋体"/>
                      <w:color w:val="auto"/>
                      <w:kern w:val="0"/>
                      <w:szCs w:val="21"/>
                    </w:rPr>
                    <w:t>重点管控单元管控要求</w:t>
                  </w:r>
                </w:p>
              </w:tc>
              <w:tc>
                <w:tcPr>
                  <w:tcW w:w="2448" w:type="pct"/>
                  <w:shd w:val="clear" w:color="auto" w:fill="auto"/>
                  <w:vAlign w:val="center"/>
                </w:tcPr>
                <w:p>
                  <w:pPr>
                    <w:keepNext w:val="0"/>
                    <w:keepLines w:val="0"/>
                    <w:suppressLineNumbers w:val="0"/>
                    <w:autoSpaceDE w:val="0"/>
                    <w:autoSpaceDN w:val="0"/>
                    <w:adjustRightInd w:val="0"/>
                    <w:snapToGrid w:val="0"/>
                    <w:spacing w:before="0" w:beforeAutospacing="0" w:after="0" w:afterAutospacing="0" w:line="360" w:lineRule="exact"/>
                    <w:ind w:left="0" w:right="0"/>
                    <w:jc w:val="center"/>
                    <w:rPr>
                      <w:rFonts w:hint="eastAsia" w:cs="宋体"/>
                      <w:color w:val="auto"/>
                      <w:kern w:val="0"/>
                      <w:szCs w:val="21"/>
                    </w:rPr>
                  </w:pPr>
                  <w:r>
                    <w:rPr>
                      <w:rFonts w:hint="eastAsia" w:cs="宋体"/>
                      <w:color w:val="auto"/>
                      <w:kern w:val="0"/>
                      <w:szCs w:val="21"/>
                    </w:rPr>
                    <w:t>本项目情况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2551" w:type="pct"/>
                  <w:shd w:val="clear" w:color="auto" w:fill="auto"/>
                  <w:vAlign w:val="center"/>
                </w:tcPr>
                <w:p>
                  <w:pPr>
                    <w:keepNext w:val="0"/>
                    <w:keepLines w:val="0"/>
                    <w:suppressLineNumbers w:val="0"/>
                    <w:autoSpaceDE w:val="0"/>
                    <w:autoSpaceDN w:val="0"/>
                    <w:adjustRightInd w:val="0"/>
                    <w:snapToGrid w:val="0"/>
                    <w:spacing w:before="0" w:beforeAutospacing="0" w:after="0" w:afterAutospacing="0" w:line="360" w:lineRule="exact"/>
                    <w:ind w:left="0" w:right="0" w:firstLine="420" w:firstLineChars="200"/>
                    <w:rPr>
                      <w:rFonts w:hint="eastAsia" w:cs="宋体"/>
                      <w:color w:val="auto"/>
                      <w:kern w:val="0"/>
                      <w:szCs w:val="21"/>
                    </w:rPr>
                  </w:pPr>
                  <w:r>
                    <w:rPr>
                      <w:rFonts w:hint="eastAsia" w:cs="宋体"/>
                      <w:color w:val="auto"/>
                      <w:kern w:val="0"/>
                      <w:szCs w:val="21"/>
                      <w:lang w:val="en-US" w:eastAsia="zh-CN"/>
                    </w:rPr>
                    <w:t>进一步优化空间布局，加强污染物排放控制和环境风险防控，不断提升资源能源利用效率，解决生态环境质量不达标、生态环境风险高等问题，实现减污降碳协同效应。</w:t>
                  </w:r>
                </w:p>
              </w:tc>
              <w:tc>
                <w:tcPr>
                  <w:tcW w:w="2448" w:type="pct"/>
                  <w:vMerge w:val="restart"/>
                  <w:shd w:val="clear" w:color="auto" w:fill="auto"/>
                  <w:vAlign w:val="center"/>
                </w:tcPr>
                <w:p>
                  <w:pPr>
                    <w:keepNext w:val="0"/>
                    <w:keepLines w:val="0"/>
                    <w:suppressLineNumbers w:val="0"/>
                    <w:autoSpaceDE w:val="0"/>
                    <w:autoSpaceDN w:val="0"/>
                    <w:adjustRightInd w:val="0"/>
                    <w:snapToGrid w:val="0"/>
                    <w:spacing w:before="0" w:beforeAutospacing="0" w:after="0" w:afterAutospacing="0" w:line="360" w:lineRule="exact"/>
                    <w:ind w:left="0" w:right="0" w:firstLine="420" w:firstLineChars="200"/>
                    <w:jc w:val="both"/>
                    <w:rPr>
                      <w:rFonts w:hint="eastAsia" w:cs="宋体"/>
                      <w:color w:val="auto"/>
                      <w:kern w:val="0"/>
                      <w:szCs w:val="21"/>
                      <w:lang w:val="en-US" w:eastAsia="zh-CN"/>
                    </w:rPr>
                  </w:pPr>
                  <w:r>
                    <w:rPr>
                      <w:rFonts w:hint="eastAsia" w:cs="宋体"/>
                      <w:color w:val="auto"/>
                      <w:kern w:val="0"/>
                      <w:szCs w:val="21"/>
                      <w:lang w:val="en-US" w:eastAsia="zh-CN"/>
                    </w:rPr>
                    <w:t>本次“五台县湖滨大街西延等三条道路管网建设项目”共建设三条路：分别为东外环路、湖滨大街西延、文昌路；其中东外环路作为城南区对外交通的一条主要通道，是规划路网中的一环；文昌路作为中心城区南北向的主要通道，是规划路网中的一纵；湖滨大街作为中心城区东西向的主要通道，是规划路网中的一横。现状湖滨大街、文昌路均为断头道路，东外环路路面较窄，已远远不能满足五台县对外的交通需求；因此，本项目的实施将促进《五台县县城总体规划》（2012~2030）中“道路交通规划”的实施，项目建设完成后对五台县中心城区道路网的完善具有重要意义。</w:t>
                  </w:r>
                </w:p>
                <w:p>
                  <w:pPr>
                    <w:keepNext w:val="0"/>
                    <w:keepLines w:val="0"/>
                    <w:suppressLineNumbers w:val="0"/>
                    <w:autoSpaceDE w:val="0"/>
                    <w:autoSpaceDN w:val="0"/>
                    <w:adjustRightInd w:val="0"/>
                    <w:snapToGrid w:val="0"/>
                    <w:spacing w:before="0" w:beforeAutospacing="0" w:after="0" w:afterAutospacing="0" w:line="360" w:lineRule="exact"/>
                    <w:ind w:left="0" w:right="0" w:firstLine="420" w:firstLineChars="200"/>
                    <w:jc w:val="both"/>
                    <w:rPr>
                      <w:rFonts w:hint="eastAsia" w:cs="宋体"/>
                      <w:color w:val="auto"/>
                      <w:kern w:val="0"/>
                      <w:szCs w:val="21"/>
                      <w:lang w:val="en-US" w:eastAsia="zh-CN"/>
                    </w:rPr>
                  </w:pPr>
                  <w:r>
                    <w:rPr>
                      <w:rFonts w:hint="eastAsia" w:cs="宋体"/>
                      <w:color w:val="auto"/>
                      <w:kern w:val="0"/>
                      <w:szCs w:val="21"/>
                      <w:lang w:val="en-US" w:eastAsia="zh-CN"/>
                    </w:rPr>
                    <w:t>本项目已取得“建设项目用地预审与选址意见书（用字第140922202201003号）”以及五台县自然资源局对用地预审与选址意见书的复函（五自然资函〔2022〕56号）；本项目拟用地21.6091公顷；其中农用地14.6693公顷、建设用地6.0854公顷、未利用地0.8544公顷；本项目未占用基本农田，不在生态保护红线范围内。</w:t>
                  </w:r>
                </w:p>
                <w:p>
                  <w:pPr>
                    <w:keepNext w:val="0"/>
                    <w:keepLines w:val="0"/>
                    <w:suppressLineNumbers w:val="0"/>
                    <w:autoSpaceDE w:val="0"/>
                    <w:autoSpaceDN w:val="0"/>
                    <w:adjustRightInd w:val="0"/>
                    <w:snapToGrid w:val="0"/>
                    <w:spacing w:before="0" w:beforeAutospacing="0" w:after="0" w:afterAutospacing="0" w:line="360" w:lineRule="exact"/>
                    <w:ind w:left="0" w:right="0" w:firstLine="420" w:firstLineChars="200"/>
                    <w:jc w:val="both"/>
                    <w:rPr>
                      <w:rFonts w:hint="eastAsia" w:cs="宋体"/>
                      <w:color w:val="auto"/>
                      <w:kern w:val="0"/>
                      <w:szCs w:val="21"/>
                    </w:rPr>
                  </w:pPr>
                  <w:r>
                    <w:rPr>
                      <w:rFonts w:hint="eastAsia" w:cs="宋体"/>
                      <w:color w:val="auto"/>
                      <w:kern w:val="0"/>
                      <w:szCs w:val="21"/>
                      <w:lang w:val="en-US" w:eastAsia="zh-CN"/>
                    </w:rPr>
                    <w:t>同时本项目涉及城市集中供热、供气、雨污水分流、再生水管网、绿化等工程建设，对区域生态环境质量的改善具有促进作用。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2551" w:type="pct"/>
                  <w:shd w:val="clear" w:color="auto" w:fill="auto"/>
                  <w:vAlign w:val="center"/>
                </w:tcPr>
                <w:p>
                  <w:pPr>
                    <w:keepNext w:val="0"/>
                    <w:keepLines w:val="0"/>
                    <w:suppressLineNumbers w:val="0"/>
                    <w:autoSpaceDE w:val="0"/>
                    <w:autoSpaceDN w:val="0"/>
                    <w:adjustRightInd w:val="0"/>
                    <w:snapToGrid w:val="0"/>
                    <w:spacing w:before="0" w:beforeAutospacing="0" w:after="0" w:afterAutospacing="0" w:line="360" w:lineRule="exact"/>
                    <w:ind w:left="0" w:right="0" w:firstLine="420" w:firstLineChars="200"/>
                    <w:rPr>
                      <w:rFonts w:hint="eastAsia" w:cs="宋体"/>
                      <w:color w:val="auto"/>
                      <w:kern w:val="0"/>
                      <w:szCs w:val="21"/>
                    </w:rPr>
                  </w:pPr>
                  <w:r>
                    <w:rPr>
                      <w:rFonts w:hint="eastAsia" w:cs="宋体"/>
                      <w:color w:val="auto"/>
                      <w:kern w:val="0"/>
                      <w:szCs w:val="21"/>
                      <w:lang w:val="en-US" w:eastAsia="zh-CN"/>
                    </w:rPr>
                    <w:t>京津冀及周边地区和汾渭平原等国家大气污染联防联控重点区域，要加快调整优化产业结构、能源结构，严禁新增钢铁、焦化、铸造、水泥、平板玻璃等产能，要加快实施城市规划区“两高”企业搬迁，完善能源消费双控制度。</w:t>
                  </w:r>
                </w:p>
              </w:tc>
              <w:tc>
                <w:tcPr>
                  <w:tcW w:w="2448" w:type="pct"/>
                  <w:vMerge w:val="continue"/>
                  <w:shd w:val="clear" w:color="auto" w:fill="auto"/>
                  <w:vAlign w:val="center"/>
                </w:tcPr>
                <w:p>
                  <w:pPr>
                    <w:keepNext w:val="0"/>
                    <w:keepLines w:val="0"/>
                    <w:suppressLineNumbers w:val="0"/>
                    <w:autoSpaceDE w:val="0"/>
                    <w:autoSpaceDN w:val="0"/>
                    <w:adjustRightInd w:val="0"/>
                    <w:snapToGrid w:val="0"/>
                    <w:spacing w:before="0" w:beforeAutospacing="0" w:after="0" w:afterAutospacing="0" w:line="360" w:lineRule="exact"/>
                    <w:ind w:left="0" w:right="0"/>
                    <w:jc w:val="both"/>
                    <w:rPr>
                      <w:rFonts w:hint="eastAsia" w:cs="宋体"/>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2551" w:type="pct"/>
                  <w:shd w:val="clear" w:color="auto" w:fill="auto"/>
                  <w:vAlign w:val="center"/>
                </w:tcPr>
                <w:p>
                  <w:pPr>
                    <w:keepNext w:val="0"/>
                    <w:keepLines w:val="0"/>
                    <w:suppressLineNumbers w:val="0"/>
                    <w:autoSpaceDE w:val="0"/>
                    <w:autoSpaceDN w:val="0"/>
                    <w:adjustRightInd w:val="0"/>
                    <w:snapToGrid w:val="0"/>
                    <w:spacing w:before="0" w:beforeAutospacing="0" w:after="0" w:afterAutospacing="0" w:line="360" w:lineRule="exact"/>
                    <w:ind w:left="0" w:right="0" w:firstLine="420" w:firstLineChars="200"/>
                    <w:rPr>
                      <w:rFonts w:hint="eastAsia" w:cs="宋体"/>
                      <w:color w:val="auto"/>
                      <w:kern w:val="0"/>
                      <w:szCs w:val="21"/>
                    </w:rPr>
                  </w:pPr>
                  <w:r>
                    <w:rPr>
                      <w:rFonts w:hint="eastAsia" w:cs="宋体"/>
                      <w:color w:val="auto"/>
                      <w:kern w:val="0"/>
                      <w:szCs w:val="21"/>
                      <w:lang w:val="en-US" w:eastAsia="zh-CN"/>
                    </w:rPr>
                    <w:t>实施企业绩效分级分类管控，强化联防联控，持续推进清洁取暖散煤治理，严防“散乱污”企业反弹，积极应对重污染天气。</w:t>
                  </w:r>
                </w:p>
              </w:tc>
              <w:tc>
                <w:tcPr>
                  <w:tcW w:w="2448" w:type="pct"/>
                  <w:vMerge w:val="continue"/>
                  <w:shd w:val="clear" w:color="auto" w:fill="auto"/>
                  <w:vAlign w:val="center"/>
                </w:tcPr>
                <w:p>
                  <w:pPr>
                    <w:keepNext w:val="0"/>
                    <w:keepLines w:val="0"/>
                    <w:suppressLineNumbers w:val="0"/>
                    <w:autoSpaceDE w:val="0"/>
                    <w:autoSpaceDN w:val="0"/>
                    <w:adjustRightInd w:val="0"/>
                    <w:snapToGrid w:val="0"/>
                    <w:spacing w:before="0" w:beforeAutospacing="0" w:after="0" w:afterAutospacing="0" w:line="360" w:lineRule="exact"/>
                    <w:ind w:left="0" w:right="0"/>
                    <w:jc w:val="both"/>
                    <w:rPr>
                      <w:rFonts w:hint="eastAsia" w:cs="宋体"/>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2551" w:type="pct"/>
                  <w:shd w:val="clear" w:color="auto" w:fill="auto"/>
                  <w:vAlign w:val="center"/>
                </w:tcPr>
                <w:p>
                  <w:pPr>
                    <w:keepNext w:val="0"/>
                    <w:keepLines w:val="0"/>
                    <w:suppressLineNumbers w:val="0"/>
                    <w:autoSpaceDE w:val="0"/>
                    <w:autoSpaceDN w:val="0"/>
                    <w:adjustRightInd w:val="0"/>
                    <w:snapToGrid w:val="0"/>
                    <w:spacing w:before="0" w:beforeAutospacing="0" w:after="0" w:afterAutospacing="0" w:line="360" w:lineRule="exact"/>
                    <w:ind w:left="0" w:right="0" w:firstLine="420" w:firstLineChars="200"/>
                    <w:rPr>
                      <w:rFonts w:hint="eastAsia" w:cs="宋体"/>
                      <w:color w:val="auto"/>
                      <w:kern w:val="0"/>
                      <w:szCs w:val="21"/>
                    </w:rPr>
                  </w:pPr>
                  <w:r>
                    <w:rPr>
                      <w:rFonts w:hint="eastAsia" w:cs="宋体"/>
                      <w:color w:val="auto"/>
                      <w:kern w:val="0"/>
                      <w:szCs w:val="21"/>
                      <w:lang w:val="en-US" w:eastAsia="zh-CN"/>
                    </w:rPr>
                    <w:t>太原及周边“1+30”汾河谷地区域在执行京津冀及周边地区和汾渭平原区域管控要求基础上，以资源环境承载力为约束，全面推进现有焦化、化工、钢铁、有色等重污染行业企业逐步退出城市规划区和县城建成区，推动焦化产能向资源禀赋好、环境承载力强、大气扩散条件优、铁路运输便利的区域转移。鼓励焦化、化工等传统产业实施“飞地经济”。</w:t>
                  </w:r>
                </w:p>
              </w:tc>
              <w:tc>
                <w:tcPr>
                  <w:tcW w:w="2448" w:type="pct"/>
                  <w:vMerge w:val="continue"/>
                  <w:shd w:val="clear" w:color="auto" w:fill="auto"/>
                  <w:vAlign w:val="center"/>
                </w:tcPr>
                <w:p>
                  <w:pPr>
                    <w:keepNext w:val="0"/>
                    <w:keepLines w:val="0"/>
                    <w:suppressLineNumbers w:val="0"/>
                    <w:autoSpaceDE w:val="0"/>
                    <w:autoSpaceDN w:val="0"/>
                    <w:adjustRightInd w:val="0"/>
                    <w:snapToGrid w:val="0"/>
                    <w:spacing w:before="0" w:beforeAutospacing="0" w:after="0" w:afterAutospacing="0" w:line="360" w:lineRule="exact"/>
                    <w:ind w:left="0" w:right="0"/>
                    <w:jc w:val="both"/>
                    <w:rPr>
                      <w:rFonts w:hint="eastAsia" w:cs="宋体"/>
                      <w:color w:val="auto"/>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2551" w:type="pct"/>
                  <w:shd w:val="clear" w:color="auto" w:fill="auto"/>
                  <w:vAlign w:val="center"/>
                </w:tcPr>
                <w:p>
                  <w:pPr>
                    <w:keepNext w:val="0"/>
                    <w:keepLines w:val="0"/>
                    <w:suppressLineNumbers w:val="0"/>
                    <w:autoSpaceDE w:val="0"/>
                    <w:autoSpaceDN w:val="0"/>
                    <w:adjustRightInd w:val="0"/>
                    <w:snapToGrid w:val="0"/>
                    <w:spacing w:before="0" w:beforeAutospacing="0" w:after="0" w:afterAutospacing="0" w:line="360" w:lineRule="exact"/>
                    <w:ind w:left="0" w:right="0" w:firstLine="420" w:firstLineChars="200"/>
                    <w:jc w:val="both"/>
                    <w:rPr>
                      <w:rFonts w:hint="eastAsia" w:cs="宋体"/>
                      <w:color w:val="auto"/>
                      <w:kern w:val="0"/>
                      <w:szCs w:val="21"/>
                    </w:rPr>
                  </w:pPr>
                  <w:r>
                    <w:rPr>
                      <w:rFonts w:hint="eastAsia" w:cs="宋体"/>
                      <w:color w:val="auto"/>
                      <w:kern w:val="0"/>
                      <w:szCs w:val="21"/>
                      <w:lang w:val="en-US" w:eastAsia="zh-CN"/>
                    </w:rPr>
                    <w:t>汾河流域加强流域上下游左右岸污染统筹治理，严格入河排污口设置，实施汾河入河排污总量控制，积极推行流域城镇生活污水处理“厂-网-河(湖)”一体化运营模式，大力推进工业废水近零排放和资源化利用，实施城镇生活再生水资源化分质利用。</w:t>
                  </w:r>
                </w:p>
              </w:tc>
              <w:tc>
                <w:tcPr>
                  <w:tcW w:w="2448" w:type="pct"/>
                  <w:vMerge w:val="continue"/>
                  <w:shd w:val="clear" w:color="auto" w:fill="auto"/>
                  <w:vAlign w:val="center"/>
                </w:tcPr>
                <w:p>
                  <w:pPr>
                    <w:keepNext w:val="0"/>
                    <w:keepLines w:val="0"/>
                    <w:suppressLineNumbers w:val="0"/>
                    <w:autoSpaceDE w:val="0"/>
                    <w:autoSpaceDN w:val="0"/>
                    <w:adjustRightInd w:val="0"/>
                    <w:snapToGrid w:val="0"/>
                    <w:spacing w:before="0" w:beforeAutospacing="0" w:after="0" w:afterAutospacing="0" w:line="360" w:lineRule="exact"/>
                    <w:ind w:left="0" w:right="0"/>
                    <w:jc w:val="both"/>
                    <w:rPr>
                      <w:rFonts w:hint="eastAsia" w:cs="宋体"/>
                      <w:color w:val="auto"/>
                      <w:kern w:val="0"/>
                      <w:szCs w:val="21"/>
                    </w:rPr>
                  </w:pPr>
                </w:p>
              </w:tc>
            </w:tr>
          </w:tbl>
          <w:p>
            <w:pPr>
              <w:autoSpaceDE w:val="0"/>
              <w:autoSpaceDN w:val="0"/>
              <w:adjustRightInd w:val="0"/>
              <w:snapToGrid w:val="0"/>
              <w:spacing w:line="480" w:lineRule="exact"/>
              <w:jc w:val="center"/>
              <w:rPr>
                <w:rFonts w:hint="default" w:ascii="Times New Roman" w:hAnsi="Times New Roman" w:eastAsia="黑体" w:cs="Times New Roman"/>
                <w:color w:val="auto"/>
                <w:kern w:val="0"/>
                <w:sz w:val="24"/>
              </w:rPr>
            </w:pPr>
            <w:r>
              <w:rPr>
                <w:rFonts w:hint="default" w:ascii="Times New Roman" w:hAnsi="Times New Roman" w:eastAsia="黑体" w:cs="Times New Roman"/>
                <w:color w:val="auto"/>
                <w:kern w:val="0"/>
                <w:sz w:val="24"/>
              </w:rPr>
              <w:t>表1-2  与《忻州市“三线一单”生态环境分区管控实施方案》中</w:t>
            </w:r>
            <w:r>
              <w:rPr>
                <w:rFonts w:hint="eastAsia" w:eastAsia="黑体" w:cs="Times New Roman"/>
                <w:color w:val="auto"/>
                <w:kern w:val="0"/>
                <w:sz w:val="24"/>
                <w:lang w:val="en-US" w:eastAsia="zh-CN"/>
              </w:rPr>
              <w:t>重点</w:t>
            </w:r>
            <w:r>
              <w:rPr>
                <w:rFonts w:hint="default" w:ascii="Times New Roman" w:hAnsi="Times New Roman" w:eastAsia="黑体" w:cs="Times New Roman"/>
                <w:color w:val="auto"/>
                <w:kern w:val="0"/>
                <w:sz w:val="24"/>
              </w:rPr>
              <w:t>管控单元管控要求的符合性分析</w:t>
            </w:r>
          </w:p>
          <w:tbl>
            <w:tblPr>
              <w:tblStyle w:val="21"/>
              <w:tblW w:w="4878" w:type="pct"/>
              <w:tblInd w:w="9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57"/>
              <w:gridCol w:w="63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1355" w:type="pct"/>
                  <w:shd w:val="clear" w:color="auto" w:fill="auto"/>
                  <w:vAlign w:val="center"/>
                </w:tcPr>
                <w:p>
                  <w:pPr>
                    <w:keepNext w:val="0"/>
                    <w:keepLines w:val="0"/>
                    <w:suppressLineNumbers w:val="0"/>
                    <w:autoSpaceDE w:val="0"/>
                    <w:autoSpaceDN w:val="0"/>
                    <w:adjustRightInd w:val="0"/>
                    <w:snapToGrid w:val="0"/>
                    <w:spacing w:before="0" w:beforeAutospacing="0" w:after="0" w:afterAutospacing="0" w:line="360" w:lineRule="exact"/>
                    <w:ind w:left="0" w:right="0"/>
                    <w:jc w:val="center"/>
                    <w:rPr>
                      <w:rFonts w:hint="eastAsia" w:cs="宋体"/>
                      <w:color w:val="auto"/>
                      <w:kern w:val="0"/>
                      <w:szCs w:val="21"/>
                    </w:rPr>
                  </w:pPr>
                  <w:r>
                    <w:rPr>
                      <w:rFonts w:hint="eastAsia" w:cs="宋体"/>
                      <w:color w:val="auto"/>
                      <w:kern w:val="0"/>
                      <w:szCs w:val="21"/>
                    </w:rPr>
                    <w:t>重点管控单元管控要求</w:t>
                  </w:r>
                </w:p>
              </w:tc>
              <w:tc>
                <w:tcPr>
                  <w:tcW w:w="3644" w:type="pct"/>
                  <w:shd w:val="clear" w:color="auto" w:fill="auto"/>
                  <w:vAlign w:val="center"/>
                </w:tcPr>
                <w:p>
                  <w:pPr>
                    <w:keepNext w:val="0"/>
                    <w:keepLines w:val="0"/>
                    <w:suppressLineNumbers w:val="0"/>
                    <w:autoSpaceDE w:val="0"/>
                    <w:autoSpaceDN w:val="0"/>
                    <w:adjustRightInd w:val="0"/>
                    <w:snapToGrid w:val="0"/>
                    <w:spacing w:before="0" w:beforeAutospacing="0" w:after="0" w:afterAutospacing="0" w:line="360" w:lineRule="exact"/>
                    <w:ind w:left="0" w:right="0"/>
                    <w:jc w:val="center"/>
                    <w:rPr>
                      <w:rFonts w:hint="eastAsia" w:cs="宋体"/>
                      <w:color w:val="auto"/>
                      <w:kern w:val="0"/>
                      <w:szCs w:val="21"/>
                    </w:rPr>
                  </w:pPr>
                  <w:r>
                    <w:rPr>
                      <w:rFonts w:hint="eastAsia" w:cs="宋体"/>
                      <w:color w:val="auto"/>
                      <w:kern w:val="0"/>
                      <w:szCs w:val="21"/>
                    </w:rPr>
                    <w:t>本项目情况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2" w:hRule="atLeast"/>
              </w:trPr>
              <w:tc>
                <w:tcPr>
                  <w:tcW w:w="1355" w:type="pct"/>
                  <w:shd w:val="clear" w:color="auto" w:fill="auto"/>
                  <w:vAlign w:val="center"/>
                </w:tcPr>
                <w:p>
                  <w:pPr>
                    <w:keepNext w:val="0"/>
                    <w:keepLines w:val="0"/>
                    <w:suppressLineNumbers w:val="0"/>
                    <w:autoSpaceDE w:val="0"/>
                    <w:autoSpaceDN w:val="0"/>
                    <w:adjustRightInd w:val="0"/>
                    <w:snapToGrid w:val="0"/>
                    <w:spacing w:before="0" w:beforeAutospacing="0" w:after="0" w:afterAutospacing="0" w:line="360" w:lineRule="exact"/>
                    <w:ind w:left="0" w:right="0" w:firstLine="420" w:firstLineChars="200"/>
                    <w:rPr>
                      <w:rFonts w:hint="eastAsia" w:cs="宋体"/>
                      <w:color w:val="auto"/>
                      <w:kern w:val="0"/>
                      <w:szCs w:val="21"/>
                    </w:rPr>
                  </w:pPr>
                  <w:r>
                    <w:rPr>
                      <w:rFonts w:hint="eastAsia" w:cs="宋体"/>
                      <w:color w:val="auto"/>
                      <w:kern w:val="0"/>
                      <w:szCs w:val="21"/>
                      <w:lang w:val="en-US" w:eastAsia="zh-CN"/>
                    </w:rPr>
                    <w:t>重点管控单元既是产业高质量发展的承载区，也是环境污染治理和风险防范的重点区域。重点管控单元以生态修复和环境污染治理为主，进一步优化空间布局，加强污染物排放控制和环境风险防控，不断提升资源能源利用效率，解决生态环境质量不达标、生态环境风险高等问题，实现减污降碳协同效应。</w:t>
                  </w:r>
                </w:p>
              </w:tc>
              <w:tc>
                <w:tcPr>
                  <w:tcW w:w="3644" w:type="pct"/>
                  <w:shd w:val="clear" w:color="auto" w:fill="auto"/>
                  <w:vAlign w:val="center"/>
                </w:tcPr>
                <w:p>
                  <w:pPr>
                    <w:keepNext w:val="0"/>
                    <w:keepLines w:val="0"/>
                    <w:suppressLineNumbers w:val="0"/>
                    <w:autoSpaceDE w:val="0"/>
                    <w:autoSpaceDN w:val="0"/>
                    <w:adjustRightInd w:val="0"/>
                    <w:snapToGrid w:val="0"/>
                    <w:spacing w:before="0" w:beforeAutospacing="0" w:after="0" w:afterAutospacing="0" w:line="360" w:lineRule="exact"/>
                    <w:ind w:left="0" w:right="0" w:firstLine="420" w:firstLineChars="200"/>
                    <w:jc w:val="both"/>
                    <w:rPr>
                      <w:rFonts w:hint="eastAsia" w:cs="宋体"/>
                      <w:color w:val="auto"/>
                      <w:kern w:val="0"/>
                      <w:szCs w:val="21"/>
                      <w:lang w:val="en-US" w:eastAsia="zh-CN"/>
                    </w:rPr>
                  </w:pPr>
                  <w:r>
                    <w:rPr>
                      <w:rFonts w:hint="eastAsia" w:cs="宋体"/>
                      <w:color w:val="auto"/>
                      <w:kern w:val="0"/>
                      <w:szCs w:val="21"/>
                      <w:lang w:val="en-US" w:eastAsia="zh-CN"/>
                    </w:rPr>
                    <w:t>本次“五台县湖滨大街西延等三条道路管网建设项目”共建设三条路：分别为东外环路、湖滨大街西延、文昌路；其中东外环路作为城南区对外交通的一条主要通道，是规划路网中的一环；文昌路作为中心城区南北向的主要通道，是规划路网中的一纵；湖滨大街作为中心城区东西向的主要通道，是规划路网中的一横。现状湖滨大街、文昌路均为断头道路，东外环路路面较窄，已远远不能满足五台县对外的交通需求；因此，本项目的实施将促进《五台县县城总体规划》（2012~2030）中“道路交通规划”的实施，项目建设完成后对五台县中心城区道路网的完善具有重要意义。</w:t>
                  </w:r>
                </w:p>
                <w:p>
                  <w:pPr>
                    <w:keepNext w:val="0"/>
                    <w:keepLines w:val="0"/>
                    <w:suppressLineNumbers w:val="0"/>
                    <w:autoSpaceDE w:val="0"/>
                    <w:autoSpaceDN w:val="0"/>
                    <w:adjustRightInd w:val="0"/>
                    <w:snapToGrid w:val="0"/>
                    <w:spacing w:before="0" w:beforeAutospacing="0" w:after="0" w:afterAutospacing="0" w:line="360" w:lineRule="exact"/>
                    <w:ind w:left="0" w:right="0" w:firstLine="420" w:firstLineChars="200"/>
                    <w:rPr>
                      <w:rFonts w:hint="default" w:cs="宋体"/>
                      <w:color w:val="auto"/>
                      <w:kern w:val="0"/>
                      <w:szCs w:val="21"/>
                      <w:lang w:val="en-US" w:eastAsia="zh-CN"/>
                    </w:rPr>
                  </w:pPr>
                  <w:r>
                    <w:rPr>
                      <w:rFonts w:hint="eastAsia" w:cs="宋体"/>
                      <w:color w:val="auto"/>
                      <w:kern w:val="0"/>
                      <w:szCs w:val="21"/>
                      <w:lang w:val="en-US" w:eastAsia="zh-CN"/>
                    </w:rPr>
                    <w:t>本项目已取得“建设项目用地预审与选址意见书（用字第140922202201003号）”以及五台县自然资源局对用地预审与选址意见书的复函（五自然资函〔2022〕56号）；本项目拟用地21.6091公顷；其中农用地14.6693公顷、建设用地6.0854公顷、未利用地0.8544公顷；本项目未占用基本农田，不在生态保护红线范围内。</w:t>
                  </w:r>
                </w:p>
                <w:p>
                  <w:pPr>
                    <w:keepNext w:val="0"/>
                    <w:keepLines w:val="0"/>
                    <w:suppressLineNumbers w:val="0"/>
                    <w:autoSpaceDE w:val="0"/>
                    <w:autoSpaceDN w:val="0"/>
                    <w:adjustRightInd w:val="0"/>
                    <w:snapToGrid w:val="0"/>
                    <w:spacing w:before="0" w:beforeAutospacing="0" w:after="0" w:afterAutospacing="0" w:line="360" w:lineRule="exact"/>
                    <w:ind w:left="0" w:right="0" w:firstLine="420" w:firstLineChars="200"/>
                    <w:rPr>
                      <w:rFonts w:hint="eastAsia" w:cs="宋体"/>
                      <w:color w:val="auto"/>
                      <w:kern w:val="0"/>
                      <w:szCs w:val="21"/>
                    </w:rPr>
                  </w:pPr>
                  <w:r>
                    <w:rPr>
                      <w:rFonts w:hint="eastAsia" w:cs="宋体"/>
                      <w:color w:val="auto"/>
                      <w:kern w:val="0"/>
                      <w:szCs w:val="21"/>
                      <w:lang w:val="en-US" w:eastAsia="zh-CN"/>
                    </w:rPr>
                    <w:t>同时本项目涉及城市集中供热、供气、雨污水分流、再生水管网、绿化等工程建设，对区域生态环境质量的改善具有促进作用。</w:t>
                  </w:r>
                </w:p>
              </w:tc>
            </w:tr>
          </w:tbl>
          <w:p>
            <w:pPr>
              <w:autoSpaceDE w:val="0"/>
              <w:autoSpaceDN w:val="0"/>
              <w:adjustRightInd w:val="0"/>
              <w:snapToGrid w:val="0"/>
              <w:spacing w:line="480" w:lineRule="exact"/>
              <w:ind w:firstLine="480" w:firstLineChars="200"/>
              <w:rPr>
                <w:rFonts w:hint="default" w:ascii="Times New Roman" w:hAnsi="Times New Roman" w:cs="Times New Roman"/>
                <w:b/>
                <w:bCs/>
                <w:color w:val="auto"/>
                <w:kern w:val="0"/>
                <w:sz w:val="24"/>
              </w:rPr>
            </w:pPr>
            <w:r>
              <w:rPr>
                <w:rFonts w:hint="default" w:ascii="Times New Roman" w:hAnsi="Times New Roman" w:cs="Times New Roman"/>
                <w:color w:val="auto"/>
                <w:kern w:val="0"/>
                <w:sz w:val="24"/>
              </w:rPr>
              <w:t>由表1-1~2可知，</w:t>
            </w:r>
            <w:r>
              <w:rPr>
                <w:rFonts w:hint="eastAsia" w:cs="宋体"/>
                <w:color w:val="auto"/>
                <w:kern w:val="0"/>
                <w:sz w:val="24"/>
              </w:rPr>
              <w:t>本项目符合《山西省人民政府关于实施“三线一单”生态环境分区管控的意见》</w:t>
            </w:r>
            <w:r>
              <w:rPr>
                <w:rFonts w:hint="eastAsia" w:cs="宋体"/>
                <w:color w:val="auto"/>
                <w:kern w:val="0"/>
                <w:sz w:val="24"/>
                <w:lang w:eastAsia="zh-CN"/>
              </w:rPr>
              <w:t>、《</w:t>
            </w:r>
            <w:r>
              <w:rPr>
                <w:rFonts w:hint="eastAsia" w:cs="宋体"/>
                <w:color w:val="auto"/>
                <w:kern w:val="0"/>
                <w:sz w:val="24"/>
                <w:lang w:val="en-US" w:eastAsia="zh-CN"/>
              </w:rPr>
              <w:t>忻州市</w:t>
            </w:r>
            <w:r>
              <w:rPr>
                <w:rFonts w:hint="eastAsia" w:cs="宋体"/>
                <w:color w:val="auto"/>
                <w:kern w:val="0"/>
                <w:sz w:val="24"/>
                <w:lang w:eastAsia="zh-CN"/>
              </w:rPr>
              <w:t>“三线一单”生态环境分区管控</w:t>
            </w:r>
            <w:r>
              <w:rPr>
                <w:rFonts w:hint="eastAsia" w:cs="宋体"/>
                <w:color w:val="auto"/>
                <w:kern w:val="0"/>
                <w:sz w:val="24"/>
                <w:lang w:val="en-US" w:eastAsia="zh-CN"/>
              </w:rPr>
              <w:t>实施方案</w:t>
            </w:r>
            <w:r>
              <w:rPr>
                <w:rFonts w:hint="eastAsia" w:cs="宋体"/>
                <w:color w:val="auto"/>
                <w:kern w:val="0"/>
                <w:sz w:val="24"/>
                <w:lang w:eastAsia="zh-CN"/>
              </w:rPr>
              <w:t>》</w:t>
            </w:r>
            <w:r>
              <w:rPr>
                <w:rFonts w:hint="eastAsia" w:cs="宋体"/>
                <w:color w:val="auto"/>
                <w:kern w:val="0"/>
                <w:sz w:val="24"/>
              </w:rPr>
              <w:t>中</w:t>
            </w:r>
            <w:r>
              <w:rPr>
                <w:rFonts w:hint="eastAsia" w:cs="宋体"/>
                <w:color w:val="auto"/>
                <w:kern w:val="0"/>
                <w:sz w:val="24"/>
                <w:lang w:val="en-US" w:eastAsia="zh-CN"/>
              </w:rPr>
              <w:t>重点管控</w:t>
            </w:r>
            <w:r>
              <w:rPr>
                <w:rFonts w:hint="eastAsia" w:cs="宋体"/>
                <w:color w:val="auto"/>
                <w:kern w:val="0"/>
                <w:sz w:val="24"/>
              </w:rPr>
              <w:t>单元的管控要求</w:t>
            </w:r>
            <w:r>
              <w:rPr>
                <w:rFonts w:hint="eastAsia" w:cs="宋体"/>
                <w:color w:val="auto"/>
                <w:kern w:val="0"/>
                <w:sz w:val="24"/>
                <w:lang w:val="en-US" w:eastAsia="zh-CN"/>
              </w:rPr>
              <w:t>。</w:t>
            </w:r>
          </w:p>
          <w:p>
            <w:pPr>
              <w:autoSpaceDE w:val="0"/>
              <w:autoSpaceDN w:val="0"/>
              <w:adjustRightInd w:val="0"/>
              <w:snapToGrid w:val="0"/>
              <w:spacing w:line="480" w:lineRule="exact"/>
              <w:ind w:firstLine="482" w:firstLineChars="200"/>
              <w:rPr>
                <w:rFonts w:hint="default" w:ascii="Times New Roman" w:hAnsi="Times New Roman" w:cs="Times New Roman"/>
                <w:b/>
                <w:bCs/>
                <w:color w:val="auto"/>
                <w:kern w:val="0"/>
                <w:sz w:val="24"/>
              </w:rPr>
            </w:pPr>
            <w:r>
              <w:rPr>
                <w:rFonts w:hint="default" w:ascii="Times New Roman" w:hAnsi="Times New Roman" w:cs="Times New Roman"/>
                <w:b/>
                <w:bCs/>
                <w:color w:val="auto"/>
                <w:kern w:val="0"/>
                <w:sz w:val="24"/>
              </w:rPr>
              <w:t>①环境空气：</w:t>
            </w:r>
          </w:p>
          <w:p>
            <w:pPr>
              <w:autoSpaceDE w:val="0"/>
              <w:autoSpaceDN w:val="0"/>
              <w:adjustRightInd w:val="0"/>
              <w:snapToGrid w:val="0"/>
              <w:spacing w:line="480" w:lineRule="exact"/>
              <w:ind w:firstLine="480" w:firstLineChars="200"/>
              <w:rPr>
                <w:rFonts w:hint="default" w:ascii="Times New Roman" w:hAnsi="Times New Roman" w:cs="Times New Roman"/>
                <w:color w:val="auto"/>
                <w:kern w:val="0"/>
                <w:sz w:val="24"/>
              </w:rPr>
            </w:pPr>
            <w:r>
              <w:rPr>
                <w:rFonts w:hint="default" w:ascii="Times New Roman" w:hAnsi="Times New Roman" w:cs="Times New Roman"/>
                <w:bCs/>
                <w:color w:val="auto"/>
                <w:sz w:val="24"/>
              </w:rPr>
              <w:t>本次评价收集到了</w:t>
            </w:r>
            <w:r>
              <w:rPr>
                <w:rFonts w:hint="eastAsia" w:cs="Times New Roman"/>
                <w:bCs/>
                <w:color w:val="auto"/>
                <w:sz w:val="24"/>
                <w:lang w:val="en-US" w:eastAsia="zh-CN"/>
              </w:rPr>
              <w:t>五台县</w:t>
            </w:r>
            <w:r>
              <w:rPr>
                <w:rFonts w:hint="default" w:ascii="Times New Roman" w:hAnsi="Times New Roman" w:cs="Times New Roman"/>
                <w:bCs/>
                <w:color w:val="auto"/>
                <w:sz w:val="24"/>
              </w:rPr>
              <w:t>2021年环境空气质量例行监测资料，</w:t>
            </w:r>
            <w:r>
              <w:rPr>
                <w:rFonts w:hint="default" w:ascii="Times New Roman" w:hAnsi="Times New Roman" w:cs="Times New Roman"/>
                <w:bCs/>
                <w:snapToGrid w:val="0"/>
                <w:color w:val="auto"/>
                <w:kern w:val="0"/>
                <w:sz w:val="24"/>
                <w:szCs w:val="24"/>
              </w:rPr>
              <w:t>根据例行监测数据统计结果，</w:t>
            </w:r>
            <w:r>
              <w:rPr>
                <w:rFonts w:hint="eastAsia"/>
                <w:bCs/>
                <w:snapToGrid w:val="0"/>
                <w:color w:val="auto"/>
                <w:kern w:val="0"/>
                <w:sz w:val="24"/>
                <w:szCs w:val="24"/>
              </w:rPr>
              <w:t>2021年</w:t>
            </w:r>
            <w:r>
              <w:rPr>
                <w:rFonts w:hint="eastAsia"/>
                <w:bCs/>
                <w:color w:val="auto"/>
                <w:sz w:val="24"/>
                <w:lang w:val="en-US" w:eastAsia="zh-CN"/>
              </w:rPr>
              <w:t>五台县</w:t>
            </w:r>
            <w:r>
              <w:rPr>
                <w:rFonts w:hint="eastAsia"/>
                <w:color w:val="auto"/>
                <w:sz w:val="24"/>
                <w:szCs w:val="24"/>
              </w:rPr>
              <w:t>SO</w:t>
            </w:r>
            <w:r>
              <w:rPr>
                <w:rFonts w:hint="eastAsia"/>
                <w:color w:val="auto"/>
                <w:sz w:val="24"/>
                <w:szCs w:val="24"/>
                <w:vertAlign w:val="subscript"/>
              </w:rPr>
              <w:t>2</w:t>
            </w:r>
            <w:r>
              <w:rPr>
                <w:rFonts w:hint="eastAsia"/>
                <w:color w:val="auto"/>
                <w:sz w:val="24"/>
                <w:szCs w:val="24"/>
              </w:rPr>
              <w:t>年均浓度占标率为</w:t>
            </w:r>
            <w:r>
              <w:rPr>
                <w:rFonts w:hint="eastAsia"/>
                <w:color w:val="auto"/>
                <w:sz w:val="24"/>
                <w:szCs w:val="24"/>
                <w:lang w:val="en-US" w:eastAsia="zh-CN"/>
              </w:rPr>
              <w:t>23.3</w:t>
            </w:r>
            <w:r>
              <w:rPr>
                <w:rFonts w:hint="eastAsia"/>
                <w:color w:val="auto"/>
                <w:sz w:val="24"/>
                <w:szCs w:val="24"/>
              </w:rPr>
              <w:t>%，NO</w:t>
            </w:r>
            <w:r>
              <w:rPr>
                <w:rFonts w:hint="eastAsia"/>
                <w:color w:val="auto"/>
                <w:sz w:val="24"/>
                <w:szCs w:val="24"/>
                <w:vertAlign w:val="subscript"/>
              </w:rPr>
              <w:t>2</w:t>
            </w:r>
            <w:r>
              <w:rPr>
                <w:rFonts w:hint="eastAsia"/>
                <w:color w:val="auto"/>
                <w:sz w:val="24"/>
                <w:szCs w:val="24"/>
              </w:rPr>
              <w:t>年均浓度占标率为</w:t>
            </w:r>
            <w:r>
              <w:rPr>
                <w:rFonts w:hint="eastAsia"/>
                <w:color w:val="auto"/>
                <w:sz w:val="24"/>
                <w:szCs w:val="24"/>
                <w:lang w:val="en-US" w:eastAsia="zh-CN"/>
              </w:rPr>
              <w:t>45.0</w:t>
            </w:r>
            <w:r>
              <w:rPr>
                <w:rFonts w:hint="eastAsia"/>
                <w:color w:val="auto"/>
                <w:sz w:val="24"/>
                <w:szCs w:val="24"/>
              </w:rPr>
              <w:t>%，PM</w:t>
            </w:r>
            <w:r>
              <w:rPr>
                <w:rFonts w:hint="eastAsia"/>
                <w:color w:val="auto"/>
                <w:sz w:val="24"/>
                <w:szCs w:val="24"/>
                <w:vertAlign w:val="subscript"/>
              </w:rPr>
              <w:t>10</w:t>
            </w:r>
            <w:r>
              <w:rPr>
                <w:rFonts w:hint="eastAsia"/>
                <w:color w:val="auto"/>
                <w:sz w:val="24"/>
                <w:szCs w:val="24"/>
              </w:rPr>
              <w:t>年均浓度占标率为</w:t>
            </w:r>
            <w:r>
              <w:rPr>
                <w:rFonts w:hint="eastAsia"/>
                <w:color w:val="auto"/>
                <w:sz w:val="24"/>
                <w:szCs w:val="24"/>
                <w:lang w:val="en-US" w:eastAsia="zh-CN"/>
              </w:rPr>
              <w:t>85.7</w:t>
            </w:r>
            <w:r>
              <w:rPr>
                <w:rFonts w:hint="eastAsia"/>
                <w:color w:val="auto"/>
                <w:sz w:val="24"/>
                <w:szCs w:val="24"/>
              </w:rPr>
              <w:t>%，PM</w:t>
            </w:r>
            <w:r>
              <w:rPr>
                <w:rFonts w:hint="eastAsia"/>
                <w:color w:val="auto"/>
                <w:sz w:val="24"/>
                <w:szCs w:val="24"/>
                <w:vertAlign w:val="subscript"/>
              </w:rPr>
              <w:t>2.5</w:t>
            </w:r>
            <w:r>
              <w:rPr>
                <w:rFonts w:hint="eastAsia"/>
                <w:color w:val="auto"/>
                <w:sz w:val="24"/>
                <w:szCs w:val="24"/>
              </w:rPr>
              <w:t>年均浓度占标率为</w:t>
            </w:r>
            <w:r>
              <w:rPr>
                <w:rFonts w:hint="eastAsia"/>
                <w:color w:val="auto"/>
                <w:sz w:val="24"/>
                <w:szCs w:val="24"/>
                <w:lang w:val="en-US" w:eastAsia="zh-CN"/>
              </w:rPr>
              <w:t>88.6</w:t>
            </w:r>
            <w:r>
              <w:rPr>
                <w:rFonts w:hint="eastAsia"/>
                <w:color w:val="auto"/>
                <w:sz w:val="24"/>
                <w:szCs w:val="24"/>
              </w:rPr>
              <w:t>%，CO的24小时平均第95百分位数占标率为</w:t>
            </w:r>
            <w:r>
              <w:rPr>
                <w:rFonts w:hint="eastAsia"/>
                <w:color w:val="auto"/>
                <w:sz w:val="24"/>
                <w:szCs w:val="24"/>
                <w:lang w:val="en-US" w:eastAsia="zh-CN"/>
              </w:rPr>
              <w:t>25.0</w:t>
            </w:r>
            <w:r>
              <w:rPr>
                <w:rFonts w:hint="eastAsia"/>
                <w:color w:val="auto"/>
                <w:sz w:val="24"/>
                <w:szCs w:val="24"/>
              </w:rPr>
              <w:t>%，O</w:t>
            </w:r>
            <w:r>
              <w:rPr>
                <w:rFonts w:hint="eastAsia"/>
                <w:color w:val="auto"/>
                <w:sz w:val="24"/>
                <w:szCs w:val="24"/>
                <w:vertAlign w:val="subscript"/>
              </w:rPr>
              <w:t>3</w:t>
            </w:r>
            <w:r>
              <w:rPr>
                <w:rFonts w:hint="eastAsia"/>
                <w:color w:val="auto"/>
                <w:sz w:val="24"/>
                <w:szCs w:val="24"/>
              </w:rPr>
              <w:t>的日最大8小时滑动平均值的第90百分位数浓度占标率为</w:t>
            </w:r>
            <w:r>
              <w:rPr>
                <w:rFonts w:hint="eastAsia"/>
                <w:color w:val="auto"/>
                <w:sz w:val="24"/>
                <w:szCs w:val="24"/>
                <w:lang w:val="en-US" w:eastAsia="zh-CN"/>
              </w:rPr>
              <w:t>101.2</w:t>
            </w:r>
            <w:r>
              <w:rPr>
                <w:rFonts w:hint="eastAsia"/>
                <w:color w:val="auto"/>
                <w:sz w:val="24"/>
                <w:szCs w:val="24"/>
              </w:rPr>
              <w:t>%，六项基本污染物</w:t>
            </w:r>
            <w:r>
              <w:rPr>
                <w:rFonts w:hint="eastAsia"/>
                <w:bCs/>
                <w:snapToGrid w:val="0"/>
                <w:color w:val="auto"/>
                <w:kern w:val="0"/>
                <w:sz w:val="24"/>
                <w:szCs w:val="24"/>
              </w:rPr>
              <w:t>中O</w:t>
            </w:r>
            <w:r>
              <w:rPr>
                <w:rFonts w:hint="eastAsia"/>
                <w:bCs/>
                <w:snapToGrid w:val="0"/>
                <w:color w:val="auto"/>
                <w:kern w:val="0"/>
                <w:sz w:val="24"/>
                <w:szCs w:val="24"/>
                <w:vertAlign w:val="subscript"/>
              </w:rPr>
              <w:t>3</w:t>
            </w:r>
            <w:r>
              <w:rPr>
                <w:rFonts w:hint="eastAsia"/>
                <w:color w:val="auto"/>
                <w:sz w:val="24"/>
                <w:szCs w:val="24"/>
                <w:lang w:val="en-US" w:eastAsia="zh-CN"/>
              </w:rPr>
              <w:t>百分位数</w:t>
            </w:r>
            <w:r>
              <w:rPr>
                <w:rFonts w:hint="eastAsia"/>
                <w:color w:val="auto"/>
                <w:sz w:val="24"/>
                <w:szCs w:val="24"/>
              </w:rPr>
              <w:t>浓度</w:t>
            </w:r>
            <w:r>
              <w:rPr>
                <w:rFonts w:hint="eastAsia"/>
                <w:bCs/>
                <w:snapToGrid w:val="0"/>
                <w:color w:val="auto"/>
                <w:kern w:val="0"/>
                <w:sz w:val="24"/>
                <w:szCs w:val="24"/>
              </w:rPr>
              <w:t>超标；</w:t>
            </w:r>
            <w:r>
              <w:rPr>
                <w:rFonts w:hint="eastAsia"/>
                <w:color w:val="auto"/>
                <w:sz w:val="24"/>
                <w:szCs w:val="24"/>
              </w:rPr>
              <w:t>因此，</w:t>
            </w:r>
            <w:r>
              <w:rPr>
                <w:rFonts w:hint="eastAsia"/>
                <w:bCs/>
                <w:color w:val="auto"/>
                <w:sz w:val="24"/>
                <w:szCs w:val="24"/>
                <w:lang w:val="en-US" w:eastAsia="zh-CN"/>
              </w:rPr>
              <w:t>五台县</w:t>
            </w:r>
            <w:r>
              <w:rPr>
                <w:rFonts w:hint="eastAsia"/>
                <w:color w:val="auto"/>
                <w:sz w:val="24"/>
                <w:szCs w:val="24"/>
              </w:rPr>
              <w:t>为不达标区。</w:t>
            </w:r>
          </w:p>
          <w:p>
            <w:pPr>
              <w:keepNext w:val="0"/>
              <w:keepLines w:val="0"/>
              <w:suppressLineNumbers w:val="0"/>
              <w:autoSpaceDE w:val="0"/>
              <w:autoSpaceDN w:val="0"/>
              <w:adjustRightInd w:val="0"/>
              <w:snapToGrid w:val="0"/>
              <w:spacing w:before="0" w:beforeAutospacing="0" w:after="0" w:afterAutospacing="0" w:line="480" w:lineRule="exact"/>
              <w:ind w:left="0" w:right="0" w:firstLine="482" w:firstLineChars="200"/>
              <w:rPr>
                <w:rFonts w:hint="eastAsia"/>
                <w:b/>
                <w:bCs/>
                <w:color w:val="auto"/>
                <w:kern w:val="0"/>
                <w:sz w:val="24"/>
              </w:rPr>
            </w:pPr>
            <w:r>
              <w:rPr>
                <w:rFonts w:hint="eastAsia"/>
                <w:b/>
                <w:bCs/>
                <w:color w:val="auto"/>
                <w:kern w:val="0"/>
                <w:sz w:val="24"/>
                <w:lang w:val="en-US" w:eastAsia="zh-CN"/>
              </w:rPr>
              <w:t>②</w:t>
            </w:r>
            <w:r>
              <w:rPr>
                <w:rFonts w:hint="eastAsia"/>
                <w:b/>
                <w:bCs/>
                <w:color w:val="auto"/>
                <w:kern w:val="0"/>
                <w:sz w:val="24"/>
              </w:rPr>
              <w:t>地表水环境：</w:t>
            </w:r>
          </w:p>
          <w:p>
            <w:pPr>
              <w:spacing w:line="480" w:lineRule="exact"/>
              <w:ind w:firstLine="480" w:firstLineChars="200"/>
              <w:rPr>
                <w:rFonts w:hint="default" w:ascii="Times New Roman" w:hAnsi="Times New Roman" w:cs="Times New Roman"/>
                <w:bCs/>
                <w:color w:val="auto"/>
                <w:sz w:val="24"/>
              </w:rPr>
            </w:pPr>
            <w:r>
              <w:rPr>
                <w:rFonts w:hint="eastAsia"/>
                <w:bCs/>
                <w:color w:val="auto"/>
                <w:sz w:val="24"/>
              </w:rPr>
              <w:t>本项目所在区域地表水系为海河流域-滹沱河山区-滹沱河水系-清水河河流（环椿坪至坪上桥段）</w:t>
            </w:r>
            <w:r>
              <w:rPr>
                <w:rFonts w:hint="eastAsia"/>
                <w:bCs/>
                <w:color w:val="auto"/>
                <w:sz w:val="24"/>
                <w:lang w:eastAsia="zh-CN"/>
              </w:rPr>
              <w:t>，</w:t>
            </w:r>
            <w:r>
              <w:rPr>
                <w:rFonts w:hint="default" w:ascii="Times New Roman" w:hAnsi="Times New Roman" w:cs="Times New Roman"/>
                <w:bCs/>
                <w:color w:val="auto"/>
                <w:sz w:val="24"/>
              </w:rPr>
              <w:t>水环境功能为</w:t>
            </w:r>
            <w:r>
              <w:rPr>
                <w:rFonts w:hint="eastAsia" w:cs="Times New Roman"/>
                <w:bCs/>
                <w:color w:val="auto"/>
                <w:sz w:val="24"/>
                <w:lang w:val="en-US" w:eastAsia="zh-CN"/>
              </w:rPr>
              <w:t>过渡区水源</w:t>
            </w:r>
            <w:r>
              <w:rPr>
                <w:rFonts w:hint="default" w:ascii="Times New Roman" w:hAnsi="Times New Roman" w:cs="Times New Roman"/>
                <w:bCs/>
                <w:color w:val="auto"/>
                <w:sz w:val="24"/>
                <w:lang w:val="en-US" w:eastAsia="zh-CN"/>
              </w:rPr>
              <w:t>保护</w:t>
            </w:r>
            <w:r>
              <w:rPr>
                <w:rFonts w:hint="default" w:ascii="Times New Roman" w:hAnsi="Times New Roman" w:cs="Times New Roman"/>
                <w:bCs/>
                <w:color w:val="auto"/>
                <w:sz w:val="24"/>
              </w:rPr>
              <w:t>，执行《地表水环境质量标准》（GB）Ⅱ类标准。</w:t>
            </w:r>
            <w:r>
              <w:rPr>
                <w:rFonts w:hint="eastAsia"/>
                <w:bCs/>
                <w:color w:val="auto"/>
                <w:sz w:val="24"/>
              </w:rPr>
              <w:t>根据忻州市生态文明建设和污染防治攻坚战领导小组办公室发布的“关于忻州市2021年12月及全年地表水环境质量的通报”（忻污防办发[2022]1号），</w:t>
            </w:r>
            <w:r>
              <w:rPr>
                <w:rFonts w:hint="eastAsia"/>
                <w:bCs/>
                <w:color w:val="auto"/>
                <w:sz w:val="24"/>
                <w:lang w:val="en-US" w:eastAsia="zh-CN"/>
              </w:rPr>
              <w:t>坪上桥断面</w:t>
            </w:r>
            <w:r>
              <w:rPr>
                <w:rFonts w:hint="eastAsia"/>
                <w:bCs/>
                <w:color w:val="auto"/>
                <w:sz w:val="24"/>
              </w:rPr>
              <w:t>1月-12月为Ⅰ类水质，满足Ⅱ类水质考核标准要求。</w:t>
            </w:r>
          </w:p>
          <w:p>
            <w:pPr>
              <w:autoSpaceDE w:val="0"/>
              <w:autoSpaceDN w:val="0"/>
              <w:adjustRightInd w:val="0"/>
              <w:snapToGrid w:val="0"/>
              <w:spacing w:line="480" w:lineRule="exact"/>
              <w:ind w:firstLine="480" w:firstLineChars="200"/>
              <w:rPr>
                <w:rFonts w:hint="default" w:ascii="Times New Roman" w:hAnsi="Times New Roman" w:cs="Times New Roman"/>
                <w:color w:val="0000FF"/>
                <w:kern w:val="0"/>
                <w:sz w:val="24"/>
                <w:szCs w:val="24"/>
              </w:rPr>
            </w:pPr>
            <w:r>
              <w:rPr>
                <w:rFonts w:hint="default" w:ascii="Times New Roman" w:hAnsi="Times New Roman" w:cs="Times New Roman"/>
                <w:color w:val="auto"/>
                <w:kern w:val="0"/>
                <w:sz w:val="24"/>
                <w:szCs w:val="24"/>
              </w:rPr>
              <w:t>本项目为道路建设项目，涉及城市集中供热、供气、雨污水分流、再生水管网、绿化等工程建设，对区域生态环境质量的改善具有促进作用。因此，本项目建设不会超出环境质量底线，使区域环境质量降低。</w:t>
            </w:r>
          </w:p>
          <w:p>
            <w:pPr>
              <w:autoSpaceDE w:val="0"/>
              <w:autoSpaceDN w:val="0"/>
              <w:adjustRightInd w:val="0"/>
              <w:snapToGrid w:val="0"/>
              <w:spacing w:line="440" w:lineRule="exact"/>
              <w:ind w:firstLine="482" w:firstLineChars="200"/>
              <w:rPr>
                <w:rFonts w:hint="default" w:ascii="Times New Roman" w:hAnsi="Times New Roman" w:cs="Times New Roman"/>
                <w:b/>
                <w:bCs/>
                <w:kern w:val="0"/>
                <w:sz w:val="24"/>
              </w:rPr>
            </w:pPr>
            <w:r>
              <w:rPr>
                <w:rFonts w:hint="default" w:ascii="Times New Roman" w:hAnsi="Times New Roman" w:cs="Times New Roman"/>
                <w:b/>
                <w:bCs/>
                <w:kern w:val="0"/>
                <w:sz w:val="24"/>
              </w:rPr>
              <w:t>（3）与资源利用上线的符合性分析</w:t>
            </w:r>
          </w:p>
          <w:p>
            <w:pPr>
              <w:autoSpaceDE w:val="0"/>
              <w:autoSpaceDN w:val="0"/>
              <w:adjustRightInd w:val="0"/>
              <w:snapToGrid w:val="0"/>
              <w:spacing w:line="480" w:lineRule="exact"/>
              <w:ind w:firstLine="480" w:firstLineChars="200"/>
              <w:rPr>
                <w:rFonts w:hint="default" w:ascii="Times New Roman" w:hAnsi="Times New Roman" w:cs="Times New Roman"/>
                <w:color w:val="auto"/>
                <w:kern w:val="0"/>
                <w:sz w:val="24"/>
                <w:szCs w:val="24"/>
              </w:rPr>
            </w:pPr>
            <w:r>
              <w:rPr>
                <w:rFonts w:hint="default" w:ascii="Times New Roman" w:hAnsi="Times New Roman" w:cs="Times New Roman"/>
                <w:color w:val="auto"/>
                <w:sz w:val="24"/>
                <w:highlight w:val="none"/>
                <w:shd w:val="clear" w:color="auto" w:fill="auto"/>
              </w:rPr>
              <w:t>项目建设过程中所利用的资源主要为水</w:t>
            </w:r>
            <w:r>
              <w:rPr>
                <w:rFonts w:hint="default" w:ascii="Times New Roman" w:hAnsi="Times New Roman" w:cs="Times New Roman"/>
                <w:color w:val="auto"/>
                <w:sz w:val="24"/>
                <w:highlight w:val="none"/>
                <w:shd w:val="clear" w:color="auto" w:fill="auto"/>
                <w:lang w:eastAsia="zh-CN"/>
              </w:rPr>
              <w:t>、</w:t>
            </w:r>
            <w:r>
              <w:rPr>
                <w:rFonts w:hint="default" w:ascii="Times New Roman" w:hAnsi="Times New Roman" w:cs="Times New Roman"/>
                <w:color w:val="auto"/>
                <w:sz w:val="24"/>
                <w:highlight w:val="none"/>
                <w:shd w:val="clear" w:color="auto" w:fill="auto"/>
              </w:rPr>
              <w:t>电</w:t>
            </w:r>
            <w:r>
              <w:rPr>
                <w:rFonts w:hint="default" w:ascii="Times New Roman" w:hAnsi="Times New Roman" w:cs="Times New Roman"/>
                <w:color w:val="auto"/>
                <w:sz w:val="24"/>
                <w:highlight w:val="none"/>
                <w:shd w:val="clear" w:color="auto" w:fill="auto"/>
                <w:lang w:eastAsia="zh-CN"/>
              </w:rPr>
              <w:t>，</w:t>
            </w:r>
            <w:r>
              <w:rPr>
                <w:rFonts w:hint="default" w:ascii="Times New Roman" w:hAnsi="Times New Roman" w:cs="Times New Roman"/>
                <w:color w:val="auto"/>
                <w:sz w:val="24"/>
                <w:highlight w:val="none"/>
                <w:shd w:val="clear" w:color="auto" w:fill="auto"/>
              </w:rPr>
              <w:t>均为清洁能源，资源利用不会突破区域的资源利用上线。</w:t>
            </w:r>
          </w:p>
          <w:p>
            <w:pPr>
              <w:autoSpaceDE w:val="0"/>
              <w:autoSpaceDN w:val="0"/>
              <w:spacing w:line="480" w:lineRule="exact"/>
              <w:ind w:firstLine="482" w:firstLineChars="200"/>
              <w:rPr>
                <w:rFonts w:hint="default" w:ascii="Times New Roman" w:hAnsi="Times New Roman" w:cs="Times New Roman"/>
                <w:b/>
                <w:bCs/>
                <w:kern w:val="0"/>
                <w:sz w:val="24"/>
              </w:rPr>
            </w:pPr>
            <w:r>
              <w:rPr>
                <w:rFonts w:hint="default" w:ascii="Times New Roman" w:hAnsi="Times New Roman" w:cs="Times New Roman"/>
                <w:b/>
                <w:bCs/>
                <w:kern w:val="0"/>
                <w:sz w:val="24"/>
              </w:rPr>
              <w:t>（4）与环境准入负面清单符合性分析</w:t>
            </w:r>
          </w:p>
          <w:p>
            <w:pPr>
              <w:autoSpaceDE w:val="0"/>
              <w:autoSpaceDN w:val="0"/>
              <w:adjustRightInd w:val="0"/>
              <w:snapToGrid w:val="0"/>
              <w:spacing w:line="480" w:lineRule="exact"/>
              <w:ind w:firstLine="480" w:firstLineChars="200"/>
              <w:rPr>
                <w:rFonts w:hint="default" w:ascii="Times New Roman" w:hAnsi="Times New Roman" w:cs="Times New Roman"/>
                <w:color w:val="auto"/>
                <w:kern w:val="0"/>
                <w:sz w:val="24"/>
              </w:rPr>
            </w:pPr>
            <w:r>
              <w:rPr>
                <w:rFonts w:hint="default" w:ascii="Times New Roman" w:hAnsi="Times New Roman" w:cs="Times New Roman"/>
                <w:color w:val="auto"/>
                <w:kern w:val="0"/>
                <w:sz w:val="24"/>
              </w:rPr>
              <w:t>根据《产业结构调整指导目录（2019年本）》，“</w:t>
            </w:r>
            <w:r>
              <w:rPr>
                <w:rFonts w:hint="eastAsia" w:cs="Times New Roman"/>
                <w:color w:val="auto"/>
                <w:kern w:val="0"/>
                <w:sz w:val="24"/>
                <w:lang w:val="en-US" w:eastAsia="zh-CN"/>
              </w:rPr>
              <w:t>二十二</w:t>
            </w:r>
            <w:r>
              <w:rPr>
                <w:rFonts w:hint="default" w:ascii="Times New Roman" w:hAnsi="Times New Roman" w:cs="Times New Roman"/>
                <w:color w:val="auto"/>
                <w:kern w:val="0"/>
                <w:sz w:val="24"/>
              </w:rPr>
              <w:t>、</w:t>
            </w:r>
            <w:r>
              <w:rPr>
                <w:rFonts w:hint="eastAsia" w:cs="Times New Roman"/>
                <w:color w:val="auto"/>
                <w:kern w:val="0"/>
                <w:sz w:val="24"/>
                <w:lang w:val="en-US" w:eastAsia="zh-CN"/>
              </w:rPr>
              <w:t>城镇基础设施中的城市道路及智能交通体系建设</w:t>
            </w:r>
            <w:r>
              <w:rPr>
                <w:rFonts w:hint="default" w:ascii="Times New Roman" w:hAnsi="Times New Roman" w:cs="Times New Roman"/>
                <w:color w:val="auto"/>
                <w:kern w:val="0"/>
                <w:sz w:val="24"/>
              </w:rPr>
              <w:t>”为鼓励类，</w:t>
            </w:r>
            <w:r>
              <w:rPr>
                <w:rFonts w:hint="eastAsia" w:cs="Times New Roman"/>
                <w:color w:val="auto"/>
                <w:kern w:val="0"/>
                <w:sz w:val="24"/>
                <w:lang w:val="en-US" w:eastAsia="zh-CN"/>
              </w:rPr>
              <w:t>同时本项目涉及城市集中供热、供气、雨污水分流、再生水管网、绿化等工程建设，均属于鼓励类，</w:t>
            </w:r>
            <w:r>
              <w:rPr>
                <w:rFonts w:hint="default" w:ascii="Times New Roman" w:hAnsi="Times New Roman" w:cs="Times New Roman"/>
                <w:color w:val="auto"/>
                <w:kern w:val="0"/>
                <w:sz w:val="24"/>
              </w:rPr>
              <w:t>因此本项目建设符合国家产业政策。</w:t>
            </w:r>
          </w:p>
          <w:p>
            <w:pPr>
              <w:autoSpaceDE w:val="0"/>
              <w:autoSpaceDN w:val="0"/>
              <w:adjustRightInd w:val="0"/>
              <w:snapToGrid w:val="0"/>
              <w:spacing w:line="480" w:lineRule="exact"/>
              <w:ind w:firstLine="482" w:firstLineChars="200"/>
              <w:rPr>
                <w:rFonts w:hint="default" w:eastAsia="宋体"/>
                <w:b/>
                <w:bCs/>
                <w:color w:val="auto"/>
                <w:kern w:val="0"/>
                <w:sz w:val="24"/>
                <w:lang w:val="en-US" w:eastAsia="zh-CN"/>
              </w:rPr>
            </w:pPr>
            <w:r>
              <w:rPr>
                <w:rFonts w:hint="eastAsia"/>
                <w:b/>
                <w:bCs/>
                <w:color w:val="auto"/>
                <w:kern w:val="0"/>
                <w:sz w:val="24"/>
                <w:lang w:val="en-US" w:eastAsia="zh-CN"/>
              </w:rPr>
              <w:t>①忻州市</w:t>
            </w:r>
            <w:r>
              <w:rPr>
                <w:rFonts w:hint="eastAsia"/>
                <w:b/>
                <w:bCs/>
                <w:color w:val="auto"/>
                <w:kern w:val="0"/>
                <w:sz w:val="24"/>
              </w:rPr>
              <w:t>生态环境总体准入清单</w:t>
            </w:r>
            <w:r>
              <w:rPr>
                <w:rFonts w:hint="eastAsia"/>
                <w:b/>
                <w:bCs/>
                <w:color w:val="auto"/>
                <w:kern w:val="0"/>
                <w:sz w:val="24"/>
                <w:lang w:val="en-US" w:eastAsia="zh-CN"/>
              </w:rPr>
              <w:t>符合性分析</w:t>
            </w:r>
          </w:p>
          <w:p>
            <w:pPr>
              <w:autoSpaceDE w:val="0"/>
              <w:autoSpaceDN w:val="0"/>
              <w:adjustRightInd w:val="0"/>
              <w:snapToGrid w:val="0"/>
              <w:spacing w:line="480" w:lineRule="exact"/>
              <w:ind w:firstLine="480" w:firstLineChars="200"/>
              <w:rPr>
                <w:rFonts w:hint="default" w:ascii="Times New Roman" w:hAnsi="Times New Roman" w:cs="Times New Roman"/>
                <w:color w:val="auto"/>
                <w:kern w:val="0"/>
                <w:sz w:val="24"/>
              </w:rPr>
            </w:pPr>
            <w:r>
              <w:rPr>
                <w:rFonts w:hint="eastAsia"/>
                <w:color w:val="auto"/>
                <w:kern w:val="0"/>
                <w:sz w:val="24"/>
              </w:rPr>
              <w:t>本项目与《忻州市“三线一单”生态环境分区管控实施方案》中生态环境总体准入清单的符合性分析见下表。</w:t>
            </w:r>
          </w:p>
          <w:p>
            <w:pPr>
              <w:autoSpaceDE w:val="0"/>
              <w:autoSpaceDN w:val="0"/>
              <w:adjustRightInd w:val="0"/>
              <w:snapToGrid w:val="0"/>
              <w:spacing w:line="480" w:lineRule="exact"/>
              <w:jc w:val="center"/>
              <w:rPr>
                <w:rFonts w:ascii="黑体" w:hAnsi="黑体" w:eastAsia="黑体" w:cs="宋体"/>
                <w:color w:val="auto"/>
                <w:kern w:val="0"/>
                <w:sz w:val="24"/>
              </w:rPr>
            </w:pPr>
            <w:r>
              <w:rPr>
                <w:rFonts w:hint="eastAsia" w:ascii="黑体" w:hAnsi="黑体" w:eastAsia="黑体" w:cs="宋体"/>
                <w:color w:val="auto"/>
                <w:kern w:val="0"/>
                <w:sz w:val="24"/>
              </w:rPr>
              <w:t>表1-3  与《忻州市“三线一单”生态环境分区管控实施方案》中生态环境总体准入清单的符合性分析</w:t>
            </w:r>
          </w:p>
          <w:tbl>
            <w:tblPr>
              <w:tblStyle w:val="22"/>
              <w:tblW w:w="4892" w:type="pct"/>
              <w:tblInd w:w="9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6"/>
              <w:gridCol w:w="4136"/>
              <w:gridCol w:w="39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0" w:type="pct"/>
                  <w:vAlign w:val="center"/>
                </w:tcPr>
                <w:p>
                  <w:pPr>
                    <w:autoSpaceDE w:val="0"/>
                    <w:autoSpaceDN w:val="0"/>
                    <w:adjustRightInd w:val="0"/>
                    <w:snapToGrid w:val="0"/>
                    <w:spacing w:line="360" w:lineRule="exact"/>
                    <w:jc w:val="center"/>
                    <w:rPr>
                      <w:rFonts w:cs="宋体"/>
                      <w:color w:val="auto"/>
                      <w:kern w:val="0"/>
                    </w:rPr>
                  </w:pPr>
                  <w:r>
                    <w:rPr>
                      <w:rFonts w:hint="eastAsia" w:cs="宋体"/>
                      <w:color w:val="auto"/>
                      <w:kern w:val="0"/>
                    </w:rPr>
                    <w:t>管控类别</w:t>
                  </w:r>
                </w:p>
              </w:tc>
              <w:tc>
                <w:tcPr>
                  <w:tcW w:w="2371" w:type="pct"/>
                  <w:vAlign w:val="center"/>
                </w:tcPr>
                <w:p>
                  <w:pPr>
                    <w:autoSpaceDE w:val="0"/>
                    <w:autoSpaceDN w:val="0"/>
                    <w:adjustRightInd w:val="0"/>
                    <w:snapToGrid w:val="0"/>
                    <w:spacing w:line="360" w:lineRule="exact"/>
                    <w:jc w:val="center"/>
                    <w:rPr>
                      <w:rFonts w:cs="宋体"/>
                      <w:color w:val="auto"/>
                      <w:kern w:val="0"/>
                    </w:rPr>
                  </w:pPr>
                  <w:r>
                    <w:rPr>
                      <w:rFonts w:hint="eastAsia" w:cs="宋体"/>
                      <w:color w:val="auto"/>
                      <w:kern w:val="0"/>
                    </w:rPr>
                    <w:t>生态环境总体准入清单的管控要求</w:t>
                  </w:r>
                </w:p>
              </w:tc>
              <w:tc>
                <w:tcPr>
                  <w:tcW w:w="2257" w:type="pct"/>
                  <w:vAlign w:val="center"/>
                </w:tcPr>
                <w:p>
                  <w:pPr>
                    <w:autoSpaceDE w:val="0"/>
                    <w:autoSpaceDN w:val="0"/>
                    <w:adjustRightInd w:val="0"/>
                    <w:snapToGrid w:val="0"/>
                    <w:spacing w:line="360" w:lineRule="exact"/>
                    <w:jc w:val="center"/>
                    <w:rPr>
                      <w:rFonts w:cs="宋体"/>
                      <w:color w:val="auto"/>
                      <w:kern w:val="0"/>
                    </w:rPr>
                  </w:pPr>
                  <w:r>
                    <w:rPr>
                      <w:rFonts w:hint="eastAsia" w:cs="宋体"/>
                      <w:color w:val="auto"/>
                      <w:kern w:val="0"/>
                    </w:rPr>
                    <w:t>本项目情况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0" w:type="pct"/>
                  <w:vMerge w:val="restart"/>
                  <w:vAlign w:val="center"/>
                </w:tcPr>
                <w:p>
                  <w:pPr>
                    <w:autoSpaceDE w:val="0"/>
                    <w:autoSpaceDN w:val="0"/>
                    <w:adjustRightInd w:val="0"/>
                    <w:snapToGrid w:val="0"/>
                    <w:spacing w:line="360" w:lineRule="exact"/>
                    <w:jc w:val="center"/>
                    <w:rPr>
                      <w:rFonts w:cs="宋体"/>
                      <w:color w:val="auto"/>
                      <w:kern w:val="0"/>
                    </w:rPr>
                  </w:pPr>
                  <w:r>
                    <w:rPr>
                      <w:rFonts w:hint="eastAsia"/>
                      <w:color w:val="auto"/>
                    </w:rPr>
                    <w:t>空间布局约束</w:t>
                  </w:r>
                </w:p>
              </w:tc>
              <w:tc>
                <w:tcPr>
                  <w:tcW w:w="2371" w:type="pct"/>
                  <w:vAlign w:val="center"/>
                </w:tcPr>
                <w:p>
                  <w:pPr>
                    <w:autoSpaceDE w:val="0"/>
                    <w:autoSpaceDN w:val="0"/>
                    <w:adjustRightInd w:val="0"/>
                    <w:snapToGrid w:val="0"/>
                    <w:spacing w:line="360" w:lineRule="exact"/>
                    <w:rPr>
                      <w:rFonts w:cs="宋体"/>
                      <w:color w:val="auto"/>
                      <w:kern w:val="0"/>
                    </w:rPr>
                  </w:pPr>
                  <w:r>
                    <w:rPr>
                      <w:rFonts w:hint="eastAsia"/>
                      <w:color w:val="auto"/>
                    </w:rPr>
                    <w:t>1.各县（市、区）人民政府应当按照国民经济和社会发展规划、国土空间规划和环境保护要求，制定规划，统筹安排，依法逐步对不符合产业政策和布局不合理的重污染企业实施关停搬迁。</w:t>
                  </w:r>
                </w:p>
              </w:tc>
              <w:tc>
                <w:tcPr>
                  <w:tcW w:w="2257" w:type="pct"/>
                  <w:vMerge w:val="restart"/>
                  <w:vAlign w:val="center"/>
                </w:tcPr>
                <w:p>
                  <w:pPr>
                    <w:autoSpaceDE w:val="0"/>
                    <w:autoSpaceDN w:val="0"/>
                    <w:adjustRightInd w:val="0"/>
                    <w:snapToGrid w:val="0"/>
                    <w:spacing w:line="360" w:lineRule="exact"/>
                    <w:ind w:firstLine="420" w:firstLineChars="200"/>
                    <w:rPr>
                      <w:rFonts w:hint="eastAsia"/>
                      <w:color w:val="auto"/>
                      <w:szCs w:val="21"/>
                      <w:vertAlign w:val="baseline"/>
                      <w:lang w:val="en-US" w:eastAsia="zh-CN"/>
                    </w:rPr>
                  </w:pPr>
                  <w:r>
                    <w:rPr>
                      <w:rFonts w:hint="eastAsia" w:cs="宋体"/>
                      <w:color w:val="auto"/>
                      <w:kern w:val="0"/>
                      <w:szCs w:val="21"/>
                      <w:lang w:val="en-US" w:eastAsia="zh-CN"/>
                    </w:rPr>
                    <w:t>本次“五台县湖滨大街西延等三条道路管网建设项目”共建设三条路：分别为东外环路、湖滨大街西延、文昌路；其中</w:t>
                  </w:r>
                  <w:r>
                    <w:rPr>
                      <w:rFonts w:hint="eastAsia"/>
                      <w:color w:val="auto"/>
                      <w:szCs w:val="21"/>
                      <w:vertAlign w:val="baseline"/>
                      <w:lang w:val="en-US" w:eastAsia="zh-CN"/>
                    </w:rPr>
                    <w:t>东外环路作为城南区对外交通的一条主要通道，是规划路网中的一环；文昌路作为中心城区南北向的主要通道，是规划路网中的一纵；湖滨大街作为中心城区东西向的主要通道，是规划路网中的一横。现状湖滨大街、文昌路均为断头道路，东外环路路面较窄，已远远不能满足五台县对外的交通需求；因此，本项目的实施将促进《五台县县城总体规划》（2012~2030）中“道路交通规划”的实施，项目建设完成后对五台县中心城区道路网的完善具有重要意义。</w:t>
                  </w:r>
                </w:p>
                <w:p>
                  <w:pPr>
                    <w:autoSpaceDE w:val="0"/>
                    <w:autoSpaceDN w:val="0"/>
                    <w:adjustRightInd w:val="0"/>
                    <w:snapToGrid w:val="0"/>
                    <w:spacing w:line="360" w:lineRule="exact"/>
                    <w:ind w:firstLine="420" w:firstLineChars="200"/>
                    <w:rPr>
                      <w:rFonts w:hint="default" w:eastAsia="宋体" w:cs="宋体"/>
                      <w:color w:val="auto"/>
                      <w:kern w:val="0"/>
                      <w:lang w:val="en-US" w:eastAsia="zh-CN"/>
                    </w:rPr>
                  </w:pPr>
                  <w:r>
                    <w:rPr>
                      <w:rFonts w:hint="eastAsia"/>
                      <w:color w:val="auto"/>
                      <w:szCs w:val="21"/>
                      <w:vertAlign w:val="baseline"/>
                      <w:lang w:val="en-US" w:eastAsia="zh-CN"/>
                    </w:rPr>
                    <w:t>综上所述，本项目为道路建设项目，不属于</w:t>
                  </w:r>
                  <w:r>
                    <w:rPr>
                      <w:rFonts w:hint="eastAsia"/>
                      <w:color w:val="auto"/>
                    </w:rPr>
                    <w:t>不符合产业政策和布局不合理的重污染企业</w:t>
                  </w:r>
                  <w:r>
                    <w:rPr>
                      <w:rFonts w:hint="eastAsia"/>
                      <w:color w:val="auto"/>
                      <w:szCs w:val="21"/>
                      <w:vertAlign w:val="baseline"/>
                      <w:lang w:val="en-US" w:eastAsia="zh-CN"/>
                    </w:rPr>
                    <w:t>，不属于“两高”项目，不属于采矿项目。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0" w:type="pct"/>
                  <w:vMerge w:val="continue"/>
                  <w:vAlign w:val="center"/>
                </w:tcPr>
                <w:p>
                  <w:pPr>
                    <w:autoSpaceDE w:val="0"/>
                    <w:autoSpaceDN w:val="0"/>
                    <w:adjustRightInd w:val="0"/>
                    <w:snapToGrid w:val="0"/>
                    <w:spacing w:line="360" w:lineRule="exact"/>
                    <w:jc w:val="center"/>
                    <w:rPr>
                      <w:color w:val="auto"/>
                    </w:rPr>
                  </w:pPr>
                </w:p>
              </w:tc>
              <w:tc>
                <w:tcPr>
                  <w:tcW w:w="2371" w:type="pct"/>
                  <w:vAlign w:val="center"/>
                </w:tcPr>
                <w:p>
                  <w:pPr>
                    <w:autoSpaceDE w:val="0"/>
                    <w:autoSpaceDN w:val="0"/>
                    <w:adjustRightInd w:val="0"/>
                    <w:snapToGrid w:val="0"/>
                    <w:spacing w:line="360" w:lineRule="exact"/>
                    <w:rPr>
                      <w:rFonts w:cs="宋体"/>
                      <w:color w:val="auto"/>
                      <w:kern w:val="0"/>
                    </w:rPr>
                  </w:pPr>
                  <w:r>
                    <w:rPr>
                      <w:rFonts w:hint="eastAsia" w:cs="宋体"/>
                      <w:color w:val="auto"/>
                      <w:kern w:val="0"/>
                    </w:rPr>
                    <w:t>2.对纳入生态保护红线的，其管控规则应以自然资源部最终出台的《生态保护红线管理办法》为准。</w:t>
                  </w:r>
                </w:p>
              </w:tc>
              <w:tc>
                <w:tcPr>
                  <w:tcW w:w="2257" w:type="pct"/>
                  <w:vMerge w:val="continue"/>
                  <w:vAlign w:val="center"/>
                </w:tcPr>
                <w:p>
                  <w:pPr>
                    <w:autoSpaceDE w:val="0"/>
                    <w:autoSpaceDN w:val="0"/>
                    <w:adjustRightInd w:val="0"/>
                    <w:snapToGrid w:val="0"/>
                    <w:spacing w:line="360" w:lineRule="exact"/>
                    <w:rPr>
                      <w:rFonts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0" w:type="pct"/>
                  <w:vMerge w:val="continue"/>
                  <w:vAlign w:val="center"/>
                </w:tcPr>
                <w:p>
                  <w:pPr>
                    <w:autoSpaceDE w:val="0"/>
                    <w:autoSpaceDN w:val="0"/>
                    <w:adjustRightInd w:val="0"/>
                    <w:snapToGrid w:val="0"/>
                    <w:spacing w:line="360" w:lineRule="exact"/>
                    <w:jc w:val="center"/>
                    <w:rPr>
                      <w:color w:val="auto"/>
                    </w:rPr>
                  </w:pPr>
                </w:p>
              </w:tc>
              <w:tc>
                <w:tcPr>
                  <w:tcW w:w="2371" w:type="pct"/>
                  <w:vAlign w:val="center"/>
                </w:tcPr>
                <w:p>
                  <w:pPr>
                    <w:autoSpaceDE w:val="0"/>
                    <w:autoSpaceDN w:val="0"/>
                    <w:adjustRightInd w:val="0"/>
                    <w:snapToGrid w:val="0"/>
                    <w:spacing w:line="360" w:lineRule="exact"/>
                    <w:rPr>
                      <w:rFonts w:cs="宋体"/>
                      <w:color w:val="auto"/>
                      <w:kern w:val="0"/>
                    </w:rPr>
                  </w:pPr>
                  <w:r>
                    <w:rPr>
                      <w:rFonts w:hint="eastAsia" w:cs="宋体"/>
                      <w:color w:val="auto"/>
                      <w:kern w:val="0"/>
                    </w:rPr>
                    <w:t>3.新建、改建、扩建“两高”项目须符合生态环境保护法律法规和相关法定规划要求。</w:t>
                  </w:r>
                </w:p>
              </w:tc>
              <w:tc>
                <w:tcPr>
                  <w:tcW w:w="2257" w:type="pct"/>
                  <w:vMerge w:val="continue"/>
                  <w:vAlign w:val="center"/>
                </w:tcPr>
                <w:p>
                  <w:pPr>
                    <w:autoSpaceDE w:val="0"/>
                    <w:autoSpaceDN w:val="0"/>
                    <w:adjustRightInd w:val="0"/>
                    <w:snapToGrid w:val="0"/>
                    <w:spacing w:line="360" w:lineRule="exact"/>
                    <w:rPr>
                      <w:rFonts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0" w:type="pct"/>
                  <w:vMerge w:val="continue"/>
                  <w:vAlign w:val="center"/>
                </w:tcPr>
                <w:p>
                  <w:pPr>
                    <w:autoSpaceDE w:val="0"/>
                    <w:autoSpaceDN w:val="0"/>
                    <w:adjustRightInd w:val="0"/>
                    <w:snapToGrid w:val="0"/>
                    <w:spacing w:line="360" w:lineRule="exact"/>
                    <w:jc w:val="center"/>
                    <w:rPr>
                      <w:color w:val="auto"/>
                    </w:rPr>
                  </w:pPr>
                </w:p>
              </w:tc>
              <w:tc>
                <w:tcPr>
                  <w:tcW w:w="2371" w:type="pct"/>
                  <w:vAlign w:val="center"/>
                </w:tcPr>
                <w:p>
                  <w:pPr>
                    <w:autoSpaceDE w:val="0"/>
                    <w:autoSpaceDN w:val="0"/>
                    <w:adjustRightInd w:val="0"/>
                    <w:snapToGrid w:val="0"/>
                    <w:spacing w:line="360" w:lineRule="exact"/>
                    <w:rPr>
                      <w:rFonts w:cs="宋体"/>
                      <w:color w:val="auto"/>
                      <w:kern w:val="0"/>
                    </w:rPr>
                  </w:pPr>
                  <w:r>
                    <w:rPr>
                      <w:rFonts w:hint="eastAsia"/>
                      <w:color w:val="auto"/>
                    </w:rPr>
                    <w:t>4.石化、现代煤化工项目应纳入国家产业规划。新建、扩建石化、化工、焦化、有色金属冶炼、平板玻璃项目应布设在依法合规设立的产业园区。</w:t>
                  </w:r>
                </w:p>
              </w:tc>
              <w:tc>
                <w:tcPr>
                  <w:tcW w:w="2257" w:type="pct"/>
                  <w:vMerge w:val="continue"/>
                  <w:vAlign w:val="center"/>
                </w:tcPr>
                <w:p>
                  <w:pPr>
                    <w:autoSpaceDE w:val="0"/>
                    <w:autoSpaceDN w:val="0"/>
                    <w:adjustRightInd w:val="0"/>
                    <w:snapToGrid w:val="0"/>
                    <w:spacing w:line="360" w:lineRule="exact"/>
                    <w:rPr>
                      <w:rFonts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0" w:type="pct"/>
                  <w:vMerge w:val="continue"/>
                  <w:vAlign w:val="center"/>
                </w:tcPr>
                <w:p>
                  <w:pPr>
                    <w:autoSpaceDE w:val="0"/>
                    <w:autoSpaceDN w:val="0"/>
                    <w:adjustRightInd w:val="0"/>
                    <w:snapToGrid w:val="0"/>
                    <w:spacing w:line="360" w:lineRule="exact"/>
                    <w:jc w:val="center"/>
                    <w:rPr>
                      <w:color w:val="auto"/>
                    </w:rPr>
                  </w:pPr>
                </w:p>
              </w:tc>
              <w:tc>
                <w:tcPr>
                  <w:tcW w:w="2371" w:type="pct"/>
                  <w:vAlign w:val="center"/>
                </w:tcPr>
                <w:p>
                  <w:pPr>
                    <w:autoSpaceDE w:val="0"/>
                    <w:autoSpaceDN w:val="0"/>
                    <w:adjustRightInd w:val="0"/>
                    <w:snapToGrid w:val="0"/>
                    <w:spacing w:line="360" w:lineRule="exact"/>
                    <w:rPr>
                      <w:rFonts w:cs="宋体"/>
                      <w:color w:val="auto"/>
                      <w:kern w:val="0"/>
                    </w:rPr>
                  </w:pPr>
                  <w:r>
                    <w:rPr>
                      <w:rFonts w:hint="eastAsia"/>
                      <w:color w:val="auto"/>
                    </w:rPr>
                    <w:t>5.禁止在居民区、学校、医疗和养老机构等周边规定范围内新建、扩建有色金属冶炼、焦化等行业企业。</w:t>
                  </w:r>
                </w:p>
              </w:tc>
              <w:tc>
                <w:tcPr>
                  <w:tcW w:w="2257" w:type="pct"/>
                  <w:vMerge w:val="continue"/>
                  <w:vAlign w:val="center"/>
                </w:tcPr>
                <w:p>
                  <w:pPr>
                    <w:autoSpaceDE w:val="0"/>
                    <w:autoSpaceDN w:val="0"/>
                    <w:adjustRightInd w:val="0"/>
                    <w:snapToGrid w:val="0"/>
                    <w:spacing w:line="360" w:lineRule="exact"/>
                    <w:rPr>
                      <w:rFonts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0" w:type="pct"/>
                  <w:vMerge w:val="continue"/>
                  <w:vAlign w:val="center"/>
                </w:tcPr>
                <w:p>
                  <w:pPr>
                    <w:autoSpaceDE w:val="0"/>
                    <w:autoSpaceDN w:val="0"/>
                    <w:adjustRightInd w:val="0"/>
                    <w:snapToGrid w:val="0"/>
                    <w:spacing w:line="360" w:lineRule="exact"/>
                    <w:jc w:val="center"/>
                    <w:rPr>
                      <w:color w:val="auto"/>
                    </w:rPr>
                  </w:pPr>
                </w:p>
              </w:tc>
              <w:tc>
                <w:tcPr>
                  <w:tcW w:w="2371" w:type="pct"/>
                  <w:vAlign w:val="center"/>
                </w:tcPr>
                <w:p>
                  <w:pPr>
                    <w:autoSpaceDE w:val="0"/>
                    <w:autoSpaceDN w:val="0"/>
                    <w:adjustRightInd w:val="0"/>
                    <w:snapToGrid w:val="0"/>
                    <w:spacing w:line="360" w:lineRule="exact"/>
                    <w:rPr>
                      <w:rFonts w:cs="宋体"/>
                      <w:color w:val="auto"/>
                      <w:kern w:val="0"/>
                    </w:rPr>
                  </w:pPr>
                  <w:r>
                    <w:rPr>
                      <w:rFonts w:hint="eastAsia"/>
                      <w:color w:val="auto"/>
                    </w:rPr>
                    <w:t>6.加强矿山生态环境监管，禁止在自然保护区、水源地保护区域等重要生态保护地禁采区域内开矿。</w:t>
                  </w:r>
                </w:p>
              </w:tc>
              <w:tc>
                <w:tcPr>
                  <w:tcW w:w="2257" w:type="pct"/>
                  <w:vMerge w:val="continue"/>
                  <w:vAlign w:val="center"/>
                </w:tcPr>
                <w:p>
                  <w:pPr>
                    <w:autoSpaceDE w:val="0"/>
                    <w:autoSpaceDN w:val="0"/>
                    <w:adjustRightInd w:val="0"/>
                    <w:snapToGrid w:val="0"/>
                    <w:spacing w:line="360" w:lineRule="exact"/>
                    <w:rPr>
                      <w:rFonts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0" w:type="pct"/>
                  <w:vMerge w:val="restart"/>
                  <w:vAlign w:val="center"/>
                </w:tcPr>
                <w:p>
                  <w:pPr>
                    <w:autoSpaceDE w:val="0"/>
                    <w:autoSpaceDN w:val="0"/>
                    <w:adjustRightInd w:val="0"/>
                    <w:snapToGrid w:val="0"/>
                    <w:spacing w:line="360" w:lineRule="exact"/>
                    <w:jc w:val="center"/>
                    <w:rPr>
                      <w:color w:val="auto"/>
                    </w:rPr>
                  </w:pPr>
                  <w:r>
                    <w:rPr>
                      <w:rFonts w:hint="eastAsia"/>
                      <w:color w:val="auto"/>
                    </w:rPr>
                    <w:t>污染物排放管控</w:t>
                  </w:r>
                </w:p>
              </w:tc>
              <w:tc>
                <w:tcPr>
                  <w:tcW w:w="2371" w:type="pct"/>
                  <w:vAlign w:val="center"/>
                </w:tcPr>
                <w:p>
                  <w:pPr>
                    <w:autoSpaceDE w:val="0"/>
                    <w:autoSpaceDN w:val="0"/>
                    <w:adjustRightInd w:val="0"/>
                    <w:snapToGrid w:val="0"/>
                    <w:spacing w:line="360" w:lineRule="exact"/>
                    <w:rPr>
                      <w:rFonts w:cs="宋体"/>
                      <w:color w:val="auto"/>
                      <w:kern w:val="0"/>
                    </w:rPr>
                  </w:pPr>
                  <w:r>
                    <w:rPr>
                      <w:rFonts w:hint="eastAsia"/>
                      <w:color w:val="auto"/>
                    </w:rPr>
                    <w:t>1.污染物排放总量严格落实“</w:t>
                  </w:r>
                  <w:r>
                    <w:rPr>
                      <w:rFonts w:hint="eastAsia" w:hAnsi="宋体"/>
                      <w:color w:val="auto"/>
                    </w:rPr>
                    <w:t>十四五</w:t>
                  </w:r>
                  <w:r>
                    <w:rPr>
                      <w:rFonts w:hint="eastAsia"/>
                      <w:color w:val="auto"/>
                    </w:rPr>
                    <w:t>”</w:t>
                  </w:r>
                  <w:r>
                    <w:rPr>
                      <w:rFonts w:hint="eastAsia" w:hAnsi="宋体"/>
                      <w:color w:val="auto"/>
                    </w:rPr>
                    <w:t>相关目标指标。</w:t>
                  </w:r>
                </w:p>
              </w:tc>
              <w:tc>
                <w:tcPr>
                  <w:tcW w:w="2257" w:type="pct"/>
                  <w:vMerge w:val="restart"/>
                  <w:vAlign w:val="center"/>
                </w:tcPr>
                <w:p>
                  <w:pPr>
                    <w:autoSpaceDE w:val="0"/>
                    <w:autoSpaceDN w:val="0"/>
                    <w:adjustRightInd w:val="0"/>
                    <w:snapToGrid w:val="0"/>
                    <w:spacing w:line="360" w:lineRule="exact"/>
                    <w:ind w:firstLine="420" w:firstLineChars="200"/>
                    <w:rPr>
                      <w:rFonts w:hint="eastAsia"/>
                      <w:color w:val="auto"/>
                      <w:szCs w:val="21"/>
                      <w:vertAlign w:val="baseline"/>
                      <w:lang w:val="en-US" w:eastAsia="zh-CN"/>
                    </w:rPr>
                  </w:pPr>
                  <w:r>
                    <w:rPr>
                      <w:rFonts w:hint="eastAsia" w:cs="宋体"/>
                      <w:color w:val="auto"/>
                      <w:kern w:val="0"/>
                      <w:szCs w:val="21"/>
                      <w:lang w:val="en-US" w:eastAsia="zh-CN"/>
                    </w:rPr>
                    <w:t>本次“五台县湖滨大街西延等三条道路管网建设项目”共建设三条路：分别为东外环路、湖滨大街西延、文昌路；其中</w:t>
                  </w:r>
                  <w:r>
                    <w:rPr>
                      <w:rFonts w:hint="eastAsia"/>
                      <w:color w:val="auto"/>
                      <w:szCs w:val="21"/>
                      <w:vertAlign w:val="baseline"/>
                      <w:lang w:val="en-US" w:eastAsia="zh-CN"/>
                    </w:rPr>
                    <w:t>东外环路作为城南区对外交通的一条主要通道，是规划路网中的一环；文昌路作为中心城区南北向的主要通道，是规划路网中的一纵；湖滨大街作为中心城区东西向的主要通道，是规划路网中的一横。现状湖滨大街、文昌路均为断头道路，东外环路路面较窄，已远远不能满足五台县对外的交通需求；因此，本项目的实施将促进《五台县县城总体规划》（2012~2030）中“道路交通规划”的实施，项目建设完成后对五台县中心城区道路网的完善具有重要意义。</w:t>
                  </w:r>
                </w:p>
                <w:p>
                  <w:pPr>
                    <w:autoSpaceDE w:val="0"/>
                    <w:autoSpaceDN w:val="0"/>
                    <w:adjustRightInd w:val="0"/>
                    <w:snapToGrid w:val="0"/>
                    <w:spacing w:line="360" w:lineRule="exact"/>
                    <w:ind w:firstLine="420" w:firstLineChars="200"/>
                    <w:rPr>
                      <w:rFonts w:hint="default" w:cs="宋体"/>
                      <w:color w:val="auto"/>
                      <w:kern w:val="0"/>
                      <w:lang w:val="en-US"/>
                    </w:rPr>
                  </w:pPr>
                  <w:r>
                    <w:rPr>
                      <w:rFonts w:hint="eastAsia" w:cs="宋体"/>
                      <w:color w:val="auto"/>
                      <w:kern w:val="0"/>
                      <w:szCs w:val="21"/>
                      <w:lang w:val="en-US" w:eastAsia="zh-CN"/>
                    </w:rPr>
                    <w:t>同时本项目涉及城市集中供热、供气、雨污水分流、再生水管网、绿化等工程建设，对区域生态环境质量的改善具有促进作用。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0" w:type="pct"/>
                  <w:vMerge w:val="continue"/>
                  <w:vAlign w:val="center"/>
                </w:tcPr>
                <w:p>
                  <w:pPr>
                    <w:autoSpaceDE w:val="0"/>
                    <w:autoSpaceDN w:val="0"/>
                    <w:adjustRightInd w:val="0"/>
                    <w:snapToGrid w:val="0"/>
                    <w:spacing w:line="360" w:lineRule="exact"/>
                    <w:jc w:val="center"/>
                    <w:rPr>
                      <w:color w:val="auto"/>
                    </w:rPr>
                  </w:pPr>
                </w:p>
              </w:tc>
              <w:tc>
                <w:tcPr>
                  <w:tcW w:w="2371" w:type="pct"/>
                  <w:vAlign w:val="center"/>
                </w:tcPr>
                <w:p>
                  <w:pPr>
                    <w:autoSpaceDE w:val="0"/>
                    <w:autoSpaceDN w:val="0"/>
                    <w:adjustRightInd w:val="0"/>
                    <w:snapToGrid w:val="0"/>
                    <w:spacing w:line="360" w:lineRule="exact"/>
                    <w:rPr>
                      <w:rFonts w:cs="宋体"/>
                      <w:color w:val="auto"/>
                      <w:kern w:val="0"/>
                    </w:rPr>
                  </w:pPr>
                  <w:r>
                    <w:rPr>
                      <w:rFonts w:hint="eastAsia"/>
                      <w:color w:val="auto"/>
                    </w:rPr>
                    <w:t>2.“1+30”</w:t>
                  </w:r>
                  <w:r>
                    <w:rPr>
                      <w:rFonts w:hint="eastAsia" w:hAnsi="宋体"/>
                      <w:color w:val="auto"/>
                    </w:rPr>
                    <w:t>区域重点行业二氧化硫、氮氧化物、颗粒物和挥发性有机物全面执行大气污染物特别排放限值。</w:t>
                  </w:r>
                </w:p>
              </w:tc>
              <w:tc>
                <w:tcPr>
                  <w:tcW w:w="2257" w:type="pct"/>
                  <w:vMerge w:val="continue"/>
                  <w:vAlign w:val="center"/>
                </w:tcPr>
                <w:p>
                  <w:pPr>
                    <w:autoSpaceDE w:val="0"/>
                    <w:autoSpaceDN w:val="0"/>
                    <w:adjustRightInd w:val="0"/>
                    <w:snapToGrid w:val="0"/>
                    <w:spacing w:line="360" w:lineRule="exact"/>
                    <w:rPr>
                      <w:rFonts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370" w:type="pct"/>
                  <w:vMerge w:val="continue"/>
                  <w:vAlign w:val="center"/>
                </w:tcPr>
                <w:p>
                  <w:pPr>
                    <w:autoSpaceDE w:val="0"/>
                    <w:autoSpaceDN w:val="0"/>
                    <w:adjustRightInd w:val="0"/>
                    <w:snapToGrid w:val="0"/>
                    <w:spacing w:line="360" w:lineRule="exact"/>
                    <w:jc w:val="center"/>
                    <w:rPr>
                      <w:color w:val="auto"/>
                    </w:rPr>
                  </w:pPr>
                </w:p>
              </w:tc>
              <w:tc>
                <w:tcPr>
                  <w:tcW w:w="2371" w:type="pct"/>
                  <w:vAlign w:val="center"/>
                </w:tcPr>
                <w:p>
                  <w:pPr>
                    <w:autoSpaceDE w:val="0"/>
                    <w:autoSpaceDN w:val="0"/>
                    <w:adjustRightInd w:val="0"/>
                    <w:snapToGrid w:val="0"/>
                    <w:spacing w:line="360" w:lineRule="exact"/>
                    <w:rPr>
                      <w:rFonts w:cs="宋体"/>
                      <w:color w:val="auto"/>
                      <w:kern w:val="0"/>
                    </w:rPr>
                  </w:pPr>
                  <w:r>
                    <w:rPr>
                      <w:rFonts w:hint="eastAsia"/>
                      <w:color w:val="auto"/>
                    </w:rPr>
                    <w:t>3.产业集聚区、工业园区要逐步取消自备燃煤锅炉，积极推进“</w:t>
                  </w:r>
                  <w:r>
                    <w:rPr>
                      <w:rFonts w:hint="eastAsia" w:hAnsi="宋体"/>
                      <w:color w:val="auto"/>
                    </w:rPr>
                    <w:t>煤改气</w:t>
                  </w:r>
                  <w:r>
                    <w:rPr>
                      <w:rFonts w:hint="eastAsia"/>
                      <w:color w:val="auto"/>
                    </w:rPr>
                    <w:t>”、“</w:t>
                  </w:r>
                  <w:r>
                    <w:rPr>
                      <w:rFonts w:hint="eastAsia" w:hAnsi="宋体"/>
                      <w:color w:val="auto"/>
                    </w:rPr>
                    <w:t>煤改电</w:t>
                  </w:r>
                  <w:r>
                    <w:rPr>
                      <w:rFonts w:hint="eastAsia"/>
                      <w:color w:val="auto"/>
                    </w:rPr>
                    <w:t>”</w:t>
                  </w:r>
                  <w:r>
                    <w:rPr>
                      <w:rFonts w:hint="eastAsia" w:hAnsi="宋体"/>
                      <w:color w:val="auto"/>
                    </w:rPr>
                    <w:t>工程。</w:t>
                  </w:r>
                </w:p>
              </w:tc>
              <w:tc>
                <w:tcPr>
                  <w:tcW w:w="2257" w:type="pct"/>
                  <w:vMerge w:val="continue"/>
                  <w:vAlign w:val="center"/>
                </w:tcPr>
                <w:p>
                  <w:pPr>
                    <w:autoSpaceDE w:val="0"/>
                    <w:autoSpaceDN w:val="0"/>
                    <w:adjustRightInd w:val="0"/>
                    <w:snapToGrid w:val="0"/>
                    <w:spacing w:line="360" w:lineRule="exact"/>
                    <w:rPr>
                      <w:rFonts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0" w:type="pct"/>
                  <w:vMerge w:val="continue"/>
                  <w:vAlign w:val="center"/>
                </w:tcPr>
                <w:p>
                  <w:pPr>
                    <w:autoSpaceDE w:val="0"/>
                    <w:autoSpaceDN w:val="0"/>
                    <w:adjustRightInd w:val="0"/>
                    <w:snapToGrid w:val="0"/>
                    <w:spacing w:line="360" w:lineRule="exact"/>
                    <w:jc w:val="center"/>
                    <w:rPr>
                      <w:color w:val="auto"/>
                    </w:rPr>
                  </w:pPr>
                </w:p>
              </w:tc>
              <w:tc>
                <w:tcPr>
                  <w:tcW w:w="2371" w:type="pct"/>
                  <w:vAlign w:val="center"/>
                </w:tcPr>
                <w:p>
                  <w:pPr>
                    <w:autoSpaceDE w:val="0"/>
                    <w:autoSpaceDN w:val="0"/>
                    <w:adjustRightInd w:val="0"/>
                    <w:snapToGrid w:val="0"/>
                    <w:spacing w:line="360" w:lineRule="exact"/>
                    <w:rPr>
                      <w:rFonts w:cs="宋体"/>
                      <w:color w:val="auto"/>
                      <w:kern w:val="0"/>
                    </w:rPr>
                  </w:pPr>
                  <w:r>
                    <w:rPr>
                      <w:rFonts w:hint="eastAsia"/>
                      <w:color w:val="auto"/>
                    </w:rPr>
                    <w:t>4.新建“</w:t>
                  </w:r>
                  <w:r>
                    <w:rPr>
                      <w:rFonts w:hint="eastAsia" w:hAnsi="宋体"/>
                      <w:color w:val="auto"/>
                    </w:rPr>
                    <w:t>两高</w:t>
                  </w:r>
                  <w:r>
                    <w:rPr>
                      <w:rFonts w:hint="eastAsia"/>
                      <w:color w:val="auto"/>
                    </w:rPr>
                    <w:t>”</w:t>
                  </w:r>
                  <w:r>
                    <w:rPr>
                      <w:rFonts w:hint="eastAsia" w:hAnsi="宋体"/>
                      <w:color w:val="auto"/>
                    </w:rPr>
                    <w:t>项目应按照《关于加强重点行业建设项目区域削减措施监督管理的通知》要求，依据区域环境质量改善目标，制定配套区域污染物削减方案，采取有效的污染物区域削减措施，腾出足够的环境容量。</w:t>
                  </w:r>
                </w:p>
              </w:tc>
              <w:tc>
                <w:tcPr>
                  <w:tcW w:w="2257" w:type="pct"/>
                  <w:vMerge w:val="continue"/>
                  <w:vAlign w:val="center"/>
                </w:tcPr>
                <w:p>
                  <w:pPr>
                    <w:autoSpaceDE w:val="0"/>
                    <w:autoSpaceDN w:val="0"/>
                    <w:adjustRightInd w:val="0"/>
                    <w:snapToGrid w:val="0"/>
                    <w:spacing w:line="360" w:lineRule="exact"/>
                    <w:rPr>
                      <w:rFonts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0" w:type="pct"/>
                  <w:vMerge w:val="continue"/>
                  <w:vAlign w:val="center"/>
                </w:tcPr>
                <w:p>
                  <w:pPr>
                    <w:autoSpaceDE w:val="0"/>
                    <w:autoSpaceDN w:val="0"/>
                    <w:adjustRightInd w:val="0"/>
                    <w:snapToGrid w:val="0"/>
                    <w:spacing w:line="360" w:lineRule="exact"/>
                    <w:jc w:val="center"/>
                    <w:rPr>
                      <w:color w:val="auto"/>
                    </w:rPr>
                  </w:pPr>
                </w:p>
              </w:tc>
              <w:tc>
                <w:tcPr>
                  <w:tcW w:w="2371" w:type="pct"/>
                  <w:vAlign w:val="center"/>
                </w:tcPr>
                <w:p>
                  <w:pPr>
                    <w:autoSpaceDE w:val="0"/>
                    <w:autoSpaceDN w:val="0"/>
                    <w:adjustRightInd w:val="0"/>
                    <w:snapToGrid w:val="0"/>
                    <w:spacing w:line="360" w:lineRule="exact"/>
                    <w:rPr>
                      <w:rFonts w:cs="宋体"/>
                      <w:color w:val="auto"/>
                      <w:kern w:val="0"/>
                    </w:rPr>
                  </w:pPr>
                  <w:r>
                    <w:rPr>
                      <w:rFonts w:hint="eastAsia"/>
                      <w:color w:val="auto"/>
                    </w:rPr>
                    <w:t>5.国家或地方已出台超低排放要求的“</w:t>
                  </w:r>
                  <w:r>
                    <w:rPr>
                      <w:rFonts w:hint="eastAsia" w:hAnsi="宋体"/>
                      <w:color w:val="auto"/>
                    </w:rPr>
                    <w:t>两高</w:t>
                  </w:r>
                  <w:r>
                    <w:rPr>
                      <w:rFonts w:hint="eastAsia"/>
                      <w:color w:val="auto"/>
                    </w:rPr>
                    <w:t>”</w:t>
                  </w:r>
                  <w:r>
                    <w:rPr>
                      <w:rFonts w:hint="eastAsia" w:hAnsi="宋体"/>
                      <w:color w:val="auto"/>
                    </w:rPr>
                    <w:t>行业建设项目应满足超低排放要求。</w:t>
                  </w:r>
                </w:p>
              </w:tc>
              <w:tc>
                <w:tcPr>
                  <w:tcW w:w="2257" w:type="pct"/>
                  <w:vMerge w:val="continue"/>
                  <w:vAlign w:val="center"/>
                </w:tcPr>
                <w:p>
                  <w:pPr>
                    <w:autoSpaceDE w:val="0"/>
                    <w:autoSpaceDN w:val="0"/>
                    <w:adjustRightInd w:val="0"/>
                    <w:snapToGrid w:val="0"/>
                    <w:spacing w:line="360" w:lineRule="exact"/>
                    <w:rPr>
                      <w:rFonts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0" w:type="pct"/>
                  <w:vMerge w:val="continue"/>
                  <w:vAlign w:val="center"/>
                </w:tcPr>
                <w:p>
                  <w:pPr>
                    <w:autoSpaceDE w:val="0"/>
                    <w:autoSpaceDN w:val="0"/>
                    <w:adjustRightInd w:val="0"/>
                    <w:snapToGrid w:val="0"/>
                    <w:spacing w:line="360" w:lineRule="exact"/>
                    <w:jc w:val="center"/>
                    <w:rPr>
                      <w:color w:val="auto"/>
                    </w:rPr>
                  </w:pPr>
                </w:p>
              </w:tc>
              <w:tc>
                <w:tcPr>
                  <w:tcW w:w="2371" w:type="pct"/>
                  <w:vAlign w:val="center"/>
                </w:tcPr>
                <w:p>
                  <w:pPr>
                    <w:autoSpaceDE w:val="0"/>
                    <w:autoSpaceDN w:val="0"/>
                    <w:adjustRightInd w:val="0"/>
                    <w:snapToGrid w:val="0"/>
                    <w:spacing w:line="360" w:lineRule="exact"/>
                    <w:rPr>
                      <w:rFonts w:cs="宋体"/>
                      <w:color w:val="auto"/>
                      <w:kern w:val="0"/>
                    </w:rPr>
                  </w:pPr>
                  <w:r>
                    <w:rPr>
                      <w:rFonts w:hint="eastAsia"/>
                      <w:color w:val="auto"/>
                    </w:rPr>
                    <w:t>6.</w:t>
                  </w:r>
                  <w:r>
                    <w:rPr>
                      <w:rFonts w:hint="eastAsia" w:hAnsi="宋体"/>
                      <w:color w:val="auto"/>
                    </w:rPr>
                    <w:t>鼓励企业使用新技术、新工艺、新设备、新产品、新材料，改造和提升传统产业，开展废弃物处理及再生资源综合利用，发展循环经济。</w:t>
                  </w:r>
                </w:p>
              </w:tc>
              <w:tc>
                <w:tcPr>
                  <w:tcW w:w="2257" w:type="pct"/>
                  <w:vMerge w:val="continue"/>
                  <w:vAlign w:val="center"/>
                </w:tcPr>
                <w:p>
                  <w:pPr>
                    <w:autoSpaceDE w:val="0"/>
                    <w:autoSpaceDN w:val="0"/>
                    <w:adjustRightInd w:val="0"/>
                    <w:snapToGrid w:val="0"/>
                    <w:spacing w:line="360" w:lineRule="exact"/>
                    <w:rPr>
                      <w:rFonts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0" w:type="pct"/>
                  <w:vMerge w:val="continue"/>
                  <w:vAlign w:val="center"/>
                </w:tcPr>
                <w:p>
                  <w:pPr>
                    <w:autoSpaceDE w:val="0"/>
                    <w:autoSpaceDN w:val="0"/>
                    <w:adjustRightInd w:val="0"/>
                    <w:snapToGrid w:val="0"/>
                    <w:spacing w:line="360" w:lineRule="exact"/>
                    <w:jc w:val="center"/>
                    <w:rPr>
                      <w:color w:val="auto"/>
                    </w:rPr>
                  </w:pPr>
                </w:p>
              </w:tc>
              <w:tc>
                <w:tcPr>
                  <w:tcW w:w="2371" w:type="pct"/>
                  <w:vAlign w:val="center"/>
                </w:tcPr>
                <w:p>
                  <w:pPr>
                    <w:autoSpaceDE w:val="0"/>
                    <w:autoSpaceDN w:val="0"/>
                    <w:adjustRightInd w:val="0"/>
                    <w:snapToGrid w:val="0"/>
                    <w:spacing w:line="360" w:lineRule="exact"/>
                    <w:rPr>
                      <w:rFonts w:cs="宋体"/>
                      <w:color w:val="auto"/>
                      <w:kern w:val="0"/>
                    </w:rPr>
                  </w:pPr>
                  <w:r>
                    <w:rPr>
                      <w:rFonts w:hint="eastAsia"/>
                      <w:color w:val="auto"/>
                    </w:rPr>
                    <w:t>7.</w:t>
                  </w:r>
                  <w:r>
                    <w:rPr>
                      <w:rFonts w:hint="eastAsia" w:hAnsi="宋体"/>
                      <w:color w:val="auto"/>
                    </w:rPr>
                    <w:t>煤炭企业应当按照综合利用和处置煤矸石技术规范要求综合利用和处置煤矸石。</w:t>
                  </w:r>
                </w:p>
              </w:tc>
              <w:tc>
                <w:tcPr>
                  <w:tcW w:w="2257" w:type="pct"/>
                  <w:vMerge w:val="continue"/>
                  <w:vAlign w:val="center"/>
                </w:tcPr>
                <w:p>
                  <w:pPr>
                    <w:autoSpaceDE w:val="0"/>
                    <w:autoSpaceDN w:val="0"/>
                    <w:adjustRightInd w:val="0"/>
                    <w:snapToGrid w:val="0"/>
                    <w:spacing w:line="360" w:lineRule="exact"/>
                    <w:rPr>
                      <w:rFonts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370" w:type="pct"/>
                  <w:vMerge w:val="restart"/>
                  <w:vAlign w:val="center"/>
                </w:tcPr>
                <w:p>
                  <w:pPr>
                    <w:autoSpaceDE w:val="0"/>
                    <w:autoSpaceDN w:val="0"/>
                    <w:adjustRightInd w:val="0"/>
                    <w:snapToGrid w:val="0"/>
                    <w:spacing w:line="360" w:lineRule="exact"/>
                    <w:jc w:val="center"/>
                    <w:rPr>
                      <w:color w:val="auto"/>
                    </w:rPr>
                  </w:pPr>
                  <w:r>
                    <w:rPr>
                      <w:rFonts w:hint="eastAsia"/>
                      <w:color w:val="auto"/>
                    </w:rPr>
                    <w:t>环境风险防控</w:t>
                  </w:r>
                </w:p>
              </w:tc>
              <w:tc>
                <w:tcPr>
                  <w:tcW w:w="2371" w:type="pct"/>
                  <w:vAlign w:val="center"/>
                </w:tcPr>
                <w:p>
                  <w:pPr>
                    <w:autoSpaceDE w:val="0"/>
                    <w:autoSpaceDN w:val="0"/>
                    <w:adjustRightInd w:val="0"/>
                    <w:snapToGrid w:val="0"/>
                    <w:spacing w:line="360" w:lineRule="exact"/>
                    <w:rPr>
                      <w:rFonts w:cs="宋体"/>
                      <w:color w:val="auto"/>
                      <w:kern w:val="0"/>
                    </w:rPr>
                  </w:pPr>
                  <w:r>
                    <w:rPr>
                      <w:rFonts w:hint="eastAsia"/>
                      <w:color w:val="auto"/>
                    </w:rPr>
                    <w:t>1.</w:t>
                  </w:r>
                  <w:r>
                    <w:rPr>
                      <w:rFonts w:hint="eastAsia" w:hAnsi="宋体"/>
                      <w:color w:val="auto"/>
                    </w:rPr>
                    <w:t>建立健全突发环境事件应对工作机制，提高预防、预警、应对能力。</w:t>
                  </w:r>
                </w:p>
              </w:tc>
              <w:tc>
                <w:tcPr>
                  <w:tcW w:w="2257" w:type="pct"/>
                  <w:vMerge w:val="restart"/>
                  <w:vAlign w:val="center"/>
                </w:tcPr>
                <w:p>
                  <w:pPr>
                    <w:autoSpaceDE w:val="0"/>
                    <w:autoSpaceDN w:val="0"/>
                    <w:adjustRightInd w:val="0"/>
                    <w:snapToGrid w:val="0"/>
                    <w:spacing w:line="360" w:lineRule="exact"/>
                    <w:ind w:firstLine="420" w:firstLineChars="200"/>
                    <w:rPr>
                      <w:rFonts w:hint="default" w:eastAsia="宋体" w:cs="宋体"/>
                      <w:color w:val="auto"/>
                      <w:kern w:val="0"/>
                      <w:lang w:val="en-US" w:eastAsia="zh-CN"/>
                    </w:rPr>
                  </w:pPr>
                  <w:r>
                    <w:rPr>
                      <w:rFonts w:hint="eastAsia" w:cs="宋体"/>
                      <w:color w:val="auto"/>
                      <w:kern w:val="0"/>
                      <w:lang w:val="en-US" w:eastAsia="zh-CN"/>
                    </w:rPr>
                    <w:t>本项目不涉及危险废物。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0" w:type="pct"/>
                  <w:vMerge w:val="continue"/>
                  <w:vAlign w:val="center"/>
                </w:tcPr>
                <w:p>
                  <w:pPr>
                    <w:autoSpaceDE w:val="0"/>
                    <w:autoSpaceDN w:val="0"/>
                    <w:adjustRightInd w:val="0"/>
                    <w:snapToGrid w:val="0"/>
                    <w:spacing w:line="360" w:lineRule="exact"/>
                    <w:jc w:val="center"/>
                    <w:rPr>
                      <w:rFonts w:cs="宋体"/>
                      <w:color w:val="auto"/>
                      <w:kern w:val="0"/>
                    </w:rPr>
                  </w:pPr>
                </w:p>
              </w:tc>
              <w:tc>
                <w:tcPr>
                  <w:tcW w:w="2371" w:type="pct"/>
                  <w:vAlign w:val="center"/>
                </w:tcPr>
                <w:p>
                  <w:pPr>
                    <w:autoSpaceDE w:val="0"/>
                    <w:autoSpaceDN w:val="0"/>
                    <w:adjustRightInd w:val="0"/>
                    <w:snapToGrid w:val="0"/>
                    <w:spacing w:line="360" w:lineRule="exact"/>
                    <w:rPr>
                      <w:rFonts w:cs="宋体"/>
                      <w:color w:val="auto"/>
                      <w:kern w:val="0"/>
                    </w:rPr>
                  </w:pPr>
                  <w:r>
                    <w:rPr>
                      <w:rFonts w:hint="eastAsia"/>
                      <w:color w:val="auto"/>
                    </w:rPr>
                    <w:t>2.</w:t>
                  </w:r>
                  <w:r>
                    <w:rPr>
                      <w:rFonts w:hint="eastAsia" w:hAnsi="宋体"/>
                      <w:color w:val="auto"/>
                    </w:rPr>
                    <w:t>危险废物按规范收集、贮存、转运、利用、处置。</w:t>
                  </w:r>
                </w:p>
              </w:tc>
              <w:tc>
                <w:tcPr>
                  <w:tcW w:w="2257" w:type="pct"/>
                  <w:vMerge w:val="continue"/>
                  <w:vAlign w:val="center"/>
                </w:tcPr>
                <w:p>
                  <w:pPr>
                    <w:autoSpaceDE w:val="0"/>
                    <w:autoSpaceDN w:val="0"/>
                    <w:adjustRightInd w:val="0"/>
                    <w:snapToGrid w:val="0"/>
                    <w:spacing w:line="360" w:lineRule="exact"/>
                    <w:ind w:firstLine="420" w:firstLineChars="200"/>
                    <w:rPr>
                      <w:rFonts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0" w:type="pct"/>
                  <w:vMerge w:val="restart"/>
                  <w:vAlign w:val="center"/>
                </w:tcPr>
                <w:p>
                  <w:pPr>
                    <w:autoSpaceDE w:val="0"/>
                    <w:autoSpaceDN w:val="0"/>
                    <w:adjustRightInd w:val="0"/>
                    <w:snapToGrid w:val="0"/>
                    <w:spacing w:line="360" w:lineRule="exact"/>
                    <w:jc w:val="center"/>
                    <w:rPr>
                      <w:rFonts w:cs="宋体"/>
                      <w:color w:val="auto"/>
                      <w:kern w:val="0"/>
                    </w:rPr>
                  </w:pPr>
                  <w:r>
                    <w:rPr>
                      <w:rFonts w:hint="eastAsia"/>
                      <w:color w:val="auto"/>
                    </w:rPr>
                    <w:t>资源利用效率</w:t>
                  </w:r>
                </w:p>
              </w:tc>
              <w:tc>
                <w:tcPr>
                  <w:tcW w:w="2371" w:type="pct"/>
                  <w:vAlign w:val="center"/>
                </w:tcPr>
                <w:p>
                  <w:pPr>
                    <w:autoSpaceDE w:val="0"/>
                    <w:autoSpaceDN w:val="0"/>
                    <w:adjustRightInd w:val="0"/>
                    <w:snapToGrid w:val="0"/>
                    <w:spacing w:line="360" w:lineRule="exact"/>
                    <w:rPr>
                      <w:rFonts w:cs="宋体"/>
                      <w:color w:val="auto"/>
                      <w:kern w:val="0"/>
                    </w:rPr>
                  </w:pPr>
                  <w:r>
                    <w:rPr>
                      <w:rFonts w:hint="eastAsia"/>
                      <w:color w:val="auto"/>
                    </w:rPr>
                    <w:t>1.</w:t>
                  </w:r>
                  <w:r>
                    <w:rPr>
                      <w:rFonts w:hint="eastAsia" w:hAnsi="宋体"/>
                      <w:color w:val="auto"/>
                    </w:rPr>
                    <w:t>水资源、土地资源及能源利用上线严格落实</w:t>
                  </w:r>
                  <w:r>
                    <w:rPr>
                      <w:rFonts w:hint="eastAsia"/>
                      <w:color w:val="auto"/>
                    </w:rPr>
                    <w:t>“</w:t>
                  </w:r>
                  <w:r>
                    <w:rPr>
                      <w:rFonts w:hint="eastAsia" w:hAnsi="宋体"/>
                      <w:color w:val="auto"/>
                    </w:rPr>
                    <w:t>十四五</w:t>
                  </w:r>
                  <w:r>
                    <w:rPr>
                      <w:rFonts w:hint="eastAsia"/>
                      <w:color w:val="auto"/>
                    </w:rPr>
                    <w:t>”</w:t>
                  </w:r>
                  <w:r>
                    <w:rPr>
                      <w:rFonts w:hint="eastAsia" w:hAnsi="宋体"/>
                      <w:color w:val="auto"/>
                    </w:rPr>
                    <w:t>相关目标指标。能源利用上线严格落实碳达峰、碳中和相关要求。</w:t>
                  </w:r>
                </w:p>
              </w:tc>
              <w:tc>
                <w:tcPr>
                  <w:tcW w:w="2257" w:type="pct"/>
                  <w:vAlign w:val="center"/>
                </w:tcPr>
                <w:p>
                  <w:pPr>
                    <w:autoSpaceDE w:val="0"/>
                    <w:autoSpaceDN w:val="0"/>
                    <w:adjustRightInd w:val="0"/>
                    <w:snapToGrid w:val="0"/>
                    <w:spacing w:line="360" w:lineRule="exact"/>
                    <w:ind w:firstLine="420" w:firstLineChars="200"/>
                    <w:rPr>
                      <w:rFonts w:hint="default" w:eastAsia="宋体" w:cs="宋体"/>
                      <w:color w:val="auto"/>
                      <w:kern w:val="0"/>
                      <w:lang w:val="en-US" w:eastAsia="zh-CN"/>
                    </w:rPr>
                  </w:pPr>
                  <w:r>
                    <w:rPr>
                      <w:rFonts w:hint="eastAsia" w:cs="宋体"/>
                      <w:color w:val="auto"/>
                      <w:kern w:val="0"/>
                    </w:rPr>
                    <w:t>本项目</w:t>
                  </w:r>
                  <w:r>
                    <w:rPr>
                      <w:rFonts w:hint="eastAsia" w:cs="宋体"/>
                      <w:color w:val="auto"/>
                      <w:kern w:val="0"/>
                      <w:lang w:val="en-US" w:eastAsia="zh-CN"/>
                    </w:rPr>
                    <w:t>建设期</w:t>
                  </w:r>
                  <w:r>
                    <w:rPr>
                      <w:rFonts w:hint="eastAsia" w:cs="宋体"/>
                      <w:color w:val="auto"/>
                      <w:kern w:val="0"/>
                    </w:rPr>
                    <w:t>水资源利用量较少</w:t>
                  </w:r>
                  <w:r>
                    <w:rPr>
                      <w:rFonts w:hint="eastAsia" w:cs="宋体"/>
                      <w:color w:val="auto"/>
                      <w:kern w:val="0"/>
                      <w:lang w:eastAsia="zh-CN"/>
                    </w:rPr>
                    <w:t>，</w:t>
                  </w:r>
                  <w:r>
                    <w:rPr>
                      <w:rFonts w:hint="eastAsia" w:cs="宋体"/>
                      <w:color w:val="auto"/>
                      <w:kern w:val="0"/>
                    </w:rPr>
                    <w:t>不会突破区域资源利用上线。</w:t>
                  </w:r>
                  <w:r>
                    <w:rPr>
                      <w:rFonts w:hint="eastAsia" w:cs="宋体"/>
                      <w:color w:val="auto"/>
                      <w:kern w:val="0"/>
                      <w:lang w:val="en-US" w:eastAsia="zh-CN"/>
                    </w:rPr>
                    <w:t>项目建设的道路属于</w:t>
                  </w:r>
                  <w:r>
                    <w:rPr>
                      <w:rFonts w:hint="eastAsia"/>
                      <w:color w:val="auto"/>
                      <w:szCs w:val="21"/>
                      <w:vertAlign w:val="baseline"/>
                      <w:lang w:val="en-US" w:eastAsia="zh-CN"/>
                    </w:rPr>
                    <w:t>《五台县县城总体规划》（2012~2030）中“道路交通规划”的规划道路。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0" w:type="pct"/>
                  <w:vMerge w:val="continue"/>
                  <w:vAlign w:val="center"/>
                </w:tcPr>
                <w:p>
                  <w:pPr>
                    <w:autoSpaceDE w:val="0"/>
                    <w:autoSpaceDN w:val="0"/>
                    <w:adjustRightInd w:val="0"/>
                    <w:snapToGrid w:val="0"/>
                    <w:spacing w:line="360" w:lineRule="exact"/>
                    <w:jc w:val="center"/>
                    <w:rPr>
                      <w:rFonts w:cs="宋体"/>
                      <w:color w:val="auto"/>
                      <w:kern w:val="0"/>
                    </w:rPr>
                  </w:pPr>
                </w:p>
              </w:tc>
              <w:tc>
                <w:tcPr>
                  <w:tcW w:w="2371" w:type="pct"/>
                  <w:vAlign w:val="center"/>
                </w:tcPr>
                <w:p>
                  <w:pPr>
                    <w:autoSpaceDE w:val="0"/>
                    <w:autoSpaceDN w:val="0"/>
                    <w:adjustRightInd w:val="0"/>
                    <w:snapToGrid w:val="0"/>
                    <w:spacing w:line="360" w:lineRule="exact"/>
                    <w:rPr>
                      <w:rFonts w:cs="宋体"/>
                      <w:color w:val="auto"/>
                      <w:kern w:val="0"/>
                    </w:rPr>
                  </w:pPr>
                  <w:r>
                    <w:rPr>
                      <w:rFonts w:hint="eastAsia"/>
                      <w:color w:val="auto"/>
                    </w:rPr>
                    <w:t>2.</w:t>
                  </w:r>
                  <w:r>
                    <w:rPr>
                      <w:rFonts w:hint="eastAsia" w:hAnsi="宋体"/>
                      <w:color w:val="auto"/>
                    </w:rPr>
                    <w:t>加快推进岩溶大泉泉源和重点保护区的保护和生态修复。</w:t>
                  </w:r>
                </w:p>
              </w:tc>
              <w:tc>
                <w:tcPr>
                  <w:tcW w:w="2257" w:type="pct"/>
                  <w:vAlign w:val="center"/>
                </w:tcPr>
                <w:p>
                  <w:pPr>
                    <w:autoSpaceDE w:val="0"/>
                    <w:autoSpaceDN w:val="0"/>
                    <w:adjustRightInd w:val="0"/>
                    <w:snapToGrid w:val="0"/>
                    <w:spacing w:line="360" w:lineRule="exact"/>
                    <w:ind w:firstLine="420" w:firstLineChars="200"/>
                    <w:rPr>
                      <w:rFonts w:cs="宋体"/>
                      <w:color w:val="auto"/>
                      <w:kern w:val="0"/>
                    </w:rPr>
                  </w:pPr>
                  <w:r>
                    <w:rPr>
                      <w:rFonts w:hint="default" w:cs="宋体"/>
                      <w:color w:val="auto"/>
                      <w:kern w:val="0"/>
                    </w:rPr>
                    <w:t>本项目</w:t>
                  </w:r>
                  <w:r>
                    <w:rPr>
                      <w:rFonts w:hint="eastAsia" w:cs="宋体"/>
                      <w:color w:val="auto"/>
                      <w:kern w:val="0"/>
                      <w:lang w:val="en-US" w:eastAsia="zh-CN"/>
                    </w:rPr>
                    <w:t>位于坪上泉域范围内，</w:t>
                  </w:r>
                  <w:r>
                    <w:rPr>
                      <w:rFonts w:hint="default" w:cs="宋体"/>
                      <w:color w:val="auto"/>
                      <w:kern w:val="0"/>
                    </w:rPr>
                    <w:t>距泉域重点保护区</w:t>
                  </w:r>
                  <w:r>
                    <w:rPr>
                      <w:rFonts w:hint="eastAsia" w:cs="宋体"/>
                      <w:color w:val="auto"/>
                      <w:kern w:val="0"/>
                      <w:lang w:val="en-US" w:eastAsia="zh-CN"/>
                    </w:rPr>
                    <w:t>边界</w:t>
                  </w:r>
                  <w:r>
                    <w:rPr>
                      <w:rFonts w:hint="default" w:cs="宋体"/>
                      <w:color w:val="auto"/>
                      <w:kern w:val="0"/>
                    </w:rPr>
                    <w:t>约</w:t>
                  </w:r>
                  <w:r>
                    <w:rPr>
                      <w:rFonts w:hint="eastAsia" w:cs="宋体"/>
                      <w:color w:val="auto"/>
                      <w:kern w:val="0"/>
                      <w:lang w:val="en-US" w:eastAsia="zh-CN"/>
                    </w:rPr>
                    <w:t>13.5</w:t>
                  </w:r>
                  <w:r>
                    <w:rPr>
                      <w:rFonts w:hint="default" w:cs="宋体"/>
                      <w:color w:val="auto"/>
                      <w:kern w:val="0"/>
                    </w:rPr>
                    <w:t>km。</w:t>
                  </w:r>
                  <w:r>
                    <w:rPr>
                      <w:rFonts w:hint="default" w:cs="宋体"/>
                      <w:color w:val="auto"/>
                      <w:kern w:val="0"/>
                      <w:lang w:val="en-US" w:eastAsia="zh-CN"/>
                    </w:rPr>
                    <w:t>本项目</w:t>
                  </w:r>
                  <w:r>
                    <w:rPr>
                      <w:rFonts w:hint="eastAsia" w:cs="宋体"/>
                      <w:color w:val="auto"/>
                      <w:kern w:val="0"/>
                      <w:lang w:val="en-US" w:eastAsia="zh-CN"/>
                    </w:rPr>
                    <w:t>为城市道路项目，</w:t>
                  </w:r>
                  <w:r>
                    <w:rPr>
                      <w:rFonts w:hint="eastAsia" w:cs="宋体"/>
                      <w:color w:val="auto"/>
                      <w:kern w:val="0"/>
                      <w:szCs w:val="21"/>
                      <w:lang w:val="en-US" w:eastAsia="zh-CN"/>
                    </w:rPr>
                    <w:t>涉及城市集中供热、供气、雨污水分流、再生水管网、绿化等工程建设，对区域生态环境质量的改善具有促进作用。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0" w:type="pct"/>
                  <w:vMerge w:val="continue"/>
                  <w:vAlign w:val="center"/>
                </w:tcPr>
                <w:p>
                  <w:pPr>
                    <w:autoSpaceDE w:val="0"/>
                    <w:autoSpaceDN w:val="0"/>
                    <w:adjustRightInd w:val="0"/>
                    <w:snapToGrid w:val="0"/>
                    <w:spacing w:line="360" w:lineRule="exact"/>
                    <w:jc w:val="center"/>
                    <w:rPr>
                      <w:rFonts w:cs="宋体"/>
                      <w:color w:val="auto"/>
                      <w:kern w:val="0"/>
                    </w:rPr>
                  </w:pPr>
                </w:p>
              </w:tc>
              <w:tc>
                <w:tcPr>
                  <w:tcW w:w="2371" w:type="pct"/>
                  <w:vAlign w:val="center"/>
                </w:tcPr>
                <w:p>
                  <w:pPr>
                    <w:autoSpaceDE w:val="0"/>
                    <w:autoSpaceDN w:val="0"/>
                    <w:adjustRightInd w:val="0"/>
                    <w:snapToGrid w:val="0"/>
                    <w:spacing w:line="360" w:lineRule="exact"/>
                    <w:rPr>
                      <w:rFonts w:cs="宋体"/>
                      <w:color w:val="auto"/>
                      <w:kern w:val="0"/>
                    </w:rPr>
                  </w:pPr>
                  <w:r>
                    <w:rPr>
                      <w:rFonts w:hint="eastAsia"/>
                      <w:color w:val="auto"/>
                    </w:rPr>
                    <w:t>3.</w:t>
                  </w:r>
                  <w:r>
                    <w:rPr>
                      <w:rFonts w:hint="eastAsia" w:hAnsi="宋体"/>
                      <w:color w:val="auto"/>
                    </w:rPr>
                    <w:t>到</w:t>
                  </w:r>
                  <w:r>
                    <w:rPr>
                      <w:rFonts w:hint="eastAsia"/>
                      <w:color w:val="auto"/>
                    </w:rPr>
                    <w:t>2022</w:t>
                  </w:r>
                  <w:r>
                    <w:rPr>
                      <w:rFonts w:hint="eastAsia" w:hAnsi="宋体"/>
                      <w:color w:val="auto"/>
                    </w:rPr>
                    <w:t>年，全市用水总量控制目标为</w:t>
                  </w:r>
                  <w:r>
                    <w:rPr>
                      <w:rFonts w:hint="eastAsia"/>
                      <w:color w:val="auto"/>
                    </w:rPr>
                    <w:t>7.9</w:t>
                  </w:r>
                  <w:r>
                    <w:rPr>
                      <w:rFonts w:hint="eastAsia" w:hAnsi="宋体"/>
                      <w:color w:val="auto"/>
                    </w:rPr>
                    <w:t>亿立方米。</w:t>
                  </w:r>
                </w:p>
              </w:tc>
              <w:tc>
                <w:tcPr>
                  <w:tcW w:w="2257" w:type="pct"/>
                  <w:vAlign w:val="center"/>
                </w:tcPr>
                <w:p>
                  <w:pPr>
                    <w:autoSpaceDE w:val="0"/>
                    <w:autoSpaceDN w:val="0"/>
                    <w:adjustRightInd w:val="0"/>
                    <w:snapToGrid w:val="0"/>
                    <w:spacing w:line="360" w:lineRule="exact"/>
                    <w:ind w:firstLine="420" w:firstLineChars="200"/>
                    <w:rPr>
                      <w:rFonts w:cs="宋体"/>
                      <w:color w:val="auto"/>
                      <w:kern w:val="0"/>
                    </w:rPr>
                  </w:pPr>
                  <w:r>
                    <w:rPr>
                      <w:rFonts w:hint="eastAsia" w:cs="宋体"/>
                      <w:color w:val="auto"/>
                      <w:kern w:val="0"/>
                    </w:rPr>
                    <w:t>本项目</w:t>
                  </w:r>
                  <w:r>
                    <w:rPr>
                      <w:rFonts w:hint="eastAsia" w:cs="宋体"/>
                      <w:color w:val="auto"/>
                      <w:kern w:val="0"/>
                      <w:lang w:val="en-US" w:eastAsia="zh-CN"/>
                    </w:rPr>
                    <w:t>建设期</w:t>
                  </w:r>
                  <w:r>
                    <w:rPr>
                      <w:rFonts w:hint="eastAsia" w:cs="宋体"/>
                      <w:color w:val="auto"/>
                      <w:kern w:val="0"/>
                    </w:rPr>
                    <w:t>水</w:t>
                  </w:r>
                  <w:r>
                    <w:rPr>
                      <w:rFonts w:hint="eastAsia" w:cs="宋体"/>
                      <w:color w:val="auto"/>
                      <w:kern w:val="0"/>
                      <w:lang w:eastAsia="zh-CN"/>
                    </w:rPr>
                    <w:t>、</w:t>
                  </w:r>
                  <w:r>
                    <w:rPr>
                      <w:rFonts w:hint="eastAsia" w:cs="宋体"/>
                      <w:color w:val="auto"/>
                      <w:kern w:val="0"/>
                      <w:lang w:val="en-US" w:eastAsia="zh-CN"/>
                    </w:rPr>
                    <w:t>电</w:t>
                  </w:r>
                  <w:r>
                    <w:rPr>
                      <w:rFonts w:hint="eastAsia" w:cs="宋体"/>
                      <w:color w:val="auto"/>
                      <w:kern w:val="0"/>
                    </w:rPr>
                    <w:t>资源利用量较少，不会突破区域资源利用上线。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0" w:type="pct"/>
                  <w:vMerge w:val="continue"/>
                  <w:vAlign w:val="center"/>
                </w:tcPr>
                <w:p>
                  <w:pPr>
                    <w:autoSpaceDE w:val="0"/>
                    <w:autoSpaceDN w:val="0"/>
                    <w:adjustRightInd w:val="0"/>
                    <w:snapToGrid w:val="0"/>
                    <w:spacing w:line="360" w:lineRule="exact"/>
                    <w:jc w:val="center"/>
                    <w:rPr>
                      <w:rFonts w:cs="宋体"/>
                      <w:color w:val="auto"/>
                      <w:kern w:val="0"/>
                    </w:rPr>
                  </w:pPr>
                </w:p>
              </w:tc>
              <w:tc>
                <w:tcPr>
                  <w:tcW w:w="2371" w:type="pct"/>
                  <w:vAlign w:val="center"/>
                </w:tcPr>
                <w:p>
                  <w:pPr>
                    <w:autoSpaceDE w:val="0"/>
                    <w:autoSpaceDN w:val="0"/>
                    <w:adjustRightInd w:val="0"/>
                    <w:snapToGrid w:val="0"/>
                    <w:spacing w:line="360" w:lineRule="exact"/>
                    <w:rPr>
                      <w:rFonts w:cs="宋体"/>
                      <w:color w:val="auto"/>
                      <w:kern w:val="0"/>
                    </w:rPr>
                  </w:pPr>
                  <w:r>
                    <w:rPr>
                      <w:rFonts w:hint="eastAsia"/>
                      <w:color w:val="auto"/>
                    </w:rPr>
                    <w:t>4.</w:t>
                  </w:r>
                  <w:r>
                    <w:rPr>
                      <w:rFonts w:hint="eastAsia" w:hAnsi="宋体"/>
                      <w:color w:val="auto"/>
                    </w:rPr>
                    <w:t>忻州市忻府区、原平市、定襄县实现平原地区散煤清零。</w:t>
                  </w:r>
                </w:p>
              </w:tc>
              <w:tc>
                <w:tcPr>
                  <w:tcW w:w="2257" w:type="pct"/>
                  <w:vAlign w:val="center"/>
                </w:tcPr>
                <w:p>
                  <w:pPr>
                    <w:autoSpaceDE w:val="0"/>
                    <w:autoSpaceDN w:val="0"/>
                    <w:adjustRightInd w:val="0"/>
                    <w:snapToGrid w:val="0"/>
                    <w:spacing w:line="360" w:lineRule="exact"/>
                    <w:ind w:firstLine="420" w:firstLineChars="200"/>
                    <w:rPr>
                      <w:rFonts w:cs="宋体"/>
                      <w:color w:val="auto"/>
                      <w:kern w:val="0"/>
                    </w:rPr>
                  </w:pPr>
                  <w:r>
                    <w:rPr>
                      <w:rFonts w:hint="eastAsia" w:cs="宋体"/>
                      <w:color w:val="auto"/>
                      <w:kern w:val="0"/>
                    </w:rPr>
                    <w:t>本项目</w:t>
                  </w:r>
                  <w:r>
                    <w:rPr>
                      <w:rFonts w:hint="eastAsia" w:cs="宋体"/>
                      <w:color w:val="auto"/>
                      <w:kern w:val="0"/>
                      <w:lang w:val="en-US" w:eastAsia="zh-CN"/>
                    </w:rPr>
                    <w:t>无煤炭消耗</w:t>
                  </w:r>
                  <w:r>
                    <w:rPr>
                      <w:rFonts w:hint="eastAsia" w:cs="宋体"/>
                      <w:color w:val="auto"/>
                      <w:kern w:val="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0" w:type="pct"/>
                  <w:vMerge w:val="continue"/>
                  <w:vAlign w:val="center"/>
                </w:tcPr>
                <w:p>
                  <w:pPr>
                    <w:autoSpaceDE w:val="0"/>
                    <w:autoSpaceDN w:val="0"/>
                    <w:adjustRightInd w:val="0"/>
                    <w:snapToGrid w:val="0"/>
                    <w:spacing w:line="360" w:lineRule="exact"/>
                    <w:jc w:val="center"/>
                    <w:rPr>
                      <w:rFonts w:cs="宋体"/>
                      <w:color w:val="auto"/>
                      <w:kern w:val="0"/>
                    </w:rPr>
                  </w:pPr>
                </w:p>
              </w:tc>
              <w:tc>
                <w:tcPr>
                  <w:tcW w:w="2371" w:type="pct"/>
                  <w:vAlign w:val="center"/>
                </w:tcPr>
                <w:p>
                  <w:pPr>
                    <w:autoSpaceDE w:val="0"/>
                    <w:autoSpaceDN w:val="0"/>
                    <w:adjustRightInd w:val="0"/>
                    <w:snapToGrid w:val="0"/>
                    <w:spacing w:line="360" w:lineRule="exact"/>
                    <w:rPr>
                      <w:color w:val="auto"/>
                    </w:rPr>
                  </w:pPr>
                  <w:r>
                    <w:rPr>
                      <w:rFonts w:hint="eastAsia"/>
                      <w:color w:val="auto"/>
                    </w:rPr>
                    <w:t>5.</w:t>
                  </w:r>
                  <w:r>
                    <w:rPr>
                      <w:rFonts w:hint="eastAsia" w:hAnsi="宋体"/>
                      <w:color w:val="auto"/>
                    </w:rPr>
                    <w:t>全市城市建成区绿化覆盖率</w:t>
                  </w:r>
                  <w:r>
                    <w:rPr>
                      <w:rFonts w:hint="eastAsia"/>
                      <w:color w:val="auto"/>
                    </w:rPr>
                    <w:t>2022</w:t>
                  </w:r>
                  <w:r>
                    <w:rPr>
                      <w:rFonts w:hint="eastAsia" w:hAnsi="宋体"/>
                      <w:color w:val="auto"/>
                    </w:rPr>
                    <w:t>年达到</w:t>
                  </w:r>
                  <w:r>
                    <w:rPr>
                      <w:rFonts w:hint="eastAsia"/>
                      <w:color w:val="auto"/>
                    </w:rPr>
                    <w:t>42%</w:t>
                  </w:r>
                  <w:r>
                    <w:rPr>
                      <w:rFonts w:hint="eastAsia" w:hAnsi="宋体"/>
                      <w:color w:val="auto"/>
                    </w:rPr>
                    <w:t>以上，城市国土绿化品质有效提升。</w:t>
                  </w:r>
                </w:p>
              </w:tc>
              <w:tc>
                <w:tcPr>
                  <w:tcW w:w="2257" w:type="pct"/>
                  <w:vMerge w:val="restart"/>
                  <w:vAlign w:val="center"/>
                </w:tcPr>
                <w:p>
                  <w:pPr>
                    <w:autoSpaceDE w:val="0"/>
                    <w:autoSpaceDN w:val="0"/>
                    <w:adjustRightInd w:val="0"/>
                    <w:snapToGrid w:val="0"/>
                    <w:spacing w:line="360" w:lineRule="exact"/>
                    <w:ind w:firstLine="420" w:firstLineChars="200"/>
                    <w:rPr>
                      <w:rFonts w:cs="宋体"/>
                      <w:color w:val="auto"/>
                      <w:kern w:val="0"/>
                    </w:rPr>
                  </w:pPr>
                  <w:r>
                    <w:rPr>
                      <w:rFonts w:hint="eastAsia"/>
                      <w:color w:val="auto"/>
                      <w:szCs w:val="21"/>
                      <w:vertAlign w:val="baseline"/>
                      <w:lang w:val="en-US" w:eastAsia="zh-CN"/>
                    </w:rPr>
                    <w:t>本项目建设的3条道路均规划建设绿化工程。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0" w:type="pct"/>
                  <w:vMerge w:val="continue"/>
                  <w:vAlign w:val="center"/>
                </w:tcPr>
                <w:p>
                  <w:pPr>
                    <w:autoSpaceDE w:val="0"/>
                    <w:autoSpaceDN w:val="0"/>
                    <w:adjustRightInd w:val="0"/>
                    <w:snapToGrid w:val="0"/>
                    <w:spacing w:line="360" w:lineRule="exact"/>
                    <w:jc w:val="center"/>
                    <w:rPr>
                      <w:rFonts w:cs="宋体"/>
                      <w:color w:val="auto"/>
                      <w:kern w:val="0"/>
                    </w:rPr>
                  </w:pPr>
                </w:p>
              </w:tc>
              <w:tc>
                <w:tcPr>
                  <w:tcW w:w="2371" w:type="pct"/>
                  <w:vAlign w:val="center"/>
                </w:tcPr>
                <w:p>
                  <w:pPr>
                    <w:autoSpaceDE w:val="0"/>
                    <w:autoSpaceDN w:val="0"/>
                    <w:adjustRightInd w:val="0"/>
                    <w:snapToGrid w:val="0"/>
                    <w:spacing w:line="360" w:lineRule="exact"/>
                    <w:rPr>
                      <w:color w:val="auto"/>
                    </w:rPr>
                  </w:pPr>
                  <w:r>
                    <w:rPr>
                      <w:rFonts w:hint="eastAsia"/>
                      <w:color w:val="auto"/>
                    </w:rPr>
                    <w:t>6.</w:t>
                  </w:r>
                  <w:r>
                    <w:rPr>
                      <w:rFonts w:hint="eastAsia" w:hAnsi="宋体"/>
                      <w:color w:val="auto"/>
                    </w:rPr>
                    <w:t>新建矿山必须按照绿色矿山标准建设，到</w:t>
                  </w:r>
                  <w:r>
                    <w:rPr>
                      <w:rFonts w:hint="eastAsia"/>
                      <w:color w:val="auto"/>
                    </w:rPr>
                    <w:t>2025</w:t>
                  </w:r>
                  <w:r>
                    <w:rPr>
                      <w:rFonts w:hint="eastAsia" w:hAnsi="宋体"/>
                      <w:color w:val="auto"/>
                    </w:rPr>
                    <w:t>年基本完成历史遗留矿山地质环境问题恢复治理工作，实现全市矿山地质环境根本好转。</w:t>
                  </w:r>
                </w:p>
              </w:tc>
              <w:tc>
                <w:tcPr>
                  <w:tcW w:w="2257" w:type="pct"/>
                  <w:vMerge w:val="continue"/>
                  <w:vAlign w:val="center"/>
                </w:tcPr>
                <w:p>
                  <w:pPr>
                    <w:autoSpaceDE w:val="0"/>
                    <w:autoSpaceDN w:val="0"/>
                    <w:adjustRightInd w:val="0"/>
                    <w:snapToGrid w:val="0"/>
                    <w:spacing w:line="360" w:lineRule="exact"/>
                    <w:rPr>
                      <w:rFonts w:cs="宋体"/>
                      <w:color w:val="auto"/>
                      <w:kern w:val="0"/>
                    </w:rPr>
                  </w:pPr>
                </w:p>
              </w:tc>
            </w:tr>
          </w:tbl>
          <w:p>
            <w:pPr>
              <w:autoSpaceDE w:val="0"/>
              <w:autoSpaceDN w:val="0"/>
              <w:adjustRightInd w:val="0"/>
              <w:snapToGrid w:val="0"/>
              <w:spacing w:line="480" w:lineRule="exact"/>
              <w:ind w:firstLine="480" w:firstLineChars="200"/>
              <w:rPr>
                <w:rFonts w:cs="宋体"/>
                <w:color w:val="auto"/>
                <w:kern w:val="0"/>
                <w:sz w:val="24"/>
              </w:rPr>
            </w:pPr>
            <w:r>
              <w:rPr>
                <w:rFonts w:hint="eastAsia" w:cs="宋体"/>
                <w:color w:val="auto"/>
                <w:kern w:val="0"/>
                <w:sz w:val="24"/>
              </w:rPr>
              <w:t>由表1-3可知，本项目基本符合《忻州市“三线一单”生态环境分区管控实施方案》中生态环境总体准入清单的要求。</w:t>
            </w:r>
          </w:p>
          <w:p>
            <w:pPr>
              <w:autoSpaceDE w:val="0"/>
              <w:autoSpaceDN w:val="0"/>
              <w:adjustRightInd w:val="0"/>
              <w:snapToGrid w:val="0"/>
              <w:spacing w:line="480" w:lineRule="exact"/>
              <w:ind w:firstLine="482" w:firstLineChars="200"/>
              <w:rPr>
                <w:rFonts w:hint="default" w:eastAsia="宋体"/>
                <w:b/>
                <w:bCs/>
                <w:color w:val="auto"/>
                <w:kern w:val="0"/>
                <w:sz w:val="24"/>
                <w:lang w:val="en-US" w:eastAsia="zh-CN"/>
              </w:rPr>
            </w:pPr>
            <w:r>
              <w:rPr>
                <w:rFonts w:hint="eastAsia"/>
                <w:b/>
                <w:bCs/>
                <w:color w:val="auto"/>
                <w:kern w:val="0"/>
                <w:sz w:val="24"/>
                <w:lang w:val="en-US" w:eastAsia="zh-CN"/>
              </w:rPr>
              <w:t>②忻州市重点流域普适性生态环境准入清单符合性分析</w:t>
            </w:r>
          </w:p>
          <w:p>
            <w:pPr>
              <w:autoSpaceDE w:val="0"/>
              <w:autoSpaceDN w:val="0"/>
              <w:adjustRightInd w:val="0"/>
              <w:snapToGrid w:val="0"/>
              <w:spacing w:line="480" w:lineRule="exact"/>
              <w:ind w:firstLine="480" w:firstLineChars="200"/>
              <w:rPr>
                <w:rFonts w:hint="default" w:ascii="Times New Roman" w:hAnsi="Times New Roman" w:cs="Times New Roman"/>
                <w:color w:val="auto"/>
                <w:kern w:val="0"/>
                <w:sz w:val="24"/>
              </w:rPr>
            </w:pPr>
            <w:r>
              <w:rPr>
                <w:rFonts w:hint="eastAsia"/>
                <w:color w:val="auto"/>
                <w:kern w:val="0"/>
                <w:sz w:val="24"/>
              </w:rPr>
              <w:t>本项目与《忻州市“三线一单”生态环境分区管控实施方案》中忻州市重点流域普适性生态环境准入清单的符合性分析见下表。</w:t>
            </w:r>
          </w:p>
          <w:p>
            <w:pPr>
              <w:autoSpaceDE w:val="0"/>
              <w:autoSpaceDN w:val="0"/>
              <w:adjustRightInd w:val="0"/>
              <w:snapToGrid w:val="0"/>
              <w:spacing w:line="480" w:lineRule="exact"/>
              <w:jc w:val="center"/>
              <w:rPr>
                <w:rFonts w:ascii="黑体" w:hAnsi="黑体" w:eastAsia="黑体" w:cs="宋体"/>
                <w:color w:val="auto"/>
                <w:kern w:val="0"/>
                <w:sz w:val="24"/>
              </w:rPr>
            </w:pPr>
            <w:r>
              <w:rPr>
                <w:rFonts w:hint="eastAsia" w:ascii="黑体" w:hAnsi="黑体" w:eastAsia="黑体" w:cs="宋体"/>
                <w:color w:val="auto"/>
                <w:kern w:val="0"/>
                <w:sz w:val="24"/>
              </w:rPr>
              <w:t>表1-4  与《忻州市“三线一单”生态环境分区管控实施方案》中忻州市重点流域普适性生态环境准入清单的符合性分析</w:t>
            </w:r>
          </w:p>
          <w:tbl>
            <w:tblPr>
              <w:tblStyle w:val="22"/>
              <w:tblW w:w="4887" w:type="pct"/>
              <w:tblInd w:w="10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7"/>
              <w:gridCol w:w="5844"/>
              <w:gridCol w:w="21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3" w:type="pct"/>
                  <w:vAlign w:val="center"/>
                </w:tcPr>
                <w:p>
                  <w:pPr>
                    <w:autoSpaceDE w:val="0"/>
                    <w:autoSpaceDN w:val="0"/>
                    <w:adjustRightInd w:val="0"/>
                    <w:snapToGrid w:val="0"/>
                    <w:spacing w:line="360" w:lineRule="exact"/>
                    <w:jc w:val="center"/>
                    <w:rPr>
                      <w:rFonts w:cs="宋体"/>
                      <w:color w:val="auto"/>
                      <w:kern w:val="0"/>
                    </w:rPr>
                  </w:pPr>
                  <w:r>
                    <w:rPr>
                      <w:rFonts w:hint="eastAsia" w:cs="宋体"/>
                      <w:color w:val="auto"/>
                      <w:kern w:val="0"/>
                    </w:rPr>
                    <w:t>管控类别</w:t>
                  </w:r>
                </w:p>
              </w:tc>
              <w:tc>
                <w:tcPr>
                  <w:tcW w:w="3353" w:type="pct"/>
                  <w:vAlign w:val="center"/>
                </w:tcPr>
                <w:p>
                  <w:pPr>
                    <w:autoSpaceDE w:val="0"/>
                    <w:autoSpaceDN w:val="0"/>
                    <w:adjustRightInd w:val="0"/>
                    <w:snapToGrid w:val="0"/>
                    <w:spacing w:line="360" w:lineRule="exact"/>
                    <w:jc w:val="center"/>
                    <w:rPr>
                      <w:rFonts w:cs="宋体"/>
                      <w:color w:val="auto"/>
                      <w:kern w:val="0"/>
                    </w:rPr>
                  </w:pPr>
                  <w:r>
                    <w:rPr>
                      <w:rFonts w:hint="eastAsia" w:cs="宋体"/>
                      <w:color w:val="auto"/>
                      <w:kern w:val="0"/>
                    </w:rPr>
                    <w:t>管控要求</w:t>
                  </w:r>
                </w:p>
              </w:tc>
              <w:tc>
                <w:tcPr>
                  <w:tcW w:w="1222" w:type="pct"/>
                  <w:vAlign w:val="center"/>
                </w:tcPr>
                <w:p>
                  <w:pPr>
                    <w:autoSpaceDE w:val="0"/>
                    <w:autoSpaceDN w:val="0"/>
                    <w:adjustRightInd w:val="0"/>
                    <w:snapToGrid w:val="0"/>
                    <w:spacing w:line="360" w:lineRule="exact"/>
                    <w:jc w:val="center"/>
                    <w:rPr>
                      <w:rFonts w:cs="宋体"/>
                      <w:color w:val="auto"/>
                      <w:kern w:val="0"/>
                    </w:rPr>
                  </w:pPr>
                  <w:r>
                    <w:rPr>
                      <w:rFonts w:hint="eastAsia" w:cs="宋体"/>
                      <w:color w:val="auto"/>
                      <w:kern w:val="0"/>
                    </w:rPr>
                    <w:t>本项目情况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3" w:type="pct"/>
                  <w:vMerge w:val="restart"/>
                  <w:vAlign w:val="center"/>
                </w:tcPr>
                <w:p>
                  <w:pPr>
                    <w:autoSpaceDE w:val="0"/>
                    <w:autoSpaceDN w:val="0"/>
                    <w:adjustRightInd w:val="0"/>
                    <w:snapToGrid w:val="0"/>
                    <w:spacing w:line="360" w:lineRule="exact"/>
                    <w:jc w:val="center"/>
                    <w:rPr>
                      <w:rFonts w:cs="宋体"/>
                      <w:color w:val="auto"/>
                      <w:kern w:val="0"/>
                    </w:rPr>
                  </w:pPr>
                  <w:r>
                    <w:rPr>
                      <w:rFonts w:hint="eastAsia"/>
                      <w:color w:val="auto"/>
                    </w:rPr>
                    <w:t>空间布局约束</w:t>
                  </w:r>
                </w:p>
              </w:tc>
              <w:tc>
                <w:tcPr>
                  <w:tcW w:w="3353" w:type="pct"/>
                  <w:vAlign w:val="center"/>
                </w:tcPr>
                <w:p>
                  <w:pPr>
                    <w:autoSpaceDE w:val="0"/>
                    <w:autoSpaceDN w:val="0"/>
                    <w:adjustRightInd w:val="0"/>
                    <w:snapToGrid w:val="0"/>
                    <w:spacing w:line="360" w:lineRule="exact"/>
                    <w:rPr>
                      <w:rFonts w:cs="宋体"/>
                      <w:color w:val="auto"/>
                      <w:kern w:val="0"/>
                    </w:rPr>
                  </w:pPr>
                  <w:r>
                    <w:rPr>
                      <w:rFonts w:hint="eastAsia" w:cs="宋体"/>
                      <w:color w:val="auto"/>
                      <w:kern w:val="0"/>
                    </w:rPr>
                    <w:t>1.严格执行《山西省黄河流域生态保护和高质量发展规划》相关要求。</w:t>
                  </w:r>
                </w:p>
              </w:tc>
              <w:tc>
                <w:tcPr>
                  <w:tcW w:w="1222" w:type="pct"/>
                  <w:vMerge w:val="restart"/>
                  <w:vAlign w:val="center"/>
                </w:tcPr>
                <w:p>
                  <w:pPr>
                    <w:autoSpaceDE w:val="0"/>
                    <w:autoSpaceDN w:val="0"/>
                    <w:adjustRightInd w:val="0"/>
                    <w:snapToGrid w:val="0"/>
                    <w:spacing w:line="360" w:lineRule="exact"/>
                    <w:ind w:firstLine="420" w:firstLineChars="200"/>
                    <w:rPr>
                      <w:rFonts w:cs="宋体"/>
                      <w:color w:val="auto"/>
                      <w:kern w:val="0"/>
                    </w:rPr>
                  </w:pPr>
                  <w:r>
                    <w:rPr>
                      <w:rFonts w:hint="eastAsia" w:cs="宋体"/>
                      <w:color w:val="auto"/>
                      <w:kern w:val="0"/>
                      <w:lang w:val="en-US" w:eastAsia="zh-CN"/>
                    </w:rPr>
                    <w:t>本项目为道路建设项目，</w:t>
                  </w:r>
                  <w:r>
                    <w:rPr>
                      <w:rFonts w:hint="eastAsia" w:cs="宋体"/>
                      <w:color w:val="auto"/>
                      <w:kern w:val="0"/>
                      <w:szCs w:val="21"/>
                      <w:lang w:val="en-US" w:eastAsia="zh-CN"/>
                    </w:rPr>
                    <w:t>涉及城市集中供热、供气、雨污水分流、再生水管网、绿化等工程建设，对区域生态环境质量的改善具有促进作用。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3" w:type="pct"/>
                  <w:vMerge w:val="continue"/>
                  <w:vAlign w:val="center"/>
                </w:tcPr>
                <w:p>
                  <w:pPr>
                    <w:autoSpaceDE w:val="0"/>
                    <w:autoSpaceDN w:val="0"/>
                    <w:adjustRightInd w:val="0"/>
                    <w:snapToGrid w:val="0"/>
                    <w:spacing w:line="360" w:lineRule="exact"/>
                    <w:jc w:val="center"/>
                    <w:rPr>
                      <w:color w:val="auto"/>
                    </w:rPr>
                  </w:pPr>
                </w:p>
              </w:tc>
              <w:tc>
                <w:tcPr>
                  <w:tcW w:w="3353" w:type="pct"/>
                  <w:vAlign w:val="center"/>
                </w:tcPr>
                <w:p>
                  <w:pPr>
                    <w:autoSpaceDE w:val="0"/>
                    <w:autoSpaceDN w:val="0"/>
                    <w:adjustRightInd w:val="0"/>
                    <w:snapToGrid w:val="0"/>
                    <w:spacing w:line="360" w:lineRule="exact"/>
                    <w:rPr>
                      <w:rFonts w:cs="宋体"/>
                      <w:color w:val="auto"/>
                      <w:kern w:val="0"/>
                    </w:rPr>
                  </w:pPr>
                  <w:r>
                    <w:rPr>
                      <w:rFonts w:hint="eastAsia" w:cs="宋体"/>
                      <w:color w:val="auto"/>
                      <w:kern w:val="0"/>
                    </w:rPr>
                    <w:t>2.汾河流域、滹沱河流域划定河源、泉域重点保护区，完成保护区的生态措施，完成流域生态修复的土地资源优化配置，基本建成水资源合理配置和高效利用体系。</w:t>
                  </w:r>
                </w:p>
              </w:tc>
              <w:tc>
                <w:tcPr>
                  <w:tcW w:w="1222" w:type="pct"/>
                  <w:vMerge w:val="continue"/>
                  <w:vAlign w:val="center"/>
                </w:tcPr>
                <w:p>
                  <w:pPr>
                    <w:autoSpaceDE w:val="0"/>
                    <w:autoSpaceDN w:val="0"/>
                    <w:adjustRightInd w:val="0"/>
                    <w:snapToGrid w:val="0"/>
                    <w:spacing w:line="360" w:lineRule="exact"/>
                    <w:rPr>
                      <w:rFonts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3" w:type="pct"/>
                  <w:vMerge w:val="continue"/>
                  <w:vAlign w:val="center"/>
                </w:tcPr>
                <w:p>
                  <w:pPr>
                    <w:autoSpaceDE w:val="0"/>
                    <w:autoSpaceDN w:val="0"/>
                    <w:adjustRightInd w:val="0"/>
                    <w:snapToGrid w:val="0"/>
                    <w:spacing w:line="360" w:lineRule="exact"/>
                    <w:jc w:val="center"/>
                    <w:rPr>
                      <w:color w:val="auto"/>
                    </w:rPr>
                  </w:pPr>
                </w:p>
              </w:tc>
              <w:tc>
                <w:tcPr>
                  <w:tcW w:w="3353" w:type="pct"/>
                  <w:vAlign w:val="center"/>
                </w:tcPr>
                <w:p>
                  <w:pPr>
                    <w:autoSpaceDE w:val="0"/>
                    <w:autoSpaceDN w:val="0"/>
                    <w:adjustRightInd w:val="0"/>
                    <w:snapToGrid w:val="0"/>
                    <w:spacing w:line="360" w:lineRule="exact"/>
                    <w:rPr>
                      <w:rFonts w:cs="宋体"/>
                      <w:color w:val="auto"/>
                      <w:kern w:val="0"/>
                    </w:rPr>
                  </w:pPr>
                  <w:r>
                    <w:rPr>
                      <w:rFonts w:hint="eastAsia" w:cs="宋体"/>
                      <w:color w:val="auto"/>
                      <w:kern w:val="0"/>
                    </w:rPr>
                    <w:t>3.汾河、滹沱河干流及主要支流沿岸禁止新建焦化、化工、农药、有色冶炼、造纸、电镀等高风险项目和危险化学品仓储设施。</w:t>
                  </w:r>
                </w:p>
              </w:tc>
              <w:tc>
                <w:tcPr>
                  <w:tcW w:w="1222" w:type="pct"/>
                  <w:vMerge w:val="continue"/>
                  <w:vAlign w:val="center"/>
                </w:tcPr>
                <w:p>
                  <w:pPr>
                    <w:autoSpaceDE w:val="0"/>
                    <w:autoSpaceDN w:val="0"/>
                    <w:adjustRightInd w:val="0"/>
                    <w:snapToGrid w:val="0"/>
                    <w:spacing w:line="360" w:lineRule="exact"/>
                    <w:ind w:firstLine="420" w:firstLineChars="200"/>
                    <w:rPr>
                      <w:rFonts w:hint="default" w:eastAsia="宋体" w:cs="宋体"/>
                      <w:color w:val="auto"/>
                      <w:kern w:val="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3" w:type="pct"/>
                  <w:vMerge w:val="continue"/>
                  <w:vAlign w:val="center"/>
                </w:tcPr>
                <w:p>
                  <w:pPr>
                    <w:autoSpaceDE w:val="0"/>
                    <w:autoSpaceDN w:val="0"/>
                    <w:adjustRightInd w:val="0"/>
                    <w:snapToGrid w:val="0"/>
                    <w:spacing w:line="360" w:lineRule="exact"/>
                    <w:jc w:val="center"/>
                    <w:rPr>
                      <w:color w:val="auto"/>
                    </w:rPr>
                  </w:pPr>
                </w:p>
              </w:tc>
              <w:tc>
                <w:tcPr>
                  <w:tcW w:w="3353" w:type="pct"/>
                  <w:vAlign w:val="center"/>
                </w:tcPr>
                <w:p>
                  <w:pPr>
                    <w:autoSpaceDE w:val="0"/>
                    <w:autoSpaceDN w:val="0"/>
                    <w:adjustRightInd w:val="0"/>
                    <w:snapToGrid w:val="0"/>
                    <w:spacing w:line="360" w:lineRule="exact"/>
                    <w:rPr>
                      <w:rFonts w:cs="宋体"/>
                      <w:color w:val="auto"/>
                      <w:kern w:val="0"/>
                    </w:rPr>
                  </w:pPr>
                  <w:r>
                    <w:rPr>
                      <w:rFonts w:hint="eastAsia" w:cs="宋体"/>
                      <w:color w:val="auto"/>
                      <w:kern w:val="0"/>
                    </w:rPr>
                    <w:t>4.汾河干流河道水岸线以外原则上不小于100米、支流原则上不小于50米，划定生态功能保护线，建设缓冲隔离防护林带和水源涵养林带，改变农防段种植结构，提高汾河流域河流自净能力。</w:t>
                  </w:r>
                </w:p>
              </w:tc>
              <w:tc>
                <w:tcPr>
                  <w:tcW w:w="1222" w:type="pct"/>
                  <w:vMerge w:val="continue"/>
                  <w:vAlign w:val="center"/>
                </w:tcPr>
                <w:p>
                  <w:pPr>
                    <w:autoSpaceDE w:val="0"/>
                    <w:autoSpaceDN w:val="0"/>
                    <w:adjustRightInd w:val="0"/>
                    <w:snapToGrid w:val="0"/>
                    <w:spacing w:line="360" w:lineRule="exact"/>
                    <w:rPr>
                      <w:rFonts w:hint="default" w:eastAsia="宋体" w:cs="宋体"/>
                      <w:color w:val="auto"/>
                      <w:kern w:val="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3" w:type="pct"/>
                  <w:vMerge w:val="continue"/>
                  <w:vAlign w:val="center"/>
                </w:tcPr>
                <w:p>
                  <w:pPr>
                    <w:autoSpaceDE w:val="0"/>
                    <w:autoSpaceDN w:val="0"/>
                    <w:adjustRightInd w:val="0"/>
                    <w:snapToGrid w:val="0"/>
                    <w:spacing w:line="360" w:lineRule="exact"/>
                    <w:jc w:val="center"/>
                    <w:rPr>
                      <w:color w:val="auto"/>
                    </w:rPr>
                  </w:pPr>
                </w:p>
              </w:tc>
              <w:tc>
                <w:tcPr>
                  <w:tcW w:w="3353" w:type="pct"/>
                  <w:vAlign w:val="center"/>
                </w:tcPr>
                <w:p>
                  <w:pPr>
                    <w:autoSpaceDE w:val="0"/>
                    <w:autoSpaceDN w:val="0"/>
                    <w:adjustRightInd w:val="0"/>
                    <w:snapToGrid w:val="0"/>
                    <w:spacing w:line="360" w:lineRule="exact"/>
                    <w:rPr>
                      <w:rFonts w:cs="宋体"/>
                      <w:color w:val="auto"/>
                      <w:kern w:val="0"/>
                    </w:rPr>
                  </w:pPr>
                  <w:r>
                    <w:rPr>
                      <w:rFonts w:hint="eastAsia" w:cs="宋体"/>
                      <w:color w:val="auto"/>
                      <w:kern w:val="0"/>
                    </w:rPr>
                    <w:t>5.汾河干流河岸两侧各2公里范围禁止新建炼焦、冶炼、洗煤、选矿、造纸、化工、电镀等严重污染水环境的企业；已建成的严重污染水环境的企业，应当限期改造或者搬迁。</w:t>
                  </w:r>
                </w:p>
              </w:tc>
              <w:tc>
                <w:tcPr>
                  <w:tcW w:w="1222" w:type="pct"/>
                  <w:vMerge w:val="continue"/>
                  <w:vAlign w:val="center"/>
                </w:tcPr>
                <w:p>
                  <w:pPr>
                    <w:autoSpaceDE w:val="0"/>
                    <w:autoSpaceDN w:val="0"/>
                    <w:adjustRightInd w:val="0"/>
                    <w:snapToGrid w:val="0"/>
                    <w:spacing w:line="360" w:lineRule="exact"/>
                    <w:rPr>
                      <w:rFonts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3" w:type="pct"/>
                  <w:vMerge w:val="continue"/>
                  <w:vAlign w:val="center"/>
                </w:tcPr>
                <w:p>
                  <w:pPr>
                    <w:autoSpaceDE w:val="0"/>
                    <w:autoSpaceDN w:val="0"/>
                    <w:adjustRightInd w:val="0"/>
                    <w:snapToGrid w:val="0"/>
                    <w:spacing w:line="360" w:lineRule="exact"/>
                    <w:jc w:val="center"/>
                    <w:rPr>
                      <w:color w:val="auto"/>
                    </w:rPr>
                  </w:pPr>
                </w:p>
              </w:tc>
              <w:tc>
                <w:tcPr>
                  <w:tcW w:w="3353" w:type="pct"/>
                  <w:vAlign w:val="center"/>
                </w:tcPr>
                <w:p>
                  <w:pPr>
                    <w:autoSpaceDE w:val="0"/>
                    <w:autoSpaceDN w:val="0"/>
                    <w:adjustRightInd w:val="0"/>
                    <w:snapToGrid w:val="0"/>
                    <w:spacing w:line="360" w:lineRule="exact"/>
                    <w:rPr>
                      <w:rFonts w:cs="宋体"/>
                      <w:color w:val="auto"/>
                      <w:kern w:val="0"/>
                    </w:rPr>
                  </w:pPr>
                  <w:r>
                    <w:rPr>
                      <w:rFonts w:hint="eastAsia" w:cs="宋体"/>
                      <w:color w:val="auto"/>
                      <w:kern w:val="0"/>
                    </w:rPr>
                    <w:t>6.滹沱河流域内的建设项目选址应当避让生态保护区、河流源头和岩溶泉域重点保护区，无法避让的，应当采取保护措施，提高防治标准，防止造成生态破坏。</w:t>
                  </w:r>
                </w:p>
              </w:tc>
              <w:tc>
                <w:tcPr>
                  <w:tcW w:w="1222" w:type="pct"/>
                  <w:vMerge w:val="continue"/>
                  <w:vAlign w:val="center"/>
                </w:tcPr>
                <w:p>
                  <w:pPr>
                    <w:autoSpaceDE w:val="0"/>
                    <w:autoSpaceDN w:val="0"/>
                    <w:adjustRightInd w:val="0"/>
                    <w:snapToGrid w:val="0"/>
                    <w:spacing w:line="360" w:lineRule="exact"/>
                    <w:rPr>
                      <w:rFonts w:hint="eastAsia" w:eastAsia="宋体" w:cs="宋体"/>
                      <w:color w:val="auto"/>
                      <w:kern w:val="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3" w:type="pct"/>
                  <w:vMerge w:val="continue"/>
                  <w:vAlign w:val="center"/>
                </w:tcPr>
                <w:p>
                  <w:pPr>
                    <w:autoSpaceDE w:val="0"/>
                    <w:autoSpaceDN w:val="0"/>
                    <w:adjustRightInd w:val="0"/>
                    <w:snapToGrid w:val="0"/>
                    <w:spacing w:line="360" w:lineRule="exact"/>
                    <w:jc w:val="center"/>
                    <w:rPr>
                      <w:color w:val="auto"/>
                    </w:rPr>
                  </w:pPr>
                </w:p>
              </w:tc>
              <w:tc>
                <w:tcPr>
                  <w:tcW w:w="3353" w:type="pct"/>
                  <w:vAlign w:val="center"/>
                </w:tcPr>
                <w:p>
                  <w:pPr>
                    <w:autoSpaceDE w:val="0"/>
                    <w:autoSpaceDN w:val="0"/>
                    <w:adjustRightInd w:val="0"/>
                    <w:snapToGrid w:val="0"/>
                    <w:spacing w:line="360" w:lineRule="exact"/>
                    <w:rPr>
                      <w:rFonts w:cs="宋体"/>
                      <w:color w:val="auto"/>
                      <w:kern w:val="0"/>
                    </w:rPr>
                  </w:pPr>
                  <w:r>
                    <w:rPr>
                      <w:rFonts w:hint="eastAsia" w:cs="宋体"/>
                      <w:color w:val="auto"/>
                      <w:kern w:val="0"/>
                    </w:rPr>
                    <w:t>7.严格限制地下水开采，未经有关部门批准，任何单位和个人不得凿井取水。</w:t>
                  </w:r>
                </w:p>
              </w:tc>
              <w:tc>
                <w:tcPr>
                  <w:tcW w:w="1222" w:type="pct"/>
                  <w:vMerge w:val="continue"/>
                  <w:vAlign w:val="center"/>
                </w:tcPr>
                <w:p>
                  <w:pPr>
                    <w:autoSpaceDE w:val="0"/>
                    <w:autoSpaceDN w:val="0"/>
                    <w:adjustRightInd w:val="0"/>
                    <w:snapToGrid w:val="0"/>
                    <w:spacing w:line="360" w:lineRule="exact"/>
                    <w:ind w:firstLine="420" w:firstLineChars="200"/>
                    <w:rPr>
                      <w:rFonts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3" w:type="pct"/>
                  <w:vMerge w:val="continue"/>
                  <w:vAlign w:val="center"/>
                </w:tcPr>
                <w:p>
                  <w:pPr>
                    <w:autoSpaceDE w:val="0"/>
                    <w:autoSpaceDN w:val="0"/>
                    <w:adjustRightInd w:val="0"/>
                    <w:snapToGrid w:val="0"/>
                    <w:spacing w:line="360" w:lineRule="exact"/>
                    <w:jc w:val="center"/>
                    <w:rPr>
                      <w:color w:val="auto"/>
                    </w:rPr>
                  </w:pPr>
                </w:p>
              </w:tc>
              <w:tc>
                <w:tcPr>
                  <w:tcW w:w="3353" w:type="pct"/>
                  <w:vAlign w:val="center"/>
                </w:tcPr>
                <w:p>
                  <w:pPr>
                    <w:autoSpaceDE w:val="0"/>
                    <w:autoSpaceDN w:val="0"/>
                    <w:adjustRightInd w:val="0"/>
                    <w:snapToGrid w:val="0"/>
                    <w:spacing w:line="360" w:lineRule="exact"/>
                    <w:rPr>
                      <w:rFonts w:cs="宋体"/>
                      <w:color w:val="auto"/>
                      <w:kern w:val="0"/>
                    </w:rPr>
                  </w:pPr>
                  <w:r>
                    <w:rPr>
                      <w:rFonts w:hint="eastAsia" w:cs="宋体"/>
                      <w:color w:val="auto"/>
                      <w:kern w:val="0"/>
                    </w:rPr>
                    <w:t>8.地下水开采按照省人民政府划定的禁采区和限采区实行水量、水位双控制管理。在禁止开采区内，不得新开凿深井；在限制开采区内，不得增加地下水取水总量，并逐年削减地下水取水量；地下水开采区内地下水实际开采量不得超过地下水可开采量，开采强度不得超过地下水补给量。</w:t>
                  </w:r>
                </w:p>
              </w:tc>
              <w:tc>
                <w:tcPr>
                  <w:tcW w:w="1222" w:type="pct"/>
                  <w:vMerge w:val="continue"/>
                  <w:vAlign w:val="center"/>
                </w:tcPr>
                <w:p>
                  <w:pPr>
                    <w:autoSpaceDE w:val="0"/>
                    <w:autoSpaceDN w:val="0"/>
                    <w:adjustRightInd w:val="0"/>
                    <w:snapToGrid w:val="0"/>
                    <w:spacing w:line="360" w:lineRule="exact"/>
                    <w:rPr>
                      <w:rFonts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3" w:type="pct"/>
                  <w:vMerge w:val="continue"/>
                  <w:vAlign w:val="center"/>
                </w:tcPr>
                <w:p>
                  <w:pPr>
                    <w:autoSpaceDE w:val="0"/>
                    <w:autoSpaceDN w:val="0"/>
                    <w:adjustRightInd w:val="0"/>
                    <w:snapToGrid w:val="0"/>
                    <w:spacing w:line="360" w:lineRule="exact"/>
                    <w:jc w:val="center"/>
                    <w:rPr>
                      <w:color w:val="auto"/>
                    </w:rPr>
                  </w:pPr>
                </w:p>
              </w:tc>
              <w:tc>
                <w:tcPr>
                  <w:tcW w:w="3353" w:type="pct"/>
                  <w:vAlign w:val="center"/>
                </w:tcPr>
                <w:p>
                  <w:pPr>
                    <w:autoSpaceDE w:val="0"/>
                    <w:autoSpaceDN w:val="0"/>
                    <w:adjustRightInd w:val="0"/>
                    <w:snapToGrid w:val="0"/>
                    <w:spacing w:line="360" w:lineRule="exact"/>
                    <w:rPr>
                      <w:rFonts w:cs="宋体"/>
                      <w:color w:val="auto"/>
                      <w:kern w:val="0"/>
                    </w:rPr>
                  </w:pPr>
                  <w:r>
                    <w:rPr>
                      <w:rFonts w:hint="eastAsia" w:cs="宋体"/>
                      <w:color w:val="auto"/>
                      <w:kern w:val="0"/>
                    </w:rPr>
                    <w:t>9.禁止在河源、河道保护范围内堆放、倾倒砂、石、土、矸石、尾矿、废渣等废弃物。任何单位和个人不得在滹沱河流域饮用水水源保护区建设与水环境保护无关的项目，不得从事影响饮用水水源水质的活动。</w:t>
                  </w:r>
                </w:p>
              </w:tc>
              <w:tc>
                <w:tcPr>
                  <w:tcW w:w="1222" w:type="pct"/>
                  <w:vAlign w:val="center"/>
                </w:tcPr>
                <w:p>
                  <w:pPr>
                    <w:autoSpaceDE w:val="0"/>
                    <w:autoSpaceDN w:val="0"/>
                    <w:adjustRightInd w:val="0"/>
                    <w:snapToGrid w:val="0"/>
                    <w:spacing w:line="360" w:lineRule="exact"/>
                    <w:ind w:firstLine="420" w:firstLineChars="200"/>
                    <w:rPr>
                      <w:rFonts w:cs="宋体"/>
                      <w:color w:val="auto"/>
                      <w:kern w:val="0"/>
                    </w:rPr>
                  </w:pPr>
                  <w:r>
                    <w:rPr>
                      <w:rFonts w:hint="eastAsia"/>
                      <w:color w:val="auto"/>
                      <w:szCs w:val="21"/>
                      <w:lang w:val="en-US" w:eastAsia="zh-CN"/>
                    </w:rPr>
                    <w:t>项目建设期产生路面拆除弃渣、弃土均运至市政指定渣场处理。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3" w:type="pct"/>
                  <w:vMerge w:val="restart"/>
                  <w:vAlign w:val="center"/>
                </w:tcPr>
                <w:p>
                  <w:pPr>
                    <w:autoSpaceDE w:val="0"/>
                    <w:autoSpaceDN w:val="0"/>
                    <w:adjustRightInd w:val="0"/>
                    <w:snapToGrid w:val="0"/>
                    <w:spacing w:line="360" w:lineRule="exact"/>
                    <w:jc w:val="center"/>
                    <w:rPr>
                      <w:color w:val="auto"/>
                    </w:rPr>
                  </w:pPr>
                  <w:r>
                    <w:rPr>
                      <w:rFonts w:hint="eastAsia"/>
                      <w:color w:val="auto"/>
                    </w:rPr>
                    <w:t>污染物排放管控</w:t>
                  </w:r>
                </w:p>
              </w:tc>
              <w:tc>
                <w:tcPr>
                  <w:tcW w:w="3353" w:type="pct"/>
                  <w:vAlign w:val="center"/>
                </w:tcPr>
                <w:p>
                  <w:pPr>
                    <w:autoSpaceDE w:val="0"/>
                    <w:autoSpaceDN w:val="0"/>
                    <w:adjustRightInd w:val="0"/>
                    <w:snapToGrid w:val="0"/>
                    <w:spacing w:line="360" w:lineRule="exact"/>
                    <w:rPr>
                      <w:rFonts w:cs="宋体"/>
                      <w:color w:val="auto"/>
                      <w:kern w:val="0"/>
                    </w:rPr>
                  </w:pPr>
                  <w:r>
                    <w:rPr>
                      <w:rFonts w:hint="eastAsia" w:cs="宋体"/>
                      <w:color w:val="auto"/>
                      <w:kern w:val="0"/>
                    </w:rPr>
                    <w:t>1.强化黄河流域及重点区域水环境保护和水污染防治。</w:t>
                  </w:r>
                </w:p>
              </w:tc>
              <w:tc>
                <w:tcPr>
                  <w:tcW w:w="1222" w:type="pct"/>
                  <w:vMerge w:val="restart"/>
                  <w:vAlign w:val="center"/>
                </w:tcPr>
                <w:p>
                  <w:pPr>
                    <w:autoSpaceDE w:val="0"/>
                    <w:autoSpaceDN w:val="0"/>
                    <w:adjustRightInd w:val="0"/>
                    <w:snapToGrid w:val="0"/>
                    <w:spacing w:line="360" w:lineRule="exact"/>
                    <w:ind w:firstLine="420" w:firstLineChars="200"/>
                    <w:rPr>
                      <w:rFonts w:hint="eastAsia" w:eastAsia="宋体"/>
                      <w:color w:val="auto"/>
                      <w:szCs w:val="21"/>
                      <w:lang w:val="en-US" w:eastAsia="zh-CN"/>
                    </w:rPr>
                  </w:pPr>
                  <w:r>
                    <w:rPr>
                      <w:rFonts w:hint="eastAsia" w:cs="宋体"/>
                      <w:color w:val="auto"/>
                      <w:kern w:val="0"/>
                      <w:lang w:val="en-US" w:eastAsia="zh-CN"/>
                    </w:rPr>
                    <w:t>本项目为道路建设项目，</w:t>
                  </w:r>
                  <w:r>
                    <w:rPr>
                      <w:rFonts w:hint="eastAsia" w:cs="宋体"/>
                      <w:color w:val="auto"/>
                      <w:kern w:val="0"/>
                      <w:szCs w:val="21"/>
                      <w:lang w:val="en-US" w:eastAsia="zh-CN"/>
                    </w:rPr>
                    <w:t>涉及城市集中供热、供气、雨污水分流、再生水管网、绿化等工程建设，对区域生态环境质量的改善具有促进作用。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3" w:type="pct"/>
                  <w:vMerge w:val="continue"/>
                  <w:vAlign w:val="center"/>
                </w:tcPr>
                <w:p>
                  <w:pPr>
                    <w:autoSpaceDE w:val="0"/>
                    <w:autoSpaceDN w:val="0"/>
                    <w:adjustRightInd w:val="0"/>
                    <w:snapToGrid w:val="0"/>
                    <w:spacing w:line="360" w:lineRule="exact"/>
                    <w:jc w:val="center"/>
                    <w:rPr>
                      <w:color w:val="auto"/>
                    </w:rPr>
                  </w:pPr>
                </w:p>
              </w:tc>
              <w:tc>
                <w:tcPr>
                  <w:tcW w:w="3353" w:type="pct"/>
                  <w:vAlign w:val="center"/>
                </w:tcPr>
                <w:p>
                  <w:pPr>
                    <w:autoSpaceDE w:val="0"/>
                    <w:autoSpaceDN w:val="0"/>
                    <w:adjustRightInd w:val="0"/>
                    <w:snapToGrid w:val="0"/>
                    <w:spacing w:line="360" w:lineRule="exact"/>
                    <w:rPr>
                      <w:rFonts w:cs="宋体"/>
                      <w:color w:val="auto"/>
                      <w:kern w:val="0"/>
                    </w:rPr>
                  </w:pPr>
                  <w:r>
                    <w:rPr>
                      <w:rFonts w:hint="eastAsia" w:cs="宋体"/>
                      <w:color w:val="auto"/>
                      <w:kern w:val="0"/>
                    </w:rPr>
                    <w:t>2.禁止将含有汞、镉、砷、铬、铅、氰化物、黄磷等的可溶性剧毒废渣向水体排放、倾倒或者直接埋入地下。</w:t>
                  </w:r>
                </w:p>
              </w:tc>
              <w:tc>
                <w:tcPr>
                  <w:tcW w:w="1222" w:type="pct"/>
                  <w:vMerge w:val="continue"/>
                  <w:vAlign w:val="center"/>
                </w:tcPr>
                <w:p>
                  <w:pPr>
                    <w:autoSpaceDE w:val="0"/>
                    <w:autoSpaceDN w:val="0"/>
                    <w:adjustRightInd w:val="0"/>
                    <w:snapToGrid w:val="0"/>
                    <w:spacing w:line="360" w:lineRule="exact"/>
                    <w:rPr>
                      <w:rFonts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3" w:type="pct"/>
                  <w:vMerge w:val="continue"/>
                  <w:vAlign w:val="center"/>
                </w:tcPr>
                <w:p>
                  <w:pPr>
                    <w:autoSpaceDE w:val="0"/>
                    <w:autoSpaceDN w:val="0"/>
                    <w:adjustRightInd w:val="0"/>
                    <w:snapToGrid w:val="0"/>
                    <w:spacing w:line="360" w:lineRule="exact"/>
                    <w:jc w:val="center"/>
                    <w:rPr>
                      <w:color w:val="auto"/>
                    </w:rPr>
                  </w:pPr>
                </w:p>
              </w:tc>
              <w:tc>
                <w:tcPr>
                  <w:tcW w:w="3353" w:type="pct"/>
                  <w:vAlign w:val="center"/>
                </w:tcPr>
                <w:p>
                  <w:pPr>
                    <w:autoSpaceDE w:val="0"/>
                    <w:autoSpaceDN w:val="0"/>
                    <w:adjustRightInd w:val="0"/>
                    <w:snapToGrid w:val="0"/>
                    <w:spacing w:line="360" w:lineRule="exact"/>
                    <w:rPr>
                      <w:rFonts w:cs="宋体"/>
                      <w:color w:val="auto"/>
                      <w:kern w:val="0"/>
                    </w:rPr>
                  </w:pPr>
                  <w:r>
                    <w:rPr>
                      <w:rFonts w:hint="eastAsia" w:cs="宋体"/>
                      <w:color w:val="auto"/>
                      <w:kern w:val="0"/>
                    </w:rPr>
                    <w:t>3.禁止城乡生活污水、垃圾直接进入河道。新建集中处理污水设施，应当符合脱氮除磷达标排放要求。禁止农田灌溉退水直接排入水体。</w:t>
                  </w:r>
                </w:p>
              </w:tc>
              <w:tc>
                <w:tcPr>
                  <w:tcW w:w="1222" w:type="pct"/>
                  <w:vMerge w:val="continue"/>
                  <w:vAlign w:val="center"/>
                </w:tcPr>
                <w:p>
                  <w:pPr>
                    <w:autoSpaceDE w:val="0"/>
                    <w:autoSpaceDN w:val="0"/>
                    <w:adjustRightInd w:val="0"/>
                    <w:snapToGrid w:val="0"/>
                    <w:spacing w:line="360" w:lineRule="exact"/>
                    <w:rPr>
                      <w:rFonts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3" w:type="pct"/>
                  <w:vMerge w:val="continue"/>
                  <w:vAlign w:val="center"/>
                </w:tcPr>
                <w:p>
                  <w:pPr>
                    <w:autoSpaceDE w:val="0"/>
                    <w:autoSpaceDN w:val="0"/>
                    <w:adjustRightInd w:val="0"/>
                    <w:snapToGrid w:val="0"/>
                    <w:spacing w:line="360" w:lineRule="exact"/>
                    <w:jc w:val="center"/>
                    <w:rPr>
                      <w:color w:val="auto"/>
                    </w:rPr>
                  </w:pPr>
                </w:p>
              </w:tc>
              <w:tc>
                <w:tcPr>
                  <w:tcW w:w="3353" w:type="pct"/>
                  <w:vAlign w:val="center"/>
                </w:tcPr>
                <w:p>
                  <w:pPr>
                    <w:autoSpaceDE w:val="0"/>
                    <w:autoSpaceDN w:val="0"/>
                    <w:adjustRightInd w:val="0"/>
                    <w:snapToGrid w:val="0"/>
                    <w:spacing w:line="360" w:lineRule="exact"/>
                    <w:rPr>
                      <w:rFonts w:cs="宋体"/>
                      <w:color w:val="auto"/>
                      <w:kern w:val="0"/>
                    </w:rPr>
                  </w:pPr>
                  <w:r>
                    <w:rPr>
                      <w:rFonts w:hint="eastAsia" w:cs="宋体"/>
                      <w:color w:val="auto"/>
                      <w:kern w:val="0"/>
                    </w:rPr>
                    <w:t>4.汾河流域内所有县界城镇入河排污口水质应当达到地表水环境质量Ⅴ类及以上标准。</w:t>
                  </w:r>
                </w:p>
              </w:tc>
              <w:tc>
                <w:tcPr>
                  <w:tcW w:w="1222" w:type="pct"/>
                  <w:vMerge w:val="continue"/>
                  <w:vAlign w:val="center"/>
                </w:tcPr>
                <w:p>
                  <w:pPr>
                    <w:autoSpaceDE w:val="0"/>
                    <w:autoSpaceDN w:val="0"/>
                    <w:adjustRightInd w:val="0"/>
                    <w:snapToGrid w:val="0"/>
                    <w:spacing w:line="360" w:lineRule="exact"/>
                    <w:rPr>
                      <w:rFonts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3" w:type="pct"/>
                  <w:vMerge w:val="continue"/>
                  <w:vAlign w:val="center"/>
                </w:tcPr>
                <w:p>
                  <w:pPr>
                    <w:autoSpaceDE w:val="0"/>
                    <w:autoSpaceDN w:val="0"/>
                    <w:adjustRightInd w:val="0"/>
                    <w:snapToGrid w:val="0"/>
                    <w:spacing w:line="360" w:lineRule="exact"/>
                    <w:jc w:val="center"/>
                    <w:rPr>
                      <w:color w:val="auto"/>
                    </w:rPr>
                  </w:pPr>
                </w:p>
              </w:tc>
              <w:tc>
                <w:tcPr>
                  <w:tcW w:w="3353" w:type="pct"/>
                  <w:vAlign w:val="center"/>
                </w:tcPr>
                <w:p>
                  <w:pPr>
                    <w:autoSpaceDE w:val="0"/>
                    <w:autoSpaceDN w:val="0"/>
                    <w:adjustRightInd w:val="0"/>
                    <w:snapToGrid w:val="0"/>
                    <w:spacing w:line="360" w:lineRule="exact"/>
                    <w:rPr>
                      <w:rFonts w:cs="宋体"/>
                      <w:color w:val="auto"/>
                      <w:kern w:val="0"/>
                    </w:rPr>
                  </w:pPr>
                  <w:r>
                    <w:rPr>
                      <w:rFonts w:hint="eastAsia" w:cs="宋体"/>
                      <w:color w:val="auto"/>
                      <w:kern w:val="0"/>
                    </w:rPr>
                    <w:t>5.禁止向汾河流域干流、支流及河滩、岸坡、坑塘、溶洞倾倒垃圾、废渣等固体废物或者堆放其他污染物。</w:t>
                  </w:r>
                </w:p>
              </w:tc>
              <w:tc>
                <w:tcPr>
                  <w:tcW w:w="1222" w:type="pct"/>
                  <w:vMerge w:val="continue"/>
                  <w:vAlign w:val="center"/>
                </w:tcPr>
                <w:p>
                  <w:pPr>
                    <w:autoSpaceDE w:val="0"/>
                    <w:autoSpaceDN w:val="0"/>
                    <w:adjustRightInd w:val="0"/>
                    <w:snapToGrid w:val="0"/>
                    <w:spacing w:line="360" w:lineRule="exact"/>
                    <w:rPr>
                      <w:rFonts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3" w:type="pct"/>
                  <w:vMerge w:val="continue"/>
                  <w:vAlign w:val="center"/>
                </w:tcPr>
                <w:p>
                  <w:pPr>
                    <w:autoSpaceDE w:val="0"/>
                    <w:autoSpaceDN w:val="0"/>
                    <w:adjustRightInd w:val="0"/>
                    <w:snapToGrid w:val="0"/>
                    <w:spacing w:line="360" w:lineRule="exact"/>
                    <w:jc w:val="center"/>
                    <w:rPr>
                      <w:color w:val="auto"/>
                    </w:rPr>
                  </w:pPr>
                </w:p>
              </w:tc>
              <w:tc>
                <w:tcPr>
                  <w:tcW w:w="3353" w:type="pct"/>
                  <w:vAlign w:val="center"/>
                </w:tcPr>
                <w:p>
                  <w:pPr>
                    <w:autoSpaceDE w:val="0"/>
                    <w:autoSpaceDN w:val="0"/>
                    <w:adjustRightInd w:val="0"/>
                    <w:snapToGrid w:val="0"/>
                    <w:spacing w:line="360" w:lineRule="exact"/>
                    <w:rPr>
                      <w:rFonts w:cs="宋体"/>
                      <w:color w:val="auto"/>
                      <w:kern w:val="0"/>
                    </w:rPr>
                  </w:pPr>
                  <w:r>
                    <w:rPr>
                      <w:rFonts w:hint="eastAsia" w:cs="宋体"/>
                      <w:color w:val="auto"/>
                      <w:kern w:val="0"/>
                    </w:rPr>
                    <w:t>6.在汾河流域内从事农副产品加工、规模化畜禽养殖等生产活动的，应当采取有效措施，防止水污染。</w:t>
                  </w:r>
                </w:p>
              </w:tc>
              <w:tc>
                <w:tcPr>
                  <w:tcW w:w="1222" w:type="pct"/>
                  <w:vMerge w:val="continue"/>
                  <w:vAlign w:val="center"/>
                </w:tcPr>
                <w:p>
                  <w:pPr>
                    <w:autoSpaceDE w:val="0"/>
                    <w:autoSpaceDN w:val="0"/>
                    <w:adjustRightInd w:val="0"/>
                    <w:snapToGrid w:val="0"/>
                    <w:spacing w:line="360" w:lineRule="exact"/>
                    <w:rPr>
                      <w:rFonts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3" w:type="pct"/>
                  <w:vMerge w:val="continue"/>
                  <w:vAlign w:val="center"/>
                </w:tcPr>
                <w:p>
                  <w:pPr>
                    <w:autoSpaceDE w:val="0"/>
                    <w:autoSpaceDN w:val="0"/>
                    <w:adjustRightInd w:val="0"/>
                    <w:snapToGrid w:val="0"/>
                    <w:spacing w:line="360" w:lineRule="exact"/>
                    <w:jc w:val="center"/>
                    <w:rPr>
                      <w:color w:val="auto"/>
                    </w:rPr>
                  </w:pPr>
                </w:p>
              </w:tc>
              <w:tc>
                <w:tcPr>
                  <w:tcW w:w="3353" w:type="pct"/>
                  <w:vAlign w:val="center"/>
                </w:tcPr>
                <w:p>
                  <w:pPr>
                    <w:autoSpaceDE w:val="0"/>
                    <w:autoSpaceDN w:val="0"/>
                    <w:adjustRightInd w:val="0"/>
                    <w:snapToGrid w:val="0"/>
                    <w:spacing w:line="360" w:lineRule="exact"/>
                    <w:rPr>
                      <w:rFonts w:cs="宋体"/>
                      <w:color w:val="auto"/>
                      <w:kern w:val="0"/>
                    </w:rPr>
                  </w:pPr>
                  <w:r>
                    <w:rPr>
                      <w:rFonts w:hint="eastAsia" w:cs="宋体"/>
                      <w:color w:val="auto"/>
                      <w:kern w:val="0"/>
                    </w:rPr>
                    <w:t>7.在汾河流域农田灌溉水体中，禁止倾倒垃圾、废渣等固体废物；禁止浸泡、清洗、丢弃装贮过油类、有毒污染物的车辆与器具；禁止排放油类。</w:t>
                  </w:r>
                </w:p>
              </w:tc>
              <w:tc>
                <w:tcPr>
                  <w:tcW w:w="1222" w:type="pct"/>
                  <w:vMerge w:val="continue"/>
                  <w:vAlign w:val="center"/>
                </w:tcPr>
                <w:p>
                  <w:pPr>
                    <w:autoSpaceDE w:val="0"/>
                    <w:autoSpaceDN w:val="0"/>
                    <w:adjustRightInd w:val="0"/>
                    <w:snapToGrid w:val="0"/>
                    <w:spacing w:line="360" w:lineRule="exact"/>
                    <w:rPr>
                      <w:rFonts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3" w:type="pct"/>
                  <w:vMerge w:val="continue"/>
                  <w:vAlign w:val="center"/>
                </w:tcPr>
                <w:p>
                  <w:pPr>
                    <w:autoSpaceDE w:val="0"/>
                    <w:autoSpaceDN w:val="0"/>
                    <w:adjustRightInd w:val="0"/>
                    <w:snapToGrid w:val="0"/>
                    <w:spacing w:line="360" w:lineRule="exact"/>
                    <w:jc w:val="center"/>
                    <w:rPr>
                      <w:color w:val="auto"/>
                    </w:rPr>
                  </w:pPr>
                </w:p>
              </w:tc>
              <w:tc>
                <w:tcPr>
                  <w:tcW w:w="3353" w:type="pct"/>
                  <w:vAlign w:val="center"/>
                </w:tcPr>
                <w:p>
                  <w:pPr>
                    <w:autoSpaceDE w:val="0"/>
                    <w:autoSpaceDN w:val="0"/>
                    <w:adjustRightInd w:val="0"/>
                    <w:snapToGrid w:val="0"/>
                    <w:spacing w:line="360" w:lineRule="exact"/>
                    <w:rPr>
                      <w:rFonts w:cs="宋体"/>
                      <w:color w:val="auto"/>
                      <w:kern w:val="0"/>
                    </w:rPr>
                  </w:pPr>
                  <w:r>
                    <w:rPr>
                      <w:rFonts w:hint="eastAsia" w:cs="宋体"/>
                      <w:color w:val="auto"/>
                      <w:kern w:val="0"/>
                    </w:rPr>
                    <w:t>8.将节水、节能、资源综合利用、清洁和可再生能源等项目列为滹沱河流域重点发展领域。</w:t>
                  </w:r>
                </w:p>
              </w:tc>
              <w:tc>
                <w:tcPr>
                  <w:tcW w:w="1222" w:type="pct"/>
                  <w:vMerge w:val="continue"/>
                  <w:vAlign w:val="center"/>
                </w:tcPr>
                <w:p>
                  <w:pPr>
                    <w:autoSpaceDE w:val="0"/>
                    <w:autoSpaceDN w:val="0"/>
                    <w:adjustRightInd w:val="0"/>
                    <w:snapToGrid w:val="0"/>
                    <w:spacing w:line="360" w:lineRule="exact"/>
                    <w:rPr>
                      <w:rFonts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3" w:type="pct"/>
                  <w:vMerge w:val="continue"/>
                  <w:vAlign w:val="center"/>
                </w:tcPr>
                <w:p>
                  <w:pPr>
                    <w:autoSpaceDE w:val="0"/>
                    <w:autoSpaceDN w:val="0"/>
                    <w:adjustRightInd w:val="0"/>
                    <w:snapToGrid w:val="0"/>
                    <w:spacing w:line="360" w:lineRule="exact"/>
                    <w:jc w:val="center"/>
                    <w:rPr>
                      <w:color w:val="auto"/>
                    </w:rPr>
                  </w:pPr>
                </w:p>
              </w:tc>
              <w:tc>
                <w:tcPr>
                  <w:tcW w:w="3353" w:type="pct"/>
                  <w:vAlign w:val="center"/>
                </w:tcPr>
                <w:p>
                  <w:pPr>
                    <w:autoSpaceDE w:val="0"/>
                    <w:autoSpaceDN w:val="0"/>
                    <w:adjustRightInd w:val="0"/>
                    <w:snapToGrid w:val="0"/>
                    <w:spacing w:line="360" w:lineRule="exact"/>
                    <w:rPr>
                      <w:rFonts w:cs="宋体"/>
                      <w:color w:val="auto"/>
                      <w:kern w:val="0"/>
                    </w:rPr>
                  </w:pPr>
                  <w:r>
                    <w:rPr>
                      <w:rFonts w:hint="eastAsia" w:cs="宋体"/>
                      <w:color w:val="auto"/>
                      <w:kern w:val="0"/>
                    </w:rPr>
                    <w:t>9.到2030水平年滹沱河全部功能区水质达标，并进一步向优良发展。</w:t>
                  </w:r>
                </w:p>
              </w:tc>
              <w:tc>
                <w:tcPr>
                  <w:tcW w:w="1222" w:type="pct"/>
                  <w:vMerge w:val="continue"/>
                  <w:vAlign w:val="center"/>
                </w:tcPr>
                <w:p>
                  <w:pPr>
                    <w:autoSpaceDE w:val="0"/>
                    <w:autoSpaceDN w:val="0"/>
                    <w:adjustRightInd w:val="0"/>
                    <w:snapToGrid w:val="0"/>
                    <w:spacing w:line="360" w:lineRule="exact"/>
                    <w:rPr>
                      <w:rFonts w:cs="宋体"/>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3" w:type="pct"/>
                  <w:vAlign w:val="center"/>
                </w:tcPr>
                <w:p>
                  <w:pPr>
                    <w:autoSpaceDE w:val="0"/>
                    <w:autoSpaceDN w:val="0"/>
                    <w:adjustRightInd w:val="0"/>
                    <w:snapToGrid w:val="0"/>
                    <w:spacing w:line="360" w:lineRule="exact"/>
                    <w:jc w:val="center"/>
                    <w:rPr>
                      <w:color w:val="auto"/>
                    </w:rPr>
                  </w:pPr>
                  <w:r>
                    <w:rPr>
                      <w:rFonts w:hint="eastAsia"/>
                      <w:color w:val="auto"/>
                    </w:rPr>
                    <w:t>环境风险防控</w:t>
                  </w:r>
                </w:p>
              </w:tc>
              <w:tc>
                <w:tcPr>
                  <w:tcW w:w="3353" w:type="pct"/>
                  <w:vAlign w:val="center"/>
                </w:tcPr>
                <w:p>
                  <w:pPr>
                    <w:autoSpaceDE w:val="0"/>
                    <w:autoSpaceDN w:val="0"/>
                    <w:adjustRightInd w:val="0"/>
                    <w:snapToGrid w:val="0"/>
                    <w:spacing w:line="360" w:lineRule="exact"/>
                    <w:rPr>
                      <w:rFonts w:cs="宋体"/>
                      <w:color w:val="auto"/>
                      <w:kern w:val="0"/>
                    </w:rPr>
                  </w:pPr>
                  <w:r>
                    <w:rPr>
                      <w:rFonts w:hint="eastAsia" w:cs="宋体"/>
                      <w:color w:val="auto"/>
                      <w:kern w:val="0"/>
                    </w:rPr>
                    <w:t>1.在流域内输送、存贮废水和污水的管道、沟渠、坑塘等，应当采取防渗漏措施。</w:t>
                  </w:r>
                </w:p>
              </w:tc>
              <w:tc>
                <w:tcPr>
                  <w:tcW w:w="1222" w:type="pct"/>
                  <w:vAlign w:val="center"/>
                </w:tcPr>
                <w:p>
                  <w:pPr>
                    <w:autoSpaceDE w:val="0"/>
                    <w:autoSpaceDN w:val="0"/>
                    <w:adjustRightInd w:val="0"/>
                    <w:snapToGrid w:val="0"/>
                    <w:spacing w:line="360" w:lineRule="exact"/>
                    <w:ind w:firstLine="420" w:firstLineChars="200"/>
                    <w:rPr>
                      <w:rFonts w:cs="宋体"/>
                      <w:color w:val="auto"/>
                      <w:kern w:val="0"/>
                    </w:rPr>
                  </w:pPr>
                  <w:r>
                    <w:rPr>
                      <w:rFonts w:hint="eastAsia" w:cs="宋体"/>
                      <w:color w:val="auto"/>
                      <w:kern w:val="0"/>
                    </w:rPr>
                    <w:t>本项目</w:t>
                  </w:r>
                  <w:r>
                    <w:rPr>
                      <w:rFonts w:hint="eastAsia" w:cs="宋体"/>
                      <w:color w:val="auto"/>
                      <w:kern w:val="0"/>
                      <w:lang w:val="en-US" w:eastAsia="zh-CN"/>
                    </w:rPr>
                    <w:t>生活污水管道采用HDPE钢带双壁波纹管</w:t>
                  </w:r>
                  <w:r>
                    <w:rPr>
                      <w:rFonts w:hint="eastAsia" w:cs="宋体"/>
                      <w:color w:val="auto"/>
                      <w:kern w:val="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3" w:type="pct"/>
                  <w:vMerge w:val="restart"/>
                  <w:vAlign w:val="center"/>
                </w:tcPr>
                <w:p>
                  <w:pPr>
                    <w:autoSpaceDE w:val="0"/>
                    <w:autoSpaceDN w:val="0"/>
                    <w:adjustRightInd w:val="0"/>
                    <w:snapToGrid w:val="0"/>
                    <w:spacing w:line="360" w:lineRule="exact"/>
                    <w:jc w:val="center"/>
                    <w:rPr>
                      <w:rFonts w:cs="宋体"/>
                      <w:color w:val="auto"/>
                      <w:kern w:val="0"/>
                    </w:rPr>
                  </w:pPr>
                  <w:r>
                    <w:rPr>
                      <w:rFonts w:hint="eastAsia"/>
                      <w:color w:val="auto"/>
                    </w:rPr>
                    <w:t>资源利用效率</w:t>
                  </w:r>
                </w:p>
              </w:tc>
              <w:tc>
                <w:tcPr>
                  <w:tcW w:w="3353" w:type="pct"/>
                  <w:vAlign w:val="center"/>
                </w:tcPr>
                <w:p>
                  <w:pPr>
                    <w:autoSpaceDE w:val="0"/>
                    <w:autoSpaceDN w:val="0"/>
                    <w:adjustRightInd w:val="0"/>
                    <w:snapToGrid w:val="0"/>
                    <w:spacing w:line="360" w:lineRule="exact"/>
                    <w:rPr>
                      <w:rFonts w:cs="宋体"/>
                      <w:color w:val="auto"/>
                      <w:kern w:val="0"/>
                    </w:rPr>
                  </w:pPr>
                  <w:r>
                    <w:rPr>
                      <w:rFonts w:hint="eastAsia" w:cs="宋体"/>
                      <w:color w:val="auto"/>
                      <w:kern w:val="0"/>
                    </w:rPr>
                    <w:t>1.恢复汾河流域水域和湿地，在确保防洪安全的前提下，增强河道及其两侧调蓄水功能，科学利用洪水资源。通过对滹沱河干、支流重点县城河段蓄水以及滹沱河干流大堤外侧低洼滩涂、鱼塘、沙坑等进行整修，修建一批能调蓄径流的“珍珠串”状水域，蓄滞洪水。</w:t>
                  </w:r>
                </w:p>
              </w:tc>
              <w:tc>
                <w:tcPr>
                  <w:tcW w:w="1222" w:type="pct"/>
                  <w:vMerge w:val="restart"/>
                  <w:vAlign w:val="center"/>
                </w:tcPr>
                <w:p>
                  <w:pPr>
                    <w:autoSpaceDE w:val="0"/>
                    <w:autoSpaceDN w:val="0"/>
                    <w:adjustRightInd w:val="0"/>
                    <w:snapToGrid w:val="0"/>
                    <w:spacing w:line="360" w:lineRule="exact"/>
                    <w:ind w:firstLine="420" w:firstLineChars="200"/>
                    <w:rPr>
                      <w:rFonts w:cs="宋体"/>
                      <w:b/>
                      <w:bCs/>
                      <w:color w:val="auto"/>
                      <w:kern w:val="0"/>
                    </w:rPr>
                  </w:pPr>
                  <w:r>
                    <w:rPr>
                      <w:rFonts w:hint="eastAsia" w:cs="宋体"/>
                      <w:color w:val="auto"/>
                      <w:kern w:val="0"/>
                      <w:lang w:val="en-US" w:eastAsia="zh-CN"/>
                    </w:rPr>
                    <w:t>本项目为道路建设项目，</w:t>
                  </w:r>
                  <w:r>
                    <w:rPr>
                      <w:rFonts w:hint="eastAsia" w:cs="宋体"/>
                      <w:color w:val="auto"/>
                      <w:kern w:val="0"/>
                      <w:szCs w:val="21"/>
                      <w:lang w:val="en-US" w:eastAsia="zh-CN"/>
                    </w:rPr>
                    <w:t>涉及城市集中供热、供气、雨污水分流、再生水管网、绿化等工程建设，对区域生态环境质量的改善具有促进作用。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3" w:type="pct"/>
                  <w:vMerge w:val="continue"/>
                  <w:vAlign w:val="center"/>
                </w:tcPr>
                <w:p>
                  <w:pPr>
                    <w:autoSpaceDE w:val="0"/>
                    <w:autoSpaceDN w:val="0"/>
                    <w:adjustRightInd w:val="0"/>
                    <w:snapToGrid w:val="0"/>
                    <w:spacing w:line="360" w:lineRule="exact"/>
                    <w:jc w:val="center"/>
                    <w:rPr>
                      <w:rFonts w:cs="宋体"/>
                      <w:color w:val="auto"/>
                      <w:kern w:val="0"/>
                    </w:rPr>
                  </w:pPr>
                </w:p>
              </w:tc>
              <w:tc>
                <w:tcPr>
                  <w:tcW w:w="3353" w:type="pct"/>
                  <w:vAlign w:val="center"/>
                </w:tcPr>
                <w:p>
                  <w:pPr>
                    <w:autoSpaceDE w:val="0"/>
                    <w:autoSpaceDN w:val="0"/>
                    <w:adjustRightInd w:val="0"/>
                    <w:snapToGrid w:val="0"/>
                    <w:spacing w:line="360" w:lineRule="exact"/>
                    <w:rPr>
                      <w:rFonts w:cs="宋体"/>
                      <w:color w:val="auto"/>
                      <w:kern w:val="0"/>
                    </w:rPr>
                  </w:pPr>
                  <w:r>
                    <w:rPr>
                      <w:rFonts w:hint="eastAsia" w:cs="宋体"/>
                      <w:color w:val="auto"/>
                      <w:kern w:val="0"/>
                    </w:rPr>
                    <w:t>2.滹沱河流域水资源配置应当统筹兼顾上下游、左右岸和有关地区之间的利益，推进流域内河湖连通，实现多源互补，恢复流域生态功能。水资源应当严格限制使用地下水，合理使用地表水，优先使用中水和再生水，有效涵养和保护地下水。</w:t>
                  </w:r>
                </w:p>
              </w:tc>
              <w:tc>
                <w:tcPr>
                  <w:tcW w:w="1222" w:type="pct"/>
                  <w:vMerge w:val="continue"/>
                  <w:vAlign w:val="center"/>
                </w:tcPr>
                <w:p>
                  <w:pPr>
                    <w:autoSpaceDE w:val="0"/>
                    <w:autoSpaceDN w:val="0"/>
                    <w:adjustRightInd w:val="0"/>
                    <w:snapToGrid w:val="0"/>
                    <w:spacing w:line="360" w:lineRule="exact"/>
                    <w:rPr>
                      <w:rFonts w:cs="宋体"/>
                      <w:color w:val="auto"/>
                      <w:kern w:val="0"/>
                    </w:rPr>
                  </w:pPr>
                </w:p>
              </w:tc>
            </w:tr>
          </w:tbl>
          <w:p>
            <w:pPr>
              <w:autoSpaceDE w:val="0"/>
              <w:autoSpaceDN w:val="0"/>
              <w:adjustRightInd w:val="0"/>
              <w:snapToGrid w:val="0"/>
              <w:spacing w:line="480" w:lineRule="exact"/>
              <w:ind w:firstLine="480" w:firstLineChars="200"/>
              <w:rPr>
                <w:rFonts w:hint="default" w:ascii="Times New Roman" w:hAnsi="Times New Roman" w:cs="Times New Roman"/>
                <w:color w:val="auto"/>
                <w:kern w:val="0"/>
                <w:sz w:val="24"/>
              </w:rPr>
            </w:pPr>
            <w:r>
              <w:rPr>
                <w:rFonts w:hint="eastAsia" w:cs="宋体"/>
                <w:color w:val="auto"/>
                <w:kern w:val="0"/>
                <w:sz w:val="24"/>
              </w:rPr>
              <w:t>由表1-4可知，本项目基本符合《忻州市“三线一单”生态环境分区管控实施方案》中</w:t>
            </w:r>
            <w:r>
              <w:rPr>
                <w:rFonts w:hint="eastAsia"/>
                <w:color w:val="auto"/>
                <w:kern w:val="0"/>
                <w:sz w:val="24"/>
              </w:rPr>
              <w:t>忻州市重点流域普适性生态环境准入清单的</w:t>
            </w:r>
            <w:r>
              <w:rPr>
                <w:rFonts w:hint="eastAsia" w:cs="宋体"/>
                <w:color w:val="auto"/>
                <w:kern w:val="0"/>
                <w:sz w:val="24"/>
              </w:rPr>
              <w:t>要求。</w:t>
            </w:r>
          </w:p>
          <w:p>
            <w:pPr>
              <w:autoSpaceDE w:val="0"/>
              <w:autoSpaceDN w:val="0"/>
              <w:adjustRightInd w:val="0"/>
              <w:snapToGrid w:val="0"/>
              <w:spacing w:line="480" w:lineRule="exact"/>
              <w:ind w:firstLine="480" w:firstLineChars="200"/>
              <w:rPr>
                <w:rFonts w:hint="default" w:ascii="Times New Roman" w:hAnsi="Times New Roman" w:cs="Times New Roman"/>
                <w:color w:val="auto"/>
                <w:kern w:val="0"/>
                <w:sz w:val="24"/>
              </w:rPr>
            </w:pPr>
            <w:r>
              <w:rPr>
                <w:rFonts w:hint="default" w:ascii="Times New Roman" w:hAnsi="Times New Roman" w:cs="Times New Roman"/>
                <w:color w:val="auto"/>
                <w:kern w:val="0"/>
                <w:sz w:val="24"/>
              </w:rPr>
              <w:t>综上，本项目的建设符合“三线一单”的管控原则要求。</w:t>
            </w:r>
          </w:p>
          <w:p>
            <w:pPr>
              <w:autoSpaceDE w:val="0"/>
              <w:autoSpaceDN w:val="0"/>
              <w:adjustRightInd w:val="0"/>
              <w:snapToGrid w:val="0"/>
              <w:spacing w:line="480" w:lineRule="exact"/>
              <w:ind w:firstLine="482" w:firstLineChars="200"/>
              <w:rPr>
                <w:rFonts w:hint="default" w:ascii="Times New Roman" w:hAnsi="Times New Roman" w:eastAsia="宋体" w:cs="Times New Roman"/>
                <w:b/>
                <w:bCs/>
                <w:kern w:val="0"/>
                <w:sz w:val="24"/>
                <w:lang w:val="en-US" w:eastAsia="zh-CN"/>
              </w:rPr>
            </w:pPr>
            <w:r>
              <w:rPr>
                <w:rFonts w:hint="eastAsia" w:cs="Times New Roman"/>
                <w:b/>
                <w:bCs/>
                <w:kern w:val="0"/>
                <w:sz w:val="24"/>
                <w:lang w:val="en-US" w:eastAsia="zh-CN"/>
              </w:rPr>
              <w:t>2、县城集中供水水源地</w:t>
            </w:r>
          </w:p>
          <w:p>
            <w:pPr>
              <w:autoSpaceDE w:val="0"/>
              <w:autoSpaceDN w:val="0"/>
              <w:adjustRightInd w:val="0"/>
              <w:snapToGrid w:val="0"/>
              <w:spacing w:line="480" w:lineRule="exact"/>
              <w:ind w:firstLine="480" w:firstLineChars="200"/>
              <w:rPr>
                <w:rFonts w:hint="default" w:ascii="Times New Roman" w:hAnsi="Times New Roman" w:cs="Times New Roman"/>
                <w:color w:val="FF0000"/>
                <w:kern w:val="0"/>
                <w:sz w:val="24"/>
                <w:lang w:val="en-US"/>
              </w:rPr>
            </w:pPr>
            <w:r>
              <w:rPr>
                <w:rFonts w:hint="default" w:ascii="Times New Roman" w:hAnsi="Times New Roman" w:cs="Times New Roman"/>
                <w:color w:val="auto"/>
                <w:kern w:val="0"/>
                <w:sz w:val="24"/>
                <w:lang w:val="en-US" w:eastAsia="zh-CN"/>
              </w:rPr>
              <w:t>五台县</w:t>
            </w:r>
            <w:r>
              <w:rPr>
                <w:rFonts w:hint="eastAsia" w:cs="Times New Roman"/>
                <w:color w:val="auto"/>
                <w:kern w:val="0"/>
                <w:sz w:val="24"/>
                <w:lang w:val="en-US" w:eastAsia="zh-CN"/>
              </w:rPr>
              <w:t>县城水源地位于县城西北西庄村一带，故称西庄水源地，有4眼供水井，分布范围约0.25km</w:t>
            </w:r>
            <w:r>
              <w:rPr>
                <w:rFonts w:hint="eastAsia" w:cs="Times New Roman"/>
                <w:color w:val="auto"/>
                <w:kern w:val="0"/>
                <w:sz w:val="24"/>
                <w:vertAlign w:val="superscript"/>
                <w:lang w:val="en-US" w:eastAsia="zh-CN"/>
              </w:rPr>
              <w:t>2</w:t>
            </w:r>
            <w:r>
              <w:rPr>
                <w:rFonts w:hint="eastAsia" w:cs="Times New Roman"/>
                <w:color w:val="auto"/>
                <w:kern w:val="0"/>
                <w:sz w:val="24"/>
                <w:lang w:val="en-US" w:eastAsia="zh-CN"/>
              </w:rPr>
              <w:t>，地势比较平坦，高程1050-1060.5米，西部与文昌山相对220米，北部为唐家湾水库。2009年12月8日山西省人民政府下发的《关于同意县级以上城镇集中式饮用水水源保护区划分方案的批复》（晋政函[2009]149号）文件，对水源地保护区划分结果进行了批复：</w:t>
            </w:r>
            <w:r>
              <w:rPr>
                <w:rFonts w:hint="default" w:ascii="Times New Roman" w:hAnsi="Times New Roman" w:cs="Times New Roman"/>
                <w:color w:val="auto"/>
                <w:kern w:val="0"/>
                <w:sz w:val="24"/>
                <w:lang w:val="en-US" w:eastAsia="zh-CN"/>
              </w:rPr>
              <w:t>五台县</w:t>
            </w:r>
            <w:r>
              <w:rPr>
                <w:rFonts w:hint="eastAsia" w:cs="Times New Roman"/>
                <w:color w:val="auto"/>
                <w:kern w:val="0"/>
                <w:sz w:val="24"/>
                <w:lang w:val="en-US" w:eastAsia="zh-CN"/>
              </w:rPr>
              <w:t>县城西庄水源地一级保护区范围：以Y1、Y2、Y3、Y4水源井半径为250m的圆外接多边形的边界形成的多边形区域；不设二级保护区和准保护区。</w:t>
            </w:r>
          </w:p>
          <w:p>
            <w:pPr>
              <w:autoSpaceDE w:val="0"/>
              <w:autoSpaceDN w:val="0"/>
              <w:adjustRightInd w:val="0"/>
              <w:snapToGrid w:val="0"/>
              <w:spacing w:line="480" w:lineRule="exact"/>
              <w:ind w:firstLine="480" w:firstLineChars="200"/>
              <w:rPr>
                <w:rFonts w:hint="default" w:cs="Times New Roman"/>
                <w:color w:val="auto"/>
                <w:kern w:val="0"/>
                <w:sz w:val="24"/>
                <w:lang w:val="en-US" w:eastAsia="zh-CN"/>
              </w:rPr>
            </w:pPr>
            <w:r>
              <w:rPr>
                <w:rFonts w:hint="eastAsia" w:cs="Times New Roman"/>
                <w:color w:val="auto"/>
                <w:kern w:val="0"/>
                <w:sz w:val="24"/>
                <w:lang w:val="en-US" w:eastAsia="zh-CN"/>
              </w:rPr>
              <w:t>本项目既有文昌路部分路段位于五台县西庄水源地一级保护区范围内，新建文昌路起点为既有文昌路北侧终点，新建文昌路起点距西庄水源地一级保护区边界约55m，新建文昌路不在西庄水源地一级保护区。本项目与西庄水源地一级保护区相对位置关系见附图7。</w:t>
            </w:r>
          </w:p>
          <w:p>
            <w:pPr>
              <w:autoSpaceDE w:val="0"/>
              <w:autoSpaceDN w:val="0"/>
              <w:adjustRightInd w:val="0"/>
              <w:snapToGrid w:val="0"/>
              <w:spacing w:line="480" w:lineRule="exact"/>
              <w:ind w:firstLine="480" w:firstLineChars="200"/>
              <w:rPr>
                <w:rFonts w:hint="eastAsia" w:cs="Times New Roman"/>
                <w:kern w:val="0"/>
                <w:sz w:val="24"/>
                <w:lang w:val="en-US" w:eastAsia="zh-CN"/>
              </w:rPr>
            </w:pPr>
            <w:r>
              <w:rPr>
                <w:rFonts w:hint="eastAsia" w:cs="Times New Roman"/>
                <w:kern w:val="0"/>
                <w:sz w:val="24"/>
                <w:lang w:val="en-US" w:eastAsia="zh-CN"/>
              </w:rPr>
              <w:t>本次新建文昌路</w:t>
            </w:r>
            <w:r>
              <w:rPr>
                <w:rFonts w:hint="default" w:ascii="Times New Roman" w:hAnsi="Times New Roman" w:cs="Times New Roman"/>
                <w:sz w:val="24"/>
                <w:szCs w:val="24"/>
                <w:lang w:val="en-US" w:eastAsia="zh-CN"/>
              </w:rPr>
              <w:t>起点为既有文昌路，终点至湖滨大街</w:t>
            </w:r>
            <w:r>
              <w:rPr>
                <w:rFonts w:hint="eastAsia" w:ascii="Times New Roman" w:hAnsi="Times New Roman" w:cs="Times New Roman"/>
                <w:sz w:val="24"/>
                <w:szCs w:val="24"/>
                <w:lang w:val="en-US" w:eastAsia="zh-CN"/>
              </w:rPr>
              <w:t>，线路</w:t>
            </w:r>
            <w:r>
              <w:rPr>
                <w:rFonts w:hint="default" w:ascii="Times New Roman" w:hAnsi="Times New Roman" w:cs="Times New Roman"/>
                <w:color w:val="auto"/>
                <w:sz w:val="24"/>
                <w:szCs w:val="24"/>
                <w:lang w:val="en-US" w:eastAsia="zh-CN"/>
              </w:rPr>
              <w:t>总长</w:t>
            </w:r>
            <w:r>
              <w:rPr>
                <w:rFonts w:hint="eastAsia" w:ascii="Times New Roman" w:hAnsi="Times New Roman" w:cs="Times New Roman"/>
                <w:color w:val="auto"/>
                <w:sz w:val="24"/>
                <w:szCs w:val="24"/>
                <w:lang w:val="en-US" w:eastAsia="zh-CN"/>
              </w:rPr>
              <w:t>1139.484m</w:t>
            </w:r>
            <w:r>
              <w:rPr>
                <w:rFonts w:hint="default" w:ascii="Times New Roman" w:hAnsi="Times New Roman" w:cs="Times New Roman"/>
                <w:color w:val="auto"/>
                <w:sz w:val="24"/>
                <w:szCs w:val="24"/>
                <w:lang w:val="en-US" w:eastAsia="zh-CN"/>
              </w:rPr>
              <w:t>，</w:t>
            </w:r>
            <w:r>
              <w:rPr>
                <w:rFonts w:hint="eastAsia" w:ascii="Times New Roman" w:hAnsi="Times New Roman" w:cs="Times New Roman"/>
                <w:color w:val="auto"/>
                <w:sz w:val="24"/>
                <w:szCs w:val="24"/>
                <w:lang w:val="en-US" w:eastAsia="zh-CN"/>
              </w:rPr>
              <w:t>宽20m；作为景观大道设计，主要建设内容包括道路工程、桥梁工程、挡土墙工程、给水工程、雨水工程、电力工程、电信工程、照明工程、绿化工程等。新建</w:t>
            </w:r>
            <w:r>
              <w:rPr>
                <w:rFonts w:hint="eastAsia" w:cs="Times New Roman"/>
                <w:kern w:val="0"/>
                <w:sz w:val="24"/>
                <w:lang w:val="en-US" w:eastAsia="zh-CN"/>
              </w:rPr>
              <w:t>文昌路底部管线包括自来水管线、再生水管线、雨水管线，因</w:t>
            </w:r>
            <w:r>
              <w:rPr>
                <w:rFonts w:hint="eastAsia" w:cs="Times New Roman"/>
                <w:b w:val="0"/>
                <w:bCs/>
                <w:sz w:val="24"/>
                <w:szCs w:val="24"/>
                <w:lang w:val="en-US" w:eastAsia="zh-CN"/>
              </w:rPr>
              <w:t>拟建文昌路西侧为绿地，东侧为般若湖，均无用水和排污单位，文昌路不建设污水管网。本项目的实施可促进区域雨污分流，减少生活面源对水源地的污染，对保护水源地有正效应；综上所述，本项目的建设不违背</w:t>
            </w:r>
            <w:r>
              <w:rPr>
                <w:rFonts w:hint="eastAsia" w:cs="Times New Roman"/>
                <w:kern w:val="0"/>
                <w:sz w:val="24"/>
                <w:lang w:val="en-US" w:eastAsia="zh-CN"/>
              </w:rPr>
              <w:t>《中华人民共和国水污染防治法》中的相关要求。</w:t>
            </w:r>
          </w:p>
          <w:p>
            <w:pPr>
              <w:autoSpaceDE w:val="0"/>
              <w:autoSpaceDN w:val="0"/>
              <w:adjustRightInd w:val="0"/>
              <w:snapToGrid w:val="0"/>
              <w:spacing w:line="480" w:lineRule="exact"/>
              <w:ind w:firstLine="482" w:firstLineChars="200"/>
              <w:rPr>
                <w:rFonts w:hint="default" w:ascii="Times New Roman" w:hAnsi="Times New Roman" w:eastAsia="宋体" w:cs="Times New Roman"/>
                <w:b/>
                <w:bCs/>
                <w:kern w:val="0"/>
                <w:sz w:val="24"/>
                <w:lang w:val="en-US" w:eastAsia="zh-CN"/>
              </w:rPr>
            </w:pPr>
            <w:r>
              <w:rPr>
                <w:rFonts w:hint="eastAsia" w:cs="Times New Roman"/>
                <w:b/>
                <w:bCs/>
                <w:kern w:val="0"/>
                <w:sz w:val="24"/>
                <w:lang w:val="en-US" w:eastAsia="zh-CN"/>
              </w:rPr>
              <w:t>3、本项目选址选线合理性分析</w:t>
            </w:r>
          </w:p>
          <w:p>
            <w:pPr>
              <w:autoSpaceDE w:val="0"/>
              <w:autoSpaceDN w:val="0"/>
              <w:adjustRightInd w:val="0"/>
              <w:snapToGrid w:val="0"/>
              <w:spacing w:line="480" w:lineRule="exact"/>
              <w:ind w:firstLine="480" w:firstLineChars="200"/>
              <w:rPr>
                <w:rFonts w:hint="eastAsia" w:cs="Times New Roman"/>
                <w:kern w:val="0"/>
                <w:sz w:val="24"/>
                <w:lang w:val="en-US" w:eastAsia="zh-CN"/>
              </w:rPr>
            </w:pPr>
            <w:r>
              <w:rPr>
                <w:rFonts w:hint="eastAsia" w:cs="Times New Roman"/>
                <w:kern w:val="0"/>
                <w:sz w:val="24"/>
                <w:lang w:val="en-US" w:eastAsia="zh-CN"/>
              </w:rPr>
              <w:t>本项目共包含三条道路：分别为东外环路、湖滨大街西延及文昌路。</w:t>
            </w:r>
          </w:p>
          <w:p>
            <w:pPr>
              <w:autoSpaceDE w:val="0"/>
              <w:autoSpaceDN w:val="0"/>
              <w:adjustRightInd w:val="0"/>
              <w:snapToGrid w:val="0"/>
              <w:spacing w:line="480" w:lineRule="exact"/>
              <w:ind w:firstLine="482" w:firstLineChars="200"/>
              <w:rPr>
                <w:rFonts w:hint="eastAsia" w:cs="Times New Roman"/>
                <w:kern w:val="0"/>
                <w:sz w:val="24"/>
                <w:lang w:val="en-US" w:eastAsia="zh-CN"/>
              </w:rPr>
            </w:pPr>
            <w:r>
              <w:rPr>
                <w:rFonts w:hint="eastAsia" w:cs="Times New Roman"/>
                <w:b/>
                <w:bCs/>
                <w:kern w:val="0"/>
                <w:sz w:val="24"/>
                <w:lang w:val="en-US" w:eastAsia="zh-CN"/>
              </w:rPr>
              <w:t>东外环路：</w:t>
            </w:r>
            <w:r>
              <w:rPr>
                <w:rFonts w:hint="eastAsia" w:ascii="Times New Roman" w:hAnsi="Times New Roman" w:cs="Times New Roman"/>
                <w:b w:val="0"/>
                <w:bCs/>
                <w:sz w:val="24"/>
                <w:szCs w:val="24"/>
                <w:lang w:val="en-US" w:eastAsia="zh-CN"/>
              </w:rPr>
              <w:t>东外环路平面线形主要依据现状而定，</w:t>
            </w:r>
            <w:r>
              <w:rPr>
                <w:rFonts w:hint="eastAsia" w:cs="Times New Roman"/>
                <w:kern w:val="0"/>
                <w:sz w:val="24"/>
                <w:lang w:val="en-US" w:eastAsia="zh-CN"/>
              </w:rPr>
              <w:t>起点为五台南收费站北侧（王庄村牌楼），由南向北k0+470处上跨掉头匝道，k1+910处上跨滤泗河，终点接至五黄路（金水泉宾馆），道路全长2985m，城市主干路，设计速度50km/h，红线宽26~46m。五台南收费站至滤泗河北岸路段（长1960m）：道路红线宽度为26m，横断面形式为：12m宽既有左幅道路（维持现状）+2m新建绿化带+12m新建机动车道；滤泗河北岸至五黄路段（长1025m）：道路红线宽度46m，横断面形式为：4m人行道+5m非机动车道+3m绿化带+22m机动车道+3m绿化带+5m非机动车道+4m人行道。道路沿线新建2座75m中桥(K0+447.251、K1+922.621)，桥宽12m，设置涵洞4座，其中4m宽盖板涵洞3座(K1+622、K2+237、K2+980)，直径2米管涵1座（K1+559）。东外环路道路建设项目设计内容包括道路工程、桥涵工程、给水工程、污水工程、雨水工程、电力工程、电信工程、照明工程、绿化工程等。</w:t>
            </w:r>
          </w:p>
          <w:p>
            <w:pPr>
              <w:autoSpaceDE w:val="0"/>
              <w:autoSpaceDN w:val="0"/>
              <w:adjustRightInd w:val="0"/>
              <w:snapToGrid w:val="0"/>
              <w:spacing w:line="480" w:lineRule="exact"/>
              <w:ind w:firstLine="480" w:firstLineChars="200"/>
              <w:rPr>
                <w:rFonts w:hint="default" w:cs="Times New Roman"/>
                <w:kern w:val="0"/>
                <w:sz w:val="24"/>
                <w:lang w:val="en-US" w:eastAsia="zh-CN"/>
              </w:rPr>
            </w:pPr>
            <w:r>
              <w:rPr>
                <w:rFonts w:hint="eastAsia" w:cs="Times New Roman"/>
                <w:kern w:val="0"/>
                <w:sz w:val="24"/>
                <w:lang w:val="en-US" w:eastAsia="zh-CN"/>
              </w:rPr>
              <w:t>东外环路沿线敏感目标主要为：道路起点五台南收费站东北侧的王庄村，以及道路终点东侧的王家沟村；道路两侧主要为农田。</w:t>
            </w:r>
          </w:p>
          <w:p>
            <w:pPr>
              <w:autoSpaceDE w:val="0"/>
              <w:autoSpaceDN w:val="0"/>
              <w:adjustRightInd w:val="0"/>
              <w:snapToGrid w:val="0"/>
              <w:spacing w:line="480" w:lineRule="exact"/>
              <w:ind w:firstLine="480"/>
              <w:rPr>
                <w:rFonts w:hint="eastAsia"/>
                <w:b w:val="0"/>
                <w:bCs w:val="0"/>
                <w:kern w:val="0"/>
                <w:sz w:val="24"/>
                <w:lang w:val="en-US" w:eastAsia="zh-CN"/>
              </w:rPr>
            </w:pPr>
            <w:r>
              <w:rPr>
                <w:rFonts w:hint="eastAsia"/>
                <w:b/>
                <w:bCs/>
                <w:kern w:val="0"/>
                <w:sz w:val="24"/>
                <w:lang w:val="en-US" w:eastAsia="zh-CN"/>
              </w:rPr>
              <w:t>文昌路：</w:t>
            </w:r>
            <w:r>
              <w:rPr>
                <w:rFonts w:hint="eastAsia" w:ascii="Times New Roman" w:hAnsi="Times New Roman" w:cs="Times New Roman"/>
                <w:b w:val="0"/>
                <w:bCs/>
                <w:sz w:val="24"/>
                <w:szCs w:val="24"/>
                <w:lang w:val="en-US" w:eastAsia="zh-CN"/>
              </w:rPr>
              <w:t>文昌路平面线形主要依据现状，局部截弯取直；道路起点为既有文昌路终点，由南向北沿湖而建，终点至规划湖滨大街，道路全长1140m，道路红线宽度为20m。红线20m宽横断面形式：1m设施带+16.5m机非混行车道+2.5m人行道。文昌路道路建设项目设计内容包括道路工程、桥梁工程、挡土墙工程、给水工程、污水工程、雨水工程、电力工程、电信工程、照明工程、绿化工程等。</w:t>
            </w:r>
          </w:p>
          <w:p>
            <w:pPr>
              <w:autoSpaceDE w:val="0"/>
              <w:autoSpaceDN w:val="0"/>
              <w:adjustRightInd w:val="0"/>
              <w:snapToGrid w:val="0"/>
              <w:spacing w:line="480" w:lineRule="exact"/>
              <w:ind w:firstLine="480" w:firstLineChars="200"/>
              <w:rPr>
                <w:rFonts w:hint="default"/>
                <w:b/>
                <w:bCs/>
                <w:kern w:val="0"/>
                <w:sz w:val="24"/>
                <w:lang w:val="en-US" w:eastAsia="zh-CN"/>
              </w:rPr>
            </w:pPr>
            <w:r>
              <w:rPr>
                <w:rFonts w:hint="eastAsia" w:cs="Times New Roman"/>
                <w:kern w:val="0"/>
                <w:sz w:val="24"/>
                <w:lang w:val="en-US" w:eastAsia="zh-CN"/>
              </w:rPr>
              <w:t>文昌路沿线敏感目标主要为：新建文昌路起点东南侧西富苑小区、西庄水源地。</w:t>
            </w:r>
          </w:p>
          <w:p>
            <w:pPr>
              <w:autoSpaceDE w:val="0"/>
              <w:autoSpaceDN w:val="0"/>
              <w:adjustRightInd w:val="0"/>
              <w:snapToGrid w:val="0"/>
              <w:spacing w:line="480" w:lineRule="exact"/>
              <w:ind w:firstLine="482" w:firstLineChars="200"/>
              <w:rPr>
                <w:rFonts w:hint="eastAsia" w:cs="Times New Roman"/>
                <w:kern w:val="0"/>
                <w:sz w:val="24"/>
                <w:lang w:val="en-US" w:eastAsia="zh-CN"/>
              </w:rPr>
            </w:pPr>
            <w:r>
              <w:rPr>
                <w:rFonts w:hint="eastAsia"/>
                <w:b/>
                <w:bCs/>
                <w:kern w:val="0"/>
                <w:sz w:val="24"/>
                <w:lang w:val="en-US" w:eastAsia="zh-CN"/>
              </w:rPr>
              <w:t>湖滨大街西延：</w:t>
            </w:r>
            <w:r>
              <w:rPr>
                <w:rFonts w:hint="eastAsia" w:ascii="Times New Roman" w:hAnsi="Times New Roman" w:cs="Times New Roman"/>
                <w:b w:val="0"/>
                <w:bCs/>
                <w:color w:val="auto"/>
                <w:sz w:val="24"/>
                <w:szCs w:val="24"/>
                <w:lang w:val="en-US" w:eastAsia="zh-CN"/>
              </w:rPr>
              <w:t>湖滨大街西延平面线形与规划一致；道路起点为规划文昌路，由西向东，穿越唐家湾村，终点与既有湖滨大道相接，道路全长751，城市主干路，设计速度50km/h，道路红线宽50m，横断面形式为：4.5m人行道+6m非机动车道+3m绿化带+23m机动车道+3m绿化带+6m非机动车道+4.5m人行道。道路沿线新建1.8m*1.2m盖板涵洞1座(K1+620)，直径2米管涵1座（K1+800）。湖滨大街西延道路建设项目设计内容包括道路工程、毛石护面墙工程、给水工程、污水工程、雨水工程、电力工程、电信工程、照明工程、绿化工程等。</w:t>
            </w:r>
          </w:p>
          <w:p>
            <w:pPr>
              <w:autoSpaceDE w:val="0"/>
              <w:autoSpaceDN w:val="0"/>
              <w:adjustRightInd w:val="0"/>
              <w:snapToGrid w:val="0"/>
              <w:spacing w:line="480" w:lineRule="exact"/>
              <w:ind w:firstLine="480" w:firstLineChars="200"/>
              <w:rPr>
                <w:rFonts w:hint="default"/>
                <w:b/>
                <w:bCs/>
                <w:kern w:val="0"/>
                <w:sz w:val="24"/>
                <w:lang w:val="en-US" w:eastAsia="zh-CN"/>
              </w:rPr>
            </w:pPr>
            <w:r>
              <w:rPr>
                <w:rFonts w:hint="eastAsia" w:cs="Times New Roman"/>
                <w:kern w:val="0"/>
                <w:sz w:val="24"/>
                <w:lang w:val="en-US" w:eastAsia="zh-CN"/>
              </w:rPr>
              <w:t>湖滨大街西延沿线敏感目标主要为：湖滨大街西延终点东北侧碧海花园E区、穿越而过的唐家湾村。</w:t>
            </w:r>
          </w:p>
          <w:p>
            <w:pPr>
              <w:autoSpaceDE w:val="0"/>
              <w:autoSpaceDN w:val="0"/>
              <w:adjustRightInd w:val="0"/>
              <w:snapToGrid w:val="0"/>
              <w:spacing w:line="480" w:lineRule="exact"/>
              <w:ind w:firstLine="480" w:firstLineChars="200"/>
              <w:rPr>
                <w:rFonts w:hint="eastAsia" w:cs="Times New Roman"/>
                <w:kern w:val="0"/>
                <w:sz w:val="24"/>
                <w:lang w:val="en-US" w:eastAsia="zh-CN"/>
              </w:rPr>
            </w:pPr>
            <w:r>
              <w:rPr>
                <w:rFonts w:hint="eastAsia" w:cs="Times New Roman"/>
                <w:kern w:val="0"/>
                <w:sz w:val="24"/>
                <w:lang w:val="en-US" w:eastAsia="zh-CN"/>
              </w:rPr>
              <w:t>本项目</w:t>
            </w:r>
            <w:r>
              <w:rPr>
                <w:rFonts w:hint="default" w:ascii="Times New Roman" w:hAnsi="Times New Roman" w:cs="Times New Roman"/>
                <w:sz w:val="24"/>
                <w:szCs w:val="24"/>
              </w:rPr>
              <w:t>湖滨大街西延等三条道路</w:t>
            </w:r>
            <w:r>
              <w:rPr>
                <w:rFonts w:hint="eastAsia" w:ascii="Times New Roman" w:hAnsi="Times New Roman" w:cs="Times New Roman"/>
                <w:sz w:val="24"/>
                <w:szCs w:val="24"/>
                <w:lang w:val="en-US" w:eastAsia="zh-CN"/>
              </w:rPr>
              <w:t>沿线敏感目标较少。其中</w:t>
            </w:r>
            <w:r>
              <w:rPr>
                <w:rFonts w:hint="eastAsia" w:ascii="Times New Roman" w:hAnsi="Times New Roman" w:cs="Times New Roman"/>
                <w:b w:val="0"/>
                <w:bCs/>
                <w:sz w:val="24"/>
                <w:szCs w:val="24"/>
                <w:lang w:val="en-US" w:eastAsia="zh-CN"/>
              </w:rPr>
              <w:t>东外环路为扩宽，平面线形主要依据现状而定；文昌路平面线形主要依据现状，局部截弯取直；</w:t>
            </w:r>
            <w:r>
              <w:rPr>
                <w:rFonts w:hint="eastAsia" w:ascii="Times New Roman" w:hAnsi="Times New Roman" w:cs="Times New Roman"/>
                <w:b w:val="0"/>
                <w:bCs/>
                <w:color w:val="auto"/>
                <w:sz w:val="24"/>
                <w:szCs w:val="24"/>
                <w:lang w:val="en-US" w:eastAsia="zh-CN"/>
              </w:rPr>
              <w:t>湖滨大街西延平面线形与规划一致；</w:t>
            </w:r>
            <w:r>
              <w:rPr>
                <w:rFonts w:hint="eastAsia" w:cs="Times New Roman"/>
                <w:kern w:val="0"/>
                <w:sz w:val="24"/>
                <w:lang w:val="en-US" w:eastAsia="zh-CN"/>
              </w:rPr>
              <w:t>本项目初步设计基本沿用可研的推荐方案及建设内容。道路线形、纵断面在可研基础上进行深化，尽量达到方案最优；道路标准横断面采用可研推荐方案；桥梁桥跨、桥梁结构、基础设计在可研基础上进行深化，使其更加符合施工实际需求。</w:t>
            </w:r>
          </w:p>
          <w:p>
            <w:pPr>
              <w:autoSpaceDE w:val="0"/>
              <w:autoSpaceDN w:val="0"/>
              <w:adjustRightInd w:val="0"/>
              <w:snapToGrid w:val="0"/>
              <w:spacing w:line="480" w:lineRule="exact"/>
              <w:ind w:firstLine="480" w:firstLineChars="200"/>
              <w:rPr>
                <w:rFonts w:hint="eastAsia" w:cs="Times New Roman"/>
                <w:kern w:val="0"/>
                <w:sz w:val="24"/>
                <w:lang w:val="en-US" w:eastAsia="zh-CN"/>
              </w:rPr>
            </w:pPr>
            <w:r>
              <w:rPr>
                <w:rFonts w:hint="eastAsia"/>
                <w:kern w:val="0"/>
                <w:sz w:val="24"/>
                <w:lang w:val="en-US" w:eastAsia="zh-CN"/>
              </w:rPr>
              <w:t>本项目</w:t>
            </w:r>
            <w:r>
              <w:rPr>
                <w:rFonts w:hint="default" w:ascii="Times New Roman" w:hAnsi="Times New Roman" w:cs="Times New Roman"/>
                <w:sz w:val="24"/>
                <w:szCs w:val="24"/>
              </w:rPr>
              <w:t>湖滨大街西延等三条道路</w:t>
            </w:r>
            <w:r>
              <w:rPr>
                <w:rFonts w:hint="eastAsia"/>
                <w:kern w:val="0"/>
                <w:sz w:val="24"/>
                <w:lang w:val="en-US" w:eastAsia="zh-CN"/>
              </w:rPr>
              <w:t>均是五台县路网中的主要骨架，</w:t>
            </w:r>
            <w:r>
              <w:rPr>
                <w:rFonts w:hint="eastAsia" w:cs="Times New Roman"/>
                <w:kern w:val="0"/>
                <w:sz w:val="24"/>
                <w:szCs w:val="24"/>
                <w:lang w:val="en-US" w:eastAsia="zh-CN"/>
              </w:rPr>
              <w:t>选址选线</w:t>
            </w:r>
            <w:r>
              <w:rPr>
                <w:rFonts w:hint="eastAsia" w:cs="Times New Roman"/>
                <w:kern w:val="0"/>
                <w:sz w:val="24"/>
                <w:lang w:val="en-US" w:eastAsia="zh-CN"/>
              </w:rPr>
              <w:t>符合</w:t>
            </w:r>
            <w:r>
              <w:rPr>
                <w:rFonts w:hint="default" w:ascii="Times New Roman" w:hAnsi="Times New Roman" w:cs="Times New Roman"/>
                <w:kern w:val="0"/>
                <w:sz w:val="24"/>
                <w:szCs w:val="24"/>
                <w:lang w:val="en-US" w:eastAsia="zh-CN"/>
              </w:rPr>
              <w:t>《五台县县城总体规划》（2012~2030）中</w:t>
            </w:r>
            <w:r>
              <w:rPr>
                <w:rFonts w:hint="eastAsia" w:cs="Times New Roman"/>
                <w:kern w:val="0"/>
                <w:sz w:val="24"/>
                <w:szCs w:val="24"/>
                <w:lang w:val="en-US" w:eastAsia="zh-CN"/>
              </w:rPr>
              <w:t>“</w:t>
            </w:r>
            <w:r>
              <w:rPr>
                <w:rFonts w:hint="default" w:ascii="Times New Roman" w:hAnsi="Times New Roman" w:cs="Times New Roman"/>
                <w:kern w:val="0"/>
                <w:sz w:val="24"/>
                <w:szCs w:val="24"/>
                <w:lang w:val="en-US" w:eastAsia="zh-CN"/>
              </w:rPr>
              <w:t>道路交通规划</w:t>
            </w:r>
            <w:r>
              <w:rPr>
                <w:rFonts w:hint="eastAsia" w:cs="Times New Roman"/>
                <w:kern w:val="0"/>
                <w:sz w:val="24"/>
                <w:szCs w:val="24"/>
                <w:lang w:val="en-US" w:eastAsia="zh-CN"/>
              </w:rPr>
              <w:t>”的要求；</w:t>
            </w:r>
            <w:r>
              <w:rPr>
                <w:rFonts w:hint="eastAsia" w:cs="Times New Roman"/>
                <w:kern w:val="0"/>
                <w:sz w:val="24"/>
                <w:lang w:val="en-US" w:eastAsia="zh-CN"/>
              </w:rPr>
              <w:t>本项目的建设完善了五台县现有道路路网，加强了城北新区与老城区的交通的联系，对北城片区的快速发展和迎宾路的交通压力缓解起到重要作用；东外环路的拓宽改造，方便了城区居民与周边城市的的沟通交流，同时五台县旅游文化资源丰富，随着游客数量增加，东外路必定发挥其强大的道路输送功能。打通文昌路与湖滨大街的联系，不仅可以缓解中心城区交通压力，还能够方便游人环湖观光。因五台县湖滨大街西延等三条道路管网建设项目的建设是五台县综合交通建设的必然要求。</w:t>
            </w:r>
          </w:p>
          <w:p>
            <w:pPr>
              <w:autoSpaceDE w:val="0"/>
              <w:autoSpaceDN w:val="0"/>
              <w:adjustRightInd w:val="0"/>
              <w:snapToGrid w:val="0"/>
              <w:spacing w:line="480" w:lineRule="exact"/>
              <w:ind w:firstLine="480" w:firstLineChars="200"/>
              <w:rPr>
                <w:rFonts w:hint="eastAsia" w:cs="Times New Roman"/>
                <w:kern w:val="0"/>
                <w:sz w:val="24"/>
                <w:lang w:val="en-US" w:eastAsia="zh-CN"/>
              </w:rPr>
            </w:pPr>
          </w:p>
          <w:p>
            <w:pPr>
              <w:autoSpaceDE w:val="0"/>
              <w:autoSpaceDN w:val="0"/>
              <w:adjustRightInd w:val="0"/>
              <w:snapToGrid w:val="0"/>
              <w:spacing w:line="480" w:lineRule="exact"/>
              <w:ind w:firstLine="480" w:firstLineChars="200"/>
              <w:rPr>
                <w:rFonts w:hint="eastAsia" w:cs="Times New Roman"/>
                <w:kern w:val="0"/>
                <w:sz w:val="24"/>
                <w:lang w:val="en-US" w:eastAsia="zh-CN"/>
              </w:rPr>
            </w:pPr>
          </w:p>
          <w:p>
            <w:pPr>
              <w:autoSpaceDE w:val="0"/>
              <w:autoSpaceDN w:val="0"/>
              <w:adjustRightInd w:val="0"/>
              <w:snapToGrid w:val="0"/>
              <w:spacing w:line="480" w:lineRule="exact"/>
              <w:ind w:firstLine="480" w:firstLineChars="200"/>
              <w:rPr>
                <w:rFonts w:hint="eastAsia" w:cs="Times New Roman"/>
                <w:kern w:val="0"/>
                <w:sz w:val="24"/>
                <w:lang w:val="en-US" w:eastAsia="zh-CN"/>
              </w:rPr>
            </w:pPr>
          </w:p>
          <w:p>
            <w:pPr>
              <w:autoSpaceDE w:val="0"/>
              <w:autoSpaceDN w:val="0"/>
              <w:adjustRightInd w:val="0"/>
              <w:snapToGrid w:val="0"/>
              <w:spacing w:line="480" w:lineRule="exact"/>
              <w:ind w:firstLine="480" w:firstLineChars="200"/>
              <w:rPr>
                <w:rFonts w:hint="eastAsia" w:cs="Times New Roman"/>
                <w:kern w:val="0"/>
                <w:sz w:val="24"/>
                <w:lang w:val="en-US" w:eastAsia="zh-CN"/>
              </w:rPr>
            </w:pPr>
          </w:p>
          <w:p>
            <w:pPr>
              <w:autoSpaceDE w:val="0"/>
              <w:autoSpaceDN w:val="0"/>
              <w:adjustRightInd w:val="0"/>
              <w:snapToGrid w:val="0"/>
              <w:spacing w:line="480" w:lineRule="exact"/>
              <w:ind w:firstLine="480" w:firstLineChars="200"/>
              <w:rPr>
                <w:rFonts w:hint="eastAsia" w:cs="Times New Roman"/>
                <w:kern w:val="0"/>
                <w:sz w:val="24"/>
                <w:lang w:val="en-US" w:eastAsia="zh-CN"/>
              </w:rPr>
            </w:pPr>
          </w:p>
          <w:p>
            <w:pPr>
              <w:autoSpaceDE w:val="0"/>
              <w:autoSpaceDN w:val="0"/>
              <w:adjustRightInd w:val="0"/>
              <w:snapToGrid w:val="0"/>
              <w:spacing w:line="480" w:lineRule="exact"/>
              <w:ind w:firstLine="480" w:firstLineChars="200"/>
              <w:rPr>
                <w:rFonts w:hint="eastAsia" w:cs="Times New Roman"/>
                <w:kern w:val="0"/>
                <w:sz w:val="24"/>
                <w:lang w:val="en-US" w:eastAsia="zh-CN"/>
              </w:rPr>
            </w:pPr>
          </w:p>
          <w:p>
            <w:pPr>
              <w:autoSpaceDE w:val="0"/>
              <w:autoSpaceDN w:val="0"/>
              <w:adjustRightInd w:val="0"/>
              <w:snapToGrid w:val="0"/>
              <w:spacing w:line="480" w:lineRule="exact"/>
              <w:ind w:firstLine="480" w:firstLineChars="200"/>
              <w:rPr>
                <w:rFonts w:hint="eastAsia" w:cs="Times New Roman"/>
                <w:kern w:val="0"/>
                <w:sz w:val="24"/>
                <w:lang w:val="en-US" w:eastAsia="zh-CN"/>
              </w:rPr>
            </w:pPr>
          </w:p>
          <w:p>
            <w:pPr>
              <w:autoSpaceDE w:val="0"/>
              <w:autoSpaceDN w:val="0"/>
              <w:adjustRightInd w:val="0"/>
              <w:snapToGrid w:val="0"/>
              <w:spacing w:line="480" w:lineRule="exact"/>
              <w:ind w:firstLine="480" w:firstLineChars="200"/>
              <w:rPr>
                <w:rFonts w:hint="eastAsia" w:cs="Times New Roman"/>
                <w:kern w:val="0"/>
                <w:sz w:val="24"/>
                <w:lang w:val="en-US" w:eastAsia="zh-CN"/>
              </w:rPr>
            </w:pPr>
          </w:p>
          <w:p>
            <w:pPr>
              <w:autoSpaceDE w:val="0"/>
              <w:autoSpaceDN w:val="0"/>
              <w:adjustRightInd w:val="0"/>
              <w:snapToGrid w:val="0"/>
              <w:spacing w:line="480" w:lineRule="exact"/>
              <w:ind w:firstLine="480" w:firstLineChars="200"/>
              <w:rPr>
                <w:rFonts w:hint="eastAsia" w:cs="Times New Roman"/>
                <w:kern w:val="0"/>
                <w:sz w:val="24"/>
                <w:lang w:val="en-US" w:eastAsia="zh-CN"/>
              </w:rPr>
            </w:pPr>
          </w:p>
          <w:p>
            <w:pPr>
              <w:autoSpaceDE w:val="0"/>
              <w:autoSpaceDN w:val="0"/>
              <w:adjustRightInd w:val="0"/>
              <w:snapToGrid w:val="0"/>
              <w:spacing w:line="480" w:lineRule="exact"/>
              <w:ind w:firstLine="480" w:firstLineChars="200"/>
              <w:rPr>
                <w:rFonts w:hint="eastAsia" w:cs="Times New Roman"/>
                <w:kern w:val="0"/>
                <w:sz w:val="24"/>
                <w:lang w:val="en-US" w:eastAsia="zh-CN"/>
              </w:rPr>
            </w:pPr>
          </w:p>
          <w:p>
            <w:pPr>
              <w:autoSpaceDE w:val="0"/>
              <w:autoSpaceDN w:val="0"/>
              <w:adjustRightInd w:val="0"/>
              <w:snapToGrid w:val="0"/>
              <w:spacing w:line="480" w:lineRule="exact"/>
              <w:ind w:firstLine="480" w:firstLineChars="200"/>
              <w:rPr>
                <w:rFonts w:hint="eastAsia" w:cs="Times New Roman"/>
                <w:kern w:val="0"/>
                <w:sz w:val="24"/>
                <w:lang w:val="en-US" w:eastAsia="zh-CN"/>
              </w:rPr>
            </w:pPr>
          </w:p>
          <w:p>
            <w:pPr>
              <w:autoSpaceDE w:val="0"/>
              <w:autoSpaceDN w:val="0"/>
              <w:adjustRightInd w:val="0"/>
              <w:snapToGrid w:val="0"/>
              <w:spacing w:line="480" w:lineRule="exact"/>
              <w:ind w:firstLine="480" w:firstLineChars="200"/>
              <w:rPr>
                <w:rFonts w:hint="eastAsia" w:cs="Times New Roman"/>
                <w:kern w:val="0"/>
                <w:sz w:val="24"/>
                <w:lang w:val="en-US" w:eastAsia="zh-CN"/>
              </w:rPr>
            </w:pPr>
          </w:p>
          <w:p>
            <w:pPr>
              <w:autoSpaceDE w:val="0"/>
              <w:autoSpaceDN w:val="0"/>
              <w:adjustRightInd w:val="0"/>
              <w:snapToGrid w:val="0"/>
              <w:spacing w:line="480" w:lineRule="exact"/>
              <w:ind w:firstLine="480" w:firstLineChars="200"/>
              <w:rPr>
                <w:rFonts w:hint="eastAsia" w:cs="Times New Roman"/>
                <w:kern w:val="0"/>
                <w:sz w:val="24"/>
                <w:lang w:val="en-US" w:eastAsia="zh-CN"/>
              </w:rPr>
            </w:pPr>
          </w:p>
          <w:p>
            <w:pPr>
              <w:autoSpaceDE w:val="0"/>
              <w:autoSpaceDN w:val="0"/>
              <w:adjustRightInd w:val="0"/>
              <w:snapToGrid w:val="0"/>
              <w:spacing w:line="480" w:lineRule="exact"/>
              <w:ind w:firstLine="480" w:firstLineChars="200"/>
              <w:rPr>
                <w:rFonts w:hint="eastAsia" w:cs="Times New Roman"/>
                <w:kern w:val="0"/>
                <w:sz w:val="24"/>
                <w:lang w:val="en-US" w:eastAsia="zh-CN"/>
              </w:rPr>
            </w:pPr>
          </w:p>
          <w:p>
            <w:pPr>
              <w:autoSpaceDE w:val="0"/>
              <w:autoSpaceDN w:val="0"/>
              <w:adjustRightInd w:val="0"/>
              <w:snapToGrid w:val="0"/>
              <w:spacing w:line="480" w:lineRule="exact"/>
              <w:ind w:firstLine="480" w:firstLineChars="200"/>
              <w:rPr>
                <w:rFonts w:hint="eastAsia" w:cs="Times New Roman"/>
                <w:kern w:val="0"/>
                <w:sz w:val="24"/>
                <w:lang w:val="en-US" w:eastAsia="zh-CN"/>
              </w:rPr>
            </w:pPr>
          </w:p>
          <w:p>
            <w:pPr>
              <w:autoSpaceDE w:val="0"/>
              <w:autoSpaceDN w:val="0"/>
              <w:adjustRightInd w:val="0"/>
              <w:snapToGrid w:val="0"/>
              <w:spacing w:line="480" w:lineRule="exact"/>
              <w:ind w:firstLine="480" w:firstLineChars="200"/>
              <w:rPr>
                <w:rFonts w:hint="eastAsia" w:cs="Times New Roman"/>
                <w:kern w:val="0"/>
                <w:sz w:val="24"/>
                <w:lang w:val="en-US" w:eastAsia="zh-CN"/>
              </w:rPr>
            </w:pPr>
          </w:p>
          <w:p>
            <w:pPr>
              <w:autoSpaceDE w:val="0"/>
              <w:autoSpaceDN w:val="0"/>
              <w:adjustRightInd w:val="0"/>
              <w:snapToGrid w:val="0"/>
              <w:spacing w:line="480" w:lineRule="exact"/>
              <w:ind w:firstLine="480" w:firstLineChars="200"/>
              <w:rPr>
                <w:rFonts w:hint="eastAsia" w:cs="Times New Roman"/>
                <w:kern w:val="0"/>
                <w:sz w:val="24"/>
                <w:lang w:val="en-US" w:eastAsia="zh-CN"/>
              </w:rPr>
            </w:pPr>
          </w:p>
          <w:p>
            <w:pPr>
              <w:autoSpaceDE w:val="0"/>
              <w:autoSpaceDN w:val="0"/>
              <w:adjustRightInd w:val="0"/>
              <w:snapToGrid w:val="0"/>
              <w:spacing w:line="480" w:lineRule="exact"/>
              <w:ind w:firstLine="480" w:firstLineChars="200"/>
              <w:rPr>
                <w:rFonts w:hint="eastAsia" w:cs="Times New Roman"/>
                <w:kern w:val="0"/>
                <w:sz w:val="24"/>
                <w:lang w:val="en-US" w:eastAsia="zh-CN"/>
              </w:rPr>
            </w:pPr>
          </w:p>
          <w:p>
            <w:pPr>
              <w:autoSpaceDE w:val="0"/>
              <w:autoSpaceDN w:val="0"/>
              <w:adjustRightInd w:val="0"/>
              <w:snapToGrid w:val="0"/>
              <w:spacing w:line="480" w:lineRule="exact"/>
              <w:ind w:firstLine="480" w:firstLineChars="200"/>
              <w:rPr>
                <w:rFonts w:hint="eastAsia" w:cs="Times New Roman"/>
                <w:kern w:val="0"/>
                <w:sz w:val="24"/>
                <w:lang w:val="en-US" w:eastAsia="zh-CN"/>
              </w:rPr>
            </w:pPr>
          </w:p>
          <w:p>
            <w:pPr>
              <w:autoSpaceDE w:val="0"/>
              <w:autoSpaceDN w:val="0"/>
              <w:adjustRightInd w:val="0"/>
              <w:snapToGrid w:val="0"/>
              <w:spacing w:line="480" w:lineRule="exact"/>
              <w:ind w:firstLine="480" w:firstLineChars="200"/>
              <w:rPr>
                <w:rFonts w:hint="default" w:ascii="Times New Roman" w:hAnsi="Times New Roman" w:eastAsia="宋体" w:cs="Times New Roman"/>
                <w:kern w:val="0"/>
                <w:sz w:val="24"/>
                <w:szCs w:val="24"/>
                <w:lang w:val="en-US" w:eastAsia="zh-CN"/>
              </w:rPr>
            </w:pPr>
          </w:p>
        </w:tc>
      </w:tr>
    </w:tbl>
    <w:p>
      <w:pPr>
        <w:sectPr>
          <w:headerReference r:id="rId4" w:type="default"/>
          <w:footerReference r:id="rId5" w:type="default"/>
          <w:pgSz w:w="11906" w:h="16838"/>
          <w:pgMar w:top="1701" w:right="1531" w:bottom="1701" w:left="1531" w:header="1134" w:footer="992" w:gutter="0"/>
          <w:pgBorders>
            <w:top w:val="none" w:sz="0" w:space="0"/>
            <w:left w:val="none" w:sz="0" w:space="0"/>
            <w:bottom w:val="none" w:sz="0" w:space="0"/>
            <w:right w:val="none" w:sz="0" w:space="0"/>
          </w:pgBorders>
          <w:pgNumType w:start="1"/>
          <w:cols w:space="425" w:num="1"/>
          <w:docGrid w:type="lines" w:linePitch="312" w:charSpace="0"/>
        </w:sectPr>
      </w:pPr>
    </w:p>
    <w:p>
      <w:pPr>
        <w:pStyle w:val="19"/>
        <w:jc w:val="center"/>
        <w:outlineLvl w:val="0"/>
        <w:rPr>
          <w:rFonts w:ascii="黑体" w:hAnsi="黑体" w:eastAsia="黑体"/>
          <w:sz w:val="30"/>
          <w:szCs w:val="30"/>
        </w:rPr>
      </w:pPr>
      <w:r>
        <w:rPr>
          <w:rFonts w:hint="eastAsia" w:ascii="黑体" w:hAnsi="黑体" w:eastAsia="黑体"/>
          <w:sz w:val="30"/>
          <w:szCs w:val="30"/>
        </w:rPr>
        <w:t>二、建设内容</w:t>
      </w:r>
    </w:p>
    <w:tbl>
      <w:tblPr>
        <w:tblStyle w:val="21"/>
        <w:tblW w:w="938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32"/>
        <w:gridCol w:w="854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97" w:hRule="atLeast"/>
          <w:jc w:val="center"/>
        </w:trPr>
        <w:tc>
          <w:tcPr>
            <w:tcW w:w="832" w:type="dxa"/>
            <w:tcBorders>
              <w:top w:val="single" w:color="auto" w:sz="8" w:space="0"/>
              <w:left w:val="single" w:color="auto" w:sz="8" w:space="0"/>
              <w:bottom w:val="single" w:color="auto" w:sz="4" w:space="0"/>
              <w:right w:val="single" w:color="auto" w:sz="4" w:space="0"/>
            </w:tcBorders>
            <w:vAlign w:val="center"/>
          </w:tcPr>
          <w:p>
            <w:pPr>
              <w:adjustRightInd w:val="0"/>
              <w:snapToGrid w:val="0"/>
              <w:jc w:val="center"/>
              <w:rPr>
                <w:rFonts w:ascii="宋体" w:hAnsi="宋体"/>
                <w:kern w:val="0"/>
              </w:rPr>
            </w:pPr>
            <w:r>
              <w:rPr>
                <w:rFonts w:hint="eastAsia" w:ascii="宋体" w:hAnsi="宋体"/>
                <w:kern w:val="0"/>
              </w:rPr>
              <w:t>地理位置</w:t>
            </w:r>
          </w:p>
        </w:tc>
        <w:tc>
          <w:tcPr>
            <w:tcW w:w="8549" w:type="dxa"/>
            <w:tcBorders>
              <w:top w:val="single" w:color="auto" w:sz="8" w:space="0"/>
              <w:left w:val="single" w:color="auto" w:sz="4" w:space="0"/>
              <w:bottom w:val="single" w:color="auto" w:sz="4" w:space="0"/>
              <w:right w:val="single" w:color="auto" w:sz="8" w:space="0"/>
            </w:tcBorders>
            <w:vAlign w:val="center"/>
          </w:tcPr>
          <w:p>
            <w:pPr>
              <w:adjustRightInd w:val="0"/>
              <w:snapToGrid w:val="0"/>
              <w:spacing w:line="480" w:lineRule="exact"/>
              <w:ind w:firstLine="480"/>
              <w:rPr>
                <w:rFonts w:hint="default" w:ascii="Times New Roman" w:hAnsi="Times New Roman" w:eastAsia="宋体" w:cs="Times New Roman"/>
                <w:kern w:val="0"/>
                <w:sz w:val="24"/>
                <w:szCs w:val="24"/>
                <w:lang w:val="en-US" w:eastAsia="zh-CN"/>
              </w:rPr>
            </w:pPr>
            <w:r>
              <w:rPr>
                <w:rFonts w:hint="default" w:ascii="Times New Roman" w:hAnsi="Times New Roman" w:cs="Times New Roman"/>
                <w:b/>
                <w:bCs/>
                <w:kern w:val="0"/>
                <w:sz w:val="24"/>
                <w:szCs w:val="24"/>
                <w:lang w:val="en-US" w:eastAsia="zh-CN"/>
              </w:rPr>
              <w:t>东外环路：</w:t>
            </w:r>
            <w:r>
              <w:rPr>
                <w:rFonts w:hint="default" w:ascii="Times New Roman" w:hAnsi="Times New Roman" w:cs="Times New Roman"/>
                <w:kern w:val="0"/>
                <w:sz w:val="24"/>
                <w:szCs w:val="24"/>
                <w:lang w:val="en-US" w:eastAsia="zh-CN"/>
              </w:rPr>
              <w:t>起点为五台南收费站北侧（王庄村牌楼），由南向北k0+470处上跨掉头匝道，k1+910处上跨滤泗河，终点接至五黄路（金水泉宾馆），道路全长2985</w:t>
            </w:r>
            <w:r>
              <w:rPr>
                <w:rFonts w:hint="eastAsia" w:ascii="Times New Roman" w:hAnsi="Times New Roman" w:cs="Times New Roman"/>
                <w:kern w:val="0"/>
                <w:sz w:val="24"/>
                <w:szCs w:val="24"/>
                <w:lang w:val="en-US" w:eastAsia="zh-CN"/>
              </w:rPr>
              <w:t>.25</w:t>
            </w:r>
            <w:r>
              <w:rPr>
                <w:rFonts w:hint="default" w:ascii="Times New Roman" w:hAnsi="Times New Roman" w:cs="Times New Roman"/>
                <w:kern w:val="0"/>
                <w:sz w:val="24"/>
                <w:szCs w:val="24"/>
                <w:lang w:val="en-US" w:eastAsia="zh-CN"/>
              </w:rPr>
              <w:t>m。</w:t>
            </w:r>
          </w:p>
          <w:p>
            <w:pPr>
              <w:adjustRightInd w:val="0"/>
              <w:snapToGrid w:val="0"/>
              <w:spacing w:line="480" w:lineRule="exact"/>
              <w:ind w:firstLine="480"/>
              <w:rPr>
                <w:rFonts w:hint="default" w:ascii="Times New Roman" w:hAnsi="Times New Roman" w:cs="Times New Roman"/>
                <w:kern w:val="0"/>
                <w:sz w:val="24"/>
                <w:szCs w:val="24"/>
                <w:lang w:val="en-US" w:eastAsia="zh-CN"/>
              </w:rPr>
            </w:pPr>
            <w:r>
              <w:rPr>
                <w:rFonts w:hint="default" w:ascii="Times New Roman" w:hAnsi="Times New Roman" w:cs="Times New Roman"/>
                <w:b/>
                <w:bCs/>
                <w:kern w:val="0"/>
                <w:sz w:val="24"/>
                <w:szCs w:val="24"/>
                <w:lang w:val="en-US" w:eastAsia="zh-CN"/>
              </w:rPr>
              <w:t>湖滨大街西延：</w:t>
            </w:r>
            <w:r>
              <w:rPr>
                <w:rFonts w:hint="default" w:ascii="Times New Roman" w:hAnsi="Times New Roman" w:cs="Times New Roman"/>
                <w:kern w:val="0"/>
                <w:sz w:val="24"/>
                <w:szCs w:val="24"/>
                <w:lang w:val="en-US" w:eastAsia="zh-CN"/>
              </w:rPr>
              <w:t>道路起点为规划文昌路，由西向东，穿越唐家湾村，终点与既有湖滨大道相接，道路全长75</w:t>
            </w:r>
            <w:r>
              <w:rPr>
                <w:rFonts w:hint="eastAsia" w:cs="Times New Roman"/>
                <w:kern w:val="0"/>
                <w:sz w:val="24"/>
                <w:szCs w:val="24"/>
                <w:lang w:val="en-US" w:eastAsia="zh-CN"/>
              </w:rPr>
              <w:t>0.829</w:t>
            </w:r>
            <w:r>
              <w:rPr>
                <w:rFonts w:hint="default" w:ascii="Times New Roman" w:hAnsi="Times New Roman" w:cs="Times New Roman"/>
                <w:kern w:val="0"/>
                <w:sz w:val="24"/>
                <w:szCs w:val="24"/>
                <w:lang w:val="en-US" w:eastAsia="zh-CN"/>
              </w:rPr>
              <w:t>m。</w:t>
            </w:r>
          </w:p>
          <w:p>
            <w:pPr>
              <w:adjustRightInd w:val="0"/>
              <w:snapToGrid w:val="0"/>
              <w:spacing w:line="480" w:lineRule="exact"/>
              <w:ind w:firstLine="480"/>
              <w:rPr>
                <w:rFonts w:hint="default" w:ascii="Times New Roman" w:hAnsi="Times New Roman" w:cs="Times New Roman"/>
                <w:kern w:val="0"/>
                <w:sz w:val="24"/>
                <w:szCs w:val="24"/>
                <w:lang w:val="en-US" w:eastAsia="zh-CN"/>
              </w:rPr>
            </w:pPr>
            <w:r>
              <w:rPr>
                <w:rFonts w:hint="default" w:ascii="Times New Roman" w:hAnsi="Times New Roman" w:cs="Times New Roman"/>
                <w:b/>
                <w:bCs/>
                <w:kern w:val="0"/>
                <w:sz w:val="24"/>
                <w:szCs w:val="24"/>
                <w:lang w:val="en-US" w:eastAsia="zh-CN"/>
              </w:rPr>
              <w:t>文昌路：</w:t>
            </w:r>
            <w:r>
              <w:rPr>
                <w:rFonts w:hint="default" w:ascii="Times New Roman" w:hAnsi="Times New Roman" w:cs="Times New Roman"/>
                <w:kern w:val="0"/>
                <w:sz w:val="24"/>
                <w:szCs w:val="24"/>
                <w:lang w:val="en-US" w:eastAsia="zh-CN"/>
              </w:rPr>
              <w:t>道路起点为既有文昌路终点，由南向北沿湖而建，终点至规划湖滨大街，道路全长11</w:t>
            </w:r>
            <w:r>
              <w:rPr>
                <w:rFonts w:hint="eastAsia" w:cs="Times New Roman"/>
                <w:kern w:val="0"/>
                <w:sz w:val="24"/>
                <w:szCs w:val="24"/>
                <w:lang w:val="en-US" w:eastAsia="zh-CN"/>
              </w:rPr>
              <w:t>39.484</w:t>
            </w:r>
            <w:r>
              <w:rPr>
                <w:rFonts w:hint="default" w:ascii="Times New Roman" w:hAnsi="Times New Roman" w:cs="Times New Roman"/>
                <w:kern w:val="0"/>
                <w:sz w:val="24"/>
                <w:szCs w:val="24"/>
                <w:lang w:val="en-US" w:eastAsia="zh-CN"/>
              </w:rPr>
              <w:t>m。</w:t>
            </w:r>
          </w:p>
          <w:p>
            <w:pPr>
              <w:adjustRightInd w:val="0"/>
              <w:snapToGrid w:val="0"/>
              <w:spacing w:line="480" w:lineRule="exact"/>
              <w:ind w:firstLine="480"/>
              <w:rPr>
                <w:rFonts w:ascii="宋体" w:hAnsi="宋体"/>
                <w:kern w:val="0"/>
                <w:sz w:val="24"/>
                <w:szCs w:val="24"/>
              </w:rPr>
            </w:pPr>
            <w:r>
              <w:rPr>
                <w:rFonts w:hint="default" w:ascii="Times New Roman" w:hAnsi="Times New Roman" w:cs="Times New Roman"/>
                <w:color w:val="auto"/>
                <w:kern w:val="0"/>
                <w:sz w:val="24"/>
                <w:szCs w:val="24"/>
              </w:rPr>
              <w:t>本项目地理位置图见附图1，</w:t>
            </w:r>
            <w:r>
              <w:rPr>
                <w:rFonts w:hint="default" w:ascii="Times New Roman" w:hAnsi="Times New Roman" w:cs="Times New Roman"/>
                <w:color w:val="auto"/>
                <w:kern w:val="0"/>
                <w:sz w:val="24"/>
                <w:szCs w:val="24"/>
                <w:lang w:val="en-US" w:eastAsia="zh-CN"/>
              </w:rPr>
              <w:t>项目卫星影像和四邻关系见附图2</w:t>
            </w:r>
            <w:r>
              <w:rPr>
                <w:rFonts w:hint="default" w:ascii="Times New Roman" w:hAnsi="Times New Roman" w:cs="Times New Roman"/>
                <w:color w:val="auto"/>
                <w:kern w:val="0"/>
                <w:sz w:val="24"/>
                <w:szCs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2" w:type="dxa"/>
            <w:tcBorders>
              <w:top w:val="single" w:color="auto" w:sz="4" w:space="0"/>
              <w:left w:val="single" w:color="auto" w:sz="8" w:space="0"/>
              <w:bottom w:val="single" w:color="auto" w:sz="4" w:space="0"/>
              <w:right w:val="single" w:color="auto" w:sz="4" w:space="0"/>
            </w:tcBorders>
            <w:vAlign w:val="center"/>
          </w:tcPr>
          <w:p>
            <w:pPr>
              <w:adjustRightInd w:val="0"/>
              <w:snapToGrid w:val="0"/>
              <w:jc w:val="center"/>
              <w:rPr>
                <w:rFonts w:ascii="宋体" w:hAnsi="宋体"/>
                <w:kern w:val="0"/>
              </w:rPr>
            </w:pPr>
            <w:r>
              <w:rPr>
                <w:rFonts w:hint="eastAsia" w:ascii="宋体" w:hAnsi="宋体"/>
                <w:kern w:val="0"/>
              </w:rPr>
              <w:t>项目组成及规模</w:t>
            </w:r>
          </w:p>
        </w:tc>
        <w:tc>
          <w:tcPr>
            <w:tcW w:w="8549" w:type="dxa"/>
            <w:tcBorders>
              <w:top w:val="single" w:color="auto" w:sz="4" w:space="0"/>
              <w:left w:val="single" w:color="auto" w:sz="4" w:space="0"/>
              <w:bottom w:val="single" w:color="auto" w:sz="4" w:space="0"/>
              <w:right w:val="single" w:color="auto" w:sz="8" w:space="0"/>
            </w:tcBorders>
            <w:vAlign w:val="center"/>
          </w:tcPr>
          <w:p>
            <w:pPr>
              <w:spacing w:line="480" w:lineRule="exact"/>
              <w:ind w:firstLine="480"/>
              <w:rPr>
                <w:rFonts w:hint="default" w:eastAsia="宋体"/>
                <w:b/>
                <w:sz w:val="24"/>
                <w:szCs w:val="24"/>
                <w:lang w:val="en-US" w:eastAsia="zh-CN"/>
              </w:rPr>
            </w:pPr>
            <w:r>
              <w:rPr>
                <w:rFonts w:hint="eastAsia"/>
                <w:b/>
                <w:sz w:val="24"/>
                <w:szCs w:val="24"/>
                <w:lang w:val="en-US" w:eastAsia="zh-CN"/>
              </w:rPr>
              <w:t>1</w:t>
            </w:r>
            <w:r>
              <w:rPr>
                <w:rFonts w:hint="eastAsia"/>
                <w:b/>
                <w:sz w:val="24"/>
                <w:szCs w:val="24"/>
              </w:rPr>
              <w:t>、项目背景</w:t>
            </w:r>
            <w:r>
              <w:rPr>
                <w:rFonts w:hint="eastAsia"/>
                <w:b/>
                <w:sz w:val="24"/>
                <w:szCs w:val="24"/>
                <w:lang w:val="en-US" w:eastAsia="zh-CN"/>
              </w:rPr>
              <w:t>及前期工作进展</w:t>
            </w:r>
          </w:p>
          <w:p>
            <w:pPr>
              <w:keepNext w:val="0"/>
              <w:keepLines w:val="0"/>
              <w:pageBreakBefore w:val="0"/>
              <w:widowControl w:val="0"/>
              <w:kinsoku/>
              <w:wordWrap/>
              <w:overflowPunct/>
              <w:topLinePunct w:val="0"/>
              <w:autoSpaceDE/>
              <w:autoSpaceDN/>
              <w:bidi w:val="0"/>
              <w:adjustRightInd/>
              <w:snapToGrid/>
              <w:spacing w:line="480" w:lineRule="exact"/>
              <w:ind w:firstLine="482"/>
              <w:textAlignment w:val="auto"/>
              <w:rPr>
                <w:rFonts w:hint="default" w:cs="Times New Roman"/>
                <w:b/>
                <w:bCs/>
                <w:kern w:val="0"/>
                <w:sz w:val="24"/>
                <w:lang w:val="en-US" w:eastAsia="zh-CN"/>
              </w:rPr>
            </w:pPr>
            <w:r>
              <w:rPr>
                <w:rFonts w:hint="eastAsia" w:cs="Times New Roman"/>
                <w:b/>
                <w:bCs/>
                <w:kern w:val="0"/>
                <w:sz w:val="24"/>
                <w:lang w:val="en-US" w:eastAsia="zh-CN"/>
              </w:rPr>
              <w:t>（1）项目背景</w:t>
            </w:r>
          </w:p>
          <w:p>
            <w:pPr>
              <w:keepNext w:val="0"/>
              <w:keepLines w:val="0"/>
              <w:pageBreakBefore w:val="0"/>
              <w:widowControl w:val="0"/>
              <w:kinsoku/>
              <w:wordWrap/>
              <w:overflowPunct/>
              <w:topLinePunct w:val="0"/>
              <w:autoSpaceDE/>
              <w:autoSpaceDN/>
              <w:bidi w:val="0"/>
              <w:adjustRightInd/>
              <w:snapToGrid/>
              <w:spacing w:line="480" w:lineRule="exact"/>
              <w:ind w:firstLine="482"/>
              <w:textAlignment w:val="auto"/>
              <w:rPr>
                <w:rFonts w:hint="eastAsia"/>
                <w:bCs/>
                <w:sz w:val="24"/>
                <w:szCs w:val="24"/>
                <w:lang w:val="en-US" w:eastAsia="zh-CN"/>
              </w:rPr>
            </w:pPr>
            <w:r>
              <w:rPr>
                <w:rFonts w:hint="eastAsia" w:cs="Times New Roman"/>
                <w:kern w:val="0"/>
                <w:sz w:val="24"/>
                <w:lang w:val="en-US" w:eastAsia="zh-CN"/>
              </w:rPr>
              <w:t>本项目共包含三条道路：分别为东外环路、湖滨大街西延及文昌路。</w:t>
            </w:r>
          </w:p>
          <w:p>
            <w:pPr>
              <w:keepNext w:val="0"/>
              <w:keepLines w:val="0"/>
              <w:pageBreakBefore w:val="0"/>
              <w:widowControl w:val="0"/>
              <w:kinsoku/>
              <w:wordWrap/>
              <w:overflowPunct/>
              <w:topLinePunct w:val="0"/>
              <w:autoSpaceDE/>
              <w:autoSpaceDN/>
              <w:bidi w:val="0"/>
              <w:adjustRightInd/>
              <w:snapToGrid/>
              <w:spacing w:line="480" w:lineRule="exact"/>
              <w:ind w:firstLine="482"/>
              <w:textAlignment w:val="auto"/>
              <w:rPr>
                <w:rFonts w:hint="eastAsia"/>
                <w:bCs/>
                <w:sz w:val="24"/>
                <w:szCs w:val="24"/>
                <w:lang w:val="en-US" w:eastAsia="zh-CN"/>
              </w:rPr>
            </w:pPr>
            <w:r>
              <w:rPr>
                <w:rFonts w:hint="eastAsia"/>
                <w:b/>
                <w:bCs/>
                <w:kern w:val="0"/>
                <w:sz w:val="24"/>
                <w:lang w:val="en-US" w:eastAsia="zh-CN"/>
              </w:rPr>
              <w:t>东外环路：</w:t>
            </w:r>
            <w:r>
              <w:rPr>
                <w:rFonts w:hint="eastAsia"/>
                <w:b w:val="0"/>
                <w:bCs w:val="0"/>
                <w:kern w:val="0"/>
                <w:sz w:val="24"/>
                <w:lang w:val="en-US" w:eastAsia="zh-CN"/>
              </w:rPr>
              <w:t>现</w:t>
            </w:r>
            <w:r>
              <w:rPr>
                <w:rFonts w:hint="eastAsia"/>
                <w:kern w:val="0"/>
                <w:sz w:val="24"/>
                <w:lang w:val="en-US" w:eastAsia="zh-CN"/>
              </w:rPr>
              <w:t>有</w:t>
            </w:r>
            <w:r>
              <w:rPr>
                <w:rFonts w:hint="eastAsia" w:cs="Times New Roman"/>
                <w:kern w:val="0"/>
                <w:sz w:val="24"/>
                <w:szCs w:val="24"/>
                <w:lang w:val="en-US" w:eastAsia="zh-CN"/>
              </w:rPr>
              <w:t>东外环路作为城南区对外交通的一条主要通道，是规划路网中的一环；现有东外环路为南北走向，城市主干路；东外环路作为五台县城对外交通的主要交通要道，现状道路宽度较窄，随着五台县经济社会发展，交通量需求必将大大增加，现状道路已不能满足交通需求。</w:t>
            </w:r>
          </w:p>
          <w:p>
            <w:pPr>
              <w:keepNext w:val="0"/>
              <w:keepLines w:val="0"/>
              <w:pageBreakBefore w:val="0"/>
              <w:widowControl w:val="0"/>
              <w:kinsoku/>
              <w:wordWrap/>
              <w:overflowPunct/>
              <w:topLinePunct w:val="0"/>
              <w:autoSpaceDE/>
              <w:autoSpaceDN/>
              <w:bidi w:val="0"/>
              <w:adjustRightInd/>
              <w:snapToGrid/>
              <w:spacing w:line="480" w:lineRule="exact"/>
              <w:ind w:firstLine="482"/>
              <w:textAlignment w:val="auto"/>
              <w:rPr>
                <w:rFonts w:hint="eastAsia"/>
                <w:bCs/>
                <w:sz w:val="24"/>
                <w:szCs w:val="24"/>
                <w:lang w:val="en-US" w:eastAsia="zh-CN"/>
              </w:rPr>
            </w:pPr>
            <w:r>
              <w:rPr>
                <w:rFonts w:hint="eastAsia"/>
                <w:b/>
                <w:bCs/>
                <w:kern w:val="0"/>
                <w:sz w:val="24"/>
                <w:lang w:val="en-US" w:eastAsia="zh-CN"/>
              </w:rPr>
              <w:t>文昌路：</w:t>
            </w:r>
            <w:r>
              <w:rPr>
                <w:rFonts w:hint="eastAsia"/>
                <w:b w:val="0"/>
                <w:bCs w:val="0"/>
                <w:kern w:val="0"/>
                <w:sz w:val="24"/>
                <w:lang w:val="en-US" w:eastAsia="zh-CN"/>
              </w:rPr>
              <w:t>文昌路既是中心城区南北向的主要道路，也是城北新区的一条环湖道路，是规划路网中的一纵；</w:t>
            </w:r>
            <w:r>
              <w:rPr>
                <w:rFonts w:hint="eastAsia" w:cs="Times New Roman"/>
                <w:kern w:val="0"/>
                <w:sz w:val="24"/>
                <w:szCs w:val="24"/>
                <w:lang w:val="en-US" w:eastAsia="zh-CN"/>
              </w:rPr>
              <w:t>现有</w:t>
            </w:r>
            <w:r>
              <w:rPr>
                <w:rFonts w:hint="eastAsia"/>
                <w:b w:val="0"/>
                <w:bCs w:val="0"/>
                <w:kern w:val="0"/>
                <w:sz w:val="24"/>
                <w:lang w:val="en-US" w:eastAsia="zh-CN"/>
              </w:rPr>
              <w:t>文昌路</w:t>
            </w:r>
            <w:r>
              <w:rPr>
                <w:rFonts w:hint="eastAsia" w:cs="Times New Roman"/>
                <w:kern w:val="0"/>
                <w:sz w:val="24"/>
                <w:szCs w:val="24"/>
                <w:lang w:val="en-US" w:eastAsia="zh-CN"/>
              </w:rPr>
              <w:t>为南北走向，城市主干路；</w:t>
            </w:r>
            <w:r>
              <w:rPr>
                <w:rFonts w:hint="eastAsia"/>
                <w:b w:val="0"/>
                <w:bCs w:val="0"/>
                <w:kern w:val="0"/>
                <w:sz w:val="24"/>
                <w:lang w:val="en-US" w:eastAsia="zh-CN"/>
              </w:rPr>
              <w:t>文昌路环唐家湾水库段作为唐家湾水库的西环路，现状路面破坏严重，坑洼不平，路面较窄且弯多，行车视线不好，急需裁弯取直，扩宽路面。</w:t>
            </w:r>
          </w:p>
          <w:p>
            <w:pPr>
              <w:keepNext w:val="0"/>
              <w:keepLines w:val="0"/>
              <w:pageBreakBefore w:val="0"/>
              <w:widowControl w:val="0"/>
              <w:kinsoku/>
              <w:wordWrap/>
              <w:overflowPunct/>
              <w:topLinePunct w:val="0"/>
              <w:autoSpaceDE/>
              <w:autoSpaceDN/>
              <w:bidi w:val="0"/>
              <w:adjustRightInd/>
              <w:snapToGrid/>
              <w:spacing w:line="480" w:lineRule="exact"/>
              <w:ind w:firstLine="482"/>
              <w:textAlignment w:val="auto"/>
              <w:rPr>
                <w:rFonts w:hint="eastAsia"/>
                <w:bCs/>
                <w:sz w:val="24"/>
                <w:szCs w:val="24"/>
                <w:lang w:val="en-US" w:eastAsia="zh-CN"/>
              </w:rPr>
            </w:pPr>
            <w:r>
              <w:rPr>
                <w:rFonts w:hint="eastAsia"/>
                <w:b/>
                <w:bCs/>
                <w:kern w:val="0"/>
                <w:sz w:val="24"/>
                <w:lang w:val="en-US" w:eastAsia="zh-CN"/>
              </w:rPr>
              <w:t>湖滨大街：</w:t>
            </w:r>
            <w:r>
              <w:rPr>
                <w:rFonts w:hint="eastAsia" w:cs="Times New Roman"/>
                <w:kern w:val="0"/>
                <w:sz w:val="24"/>
                <w:szCs w:val="24"/>
                <w:lang w:val="en-US" w:eastAsia="zh-CN"/>
              </w:rPr>
              <w:t>湖滨大街作为中心城区东西向的主要通道，是规划路网中的一横；现有湖滨大街为东西走向，城市主干路；湖滨大街西延作为湖滨大街向西的延伸段，一直因为唐家湾村的拆迁而使湖滨大街多年形成断头路。</w:t>
            </w:r>
          </w:p>
          <w:p>
            <w:pPr>
              <w:keepNext w:val="0"/>
              <w:keepLines w:val="0"/>
              <w:pageBreakBefore w:val="0"/>
              <w:widowControl w:val="0"/>
              <w:kinsoku/>
              <w:wordWrap/>
              <w:overflowPunct/>
              <w:topLinePunct w:val="0"/>
              <w:autoSpaceDE/>
              <w:autoSpaceDN/>
              <w:bidi w:val="0"/>
              <w:adjustRightInd/>
              <w:snapToGrid/>
              <w:spacing w:line="480" w:lineRule="exact"/>
              <w:ind w:firstLine="482"/>
              <w:textAlignment w:val="auto"/>
              <w:rPr>
                <w:rFonts w:hint="default"/>
                <w:bCs/>
                <w:sz w:val="24"/>
                <w:szCs w:val="24"/>
                <w:lang w:val="en-US" w:eastAsia="zh-CN"/>
              </w:rPr>
            </w:pPr>
            <w:r>
              <w:rPr>
                <w:rFonts w:hint="eastAsia"/>
                <w:bCs/>
                <w:sz w:val="24"/>
                <w:szCs w:val="24"/>
                <w:lang w:val="en-US" w:eastAsia="zh-CN"/>
              </w:rPr>
              <w:t>本项目为对现有东外环路扩宽，对文昌路环唐家湾水库段进行改建，新建湖滨大街西延段；同时配套建设</w:t>
            </w:r>
            <w:r>
              <w:rPr>
                <w:rFonts w:hint="eastAsia" w:ascii="宋体" w:hAnsi="宋体"/>
                <w:bCs/>
                <w:sz w:val="24"/>
                <w:szCs w:val="24"/>
                <w:lang w:val="en-US" w:eastAsia="zh-CN"/>
              </w:rPr>
              <w:t>给水工程、污水工程、雨水工程、电力工程、电信工程、照明工程、防护工程、交通工程、绿化工程等。</w:t>
            </w:r>
            <w:r>
              <w:rPr>
                <w:rFonts w:hint="eastAsia"/>
                <w:kern w:val="0"/>
                <w:sz w:val="24"/>
                <w:lang w:val="en-US" w:eastAsia="zh-CN"/>
              </w:rPr>
              <w:t>本项目</w:t>
            </w:r>
            <w:r>
              <w:rPr>
                <w:rFonts w:hint="default" w:ascii="Times New Roman" w:hAnsi="Times New Roman" w:cs="Times New Roman"/>
                <w:sz w:val="24"/>
                <w:szCs w:val="24"/>
              </w:rPr>
              <w:t>湖滨大街西延等三条道路</w:t>
            </w:r>
            <w:r>
              <w:rPr>
                <w:rFonts w:hint="eastAsia"/>
                <w:kern w:val="0"/>
                <w:sz w:val="24"/>
                <w:lang w:val="en-US" w:eastAsia="zh-CN"/>
              </w:rPr>
              <w:t>均是五台县路网中的主要骨架，</w:t>
            </w:r>
            <w:r>
              <w:rPr>
                <w:rFonts w:hint="eastAsia" w:cs="Times New Roman"/>
                <w:kern w:val="0"/>
                <w:sz w:val="24"/>
                <w:szCs w:val="24"/>
                <w:lang w:val="en-US" w:eastAsia="zh-CN"/>
              </w:rPr>
              <w:t>本项目的实施将促进</w:t>
            </w:r>
            <w:r>
              <w:rPr>
                <w:rFonts w:hint="default" w:ascii="Times New Roman" w:hAnsi="Times New Roman" w:cs="Times New Roman"/>
                <w:kern w:val="0"/>
                <w:sz w:val="24"/>
                <w:szCs w:val="24"/>
                <w:lang w:val="en-US" w:eastAsia="zh-CN"/>
              </w:rPr>
              <w:t>《五台县县城总体规划》（2012~2030）中</w:t>
            </w:r>
            <w:r>
              <w:rPr>
                <w:rFonts w:hint="eastAsia" w:cs="Times New Roman"/>
                <w:kern w:val="0"/>
                <w:sz w:val="24"/>
                <w:szCs w:val="24"/>
                <w:lang w:val="en-US" w:eastAsia="zh-CN"/>
              </w:rPr>
              <w:t>“</w:t>
            </w:r>
            <w:r>
              <w:rPr>
                <w:rFonts w:hint="default" w:ascii="Times New Roman" w:hAnsi="Times New Roman" w:cs="Times New Roman"/>
                <w:kern w:val="0"/>
                <w:sz w:val="24"/>
                <w:szCs w:val="24"/>
                <w:lang w:val="en-US" w:eastAsia="zh-CN"/>
              </w:rPr>
              <w:t>道路交通规划</w:t>
            </w:r>
            <w:r>
              <w:rPr>
                <w:rFonts w:hint="eastAsia" w:cs="Times New Roman"/>
                <w:kern w:val="0"/>
                <w:sz w:val="24"/>
                <w:szCs w:val="24"/>
                <w:lang w:val="en-US" w:eastAsia="zh-CN"/>
              </w:rPr>
              <w:t>”的实施，项目建设完成后对五台县中心城区道路网的完善具有重要意义。</w:t>
            </w:r>
          </w:p>
          <w:p>
            <w:pPr>
              <w:keepNext w:val="0"/>
              <w:keepLines w:val="0"/>
              <w:pageBreakBefore w:val="0"/>
              <w:widowControl w:val="0"/>
              <w:kinsoku/>
              <w:wordWrap/>
              <w:overflowPunct/>
              <w:topLinePunct w:val="0"/>
              <w:autoSpaceDE/>
              <w:autoSpaceDN/>
              <w:bidi w:val="0"/>
              <w:adjustRightInd/>
              <w:snapToGrid/>
              <w:spacing w:line="480" w:lineRule="exact"/>
              <w:ind w:firstLine="482"/>
              <w:textAlignment w:val="auto"/>
              <w:rPr>
                <w:rFonts w:hint="default"/>
                <w:b/>
                <w:bCs w:val="0"/>
                <w:sz w:val="24"/>
                <w:szCs w:val="24"/>
                <w:lang w:val="en-US" w:eastAsia="zh-CN"/>
              </w:rPr>
            </w:pPr>
            <w:r>
              <w:rPr>
                <w:rFonts w:hint="eastAsia"/>
                <w:b/>
                <w:bCs w:val="0"/>
                <w:sz w:val="24"/>
                <w:szCs w:val="24"/>
                <w:lang w:val="en-US" w:eastAsia="zh-CN"/>
              </w:rPr>
              <w:t>（2）本项目前期工作进展</w:t>
            </w:r>
          </w:p>
          <w:p>
            <w:pPr>
              <w:keepNext w:val="0"/>
              <w:keepLines w:val="0"/>
              <w:pageBreakBefore w:val="0"/>
              <w:widowControl w:val="0"/>
              <w:kinsoku/>
              <w:wordWrap/>
              <w:overflowPunct/>
              <w:topLinePunct w:val="0"/>
              <w:autoSpaceDE/>
              <w:autoSpaceDN/>
              <w:bidi w:val="0"/>
              <w:adjustRightInd/>
              <w:snapToGrid/>
              <w:spacing w:line="480" w:lineRule="exact"/>
              <w:ind w:firstLine="482"/>
              <w:textAlignment w:val="auto"/>
              <w:rPr>
                <w:rFonts w:hint="default"/>
                <w:bCs/>
                <w:sz w:val="24"/>
                <w:szCs w:val="24"/>
                <w:lang w:val="en-US" w:eastAsia="zh-CN"/>
              </w:rPr>
            </w:pPr>
            <w:r>
              <w:rPr>
                <w:rFonts w:hint="eastAsia"/>
                <w:bCs/>
                <w:sz w:val="24"/>
                <w:szCs w:val="24"/>
                <w:lang w:val="en-US" w:eastAsia="zh-CN"/>
              </w:rPr>
              <w:t>① 2022年8月1日，本项目取得《五台县行政审批服务管理局关于五台县湖滨大街西延等三条道路管网建设项目可行性研究报告的批复》（五审管函〔2022〕78号）；</w:t>
            </w:r>
          </w:p>
          <w:p>
            <w:pPr>
              <w:keepNext w:val="0"/>
              <w:keepLines w:val="0"/>
              <w:pageBreakBefore w:val="0"/>
              <w:widowControl w:val="0"/>
              <w:kinsoku/>
              <w:wordWrap/>
              <w:overflowPunct/>
              <w:topLinePunct w:val="0"/>
              <w:autoSpaceDE/>
              <w:autoSpaceDN/>
              <w:bidi w:val="0"/>
              <w:adjustRightInd/>
              <w:snapToGrid/>
              <w:spacing w:line="480" w:lineRule="exact"/>
              <w:ind w:firstLine="482"/>
              <w:textAlignment w:val="auto"/>
              <w:rPr>
                <w:rFonts w:hint="default"/>
                <w:bCs/>
                <w:sz w:val="24"/>
                <w:szCs w:val="24"/>
                <w:lang w:val="en-US" w:eastAsia="zh-CN"/>
              </w:rPr>
            </w:pPr>
            <w:r>
              <w:rPr>
                <w:rFonts w:hint="eastAsia"/>
                <w:bCs/>
                <w:sz w:val="24"/>
                <w:szCs w:val="24"/>
                <w:lang w:val="en-US" w:eastAsia="zh-CN"/>
              </w:rPr>
              <w:t>② 2022年8月1日，本项目取得《五台县自然资源局关于五台县湖滨大街西延等三条道路管网建设项目用地预审与选址意见书的复函》（五自然资函〔2022〕56号）</w:t>
            </w:r>
          </w:p>
          <w:p>
            <w:pPr>
              <w:keepNext w:val="0"/>
              <w:keepLines w:val="0"/>
              <w:pageBreakBefore w:val="0"/>
              <w:widowControl w:val="0"/>
              <w:kinsoku/>
              <w:wordWrap/>
              <w:overflowPunct/>
              <w:topLinePunct w:val="0"/>
              <w:autoSpaceDE/>
              <w:autoSpaceDN/>
              <w:bidi w:val="0"/>
              <w:adjustRightInd/>
              <w:snapToGrid/>
              <w:spacing w:line="480" w:lineRule="exact"/>
              <w:ind w:firstLine="482"/>
              <w:textAlignment w:val="auto"/>
              <w:rPr>
                <w:rFonts w:hint="default"/>
                <w:bCs/>
                <w:sz w:val="24"/>
                <w:szCs w:val="24"/>
                <w:lang w:val="en-US" w:eastAsia="zh-CN"/>
              </w:rPr>
            </w:pPr>
            <w:r>
              <w:rPr>
                <w:rFonts w:hint="eastAsia"/>
                <w:bCs/>
                <w:sz w:val="24"/>
                <w:szCs w:val="24"/>
                <w:lang w:val="en-US" w:eastAsia="zh-CN"/>
              </w:rPr>
              <w:t>③ 2022年8月5日，本项目取得《建设项目用地预审与选址意见书》（用字第140922202201003号）；</w:t>
            </w:r>
          </w:p>
          <w:p>
            <w:pPr>
              <w:keepNext w:val="0"/>
              <w:keepLines w:val="0"/>
              <w:pageBreakBefore w:val="0"/>
              <w:widowControl w:val="0"/>
              <w:kinsoku/>
              <w:wordWrap/>
              <w:overflowPunct/>
              <w:topLinePunct w:val="0"/>
              <w:autoSpaceDE/>
              <w:autoSpaceDN/>
              <w:bidi w:val="0"/>
              <w:adjustRightInd/>
              <w:snapToGrid/>
              <w:spacing w:line="480" w:lineRule="exact"/>
              <w:ind w:firstLine="482"/>
              <w:textAlignment w:val="auto"/>
              <w:rPr>
                <w:rFonts w:hint="default"/>
                <w:bCs/>
                <w:sz w:val="24"/>
                <w:szCs w:val="24"/>
                <w:lang w:val="en-US" w:eastAsia="zh-CN"/>
              </w:rPr>
            </w:pPr>
            <w:r>
              <w:rPr>
                <w:rFonts w:hint="eastAsia"/>
                <w:bCs/>
                <w:sz w:val="24"/>
                <w:szCs w:val="24"/>
                <w:lang w:val="en-US" w:eastAsia="zh-CN"/>
              </w:rPr>
              <w:t>④ 2022年8月3日，本项目取得《五台县行政审批服务管理局关于五台县湖滨大街西延等三条道路管网建设项目（东外环路桥工程K0+447.251、K1+922.621处桥梁）防洪评价报告的批复》（五审管函〔2022〕80号）；</w:t>
            </w:r>
          </w:p>
          <w:p>
            <w:pPr>
              <w:keepNext w:val="0"/>
              <w:keepLines w:val="0"/>
              <w:pageBreakBefore w:val="0"/>
              <w:widowControl w:val="0"/>
              <w:kinsoku/>
              <w:wordWrap/>
              <w:overflowPunct/>
              <w:topLinePunct w:val="0"/>
              <w:autoSpaceDE/>
              <w:autoSpaceDN/>
              <w:bidi w:val="0"/>
              <w:adjustRightInd/>
              <w:snapToGrid/>
              <w:spacing w:line="480" w:lineRule="exact"/>
              <w:ind w:firstLine="482"/>
              <w:textAlignment w:val="auto"/>
              <w:rPr>
                <w:rFonts w:hint="default"/>
                <w:bCs/>
                <w:sz w:val="24"/>
                <w:szCs w:val="24"/>
                <w:lang w:val="en-US" w:eastAsia="zh-CN"/>
              </w:rPr>
            </w:pPr>
            <w:r>
              <w:rPr>
                <w:rFonts w:hint="eastAsia"/>
                <w:bCs/>
                <w:sz w:val="24"/>
                <w:szCs w:val="24"/>
                <w:lang w:val="en-US" w:eastAsia="zh-CN"/>
              </w:rPr>
              <w:t>⑤ 2022年8月16日，本项目取得《五台县行政审批服务管理局关于五台县湖滨大街西延等三条道路管网建设项目文昌路跨河（库）桥梁防洪评价报告的批复》（五审管函〔2022〕80号）；</w:t>
            </w:r>
          </w:p>
          <w:p>
            <w:pPr>
              <w:keepNext w:val="0"/>
              <w:keepLines w:val="0"/>
              <w:pageBreakBefore w:val="0"/>
              <w:widowControl w:val="0"/>
              <w:kinsoku/>
              <w:wordWrap/>
              <w:overflowPunct/>
              <w:topLinePunct w:val="0"/>
              <w:autoSpaceDE/>
              <w:autoSpaceDN/>
              <w:bidi w:val="0"/>
              <w:adjustRightInd/>
              <w:snapToGrid/>
              <w:spacing w:line="480" w:lineRule="exact"/>
              <w:ind w:firstLine="482"/>
              <w:textAlignment w:val="auto"/>
              <w:rPr>
                <w:rFonts w:hint="default"/>
                <w:bCs/>
                <w:sz w:val="24"/>
                <w:szCs w:val="24"/>
                <w:lang w:val="en-US" w:eastAsia="zh-CN"/>
              </w:rPr>
            </w:pPr>
            <w:r>
              <w:rPr>
                <w:rFonts w:hint="eastAsia"/>
                <w:bCs/>
                <w:sz w:val="24"/>
                <w:szCs w:val="24"/>
                <w:lang w:val="en-US" w:eastAsia="zh-CN"/>
              </w:rPr>
              <w:t>⑥ 2022年10月22日，本项目取得《五台县行政审批服务管理局关于五台县湖滨大街西延等三条道路管网建设项目初步设计的批复》（五审管函〔2022〕129号）；</w:t>
            </w:r>
          </w:p>
          <w:p>
            <w:pPr>
              <w:keepNext w:val="0"/>
              <w:keepLines w:val="0"/>
              <w:pageBreakBefore w:val="0"/>
              <w:widowControl w:val="0"/>
              <w:kinsoku/>
              <w:wordWrap/>
              <w:overflowPunct/>
              <w:topLinePunct w:val="0"/>
              <w:autoSpaceDE/>
              <w:autoSpaceDN/>
              <w:bidi w:val="0"/>
              <w:adjustRightInd/>
              <w:snapToGrid/>
              <w:spacing w:line="480" w:lineRule="exact"/>
              <w:ind w:firstLine="482"/>
              <w:textAlignment w:val="auto"/>
              <w:rPr>
                <w:rFonts w:hint="default"/>
                <w:b/>
                <w:bCs w:val="0"/>
                <w:sz w:val="24"/>
                <w:szCs w:val="24"/>
                <w:lang w:val="en-US" w:eastAsia="zh-CN"/>
              </w:rPr>
            </w:pPr>
            <w:r>
              <w:rPr>
                <w:rFonts w:hint="eastAsia"/>
                <w:b/>
                <w:bCs w:val="0"/>
                <w:sz w:val="24"/>
                <w:szCs w:val="24"/>
                <w:lang w:val="en-US" w:eastAsia="zh-CN"/>
              </w:rPr>
              <w:t>（3）建设性质及建设情况：</w:t>
            </w:r>
          </w:p>
          <w:p>
            <w:pPr>
              <w:spacing w:line="480" w:lineRule="exact"/>
              <w:ind w:firstLine="480"/>
              <w:rPr>
                <w:rFonts w:hint="default" w:ascii="Times New Roman" w:hAnsi="Times New Roman" w:eastAsia="宋体" w:cs="Times New Roman"/>
                <w:b w:val="0"/>
                <w:bCs/>
                <w:sz w:val="24"/>
                <w:szCs w:val="24"/>
                <w:lang w:val="en-US" w:eastAsia="zh-CN"/>
              </w:rPr>
            </w:pPr>
            <w:r>
              <w:rPr>
                <w:rFonts w:hint="eastAsia" w:cs="Times New Roman"/>
                <w:b w:val="0"/>
                <w:bCs/>
                <w:sz w:val="24"/>
                <w:szCs w:val="24"/>
                <w:lang w:val="en-US" w:eastAsia="zh-CN"/>
              </w:rPr>
              <w:t>东外环路建设性质为扩建，根据现场踏勘，尚未开工建设。</w:t>
            </w:r>
          </w:p>
          <w:p>
            <w:pPr>
              <w:spacing w:line="480" w:lineRule="exact"/>
              <w:ind w:firstLine="480"/>
              <w:rPr>
                <w:rFonts w:hint="default" w:ascii="Times New Roman" w:hAnsi="Times New Roman" w:eastAsia="宋体" w:cs="Times New Roman"/>
                <w:b w:val="0"/>
                <w:bCs/>
                <w:sz w:val="24"/>
                <w:szCs w:val="24"/>
                <w:lang w:val="en-US" w:eastAsia="zh-CN"/>
              </w:rPr>
            </w:pPr>
            <w:r>
              <w:rPr>
                <w:rFonts w:hint="eastAsia" w:cs="Times New Roman"/>
                <w:b w:val="0"/>
                <w:bCs/>
                <w:sz w:val="24"/>
                <w:szCs w:val="24"/>
                <w:lang w:val="en-US" w:eastAsia="zh-CN"/>
              </w:rPr>
              <w:t>湖滨大街西延建设性质为新建，根据现场踏勘，尚未开工建设。</w:t>
            </w:r>
          </w:p>
          <w:p>
            <w:pPr>
              <w:spacing w:line="480" w:lineRule="exact"/>
              <w:ind w:firstLine="480"/>
              <w:rPr>
                <w:rFonts w:hint="default" w:ascii="Times New Roman" w:hAnsi="Times New Roman" w:eastAsia="宋体" w:cs="Times New Roman"/>
                <w:b w:val="0"/>
                <w:bCs/>
                <w:sz w:val="24"/>
                <w:szCs w:val="24"/>
                <w:lang w:val="en-US" w:eastAsia="zh-CN"/>
              </w:rPr>
            </w:pPr>
            <w:r>
              <w:rPr>
                <w:rFonts w:hint="eastAsia" w:cs="Times New Roman"/>
                <w:b w:val="0"/>
                <w:bCs/>
                <w:sz w:val="24"/>
                <w:szCs w:val="24"/>
                <w:lang w:val="en-US" w:eastAsia="zh-CN"/>
              </w:rPr>
              <w:t>文昌路建设性质为改建，根据现场踏勘，尚未开工建设。</w:t>
            </w:r>
          </w:p>
          <w:p>
            <w:pPr>
              <w:spacing w:line="480" w:lineRule="exact"/>
              <w:ind w:firstLine="480"/>
              <w:rPr>
                <w:b/>
                <w:sz w:val="24"/>
                <w:szCs w:val="24"/>
              </w:rPr>
            </w:pPr>
            <w:r>
              <w:rPr>
                <w:rFonts w:hint="eastAsia"/>
                <w:b/>
                <w:sz w:val="24"/>
                <w:szCs w:val="24"/>
                <w:lang w:val="en-US" w:eastAsia="zh-CN"/>
              </w:rPr>
              <w:t>2</w:t>
            </w:r>
            <w:r>
              <w:rPr>
                <w:rFonts w:hint="eastAsia" w:ascii="宋体" w:hAnsi="宋体"/>
                <w:b/>
                <w:sz w:val="24"/>
                <w:szCs w:val="24"/>
              </w:rPr>
              <w:t>、</w:t>
            </w:r>
            <w:r>
              <w:rPr>
                <w:rFonts w:hint="eastAsia" w:ascii="宋体" w:hAnsi="宋体"/>
                <w:b/>
                <w:sz w:val="24"/>
                <w:szCs w:val="24"/>
                <w:lang w:val="en-US" w:eastAsia="zh-CN"/>
              </w:rPr>
              <w:t>建设</w:t>
            </w:r>
            <w:r>
              <w:rPr>
                <w:rFonts w:hint="eastAsia" w:ascii="宋体" w:hAnsi="宋体"/>
                <w:b/>
                <w:sz w:val="24"/>
                <w:szCs w:val="24"/>
              </w:rPr>
              <w:t>规模</w:t>
            </w:r>
          </w:p>
          <w:p>
            <w:pPr>
              <w:spacing w:line="480" w:lineRule="exact"/>
              <w:ind w:firstLine="480"/>
              <w:rPr>
                <w:rFonts w:hint="default" w:ascii="Times New Roman" w:hAnsi="Times New Roman" w:eastAsia="宋体" w:cs="Times New Roman"/>
                <w:bCs/>
                <w:sz w:val="24"/>
                <w:szCs w:val="24"/>
                <w:lang w:val="en-US" w:eastAsia="zh-CN"/>
              </w:rPr>
            </w:pPr>
            <w:r>
              <w:rPr>
                <w:rFonts w:hint="default" w:ascii="Times New Roman" w:hAnsi="Times New Roman" w:cs="Times New Roman"/>
                <w:bCs/>
                <w:sz w:val="24"/>
                <w:szCs w:val="24"/>
                <w:lang w:val="en-US" w:eastAsia="zh-CN"/>
              </w:rPr>
              <w:t>本项目共建设三条路：分别为东外环路、湖滨大街西延、文昌路。</w:t>
            </w:r>
          </w:p>
          <w:p>
            <w:pPr>
              <w:spacing w:line="480" w:lineRule="exact"/>
              <w:ind w:firstLine="480"/>
              <w:rPr>
                <w:rFonts w:hint="default" w:ascii="Times New Roman" w:hAnsi="Times New Roman" w:eastAsia="宋体" w:cs="Times New Roman"/>
                <w:b w:val="0"/>
                <w:bCs/>
                <w:sz w:val="24"/>
                <w:szCs w:val="24"/>
                <w:lang w:val="en-US" w:eastAsia="zh-CN"/>
              </w:rPr>
            </w:pPr>
            <w:r>
              <w:rPr>
                <w:rFonts w:hint="default" w:ascii="Times New Roman" w:hAnsi="Times New Roman" w:eastAsia="宋体" w:cs="Times New Roman"/>
                <w:b/>
                <w:bCs w:val="0"/>
                <w:sz w:val="24"/>
                <w:szCs w:val="24"/>
                <w:lang w:val="en-US" w:eastAsia="zh-CN"/>
              </w:rPr>
              <w:t>东外环路：</w:t>
            </w:r>
            <w:r>
              <w:rPr>
                <w:rFonts w:hint="default" w:ascii="Times New Roman" w:hAnsi="Times New Roman" w:eastAsia="宋体" w:cs="Times New Roman"/>
                <w:b w:val="0"/>
                <w:bCs/>
                <w:sz w:val="24"/>
                <w:szCs w:val="24"/>
                <w:lang w:val="en-US" w:eastAsia="zh-CN"/>
              </w:rPr>
              <w:t>起点为五台南收费站北侧（王庄村牌楼），由南向北k0+470处上跨掉头匝道，k1+910处上跨滤泗河，终点接至五黄路（金水泉宾馆），道路全长2985</w:t>
            </w:r>
            <w:r>
              <w:rPr>
                <w:rFonts w:hint="eastAsia" w:cs="Times New Roman"/>
                <w:b w:val="0"/>
                <w:bCs/>
                <w:sz w:val="24"/>
                <w:szCs w:val="24"/>
                <w:lang w:val="en-US" w:eastAsia="zh-CN"/>
              </w:rPr>
              <w:t>.25</w:t>
            </w:r>
            <w:r>
              <w:rPr>
                <w:rFonts w:hint="default" w:ascii="Times New Roman" w:hAnsi="Times New Roman" w:eastAsia="宋体" w:cs="Times New Roman"/>
                <w:b w:val="0"/>
                <w:bCs/>
                <w:sz w:val="24"/>
                <w:szCs w:val="24"/>
                <w:lang w:val="en-US" w:eastAsia="zh-CN"/>
              </w:rPr>
              <w:t>m，城市主干路，设计速度50km/h，红线宽26~46m。五台南收费站至滤泗河北岸路段（长1960m）：道路红线宽度为26m，横断面形式为：12m宽既有左幅道路（维持现状）+2m新建绿化带+12m新建机动车道；滤泗河北岸至五黄路段（长1025m）：道路红线宽度46m，横断面形式为：4m人行道+5m非机动车道+3m绿化带+22m机动车道+3m绿化带+5m非机动车道+4m人行道。道路沿线新建2座75m中桥(K0+447.251、K1+922.621)，桥宽12m，设置涵洞4座，其中4m宽盖板涵洞3座(K1+622、K2+237、K2+980)，直径2米管涵1座（K1+559）。</w:t>
            </w:r>
          </w:p>
          <w:p>
            <w:pPr>
              <w:spacing w:line="480" w:lineRule="exact"/>
              <w:ind w:firstLine="480"/>
              <w:rPr>
                <w:rFonts w:hint="default" w:ascii="Times New Roman" w:hAnsi="Times New Roman" w:eastAsia="宋体" w:cs="Times New Roman"/>
                <w:b w:val="0"/>
                <w:bCs/>
                <w:sz w:val="24"/>
                <w:szCs w:val="24"/>
                <w:lang w:val="en-US" w:eastAsia="zh-CN"/>
              </w:rPr>
            </w:pPr>
            <w:r>
              <w:rPr>
                <w:rFonts w:hint="default" w:ascii="Times New Roman" w:hAnsi="Times New Roman" w:eastAsia="宋体" w:cs="Times New Roman"/>
                <w:b/>
                <w:bCs w:val="0"/>
                <w:sz w:val="24"/>
                <w:szCs w:val="24"/>
                <w:lang w:val="en-US" w:eastAsia="zh-CN"/>
              </w:rPr>
              <w:t>湖滨大街西延：</w:t>
            </w:r>
            <w:r>
              <w:rPr>
                <w:rFonts w:hint="default" w:ascii="Times New Roman" w:hAnsi="Times New Roman" w:eastAsia="宋体" w:cs="Times New Roman"/>
                <w:b w:val="0"/>
                <w:bCs/>
                <w:sz w:val="24"/>
                <w:szCs w:val="24"/>
                <w:lang w:val="en-US" w:eastAsia="zh-CN"/>
              </w:rPr>
              <w:t>道路起点为规划文昌路，由西向东，穿越唐家湾村，终点与既有湖滨大道相接，道路全长750.829m，城市主干路，设计速度50km/h，道路红线宽50m；横断面形式为：4.5m人行道+6m非机动车道+3m绿化带+23m机动车道+3m绿化带+6m非机动车道+4.5m人行道。道路沿线新建1.8m×1.2m盖板涵洞1座(K1+620)，直径2米管涵1座（K1+800）。</w:t>
            </w:r>
          </w:p>
          <w:p>
            <w:pPr>
              <w:spacing w:line="480" w:lineRule="exact"/>
              <w:ind w:firstLine="480"/>
              <w:rPr>
                <w:rFonts w:hint="default" w:ascii="Times New Roman" w:hAnsi="Times New Roman" w:cs="Times New Roman"/>
                <w:b w:val="0"/>
                <w:bCs/>
                <w:sz w:val="24"/>
                <w:szCs w:val="24"/>
                <w:lang w:val="en-US" w:eastAsia="zh-CN"/>
              </w:rPr>
            </w:pPr>
            <w:r>
              <w:rPr>
                <w:rFonts w:hint="default" w:ascii="Times New Roman" w:hAnsi="Times New Roman" w:cs="Times New Roman"/>
                <w:b/>
                <w:bCs w:val="0"/>
                <w:sz w:val="24"/>
                <w:szCs w:val="24"/>
                <w:lang w:val="en-US" w:eastAsia="zh-CN"/>
              </w:rPr>
              <w:t>文昌路：</w:t>
            </w:r>
            <w:r>
              <w:rPr>
                <w:rFonts w:hint="default" w:ascii="Times New Roman" w:hAnsi="Times New Roman" w:cs="Times New Roman"/>
                <w:b w:val="0"/>
                <w:bCs/>
                <w:sz w:val="24"/>
                <w:szCs w:val="24"/>
                <w:lang w:val="en-US" w:eastAsia="zh-CN"/>
              </w:rPr>
              <w:t>道路起点为既有文昌路终点，由南向北沿湖而建，终点至规划湖滨大街，道路全长1139.484m，城市支路，设计时速20km/h，道路红线宽度为20m。红线20m宽横断面形式：1m设施带+16.5m机非混行车道+2.5m人行道。</w:t>
            </w:r>
          </w:p>
          <w:p>
            <w:pPr>
              <w:spacing w:line="480" w:lineRule="exact"/>
              <w:ind w:firstLine="480"/>
              <w:rPr>
                <w:rFonts w:hint="eastAsia" w:eastAsia="宋体"/>
                <w:b/>
                <w:sz w:val="24"/>
                <w:szCs w:val="24"/>
                <w:lang w:eastAsia="zh-CN"/>
              </w:rPr>
            </w:pPr>
            <w:r>
              <w:rPr>
                <w:rFonts w:hint="eastAsia"/>
                <w:b/>
                <w:sz w:val="24"/>
                <w:szCs w:val="24"/>
                <w:lang w:val="en-US" w:eastAsia="zh-CN"/>
              </w:rPr>
              <w:t>2</w:t>
            </w:r>
            <w:r>
              <w:rPr>
                <w:rFonts w:hint="eastAsia" w:ascii="宋体" w:hAnsi="宋体"/>
                <w:b/>
                <w:sz w:val="24"/>
                <w:szCs w:val="24"/>
              </w:rPr>
              <w:t>、</w:t>
            </w:r>
            <w:r>
              <w:rPr>
                <w:rFonts w:hint="eastAsia" w:ascii="宋体" w:hAnsi="宋体"/>
                <w:b/>
                <w:sz w:val="24"/>
                <w:szCs w:val="24"/>
                <w:lang w:val="en-US" w:eastAsia="zh-CN"/>
              </w:rPr>
              <w:t>建设内容</w:t>
            </w:r>
          </w:p>
          <w:p>
            <w:pPr>
              <w:spacing w:line="480" w:lineRule="exact"/>
              <w:ind w:firstLine="480"/>
              <w:rPr>
                <w:rFonts w:hint="eastAsia" w:ascii="宋体" w:hAnsi="宋体"/>
                <w:bCs/>
                <w:sz w:val="24"/>
                <w:szCs w:val="24"/>
                <w:lang w:val="en-US" w:eastAsia="zh-CN"/>
              </w:rPr>
            </w:pPr>
            <w:r>
              <w:rPr>
                <w:rFonts w:hint="eastAsia" w:ascii="宋体" w:hAnsi="宋体"/>
                <w:bCs/>
                <w:sz w:val="24"/>
                <w:szCs w:val="24"/>
                <w:lang w:val="en-US" w:eastAsia="zh-CN"/>
              </w:rPr>
              <w:t>本项目建设内容主要包括道路工程、桥梁工程、涵洞工程、给水工程、污水工程、雨水工程、电力工程、电信工程、照明工程、防护工程、交通工程、绿化工程等。</w:t>
            </w:r>
          </w:p>
          <w:p>
            <w:pPr>
              <w:spacing w:line="480" w:lineRule="exact"/>
              <w:ind w:firstLine="480"/>
              <w:rPr>
                <w:sz w:val="24"/>
                <w:szCs w:val="24"/>
              </w:rPr>
            </w:pPr>
            <w:r>
              <w:rPr>
                <w:rFonts w:hint="eastAsia" w:ascii="宋体" w:hAnsi="宋体"/>
                <w:bCs/>
                <w:sz w:val="24"/>
                <w:szCs w:val="24"/>
                <w:lang w:val="en-US" w:eastAsia="zh-CN"/>
              </w:rPr>
              <w:t>本项目</w:t>
            </w:r>
            <w:r>
              <w:rPr>
                <w:sz w:val="24"/>
                <w:szCs w:val="24"/>
              </w:rPr>
              <w:t>主要建设内容见下表。</w:t>
            </w:r>
          </w:p>
          <w:p>
            <w:pPr>
              <w:pStyle w:val="27"/>
              <w:spacing w:before="0" w:after="0" w:afterAutospacing="0" w:line="480" w:lineRule="atLeast"/>
              <w:rPr>
                <w:rFonts w:hint="eastAsia" w:ascii="黑体" w:hAnsi="黑体" w:eastAsia="黑体"/>
                <w:color w:val="auto"/>
                <w:sz w:val="24"/>
                <w:szCs w:val="24"/>
              </w:rPr>
            </w:pPr>
            <w:r>
              <w:rPr>
                <w:rFonts w:hint="eastAsia" w:ascii="黑体" w:hAnsi="黑体" w:eastAsia="黑体"/>
                <w:color w:val="auto"/>
                <w:sz w:val="24"/>
                <w:szCs w:val="24"/>
              </w:rPr>
              <w:t>表2-</w:t>
            </w:r>
            <w:r>
              <w:rPr>
                <w:rFonts w:hint="eastAsia" w:ascii="黑体" w:hAnsi="黑体" w:eastAsia="黑体"/>
                <w:color w:val="auto"/>
                <w:sz w:val="24"/>
                <w:szCs w:val="24"/>
                <w:lang w:val="en-US" w:eastAsia="zh-CN"/>
              </w:rPr>
              <w:t>1a</w:t>
            </w:r>
            <w:r>
              <w:rPr>
                <w:rFonts w:hint="eastAsia" w:ascii="黑体" w:hAnsi="黑体" w:eastAsia="黑体"/>
                <w:color w:val="auto"/>
                <w:sz w:val="24"/>
                <w:szCs w:val="24"/>
              </w:rPr>
              <w:t xml:space="preserve">  东外环路</w:t>
            </w:r>
            <w:r>
              <w:rPr>
                <w:rFonts w:hint="eastAsia" w:ascii="黑体" w:hAnsi="黑体" w:eastAsia="黑体"/>
                <w:color w:val="auto"/>
                <w:sz w:val="24"/>
                <w:szCs w:val="24"/>
                <w:lang w:val="en-US" w:eastAsia="zh-CN"/>
              </w:rPr>
              <w:t>主要建设内容</w:t>
            </w:r>
            <w:r>
              <w:rPr>
                <w:rFonts w:hint="eastAsia" w:ascii="黑体" w:hAnsi="黑体" w:eastAsia="黑体"/>
                <w:color w:val="auto"/>
                <w:sz w:val="24"/>
                <w:szCs w:val="24"/>
              </w:rPr>
              <w:t>一览表</w:t>
            </w:r>
          </w:p>
          <w:tbl>
            <w:tblPr>
              <w:tblStyle w:val="21"/>
              <w:tblW w:w="493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25"/>
              <w:gridCol w:w="793"/>
              <w:gridCol w:w="857"/>
              <w:gridCol w:w="727"/>
              <w:gridCol w:w="927"/>
              <w:gridCol w:w="449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40" w:type="pct"/>
                  <w:gridSpan w:val="2"/>
                  <w:tcBorders>
                    <w:righ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Cs w:val="21"/>
                      <w:lang w:val="en-US" w:eastAsia="zh-CN"/>
                    </w:rPr>
                  </w:pPr>
                  <w:r>
                    <w:rPr>
                      <w:rFonts w:hint="default" w:ascii="Times New Roman" w:hAnsi="Times New Roman" w:cs="Times New Roman"/>
                      <w:b w:val="0"/>
                      <w:bCs w:val="0"/>
                      <w:color w:val="auto"/>
                      <w:szCs w:val="21"/>
                      <w:lang w:val="en-US" w:eastAsia="zh-CN"/>
                    </w:rPr>
                    <w:t>工程名称</w:t>
                  </w:r>
                </w:p>
              </w:tc>
              <w:tc>
                <w:tcPr>
                  <w:tcW w:w="4259" w:type="pct"/>
                  <w:gridSpan w:val="4"/>
                  <w:tcBorders>
                    <w:lef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Cs w:val="21"/>
                      <w:lang w:val="en-US" w:eastAsia="zh-CN"/>
                    </w:rPr>
                  </w:pPr>
                  <w:r>
                    <w:rPr>
                      <w:rFonts w:hint="default" w:ascii="Times New Roman" w:hAnsi="Times New Roman" w:cs="Times New Roman"/>
                      <w:b w:val="0"/>
                      <w:bCs w:val="0"/>
                      <w:color w:val="auto"/>
                      <w:szCs w:val="21"/>
                      <w:lang w:val="en-US" w:eastAsia="zh-CN"/>
                    </w:rPr>
                    <w:t>建设内容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val="en-US" w:eastAsia="zh-CN"/>
                    </w:rPr>
                    <w:t>主体工程</w:t>
                  </w:r>
                </w:p>
              </w:tc>
              <w:tc>
                <w:tcPr>
                  <w:tcW w:w="482" w:type="pct"/>
                  <w:vMerge w:val="restart"/>
                  <w:tcBorders>
                    <w:righ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道路</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工程</w:t>
                  </w:r>
                </w:p>
              </w:tc>
              <w:tc>
                <w:tcPr>
                  <w:tcW w:w="521" w:type="pct"/>
                  <w:tcBorders>
                    <w:lef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工程长度</w:t>
                  </w:r>
                </w:p>
              </w:tc>
              <w:tc>
                <w:tcPr>
                  <w:tcW w:w="44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m</w:t>
                  </w:r>
                </w:p>
              </w:tc>
              <w:tc>
                <w:tcPr>
                  <w:tcW w:w="56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Cs/>
                      <w:color w:val="auto"/>
                      <w:szCs w:val="21"/>
                      <w:lang w:val="en-US" w:eastAsia="zh-CN"/>
                    </w:rPr>
                  </w:pPr>
                  <w:r>
                    <w:rPr>
                      <w:rFonts w:hint="default" w:ascii="Times New Roman" w:hAnsi="Times New Roman" w:cs="Times New Roman"/>
                      <w:iCs/>
                      <w:color w:val="auto"/>
                      <w:szCs w:val="21"/>
                      <w:lang w:val="en-US" w:eastAsia="zh-CN"/>
                    </w:rPr>
                    <w:t>2985.25</w:t>
                  </w:r>
                </w:p>
              </w:tc>
              <w:tc>
                <w:tcPr>
                  <w:tcW w:w="27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8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52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设计速度</w:t>
                  </w:r>
                </w:p>
              </w:tc>
              <w:tc>
                <w:tcPr>
                  <w:tcW w:w="44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km/h</w:t>
                  </w:r>
                </w:p>
              </w:tc>
              <w:tc>
                <w:tcPr>
                  <w:tcW w:w="56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50</w:t>
                  </w:r>
                </w:p>
              </w:tc>
              <w:tc>
                <w:tcPr>
                  <w:tcW w:w="27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城市主干路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8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52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车道数量</w:t>
                  </w:r>
                </w:p>
              </w:tc>
              <w:tc>
                <w:tcPr>
                  <w:tcW w:w="44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个</w:t>
                  </w:r>
                </w:p>
              </w:tc>
              <w:tc>
                <w:tcPr>
                  <w:tcW w:w="56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6</w:t>
                  </w:r>
                </w:p>
              </w:tc>
              <w:tc>
                <w:tcPr>
                  <w:tcW w:w="27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双向6车道</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8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52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道路红线宽度</w:t>
                  </w:r>
                </w:p>
              </w:tc>
              <w:tc>
                <w:tcPr>
                  <w:tcW w:w="44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m</w:t>
                  </w:r>
                </w:p>
              </w:tc>
              <w:tc>
                <w:tcPr>
                  <w:tcW w:w="56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26-46</w:t>
                  </w:r>
                </w:p>
              </w:tc>
              <w:tc>
                <w:tcPr>
                  <w:tcW w:w="27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rPr>
                    <w:t>五台南收费站至滤泗河北岸路段（长</w:t>
                  </w:r>
                  <w:r>
                    <w:rPr>
                      <w:rFonts w:hint="default" w:ascii="Times New Roman" w:hAnsi="Times New Roman" w:cs="Times New Roman"/>
                      <w:color w:val="auto"/>
                      <w:szCs w:val="21"/>
                      <w:lang w:val="en-US" w:eastAsia="zh-CN"/>
                    </w:rPr>
                    <w:t>约</w:t>
                  </w:r>
                  <w:r>
                    <w:rPr>
                      <w:rFonts w:hint="default" w:ascii="Times New Roman" w:hAnsi="Times New Roman" w:cs="Times New Roman"/>
                      <w:color w:val="auto"/>
                      <w:szCs w:val="21"/>
                    </w:rPr>
                    <w:t>1960m）</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rPr>
                    <w:t>道路红线宽度为26m</w:t>
                  </w:r>
                  <w:r>
                    <w:rPr>
                      <w:rFonts w:hint="default" w:ascii="Times New Roman" w:hAnsi="Times New Roman" w:cs="Times New Roman"/>
                      <w:color w:val="auto"/>
                      <w:szCs w:val="21"/>
                      <w:lang w:eastAsia="zh-CN"/>
                    </w:rPr>
                    <w:t>，12m宽既有左幅道路（维持现状）+2m新建绿化带+12m新建机动车道；滤泗河北岸至五黄路段（长</w:t>
                  </w:r>
                  <w:r>
                    <w:rPr>
                      <w:rFonts w:hint="default" w:ascii="Times New Roman" w:hAnsi="Times New Roman" w:cs="Times New Roman"/>
                      <w:color w:val="auto"/>
                      <w:szCs w:val="21"/>
                      <w:lang w:val="en-US" w:eastAsia="zh-CN"/>
                    </w:rPr>
                    <w:t>约</w:t>
                  </w:r>
                  <w:r>
                    <w:rPr>
                      <w:rFonts w:hint="default" w:ascii="Times New Roman" w:hAnsi="Times New Roman" w:cs="Times New Roman"/>
                      <w:color w:val="auto"/>
                      <w:szCs w:val="21"/>
                      <w:lang w:eastAsia="zh-CN"/>
                    </w:rPr>
                    <w:t>1025m），道路红线宽度46m，4m人行道+5m非机动车道+3m绿化带+22m机动车道+3m绿化带+5m非机动车道+4m人行道</w:t>
                  </w:r>
                  <w:r>
                    <w:rPr>
                      <w:rFonts w:hint="eastAsia" w:cs="Times New Roman"/>
                      <w:color w:val="auto"/>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8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路基工程</w:t>
                  </w:r>
                </w:p>
              </w:tc>
              <w:tc>
                <w:tcPr>
                  <w:tcW w:w="4259"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k0+248—k0+410段，路基采用换填处理，处理措施为：0.5m厚片石（碎石填充空隙）+1.5m厚天然砂砾；k0+000—k0+248、k0+485—k1+278段，对表层分布杂填土进、素填土进行挖除，采用天然砂砾进行换填处理，对黄土状粉土采用冲击碾压法进行处理，处理深度不小于1.0m；k1+278—k1+878段，处理措施为：0.5m厚片石（碎石填充空隙）+1.5m厚天然砂砾</w:t>
                  </w:r>
                  <w:r>
                    <w:rPr>
                      <w:rFonts w:hint="eastAsia" w:cs="Times New Roman"/>
                      <w:color w:val="auto"/>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8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路面工程</w:t>
                  </w:r>
                </w:p>
              </w:tc>
              <w:tc>
                <w:tcPr>
                  <w:tcW w:w="4259"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①车行道路面：采用沥青混凝土路面，车行道路面结构总厚度为72cm；</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②非机动车道：采用沥青混凝土路面，非机动车车行道路面结构总厚度为45cm；道路侧石、卡边石采用花岗岩材质。</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③人行道：人行道采用彩色人行道砖铺设，人行道路面结构总厚度为34cm。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82" w:type="pct"/>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拆除</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工程</w:t>
                  </w:r>
                </w:p>
              </w:tc>
              <w:tc>
                <w:tcPr>
                  <w:tcW w:w="521" w:type="pct"/>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左幅既有路面</w:t>
                  </w:r>
                </w:p>
              </w:tc>
              <w:tc>
                <w:tcPr>
                  <w:tcW w:w="44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m</w:t>
                  </w:r>
                </w:p>
              </w:tc>
              <w:tc>
                <w:tcPr>
                  <w:tcW w:w="56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1960</w:t>
                  </w:r>
                </w:p>
              </w:tc>
              <w:tc>
                <w:tcPr>
                  <w:tcW w:w="27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东外环路西侧左幅路现状为双面坡路拱，需将左幅路由双面坡改为单面坡</w:t>
                  </w:r>
                  <w:r>
                    <w:rPr>
                      <w:rFonts w:hint="default" w:ascii="Times New Roman" w:hAnsi="Times New Roman" w:cs="Times New Roman"/>
                      <w:color w:val="auto"/>
                      <w:szCs w:val="21"/>
                      <w:lang w:val="en-US" w:eastAsia="zh-CN"/>
                    </w:rPr>
                    <w:t>；</w:t>
                  </w:r>
                  <w:r>
                    <w:rPr>
                      <w:rFonts w:hint="default" w:ascii="Times New Roman" w:hAnsi="Times New Roman" w:eastAsia="宋体" w:cs="Times New Roman"/>
                      <w:color w:val="auto"/>
                      <w:szCs w:val="21"/>
                      <w:lang w:val="en-US" w:eastAsia="zh-CN"/>
                    </w:rPr>
                    <w:t>将原路面结构挖除，露出道路原基层，经碾压检测合格合格后加铺面层结构找坡</w:t>
                  </w:r>
                  <w:r>
                    <w:rPr>
                      <w:rFonts w:hint="eastAsia" w:cs="Times New Roman"/>
                      <w:color w:val="auto"/>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82" w:type="pct"/>
                  <w:vMerge w:val="restart"/>
                  <w:tcBorders>
                    <w:top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保留工程</w:t>
                  </w:r>
                </w:p>
              </w:tc>
              <w:tc>
                <w:tcPr>
                  <w:tcW w:w="521" w:type="pct"/>
                  <w:tcBorders>
                    <w:top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道路</w:t>
                  </w:r>
                </w:p>
              </w:tc>
              <w:tc>
                <w:tcPr>
                  <w:tcW w:w="44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m</w:t>
                  </w:r>
                </w:p>
              </w:tc>
              <w:tc>
                <w:tcPr>
                  <w:tcW w:w="56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1960</w:t>
                  </w:r>
                </w:p>
              </w:tc>
              <w:tc>
                <w:tcPr>
                  <w:tcW w:w="27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K0+000-K1+960路段现状道路保留使用，路面需要重新找坡</w:t>
                  </w:r>
                  <w:r>
                    <w:rPr>
                      <w:rFonts w:hint="eastAsia" w:cs="Times New Roman"/>
                      <w:color w:val="auto"/>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8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p>
              </w:tc>
              <w:tc>
                <w:tcPr>
                  <w:tcW w:w="521" w:type="pct"/>
                  <w:tcBorders>
                    <w:top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桥梁</w:t>
                  </w:r>
                </w:p>
              </w:tc>
              <w:tc>
                <w:tcPr>
                  <w:tcW w:w="44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座</w:t>
                  </w:r>
                </w:p>
              </w:tc>
              <w:tc>
                <w:tcPr>
                  <w:tcW w:w="56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2</w:t>
                  </w:r>
                </w:p>
              </w:tc>
              <w:tc>
                <w:tcPr>
                  <w:tcW w:w="27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位于K0+447.251、K1+922.621，桥梁总长三跨75m，桥梁墩柱直径1.4m，两座现状桥梁经检测后未发现大的主体病害，经过修复及处置措施均可保留使用</w:t>
                  </w:r>
                  <w:r>
                    <w:rPr>
                      <w:rFonts w:hint="eastAsia" w:cs="Times New Roman"/>
                      <w:color w:val="auto"/>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8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p>
              </w:tc>
              <w:tc>
                <w:tcPr>
                  <w:tcW w:w="521" w:type="pct"/>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管涵</w:t>
                  </w:r>
                </w:p>
              </w:tc>
              <w:tc>
                <w:tcPr>
                  <w:tcW w:w="44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座</w:t>
                  </w:r>
                </w:p>
              </w:tc>
              <w:tc>
                <w:tcPr>
                  <w:tcW w:w="56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1</w:t>
                  </w:r>
                </w:p>
              </w:tc>
              <w:tc>
                <w:tcPr>
                  <w:tcW w:w="27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K1+559处，保留使用</w:t>
                  </w:r>
                  <w:r>
                    <w:rPr>
                      <w:rFonts w:hint="eastAsia" w:cs="Times New Roman"/>
                      <w:color w:val="auto"/>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82" w:type="pct"/>
                  <w:vMerge w:val="continue"/>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p>
              </w:tc>
              <w:tc>
                <w:tcPr>
                  <w:tcW w:w="521" w:type="pct"/>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箱涵</w:t>
                  </w:r>
                </w:p>
              </w:tc>
              <w:tc>
                <w:tcPr>
                  <w:tcW w:w="44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座</w:t>
                  </w:r>
                </w:p>
              </w:tc>
              <w:tc>
                <w:tcPr>
                  <w:tcW w:w="56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3</w:t>
                  </w:r>
                </w:p>
              </w:tc>
              <w:tc>
                <w:tcPr>
                  <w:tcW w:w="27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K1+622、K2+237、K2+980处，保留使用</w:t>
                  </w:r>
                  <w:r>
                    <w:rPr>
                      <w:rFonts w:hint="eastAsia" w:cs="Times New Roman"/>
                      <w:color w:val="auto"/>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82" w:type="pct"/>
                  <w:vMerge w:val="restart"/>
                  <w:tcBorders>
                    <w:top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桥梁工程</w:t>
                  </w:r>
                </w:p>
              </w:tc>
              <w:tc>
                <w:tcPr>
                  <w:tcW w:w="521" w:type="pct"/>
                  <w:tcBorders>
                    <w:top w:val="single" w:color="auto" w:sz="4" w:space="0"/>
                    <w:bottom w:val="single" w:color="auto" w:sz="4" w:space="0"/>
                    <w:tl2br w:val="nil"/>
                    <w:tr2bl w:val="nil"/>
                  </w:tcBorders>
                  <w:noWrap w:val="0"/>
                  <w:vAlign w:val="center"/>
                </w:tcPr>
                <w:p>
                  <w:pPr>
                    <w:widowControl/>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东外环</w:t>
                  </w:r>
                </w:p>
                <w:p>
                  <w:pPr>
                    <w:widowControl/>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kern w:val="0"/>
                      <w:sz w:val="21"/>
                      <w:szCs w:val="21"/>
                      <w:highlight w:val="none"/>
                    </w:rPr>
                    <w:t>一号桥</w:t>
                  </w:r>
                </w:p>
              </w:tc>
              <w:tc>
                <w:tcPr>
                  <w:tcW w:w="3737"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新建右幅东外环一号桥，上跨掉头匝道，中心桩号K0+447.500，全长82m，宽12m，</w:t>
                  </w:r>
                  <w:r>
                    <w:rPr>
                      <w:rFonts w:hint="default" w:ascii="Times New Roman" w:hAnsi="Times New Roman" w:cs="Times New Roman"/>
                      <w:color w:val="auto"/>
                      <w:kern w:val="0"/>
                      <w:sz w:val="21"/>
                      <w:szCs w:val="21"/>
                      <w:highlight w:val="none"/>
                    </w:rPr>
                    <w:t>上部</w:t>
                  </w:r>
                  <w:r>
                    <w:rPr>
                      <w:rFonts w:hint="default" w:ascii="Times New Roman" w:hAnsi="Times New Roman" w:cs="Times New Roman"/>
                      <w:color w:val="auto"/>
                      <w:kern w:val="0"/>
                      <w:sz w:val="21"/>
                      <w:szCs w:val="21"/>
                      <w:highlight w:val="none"/>
                      <w:lang w:val="en-US" w:eastAsia="zh-CN"/>
                    </w:rPr>
                    <w:t>3×25m装配式</w:t>
                  </w:r>
                  <w:r>
                    <w:rPr>
                      <w:rFonts w:hint="default" w:ascii="Times New Roman" w:hAnsi="Times New Roman" w:cs="Times New Roman"/>
                      <w:color w:val="auto"/>
                      <w:kern w:val="0"/>
                      <w:sz w:val="21"/>
                      <w:szCs w:val="21"/>
                      <w:highlight w:val="none"/>
                    </w:rPr>
                    <w:t>预应力砼简支小箱梁</w:t>
                  </w:r>
                  <w:r>
                    <w:rPr>
                      <w:rFonts w:hint="default" w:ascii="Times New Roman" w:hAnsi="Times New Roman"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lang w:val="en-US" w:eastAsia="zh-CN"/>
                    </w:rPr>
                    <w:t>桥墩为柱式墩，桥台为肋板台，基础为承台桩基础、单桩基础；桩长45m，桥高约10m。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8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p>
              </w:tc>
              <w:tc>
                <w:tcPr>
                  <w:tcW w:w="521" w:type="pct"/>
                  <w:tcBorders>
                    <w:top w:val="single" w:color="auto" w:sz="4" w:space="0"/>
                    <w:bottom w:val="single" w:color="auto" w:sz="4" w:space="0"/>
                    <w:right w:val="single" w:color="auto" w:sz="4" w:space="0"/>
                    <w:tl2br w:val="nil"/>
                    <w:tr2bl w:val="nil"/>
                  </w:tcBorders>
                  <w:noWrap w:val="0"/>
                  <w:vAlign w:val="center"/>
                </w:tcPr>
                <w:p>
                  <w:pPr>
                    <w:widowControl/>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东外环</w:t>
                  </w:r>
                </w:p>
                <w:p>
                  <w:pPr>
                    <w:widowControl/>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lang w:val="en-US" w:eastAsia="zh-CN"/>
                    </w:rPr>
                    <w:t>二</w:t>
                  </w:r>
                  <w:r>
                    <w:rPr>
                      <w:rFonts w:hint="default" w:ascii="Times New Roman" w:hAnsi="Times New Roman" w:cs="Times New Roman"/>
                      <w:color w:val="auto"/>
                      <w:kern w:val="0"/>
                      <w:sz w:val="21"/>
                      <w:szCs w:val="21"/>
                      <w:highlight w:val="none"/>
                    </w:rPr>
                    <w:t>号桥</w:t>
                  </w:r>
                </w:p>
              </w:tc>
              <w:tc>
                <w:tcPr>
                  <w:tcW w:w="3737" w:type="pct"/>
                  <w:gridSpan w:val="3"/>
                  <w:tcBorders>
                    <w:lef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新建右幅东外环二号桥，上跨泗滤河，中心桩号K0+925.700，全长82m，宽12m，</w:t>
                  </w:r>
                  <w:r>
                    <w:rPr>
                      <w:rFonts w:hint="default" w:ascii="Times New Roman" w:hAnsi="Times New Roman" w:cs="Times New Roman"/>
                      <w:color w:val="auto"/>
                      <w:kern w:val="0"/>
                      <w:sz w:val="21"/>
                      <w:szCs w:val="21"/>
                      <w:highlight w:val="none"/>
                    </w:rPr>
                    <w:t>上部</w:t>
                  </w:r>
                  <w:r>
                    <w:rPr>
                      <w:rFonts w:hint="default" w:ascii="Times New Roman" w:hAnsi="Times New Roman" w:cs="Times New Roman"/>
                      <w:color w:val="auto"/>
                      <w:kern w:val="0"/>
                      <w:sz w:val="21"/>
                      <w:szCs w:val="21"/>
                      <w:highlight w:val="none"/>
                      <w:lang w:val="en-US" w:eastAsia="zh-CN"/>
                    </w:rPr>
                    <w:t>3×25m装配式</w:t>
                  </w:r>
                  <w:r>
                    <w:rPr>
                      <w:rFonts w:hint="default" w:ascii="Times New Roman" w:hAnsi="Times New Roman" w:cs="Times New Roman"/>
                      <w:color w:val="auto"/>
                      <w:kern w:val="0"/>
                      <w:sz w:val="21"/>
                      <w:szCs w:val="21"/>
                      <w:highlight w:val="none"/>
                    </w:rPr>
                    <w:t>预应力砼简支小箱梁</w:t>
                  </w:r>
                  <w:r>
                    <w:rPr>
                      <w:rFonts w:hint="default" w:ascii="Times New Roman" w:hAnsi="Times New Roman"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lang w:val="en-US" w:eastAsia="zh-CN"/>
                    </w:rPr>
                    <w:t>桥墩为柱式墩，桥台为肋板台，基础为承台桩基础、单桩基础；桩长45m，桥高约6m。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82"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管涵工程</w:t>
                  </w:r>
                </w:p>
              </w:tc>
              <w:tc>
                <w:tcPr>
                  <w:tcW w:w="521" w:type="pct"/>
                  <w:tcBorders>
                    <w:righ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管涵</w:t>
                  </w:r>
                </w:p>
              </w:tc>
              <w:tc>
                <w:tcPr>
                  <w:tcW w:w="442" w:type="pct"/>
                  <w:tcBorders>
                    <w:lef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座</w:t>
                  </w:r>
                </w:p>
              </w:tc>
              <w:tc>
                <w:tcPr>
                  <w:tcW w:w="56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default" w:ascii="Times New Roman" w:hAnsi="Times New Roman" w:cs="Times New Roman"/>
                      <w:iCs/>
                      <w:color w:val="auto"/>
                      <w:szCs w:val="21"/>
                      <w:lang w:val="en-US" w:eastAsia="zh-CN"/>
                    </w:rPr>
                    <w:t>1</w:t>
                  </w:r>
                </w:p>
              </w:tc>
              <w:tc>
                <w:tcPr>
                  <w:tcW w:w="27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K1+559处</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8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521" w:type="pct"/>
                  <w:tcBorders>
                    <w:righ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箱涵</w:t>
                  </w:r>
                </w:p>
              </w:tc>
              <w:tc>
                <w:tcPr>
                  <w:tcW w:w="442" w:type="pct"/>
                  <w:tcBorders>
                    <w:lef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座</w:t>
                  </w:r>
                </w:p>
              </w:tc>
              <w:tc>
                <w:tcPr>
                  <w:tcW w:w="56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default" w:ascii="Times New Roman" w:hAnsi="Times New Roman" w:cs="Times New Roman"/>
                      <w:iCs/>
                      <w:color w:val="auto"/>
                      <w:szCs w:val="21"/>
                      <w:lang w:val="en-US" w:eastAsia="zh-CN"/>
                    </w:rPr>
                    <w:t>3</w:t>
                  </w:r>
                </w:p>
              </w:tc>
              <w:tc>
                <w:tcPr>
                  <w:tcW w:w="27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K1+622、K2+237、K2+980处</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restart"/>
                  <w:tcBorders>
                    <w:top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附属工程</w:t>
                  </w:r>
                </w:p>
              </w:tc>
              <w:tc>
                <w:tcPr>
                  <w:tcW w:w="482" w:type="pct"/>
                  <w:tcBorders>
                    <w:top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公交停靠站</w:t>
                  </w:r>
                </w:p>
              </w:tc>
              <w:tc>
                <w:tcPr>
                  <w:tcW w:w="4259"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东外环路分别在起点K0+120（王庄村牌楼）、K1+185（东外环与南外环交叉口）、K1+785（东外环与迎宾路交叉口）、K2+480（公园南）、K2+860（公园北）设置公交停靠站，双向共设置10个公交停靠站，对称设置，为直接式停靠站，站台尺寸为20m×2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p>
              </w:tc>
              <w:tc>
                <w:tcPr>
                  <w:tcW w:w="48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无障碍设计</w:t>
                  </w:r>
                </w:p>
              </w:tc>
              <w:tc>
                <w:tcPr>
                  <w:tcW w:w="4259"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Cs w:val="21"/>
                      <w:lang w:eastAsia="zh-CN"/>
                    </w:rPr>
                  </w:pPr>
                  <w:r>
                    <w:rPr>
                      <w:rFonts w:hint="default" w:ascii="Times New Roman" w:hAnsi="Times New Roman" w:cs="Times New Roman"/>
                      <w:color w:val="auto"/>
                      <w:szCs w:val="21"/>
                    </w:rPr>
                    <w:t>全线在便道上设置条形盲道砖。在盲道起终点及拐弯处铺设圆点形提示盲道砖。在各交叉口进出人行道相应位置，设置缘石坡道，缘石坡道采用单面坡或三面坡缘石坡道</w:t>
                  </w:r>
                  <w:r>
                    <w:rPr>
                      <w:rFonts w:hint="eastAsia" w:cs="Times New Roman"/>
                      <w:color w:val="auto"/>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p>
              </w:tc>
              <w:tc>
                <w:tcPr>
                  <w:tcW w:w="48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交叉口</w:t>
                  </w:r>
                </w:p>
              </w:tc>
              <w:tc>
                <w:tcPr>
                  <w:tcW w:w="4259"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Cs w:val="21"/>
                      <w:lang w:eastAsia="zh-CN"/>
                    </w:rPr>
                  </w:pPr>
                  <w:r>
                    <w:rPr>
                      <w:rFonts w:hint="default" w:ascii="Times New Roman" w:hAnsi="Times New Roman" w:cs="Times New Roman"/>
                      <w:color w:val="auto"/>
                      <w:szCs w:val="21"/>
                    </w:rPr>
                    <w:t>东外环路终点处与五黄路、现状东外环、127县道三路交叉，在终点处做右转专用车道设计，入口道渐变段长度为40m，展宽段长度为115m；出口道渐变段长度为40m，展宽段长度为70m</w:t>
                  </w:r>
                  <w:r>
                    <w:rPr>
                      <w:rFonts w:hint="eastAsia" w:cs="Times New Roman"/>
                      <w:color w:val="auto"/>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p>
              </w:tc>
              <w:tc>
                <w:tcPr>
                  <w:tcW w:w="48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供水管网</w:t>
                  </w:r>
                </w:p>
              </w:tc>
              <w:tc>
                <w:tcPr>
                  <w:tcW w:w="4259"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rPr>
                    <w:t>东外环路中心线以东22.0米处，规划一趟DN300mm的生活给水管线</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lang w:val="en-US" w:eastAsia="zh-CN"/>
                    </w:rPr>
                    <w:t>同时设置消火栓井9座，消火栓9个，阀门井6座，排泥井1座，排气井2座</w:t>
                  </w:r>
                  <w:r>
                    <w:rPr>
                      <w:rFonts w:hint="eastAsia" w:cs="Times New Roman"/>
                      <w:color w:val="auto"/>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p>
              </w:tc>
              <w:tc>
                <w:tcPr>
                  <w:tcW w:w="48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再生水管网</w:t>
                  </w:r>
                </w:p>
              </w:tc>
              <w:tc>
                <w:tcPr>
                  <w:tcW w:w="4259"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rPr>
                    <w:t>东外环路拟建再生水给水管道敷设于五黄路至污水厂路段，管径为dn400，管长为1000m，设计管线布置在道路西侧，距离道路中心线为18.0m，取水栓布置间距约为200m；</w:t>
                  </w:r>
                  <w:r>
                    <w:rPr>
                      <w:rFonts w:hint="default" w:ascii="Times New Roman" w:hAnsi="Times New Roman" w:cs="Times New Roman"/>
                      <w:color w:val="auto"/>
                      <w:szCs w:val="21"/>
                      <w:lang w:val="en-US" w:eastAsia="zh-CN"/>
                    </w:rPr>
                    <w:t>同时设置阀门井6座，排泥井1座，排气井2座</w:t>
                  </w:r>
                  <w:r>
                    <w:rPr>
                      <w:rFonts w:hint="eastAsia" w:cs="Times New Roman"/>
                      <w:color w:val="auto"/>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p>
              </w:tc>
              <w:tc>
                <w:tcPr>
                  <w:tcW w:w="48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雨水管网</w:t>
                  </w:r>
                </w:p>
              </w:tc>
              <w:tc>
                <w:tcPr>
                  <w:tcW w:w="4259"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rPr>
                    <w:t>设计在道路两侧自北向南敷设雨水管道，分段就近向西排入滤泗河</w:t>
                  </w:r>
                  <w:r>
                    <w:rPr>
                      <w:rFonts w:hint="default" w:ascii="Times New Roman" w:hAnsi="Times New Roman" w:cs="Times New Roman"/>
                      <w:color w:val="auto"/>
                      <w:szCs w:val="21"/>
                      <w:lang w:eastAsia="zh-CN"/>
                    </w:rPr>
                    <w:t>；新建东外环雨水管道总汇水面积为36.15hm</w:t>
                  </w:r>
                  <w:r>
                    <w:rPr>
                      <w:rFonts w:hint="default" w:ascii="Times New Roman" w:hAnsi="Times New Roman" w:cs="Times New Roman"/>
                      <w:color w:val="auto"/>
                      <w:szCs w:val="21"/>
                      <w:vertAlign w:val="superscript"/>
                      <w:lang w:eastAsia="zh-CN"/>
                    </w:rPr>
                    <w:t>2</w:t>
                  </w:r>
                  <w:r>
                    <w:rPr>
                      <w:rFonts w:hint="default" w:ascii="Times New Roman" w:hAnsi="Times New Roman" w:cs="Times New Roman"/>
                      <w:color w:val="auto"/>
                      <w:szCs w:val="21"/>
                      <w:lang w:eastAsia="zh-CN"/>
                    </w:rPr>
                    <w:t>，分三段敷设雨水管道就近接入</w:t>
                  </w:r>
                  <w:r>
                    <w:rPr>
                      <w:rFonts w:hint="default" w:ascii="Times New Roman" w:hAnsi="Times New Roman" w:cs="Times New Roman"/>
                      <w:color w:val="auto"/>
                      <w:szCs w:val="21"/>
                    </w:rPr>
                    <w:t>滤泗河</w:t>
                  </w:r>
                  <w:r>
                    <w:rPr>
                      <w:rFonts w:hint="default" w:ascii="Times New Roman" w:hAnsi="Times New Roman" w:cs="Times New Roman"/>
                      <w:color w:val="auto"/>
                      <w:szCs w:val="21"/>
                      <w:lang w:eastAsia="zh-CN"/>
                    </w:rPr>
                    <w:t>；钢筋混凝土管</w:t>
                  </w:r>
                  <w:r>
                    <w:rPr>
                      <w:rFonts w:hint="default" w:ascii="Times New Roman" w:hAnsi="Times New Roman" w:cs="Times New Roman"/>
                      <w:color w:val="auto"/>
                      <w:szCs w:val="21"/>
                      <w:lang w:val="en-US" w:eastAsia="zh-CN"/>
                    </w:rPr>
                    <w:t>共计1803m，单篦偏沟式雨水口38个，双篦偏沟式雨水口40个，检查井24个</w:t>
                  </w:r>
                  <w:r>
                    <w:rPr>
                      <w:rFonts w:hint="eastAsia" w:cs="Times New Roman"/>
                      <w:color w:val="auto"/>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p>
              </w:tc>
              <w:tc>
                <w:tcPr>
                  <w:tcW w:w="48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污水管网</w:t>
                  </w:r>
                </w:p>
              </w:tc>
              <w:tc>
                <w:tcPr>
                  <w:tcW w:w="4259"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rPr>
                    <w:t>东外环两侧建筑主要集中在滤泗河以北，因此本次设计污水管道仅敷设在东外环滤泗河以北，污水管道沿线收集道路两侧用户污水，无转输流量</w:t>
                  </w:r>
                  <w:r>
                    <w:rPr>
                      <w:rFonts w:hint="default" w:ascii="Times New Roman" w:hAnsi="Times New Roman" w:cs="Times New Roman"/>
                      <w:color w:val="auto"/>
                      <w:szCs w:val="21"/>
                      <w:lang w:eastAsia="zh-CN"/>
                    </w:rPr>
                    <w:t>；污水管道布置在道路东侧，距离道路中心线为20.0m，管径为De</w:t>
                  </w:r>
                  <w:r>
                    <w:rPr>
                      <w:rFonts w:hint="default" w:ascii="Times New Roman" w:hAnsi="Times New Roman" w:cs="Times New Roman"/>
                      <w:color w:val="auto"/>
                      <w:szCs w:val="21"/>
                      <w:lang w:val="en-US" w:eastAsia="zh-CN"/>
                    </w:rPr>
                    <w:t>4</w:t>
                  </w:r>
                  <w:r>
                    <w:rPr>
                      <w:rFonts w:hint="default" w:ascii="Times New Roman" w:hAnsi="Times New Roman" w:cs="Times New Roman"/>
                      <w:color w:val="auto"/>
                      <w:szCs w:val="21"/>
                      <w:lang w:eastAsia="zh-CN"/>
                    </w:rPr>
                    <w:t>00，</w:t>
                  </w:r>
                  <w:r>
                    <w:rPr>
                      <w:rFonts w:hint="default" w:ascii="Times New Roman" w:hAnsi="Times New Roman" w:cs="Times New Roman"/>
                      <w:color w:val="auto"/>
                      <w:szCs w:val="21"/>
                      <w:lang w:val="en-US" w:eastAsia="zh-CN"/>
                    </w:rPr>
                    <w:t>总长1178m，采用HDPE双壁波纹管，设置检查井39座</w:t>
                  </w:r>
                  <w:r>
                    <w:rPr>
                      <w:rFonts w:hint="eastAsia" w:cs="Times New Roman"/>
                      <w:color w:val="auto"/>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p>
              </w:tc>
              <w:tc>
                <w:tcPr>
                  <w:tcW w:w="48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电力工程</w:t>
                  </w:r>
                </w:p>
              </w:tc>
              <w:tc>
                <w:tcPr>
                  <w:tcW w:w="4259"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rPr>
                    <w:t>预留电缆管，避免重复建设，电力电缆施工由电力部门完成</w:t>
                  </w:r>
                  <w:r>
                    <w:rPr>
                      <w:rFonts w:hint="default" w:ascii="Times New Roman" w:hAnsi="Times New Roman" w:cs="Times New Roman"/>
                      <w:color w:val="auto"/>
                      <w:szCs w:val="21"/>
                      <w:lang w:eastAsia="zh-CN"/>
                    </w:rPr>
                    <w:t>；东外环路电力电缆管线设置16孔MPP-200/13电缆保护管，主线横向过路处设置8孔DN200热涂塑钢管，主线与相交道路纵向过路设置16孔DN200热涂塑钢管；电力电缆人孔间隔距离为50~80</w:t>
                  </w:r>
                  <w:r>
                    <w:rPr>
                      <w:rFonts w:hint="default" w:ascii="Times New Roman" w:hAnsi="Times New Roman" w:cs="Times New Roman"/>
                      <w:color w:val="auto"/>
                      <w:szCs w:val="21"/>
                      <w:lang w:val="en-US" w:eastAsia="zh-CN"/>
                    </w:rPr>
                    <w:t>m</w:t>
                  </w:r>
                  <w:r>
                    <w:rPr>
                      <w:rFonts w:hint="eastAsia" w:cs="Times New Roman"/>
                      <w:color w:val="auto"/>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p>
              </w:tc>
              <w:tc>
                <w:tcPr>
                  <w:tcW w:w="48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通信工程</w:t>
                  </w:r>
                </w:p>
              </w:tc>
              <w:tc>
                <w:tcPr>
                  <w:tcW w:w="4259"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rPr>
                    <w:t>在道路建设时预留通信管道，避免重复建设</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rPr>
                    <w:t>通信线缆施工由各运营商自行负责</w:t>
                  </w:r>
                  <w:r>
                    <w:rPr>
                      <w:rFonts w:hint="default" w:ascii="Times New Roman" w:hAnsi="Times New Roman" w:cs="Times New Roman"/>
                      <w:color w:val="auto"/>
                      <w:szCs w:val="21"/>
                      <w:lang w:eastAsia="zh-CN"/>
                    </w:rPr>
                    <w:t>；通信排管为Φ32*7梅花管，过路处管线为DN100涂塑钢管；通信电缆人孔，设置间距为70m左右</w:t>
                  </w:r>
                  <w:r>
                    <w:rPr>
                      <w:rFonts w:hint="eastAsia" w:cs="Times New Roman"/>
                      <w:color w:val="auto"/>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p>
              </w:tc>
              <w:tc>
                <w:tcPr>
                  <w:tcW w:w="48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照明工程</w:t>
                  </w:r>
                </w:p>
              </w:tc>
              <w:tc>
                <w:tcPr>
                  <w:tcW w:w="4259"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b/>
                      <w:bCs/>
                      <w:color w:val="auto"/>
                      <w:szCs w:val="21"/>
                      <w:lang w:val="en-US"/>
                    </w:rPr>
                  </w:pPr>
                  <w:r>
                    <w:rPr>
                      <w:rFonts w:hint="default" w:ascii="Times New Roman" w:hAnsi="Times New Roman" w:cs="Times New Roman"/>
                      <w:color w:val="auto"/>
                      <w:szCs w:val="21"/>
                      <w:lang w:eastAsia="zh-CN"/>
                    </w:rPr>
                    <w:t>设道路照明专用箱变</w:t>
                  </w:r>
                  <w:r>
                    <w:rPr>
                      <w:rFonts w:hint="default" w:ascii="Times New Roman" w:hAnsi="Times New Roman" w:cs="Times New Roman"/>
                      <w:color w:val="auto"/>
                      <w:szCs w:val="21"/>
                      <w:lang w:val="en-US" w:eastAsia="zh-CN"/>
                    </w:rPr>
                    <w:t>，</w:t>
                  </w:r>
                  <w:r>
                    <w:rPr>
                      <w:rFonts w:hint="default" w:ascii="Times New Roman" w:hAnsi="Times New Roman" w:cs="Times New Roman"/>
                      <w:color w:val="auto"/>
                      <w:szCs w:val="21"/>
                      <w:lang w:eastAsia="zh-CN"/>
                    </w:rPr>
                    <w:t>从就近的环网柜引来</w:t>
                  </w:r>
                  <w:r>
                    <w:rPr>
                      <w:rFonts w:hint="default" w:ascii="Times New Roman" w:hAnsi="Times New Roman" w:cs="Times New Roman"/>
                      <w:color w:val="auto"/>
                      <w:szCs w:val="21"/>
                      <w:lang w:val="en-US" w:eastAsia="zh-CN"/>
                    </w:rPr>
                    <w:t>10k</w:t>
                  </w:r>
                  <w:r>
                    <w:rPr>
                      <w:rFonts w:hint="default" w:ascii="Times New Roman" w:hAnsi="Times New Roman" w:cs="Times New Roman"/>
                      <w:color w:val="auto"/>
                      <w:szCs w:val="21"/>
                      <w:lang w:eastAsia="zh-CN"/>
                    </w:rPr>
                    <w:t>V电源，沿道路电力排管敷设，供电半径</w:t>
                  </w:r>
                  <w:r>
                    <w:rPr>
                      <w:rFonts w:hint="default" w:ascii="Times New Roman" w:hAnsi="Times New Roman" w:cs="Times New Roman"/>
                      <w:color w:val="auto"/>
                      <w:szCs w:val="21"/>
                      <w:lang w:val="en-US" w:eastAsia="zh-CN"/>
                    </w:rPr>
                    <w:t>75</w:t>
                  </w:r>
                  <w:r>
                    <w:rPr>
                      <w:rFonts w:hint="default" w:ascii="Times New Roman" w:hAnsi="Times New Roman" w:cs="Times New Roman"/>
                      <w:color w:val="auto"/>
                      <w:szCs w:val="21"/>
                      <w:lang w:eastAsia="zh-CN"/>
                    </w:rPr>
                    <w:t>0米；本项目</w:t>
                  </w:r>
                  <w:r>
                    <w:rPr>
                      <w:rFonts w:hint="default" w:ascii="Times New Roman" w:hAnsi="Times New Roman" w:cs="Times New Roman"/>
                      <w:color w:val="auto"/>
                      <w:szCs w:val="21"/>
                      <w:lang w:val="en-US" w:eastAsia="zh-CN"/>
                    </w:rPr>
                    <w:t>在总进线处设置</w:t>
                  </w:r>
                  <w:r>
                    <w:rPr>
                      <w:rFonts w:hint="default" w:ascii="Times New Roman" w:hAnsi="Times New Roman" w:cs="Times New Roman"/>
                      <w:color w:val="auto"/>
                      <w:szCs w:val="21"/>
                      <w:lang w:eastAsia="zh-CN"/>
                    </w:rPr>
                    <w:t>计量，电度表由供电部门安装；</w:t>
                  </w:r>
                  <w:r>
                    <w:rPr>
                      <w:rFonts w:hint="default" w:ascii="Times New Roman" w:hAnsi="Times New Roman" w:cs="Times New Roman"/>
                      <w:color w:val="auto"/>
                      <w:szCs w:val="21"/>
                      <w:lang w:val="en-US" w:eastAsia="zh-CN"/>
                    </w:rPr>
                    <w:t>东外环路设置2座照明专用箱，灯具数量总计118套，采用LED灯</w:t>
                  </w:r>
                  <w:r>
                    <w:rPr>
                      <w:rFonts w:hint="eastAsia" w:cs="Times New Roman"/>
                      <w:color w:val="auto"/>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p>
              </w:tc>
              <w:tc>
                <w:tcPr>
                  <w:tcW w:w="48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供暖管网</w:t>
                  </w:r>
                </w:p>
              </w:tc>
              <w:tc>
                <w:tcPr>
                  <w:tcW w:w="4259"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szCs w:val="21"/>
                      <w:lang w:eastAsia="zh-CN"/>
                    </w:rPr>
                  </w:pPr>
                  <w:r>
                    <w:rPr>
                      <w:rFonts w:hint="default" w:ascii="Times New Roman" w:hAnsi="Times New Roman" w:cs="Times New Roman"/>
                      <w:color w:val="auto"/>
                      <w:szCs w:val="21"/>
                      <w:lang w:eastAsia="zh-CN"/>
                    </w:rPr>
                    <w:t>在东外环路道路中心线以东17.0米处，规划一趟DN500的供热管线，设计起点为道路桩号K2+000处，设计终点至五黄路，全长约900m；采用螺旋焊缝钢管,材质Q235B；保温材料采用改性硬质聚氨酯泡沫塑料</w:t>
                  </w:r>
                  <w:r>
                    <w:rPr>
                      <w:rFonts w:hint="eastAsia" w:cs="Times New Roman"/>
                      <w:color w:val="auto"/>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p>
              </w:tc>
              <w:tc>
                <w:tcPr>
                  <w:tcW w:w="48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燃气管网</w:t>
                  </w:r>
                </w:p>
              </w:tc>
              <w:tc>
                <w:tcPr>
                  <w:tcW w:w="4259"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szCs w:val="21"/>
                      <w:lang w:eastAsia="zh-CN"/>
                    </w:rPr>
                  </w:pPr>
                  <w:r>
                    <w:rPr>
                      <w:rFonts w:hint="default" w:ascii="Times New Roman" w:hAnsi="Times New Roman" w:cs="Times New Roman"/>
                      <w:color w:val="auto"/>
                      <w:szCs w:val="21"/>
                      <w:lang w:eastAsia="zh-CN"/>
                    </w:rPr>
                    <w:t>为中压天然气管道工程，设计压力0.4MPa，运行压力为0.1~0.4MPa，本次设计全长东外环路840米，采用聚乙烯PE100 SDR11dn160、dn110（支线）</w:t>
                  </w:r>
                  <w:r>
                    <w:rPr>
                      <w:rFonts w:hint="eastAsia" w:cs="Times New Roman"/>
                      <w:color w:val="auto"/>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p>
              </w:tc>
              <w:tc>
                <w:tcPr>
                  <w:tcW w:w="48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绿化工程</w:t>
                  </w:r>
                </w:p>
              </w:tc>
              <w:tc>
                <w:tcPr>
                  <w:tcW w:w="4259"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道路绿化带内进行绿化；东外环路总计种植白皮松418株、白蜡103株、国槐415株、栾树34株、西府海棠214株、木槿238株、丁香34株、紫叶矮樱49株、金叶榆球351株、月季篱232.82m</w:t>
                  </w:r>
                  <w:r>
                    <w:rPr>
                      <w:rFonts w:hint="default" w:ascii="Times New Roman" w:hAnsi="Times New Roman" w:cs="Times New Roman"/>
                      <w:color w:val="auto"/>
                      <w:szCs w:val="21"/>
                      <w:vertAlign w:val="superscript"/>
                      <w:lang w:val="en-US" w:eastAsia="zh-CN"/>
                    </w:rPr>
                    <w:t>2</w:t>
                  </w:r>
                  <w:r>
                    <w:rPr>
                      <w:rFonts w:hint="default" w:ascii="Times New Roman" w:hAnsi="Times New Roman" w:cs="Times New Roman"/>
                      <w:color w:val="auto"/>
                      <w:szCs w:val="21"/>
                      <w:lang w:val="en-US" w:eastAsia="zh-CN"/>
                    </w:rPr>
                    <w:t>、紫叶小檗篱160m</w:t>
                  </w:r>
                  <w:r>
                    <w:rPr>
                      <w:rFonts w:hint="default" w:ascii="Times New Roman" w:hAnsi="Times New Roman" w:cs="Times New Roman"/>
                      <w:color w:val="auto"/>
                      <w:szCs w:val="21"/>
                      <w:vertAlign w:val="superscript"/>
                      <w:lang w:val="en-US" w:eastAsia="zh-CN"/>
                    </w:rPr>
                    <w:t>2</w:t>
                  </w:r>
                  <w:r>
                    <w:rPr>
                      <w:rFonts w:hint="default" w:ascii="Times New Roman" w:hAnsi="Times New Roman" w:cs="Times New Roman"/>
                      <w:color w:val="auto"/>
                      <w:szCs w:val="21"/>
                      <w:lang w:val="en-US" w:eastAsia="zh-CN"/>
                    </w:rPr>
                    <w:t>、金叶榆篱2142.54m</w:t>
                  </w:r>
                  <w:r>
                    <w:rPr>
                      <w:rFonts w:hint="default" w:ascii="Times New Roman" w:hAnsi="Times New Roman" w:cs="Times New Roman"/>
                      <w:color w:val="auto"/>
                      <w:szCs w:val="21"/>
                      <w:vertAlign w:val="superscript"/>
                      <w:lang w:val="en-US" w:eastAsia="zh-CN"/>
                    </w:rPr>
                    <w:t>2</w:t>
                  </w:r>
                  <w:r>
                    <w:rPr>
                      <w:rFonts w:hint="default" w:ascii="Times New Roman" w:hAnsi="Times New Roman" w:cs="Times New Roman"/>
                      <w:color w:val="auto"/>
                      <w:szCs w:val="21"/>
                      <w:lang w:val="en-US" w:eastAsia="zh-CN"/>
                    </w:rPr>
                    <w:t>、胶东卫矛篱7768.31m</w:t>
                  </w:r>
                  <w:r>
                    <w:rPr>
                      <w:rFonts w:hint="default" w:ascii="Times New Roman" w:hAnsi="Times New Roman" w:cs="Times New Roman"/>
                      <w:color w:val="auto"/>
                      <w:szCs w:val="21"/>
                      <w:vertAlign w:val="superscript"/>
                      <w:lang w:val="en-US" w:eastAsia="zh-CN"/>
                    </w:rPr>
                    <w:t>2</w:t>
                  </w:r>
                  <w:r>
                    <w:rPr>
                      <w:rFonts w:hint="default" w:ascii="Times New Roman" w:hAnsi="Times New Roman" w:cs="Times New Roman"/>
                      <w:color w:val="auto"/>
                      <w:szCs w:val="21"/>
                      <w:lang w:val="en-US" w:eastAsia="zh-CN"/>
                    </w:rPr>
                    <w:t>、冷季型草2527.31m</w:t>
                  </w:r>
                  <w:r>
                    <w:rPr>
                      <w:rFonts w:hint="default" w:ascii="Times New Roman" w:hAnsi="Times New Roman" w:cs="Times New Roman"/>
                      <w:color w:val="auto"/>
                      <w:szCs w:val="21"/>
                      <w:vertAlign w:val="superscript"/>
                      <w:lang w:val="en-US" w:eastAsia="zh-CN"/>
                    </w:rPr>
                    <w:t>2</w:t>
                  </w:r>
                  <w:r>
                    <w:rPr>
                      <w:rFonts w:hint="eastAsia" w:cs="Times New Roman"/>
                      <w:color w:val="auto"/>
                      <w:szCs w:val="21"/>
                      <w:vertAlign w:val="baselin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82"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交通工程</w:t>
                  </w:r>
                </w:p>
              </w:tc>
              <w:tc>
                <w:tcPr>
                  <w:tcW w:w="52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交通监控</w:t>
                  </w:r>
                </w:p>
              </w:tc>
              <w:tc>
                <w:tcPr>
                  <w:tcW w:w="3737"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Cs w:val="21"/>
                      <w:lang w:eastAsia="zh-CN"/>
                    </w:rPr>
                  </w:pPr>
                  <w:r>
                    <w:rPr>
                      <w:rFonts w:hint="default" w:ascii="Times New Roman" w:hAnsi="Times New Roman" w:cs="Times New Roman"/>
                      <w:color w:val="auto"/>
                      <w:szCs w:val="21"/>
                    </w:rPr>
                    <w:t>应建设方及交通部门要求设置道路监控，人行通道处设置智能监控，采用智能集成灯杆，设置监控，监控主机，信号灯，信号主机，信息发布系统等</w:t>
                  </w:r>
                  <w:r>
                    <w:rPr>
                      <w:rFonts w:hint="eastAsia" w:cs="Times New Roman"/>
                      <w:color w:val="auto"/>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8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52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交通标线</w:t>
                  </w:r>
                </w:p>
              </w:tc>
              <w:tc>
                <w:tcPr>
                  <w:tcW w:w="3737"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道路标线按规范要求需设置双黄线、车行道边缘线、可跨越同向车行道分界线、停止线、导向箭头、人行横道等。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82" w:type="pct"/>
                  <w:vMerge w:val="continue"/>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521" w:type="pct"/>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交通标志</w:t>
                  </w:r>
                </w:p>
              </w:tc>
              <w:tc>
                <w:tcPr>
                  <w:tcW w:w="3737" w:type="pct"/>
                  <w:gridSpan w:val="3"/>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Cs w:val="21"/>
                      <w:lang w:eastAsia="zh-CN"/>
                    </w:rPr>
                  </w:pPr>
                  <w:bookmarkStart w:id="1" w:name="_Toc330495582"/>
                  <w:r>
                    <w:rPr>
                      <w:rFonts w:hint="default" w:ascii="Times New Roman" w:hAnsi="Times New Roman" w:cs="Times New Roman"/>
                      <w:color w:val="auto"/>
                      <w:szCs w:val="21"/>
                    </w:rPr>
                    <w:t>项目在主干路全路段设置交叉口预告标志，全线道路设置指示标志、警告标志和禁令标志标志牌。</w:t>
                  </w:r>
                  <w:bookmarkEnd w:id="1"/>
                  <w:r>
                    <w:rPr>
                      <w:rFonts w:hint="default" w:ascii="Times New Roman" w:hAnsi="Times New Roman" w:cs="Times New Roman"/>
                      <w:color w:val="auto"/>
                      <w:szCs w:val="21"/>
                    </w:rPr>
                    <w:t>标志牌采用铝合金材质，标志杆采用无缝钢管。标志版面反光膜按《公路交通标志反光膜》（GB/T 18833-2012）执行。标注板衬底、文字及图案均采用一级反光膜</w:t>
                  </w:r>
                  <w:r>
                    <w:rPr>
                      <w:rFonts w:hint="eastAsia" w:cs="Times New Roman"/>
                      <w:color w:val="auto"/>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辅助工程</w:t>
                  </w:r>
                </w:p>
              </w:tc>
              <w:tc>
                <w:tcPr>
                  <w:tcW w:w="1003" w:type="pct"/>
                  <w:gridSpan w:val="2"/>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取</w:t>
                  </w:r>
                  <w:r>
                    <w:rPr>
                      <w:rFonts w:hint="eastAsia" w:ascii="Times New Roman" w:hAnsi="Times New Roman" w:cs="Times New Roman"/>
                      <w:color w:val="auto"/>
                      <w:szCs w:val="21"/>
                      <w:highlight w:val="none"/>
                      <w:lang w:val="en-US" w:eastAsia="zh-CN"/>
                    </w:rPr>
                    <w:t>、弃</w:t>
                  </w:r>
                  <w:r>
                    <w:rPr>
                      <w:rFonts w:hint="default" w:ascii="Times New Roman" w:hAnsi="Times New Roman" w:cs="Times New Roman"/>
                      <w:color w:val="auto"/>
                      <w:szCs w:val="21"/>
                      <w:highlight w:val="none"/>
                      <w:lang w:val="en-US" w:eastAsia="zh-CN"/>
                    </w:rPr>
                    <w:t>土场</w:t>
                  </w:r>
                </w:p>
              </w:tc>
              <w:tc>
                <w:tcPr>
                  <w:tcW w:w="3737" w:type="pct"/>
                  <w:gridSpan w:val="3"/>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lang w:val="en-US" w:eastAsia="zh-CN"/>
                    </w:rPr>
                    <w:t>根据初设估算，</w:t>
                  </w:r>
                  <w:r>
                    <w:rPr>
                      <w:rFonts w:hint="eastAsia" w:ascii="Times New Roman" w:hAnsi="Times New Roman" w:cs="Times New Roman"/>
                      <w:color w:val="auto"/>
                      <w:szCs w:val="21"/>
                      <w:highlight w:val="none"/>
                      <w:lang w:val="en-US" w:eastAsia="zh-CN"/>
                    </w:rPr>
                    <w:t>东外环路弃方量为51837</w:t>
                  </w:r>
                  <w:r>
                    <w:rPr>
                      <w:rFonts w:hint="default" w:ascii="Times New Roman" w:hAnsi="Times New Roman" w:cs="Times New Roman"/>
                      <w:color w:val="auto"/>
                      <w:szCs w:val="21"/>
                      <w:highlight w:val="none"/>
                      <w:lang w:val="en-US" w:eastAsia="zh-CN"/>
                    </w:rPr>
                    <w:t>m</w:t>
                  </w:r>
                  <w:r>
                    <w:rPr>
                      <w:rFonts w:hint="default" w:ascii="Times New Roman" w:hAnsi="Times New Roman" w:cs="Times New Roman"/>
                      <w:color w:val="auto"/>
                      <w:szCs w:val="21"/>
                      <w:highlight w:val="none"/>
                      <w:vertAlign w:val="superscript"/>
                      <w:lang w:val="en-US" w:eastAsia="zh-CN"/>
                    </w:rPr>
                    <w:t>3</w:t>
                  </w:r>
                  <w:r>
                    <w:rPr>
                      <w:rFonts w:hint="default" w:ascii="Times New Roman" w:hAnsi="Times New Roman" w:cs="Times New Roman"/>
                      <w:color w:val="auto"/>
                      <w:szCs w:val="21"/>
                      <w:highlight w:val="none"/>
                      <w:lang w:val="en-US" w:eastAsia="zh-CN"/>
                    </w:rPr>
                    <w:t>；</w:t>
                  </w:r>
                  <w:r>
                    <w:rPr>
                      <w:rFonts w:hint="eastAsia" w:ascii="Times New Roman" w:hAnsi="Times New Roman" w:cs="Times New Roman"/>
                      <w:color w:val="auto"/>
                      <w:szCs w:val="21"/>
                      <w:highlight w:val="none"/>
                      <w:lang w:val="en-US" w:eastAsia="zh-CN"/>
                    </w:rPr>
                    <w:t>弃方送五台县市政指定的渣土场</w:t>
                  </w:r>
                  <w:r>
                    <w:rPr>
                      <w:rFonts w:hint="eastAsia" w:cs="Times New Roman"/>
                      <w:color w:val="auto"/>
                      <w:szCs w:val="21"/>
                      <w:highlight w:val="non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p>
              </w:tc>
              <w:tc>
                <w:tcPr>
                  <w:tcW w:w="1003" w:type="pct"/>
                  <w:gridSpan w:val="2"/>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表土</w:t>
                  </w:r>
                  <w:r>
                    <w:rPr>
                      <w:rFonts w:hint="default" w:ascii="Times New Roman" w:hAnsi="Times New Roman" w:cs="Times New Roman"/>
                      <w:color w:val="auto"/>
                      <w:sz w:val="21"/>
                      <w:szCs w:val="21"/>
                      <w:highlight w:val="none"/>
                    </w:rPr>
                    <w:t>临时堆存区</w:t>
                  </w:r>
                </w:p>
              </w:tc>
              <w:tc>
                <w:tcPr>
                  <w:tcW w:w="3737" w:type="pct"/>
                  <w:gridSpan w:val="3"/>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根据初设估算，东外环路清表量为35241.22m</w:t>
                  </w:r>
                  <w:r>
                    <w:rPr>
                      <w:rFonts w:hint="default" w:ascii="Times New Roman" w:hAnsi="Times New Roman" w:cs="Times New Roman"/>
                      <w:color w:val="auto"/>
                      <w:szCs w:val="21"/>
                      <w:highlight w:val="none"/>
                      <w:vertAlign w:val="superscript"/>
                      <w:lang w:val="en-US" w:eastAsia="zh-CN"/>
                    </w:rPr>
                    <w:t>3</w:t>
                  </w:r>
                  <w:r>
                    <w:rPr>
                      <w:rFonts w:hint="default" w:ascii="Times New Roman" w:hAnsi="Times New Roman" w:cs="Times New Roman"/>
                      <w:color w:val="auto"/>
                      <w:szCs w:val="21"/>
                      <w:highlight w:val="none"/>
                      <w:vertAlign w:val="baseline"/>
                      <w:lang w:val="en-US" w:eastAsia="zh-CN"/>
                    </w:rPr>
                    <w:t>；</w:t>
                  </w:r>
                  <w:r>
                    <w:rPr>
                      <w:rFonts w:hint="default" w:ascii="Times New Roman" w:hAnsi="Times New Roman" w:cs="Times New Roman"/>
                      <w:bCs/>
                      <w:color w:val="auto"/>
                      <w:sz w:val="21"/>
                      <w:szCs w:val="21"/>
                      <w:highlight w:val="none"/>
                    </w:rPr>
                    <w:t>施工期设置4处表土临时堆存区，每个堆土场不超过1万方。表土临时堆存区长50m，宽50m，用于堆放路基工程、施工生产、生活区剥离的表土，将堆放的表土进行集中防护，施工结束后作为道路绿化、场地绿化及植被恢复用土，以充分利用表土资源</w:t>
                  </w:r>
                  <w:r>
                    <w:rPr>
                      <w:rFonts w:hint="eastAsia" w:cs="Times New Roman"/>
                      <w:bCs/>
                      <w:color w:val="auto"/>
                      <w:sz w:val="21"/>
                      <w:szCs w:val="21"/>
                      <w:highlight w:val="none"/>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p>
              </w:tc>
              <w:tc>
                <w:tcPr>
                  <w:tcW w:w="1003" w:type="pct"/>
                  <w:gridSpan w:val="2"/>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施工营地</w:t>
                  </w:r>
                </w:p>
              </w:tc>
              <w:tc>
                <w:tcPr>
                  <w:tcW w:w="3737" w:type="pct"/>
                  <w:gridSpan w:val="3"/>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Cs w:val="21"/>
                      <w:highlight w:val="none"/>
                      <w:lang w:val="en-US" w:eastAsia="zh-CN"/>
                    </w:rPr>
                  </w:pPr>
                  <w:r>
                    <w:rPr>
                      <w:bCs/>
                      <w:color w:val="000000"/>
                      <w:sz w:val="21"/>
                      <w:szCs w:val="21"/>
                    </w:rPr>
                    <w:t>本项目在K</w:t>
                  </w:r>
                  <w:r>
                    <w:rPr>
                      <w:rFonts w:hint="eastAsia"/>
                      <w:bCs/>
                      <w:color w:val="000000"/>
                      <w:sz w:val="21"/>
                      <w:szCs w:val="21"/>
                      <w:lang w:val="en-US" w:eastAsia="zh-CN"/>
                    </w:rPr>
                    <w:t>2</w:t>
                  </w:r>
                  <w:r>
                    <w:rPr>
                      <w:bCs/>
                      <w:color w:val="000000"/>
                      <w:sz w:val="21"/>
                      <w:szCs w:val="21"/>
                    </w:rPr>
                    <w:t>+</w:t>
                  </w:r>
                  <w:r>
                    <w:rPr>
                      <w:rFonts w:hint="eastAsia"/>
                      <w:bCs/>
                      <w:color w:val="000000"/>
                      <w:sz w:val="21"/>
                      <w:szCs w:val="21"/>
                      <w:lang w:val="en-US" w:eastAsia="zh-CN"/>
                    </w:rPr>
                    <w:t>140</w:t>
                  </w:r>
                  <w:r>
                    <w:rPr>
                      <w:bCs/>
                      <w:color w:val="000000"/>
                      <w:sz w:val="21"/>
                      <w:szCs w:val="21"/>
                    </w:rPr>
                    <w:t>处布置1处临时施工营地，占地面积0.67hm</w:t>
                  </w:r>
                  <w:r>
                    <w:rPr>
                      <w:bCs/>
                      <w:color w:val="000000"/>
                      <w:sz w:val="21"/>
                      <w:szCs w:val="21"/>
                      <w:vertAlign w:val="superscript"/>
                    </w:rPr>
                    <w:t>2</w:t>
                  </w:r>
                  <w:r>
                    <w:rPr>
                      <w:bCs/>
                      <w:color w:val="000000"/>
                      <w:sz w:val="21"/>
                      <w:szCs w:val="21"/>
                    </w:rPr>
                    <w:t>，</w:t>
                  </w:r>
                  <w:r>
                    <w:rPr>
                      <w:rFonts w:hint="eastAsia"/>
                      <w:bCs/>
                      <w:color w:val="000000"/>
                      <w:sz w:val="21"/>
                      <w:szCs w:val="21"/>
                      <w:lang w:val="en-US" w:eastAsia="zh-CN"/>
                    </w:rPr>
                    <w:t>占地为废弃工厂，</w:t>
                  </w:r>
                  <w:r>
                    <w:rPr>
                      <w:rFonts w:hint="default" w:ascii="Times New Roman" w:hAnsi="Times New Roman" w:cs="Times New Roman"/>
                      <w:color w:val="auto"/>
                      <w:sz w:val="21"/>
                      <w:szCs w:val="21"/>
                      <w:highlight w:val="none"/>
                    </w:rPr>
                    <w:t>施工营地主要用于原辅料周转、施工机械停放，工人暂住，营地内不设置拌合站、加工厂，设置有原料库、机械存放库、办公生活区、洗车平台，营地内不设浴室</w:t>
                  </w:r>
                  <w:r>
                    <w:rPr>
                      <w:rFonts w:hint="eastAsia" w:cs="Times New Roman"/>
                      <w:color w:val="auto"/>
                      <w:sz w:val="21"/>
                      <w:szCs w:val="21"/>
                      <w:highlight w:val="none"/>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p>
              </w:tc>
              <w:tc>
                <w:tcPr>
                  <w:tcW w:w="1003" w:type="pct"/>
                  <w:gridSpan w:val="2"/>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施工便道</w:t>
                  </w:r>
                </w:p>
              </w:tc>
              <w:tc>
                <w:tcPr>
                  <w:tcW w:w="3737" w:type="pct"/>
                  <w:gridSpan w:val="3"/>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val="en-US" w:eastAsia="zh-CN"/>
                    </w:rPr>
                    <w:t>东外环路为扩建、可充分利用左幅既有道路作为施工便道，减少对周边土地资源的占用；左幅既有道路</w:t>
                  </w:r>
                  <w:r>
                    <w:rPr>
                      <w:rFonts w:hint="eastAsia" w:cs="Times New Roman"/>
                      <w:color w:val="auto"/>
                      <w:sz w:val="21"/>
                      <w:szCs w:val="21"/>
                      <w:lang w:val="en-US" w:eastAsia="zh-CN"/>
                    </w:rPr>
                    <w:t>宽12m，路面结构完整。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p>
              </w:tc>
              <w:tc>
                <w:tcPr>
                  <w:tcW w:w="1003" w:type="pct"/>
                  <w:gridSpan w:val="2"/>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建筑材料</w:t>
                  </w:r>
                </w:p>
              </w:tc>
              <w:tc>
                <w:tcPr>
                  <w:tcW w:w="3737" w:type="pct"/>
                  <w:gridSpan w:val="3"/>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外购，项目区内公路、铁路交通网络发达，交通运输偏离，路网材料可方便到达施工现场</w:t>
                  </w:r>
                  <w:r>
                    <w:rPr>
                      <w:rFonts w:hint="eastAsia" w:cs="Times New Roman"/>
                      <w:color w:val="auto"/>
                      <w:sz w:val="21"/>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restart"/>
                  <w:tcBorders>
                    <w:top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环保工程</w:t>
                  </w:r>
                </w:p>
              </w:tc>
              <w:tc>
                <w:tcPr>
                  <w:tcW w:w="482" w:type="pct"/>
                  <w:vMerge w:val="restart"/>
                  <w:tcBorders>
                    <w:top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施工期</w:t>
                  </w:r>
                </w:p>
              </w:tc>
              <w:tc>
                <w:tcPr>
                  <w:tcW w:w="521" w:type="pct"/>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废气</w:t>
                  </w:r>
                </w:p>
              </w:tc>
              <w:tc>
                <w:tcPr>
                  <w:tcW w:w="3737" w:type="pct"/>
                  <w:gridSpan w:val="3"/>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szCs w:val="21"/>
                      <w:lang w:val="en-US"/>
                    </w:rPr>
                  </w:pPr>
                  <w:r>
                    <w:rPr>
                      <w:rFonts w:hint="default" w:ascii="Times New Roman" w:hAnsi="Times New Roman" w:cs="Times New Roman"/>
                      <w:color w:val="auto"/>
                      <w:szCs w:val="21"/>
                      <w:lang w:val="en-US" w:eastAsia="zh-CN"/>
                    </w:rPr>
                    <w:t>扬尘污染防治应严格按《防治城市扬尘污染技术规范》要求进行防治。土方及施工过程中使用的多尘物料应使用帆布覆盖；运输车辆适当加湿，经过敏感区限速，经过居民区禁止鸣笛。使用优质燃油，并加强设备及车辆养护；</w:t>
                  </w:r>
                  <w:r>
                    <w:rPr>
                      <w:rFonts w:hint="default" w:ascii="Times New Roman" w:hAnsi="Times New Roman" w:cs="Times New Roman"/>
                      <w:color w:val="auto"/>
                      <w:kern w:val="0"/>
                      <w:szCs w:val="21"/>
                      <w:lang w:val="en-US" w:eastAsia="zh-CN"/>
                    </w:rPr>
                    <w:t>食堂油烟</w:t>
                  </w:r>
                  <w:r>
                    <w:rPr>
                      <w:rFonts w:hint="default" w:ascii="Times New Roman" w:hAnsi="Times New Roman" w:cs="Times New Roman"/>
                      <w:color w:val="auto"/>
                      <w:kern w:val="32"/>
                      <w:szCs w:val="21"/>
                      <w:lang w:val="en-US" w:eastAsia="zh-CN"/>
                    </w:rPr>
                    <w:t>设置</w:t>
                  </w:r>
                  <w:r>
                    <w:rPr>
                      <w:rFonts w:hint="default" w:ascii="Times New Roman" w:hAnsi="Times New Roman" w:eastAsia="宋体" w:cs="Times New Roman"/>
                      <w:color w:val="auto"/>
                      <w:lang w:val="en-US" w:eastAsia="zh-CN"/>
                    </w:rPr>
                    <w:t>油烟净化装置（中型）处理</w:t>
                  </w:r>
                  <w:r>
                    <w:rPr>
                      <w:rFonts w:hint="eastAsia" w:ascii="Times New Roman" w:hAnsi="Times New Roman" w:cs="Times New Roman"/>
                      <w:color w:val="auto"/>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8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p>
              </w:tc>
              <w:tc>
                <w:tcPr>
                  <w:tcW w:w="521" w:type="pct"/>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废水</w:t>
                  </w:r>
                </w:p>
              </w:tc>
              <w:tc>
                <w:tcPr>
                  <w:tcW w:w="3737" w:type="pct"/>
                  <w:gridSpan w:val="3"/>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Cs w:val="21"/>
                      <w:lang w:eastAsia="zh-CN"/>
                    </w:rPr>
                  </w:pPr>
                  <w:r>
                    <w:rPr>
                      <w:rFonts w:hint="default" w:ascii="Times New Roman" w:hAnsi="Times New Roman" w:cs="Times New Roman"/>
                      <w:color w:val="auto"/>
                      <w:szCs w:val="21"/>
                    </w:rPr>
                    <w:t>本项目施工期设备冲洗、场地冲洗废水经隔油+沉淀回用施工物料区洒水抑尘；车辆冲洗废水沉淀回用，不外排；生活污水排入</w:t>
                  </w:r>
                  <w:r>
                    <w:rPr>
                      <w:rFonts w:hint="default" w:ascii="Times New Roman" w:hAnsi="Times New Roman" w:cs="Times New Roman"/>
                      <w:color w:val="auto"/>
                      <w:szCs w:val="21"/>
                      <w:lang w:val="en-US" w:eastAsia="zh-CN"/>
                    </w:rPr>
                    <w:t>移动水冲厕</w:t>
                  </w:r>
                  <w:r>
                    <w:rPr>
                      <w:rFonts w:hint="default" w:ascii="Times New Roman" w:hAnsi="Times New Roman" w:cs="Times New Roman"/>
                      <w:color w:val="auto"/>
                      <w:szCs w:val="21"/>
                    </w:rPr>
                    <w:t>定期清掏，用于附近农田施肥</w:t>
                  </w:r>
                  <w:r>
                    <w:rPr>
                      <w:rFonts w:hint="eastAsia" w:ascii="Times New Roman" w:hAnsi="Times New Roman" w:cs="Times New Roman"/>
                      <w:color w:val="auto"/>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8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p>
              </w:tc>
              <w:tc>
                <w:tcPr>
                  <w:tcW w:w="521" w:type="pct"/>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固废</w:t>
                  </w:r>
                </w:p>
              </w:tc>
              <w:tc>
                <w:tcPr>
                  <w:tcW w:w="3737" w:type="pct"/>
                  <w:gridSpan w:val="3"/>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余方</w:t>
                  </w:r>
                  <w:r>
                    <w:rPr>
                      <w:rFonts w:hint="default" w:ascii="Times New Roman" w:hAnsi="Times New Roman" w:cs="Times New Roman"/>
                      <w:color w:val="auto"/>
                      <w:sz w:val="21"/>
                      <w:szCs w:val="21"/>
                    </w:rPr>
                    <w:t>按照</w:t>
                  </w:r>
                  <w:r>
                    <w:rPr>
                      <w:rFonts w:hint="eastAsia" w:ascii="Times New Roman" w:hAnsi="Times New Roman" w:cs="Times New Roman"/>
                      <w:color w:val="auto"/>
                      <w:sz w:val="21"/>
                      <w:szCs w:val="21"/>
                      <w:lang w:val="en-US" w:eastAsia="zh-CN"/>
                    </w:rPr>
                    <w:t>五台</w:t>
                  </w:r>
                  <w:r>
                    <w:rPr>
                      <w:rFonts w:hint="default" w:ascii="Times New Roman" w:hAnsi="Times New Roman" w:cs="Times New Roman"/>
                      <w:color w:val="auto"/>
                      <w:sz w:val="21"/>
                      <w:szCs w:val="21"/>
                    </w:rPr>
                    <w:t>县人民政府的要求进行处理</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施工中的建筑垃圾主要是碎砖块、灰浆、废材料等，应由各施工队妥善处理，由</w:t>
                  </w:r>
                  <w:r>
                    <w:rPr>
                      <w:rFonts w:hint="eastAsia" w:ascii="Times New Roman" w:hAnsi="Times New Roman" w:cs="Times New Roman"/>
                      <w:color w:val="auto"/>
                      <w:sz w:val="21"/>
                      <w:szCs w:val="21"/>
                      <w:lang w:val="en-US" w:eastAsia="zh-CN"/>
                    </w:rPr>
                    <w:t>五台</w:t>
                  </w:r>
                  <w:r>
                    <w:rPr>
                      <w:rFonts w:hint="default" w:ascii="Times New Roman" w:hAnsi="Times New Roman" w:cs="Times New Roman"/>
                      <w:color w:val="auto"/>
                      <w:sz w:val="21"/>
                      <w:szCs w:val="21"/>
                      <w:lang w:val="en-US" w:eastAsia="zh-CN"/>
                    </w:rPr>
                    <w:t>县</w:t>
                  </w:r>
                  <w:r>
                    <w:rPr>
                      <w:rFonts w:hint="default" w:ascii="Times New Roman" w:hAnsi="Times New Roman" w:cs="Times New Roman"/>
                      <w:color w:val="auto"/>
                      <w:sz w:val="21"/>
                      <w:szCs w:val="21"/>
                    </w:rPr>
                    <w:t>环卫局统一规划处置</w:t>
                  </w:r>
                  <w:r>
                    <w:rPr>
                      <w:rFonts w:hint="default" w:ascii="Times New Roman" w:hAnsi="Times New Roman" w:cs="Times New Roman"/>
                      <w:color w:val="auto"/>
                      <w:sz w:val="21"/>
                      <w:szCs w:val="21"/>
                      <w:lang w:eastAsia="zh-CN"/>
                    </w:rPr>
                    <w:t>；生活垃圾用垃圾桶收集后由环卫工人运送到指定垃圾场处理</w:t>
                  </w:r>
                  <w:r>
                    <w:rPr>
                      <w:rFonts w:hint="eastAsia" w:ascii="Times New Roman" w:hAnsi="Times New Roman" w:cs="Times New Roman"/>
                      <w:color w:val="auto"/>
                      <w:sz w:val="21"/>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8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p>
              </w:tc>
              <w:tc>
                <w:tcPr>
                  <w:tcW w:w="521" w:type="pct"/>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噪声</w:t>
                  </w:r>
                </w:p>
              </w:tc>
              <w:tc>
                <w:tcPr>
                  <w:tcW w:w="3737" w:type="pct"/>
                  <w:gridSpan w:val="3"/>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Cs w:val="21"/>
                      <w:lang w:eastAsia="zh-CN"/>
                    </w:rPr>
                  </w:pPr>
                  <w:r>
                    <w:rPr>
                      <w:rFonts w:hint="default" w:ascii="Times New Roman" w:hAnsi="Times New Roman" w:cs="Times New Roman"/>
                      <w:color w:val="auto"/>
                      <w:szCs w:val="21"/>
                    </w:rPr>
                    <w:t>采用先进设备、淘汰落后设备，限值作业时间，定期对机械设备进行维护和保养，禁止在夜间施工</w:t>
                  </w:r>
                  <w:r>
                    <w:rPr>
                      <w:rFonts w:hint="eastAsia" w:ascii="Times New Roman" w:hAnsi="Times New Roman" w:cs="Times New Roman"/>
                      <w:color w:val="auto"/>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8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p>
              </w:tc>
              <w:tc>
                <w:tcPr>
                  <w:tcW w:w="521" w:type="pct"/>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移动水冲厕</w:t>
                  </w:r>
                </w:p>
              </w:tc>
              <w:tc>
                <w:tcPr>
                  <w:tcW w:w="3737" w:type="pct"/>
                  <w:gridSpan w:val="3"/>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定期清掏，用于附近农田施肥</w:t>
                  </w:r>
                  <w:r>
                    <w:rPr>
                      <w:rFonts w:hint="eastAsia" w:ascii="Times New Roman" w:hAnsi="Times New Roman" w:cs="Times New Roman"/>
                      <w:color w:val="auto"/>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82" w:type="pct"/>
                  <w:vMerge w:val="continue"/>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p>
              </w:tc>
              <w:tc>
                <w:tcPr>
                  <w:tcW w:w="521" w:type="pct"/>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生态</w:t>
                  </w:r>
                </w:p>
              </w:tc>
              <w:tc>
                <w:tcPr>
                  <w:tcW w:w="3737" w:type="pct"/>
                  <w:gridSpan w:val="3"/>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（1）施工期对已有水体的保护措施：钻孔作业禁止在洪水发生时进行开挖，弃土按照</w:t>
                  </w:r>
                  <w:r>
                    <w:rPr>
                      <w:rFonts w:hint="eastAsia" w:ascii="Times New Roman" w:hAnsi="Times New Roman" w:cs="Times New Roman"/>
                      <w:color w:val="auto"/>
                      <w:szCs w:val="21"/>
                      <w:lang w:val="en-US" w:eastAsia="zh-CN"/>
                    </w:rPr>
                    <w:t>五台</w:t>
                  </w:r>
                  <w:r>
                    <w:rPr>
                      <w:rFonts w:hint="default" w:ascii="Times New Roman" w:hAnsi="Times New Roman" w:cs="Times New Roman"/>
                      <w:color w:val="auto"/>
                      <w:szCs w:val="21"/>
                      <w:lang w:val="en-US" w:eastAsia="zh-CN"/>
                    </w:rPr>
                    <w:t>县人民政府的要求进行处理，严禁将土方倒入河道。同</w:t>
                  </w:r>
                  <w:r>
                    <w:rPr>
                      <w:rFonts w:hint="eastAsia" w:ascii="Times New Roman" w:hAnsi="Times New Roman" w:cs="Times New Roman"/>
                      <w:color w:val="auto"/>
                      <w:szCs w:val="21"/>
                      <w:lang w:val="en-US" w:eastAsia="zh-CN"/>
                    </w:rPr>
                    <w:t>时</w:t>
                  </w:r>
                  <w:r>
                    <w:rPr>
                      <w:rFonts w:hint="default" w:ascii="Times New Roman" w:hAnsi="Times New Roman" w:cs="Times New Roman"/>
                      <w:color w:val="auto"/>
                      <w:szCs w:val="21"/>
                      <w:lang w:val="en-US" w:eastAsia="zh-CN"/>
                    </w:rPr>
                    <w:t>加强施工机械的检修，严格施工管理，减少施工机械的跑、</w:t>
                  </w:r>
                  <w:r>
                    <w:rPr>
                      <w:rFonts w:hint="eastAsia" w:ascii="Times New Roman" w:hAnsi="Times New Roman" w:cs="Times New Roman"/>
                      <w:color w:val="auto"/>
                      <w:szCs w:val="21"/>
                      <w:lang w:val="en-US" w:eastAsia="zh-CN"/>
                    </w:rPr>
                    <w:t>冒</w:t>
                  </w:r>
                  <w:r>
                    <w:rPr>
                      <w:rFonts w:hint="default" w:ascii="Times New Roman" w:hAnsi="Times New Roman" w:cs="Times New Roman"/>
                      <w:color w:val="auto"/>
                      <w:szCs w:val="21"/>
                      <w:lang w:val="en-US" w:eastAsia="zh-CN"/>
                    </w:rPr>
                    <w:t>、滴、漏，避免机械油污污染水体。</w:t>
                  </w:r>
                </w:p>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（2）施工对景观的保护措施：在施工中产生的废建材、垃圾等不得随意堆放，应及时清运。对施工人员应进行严格管理，严禁乱撒乱抛废弃物。施工时应注意避开雨季，防止因雨水造成泥沙流失。</w:t>
                  </w:r>
                </w:p>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eastAsia="zh-CN"/>
                    </w:rPr>
                    <w:t>（</w:t>
                  </w:r>
                  <w:r>
                    <w:rPr>
                      <w:rFonts w:hint="default" w:ascii="Times New Roman" w:hAnsi="Times New Roman" w:cs="Times New Roman"/>
                      <w:color w:val="auto"/>
                      <w:szCs w:val="21"/>
                      <w:lang w:val="en-US" w:eastAsia="zh-CN"/>
                    </w:rPr>
                    <w:t>3</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lang w:val="en-US" w:eastAsia="zh-CN"/>
                    </w:rPr>
                    <w:t>桥墩施工时对河道的保护措施：在钻孔前挖好泥浆池，钻进过程中经泥浆循环</w:t>
                  </w:r>
                  <w:r>
                    <w:rPr>
                      <w:rFonts w:hint="eastAsia" w:ascii="Times New Roman" w:hAnsi="Times New Roman" w:cs="Times New Roman"/>
                      <w:color w:val="auto"/>
                      <w:szCs w:val="21"/>
                      <w:lang w:val="en-US" w:eastAsia="zh-CN"/>
                    </w:rPr>
                    <w:t>使用</w:t>
                  </w:r>
                  <w:r>
                    <w:rPr>
                      <w:rFonts w:hint="default" w:ascii="Times New Roman" w:hAnsi="Times New Roman" w:cs="Times New Roman"/>
                      <w:color w:val="auto"/>
                      <w:szCs w:val="21"/>
                      <w:lang w:val="en-US" w:eastAsia="zh-CN"/>
                    </w:rPr>
                    <w:t>，</w:t>
                  </w:r>
                  <w:r>
                    <w:rPr>
                      <w:rFonts w:hint="eastAsia" w:ascii="Times New Roman" w:hAnsi="Times New Roman" w:cs="Times New Roman"/>
                      <w:color w:val="auto"/>
                      <w:szCs w:val="21"/>
                      <w:lang w:val="en-US" w:eastAsia="zh-CN"/>
                    </w:rPr>
                    <w:t>在</w:t>
                  </w:r>
                  <w:r>
                    <w:rPr>
                      <w:rFonts w:hint="default" w:ascii="Times New Roman" w:hAnsi="Times New Roman" w:cs="Times New Roman"/>
                      <w:color w:val="auto"/>
                      <w:szCs w:val="21"/>
                      <w:lang w:val="en-US" w:eastAsia="zh-CN"/>
                    </w:rPr>
                    <w:t>循环过程中将土石带入泥浆池进行土石的沉淀，沉淀后的泥浆循环利用。同时定期清理沉淀池，对清出后的沉淀物运至</w:t>
                  </w:r>
                  <w:r>
                    <w:rPr>
                      <w:rFonts w:hint="eastAsia" w:ascii="Times New Roman" w:hAnsi="Times New Roman" w:cs="Times New Roman"/>
                      <w:color w:val="auto"/>
                      <w:szCs w:val="21"/>
                      <w:lang w:val="en-US" w:eastAsia="zh-CN"/>
                    </w:rPr>
                    <w:t>五台</w:t>
                  </w:r>
                  <w:r>
                    <w:rPr>
                      <w:rFonts w:hint="default" w:ascii="Times New Roman" w:hAnsi="Times New Roman" w:cs="Times New Roman"/>
                      <w:color w:val="auto"/>
                      <w:szCs w:val="21"/>
                      <w:lang w:val="en-US" w:eastAsia="zh-CN"/>
                    </w:rPr>
                    <w:t>县人民政府</w:t>
                  </w:r>
                  <w:r>
                    <w:rPr>
                      <w:rFonts w:hint="eastAsia" w:ascii="Times New Roman" w:hAnsi="Times New Roman" w:cs="Times New Roman"/>
                      <w:color w:val="auto"/>
                      <w:szCs w:val="21"/>
                      <w:lang w:val="en-US" w:eastAsia="zh-CN"/>
                    </w:rPr>
                    <w:t>制定</w:t>
                  </w:r>
                  <w:r>
                    <w:rPr>
                      <w:rFonts w:hint="default" w:ascii="Times New Roman" w:hAnsi="Times New Roman" w:cs="Times New Roman"/>
                      <w:color w:val="auto"/>
                      <w:szCs w:val="21"/>
                      <w:lang w:val="en-US" w:eastAsia="zh-CN"/>
                    </w:rPr>
                    <w:t>的要求进行处理。</w:t>
                  </w:r>
                </w:p>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color w:val="auto"/>
                      <w:szCs w:val="21"/>
                    </w:rPr>
                  </w:pPr>
                  <w:r>
                    <w:rPr>
                      <w:rFonts w:hint="default" w:ascii="Times New Roman" w:hAnsi="Times New Roman" w:cs="Times New Roman"/>
                      <w:color w:val="auto"/>
                      <w:szCs w:val="21"/>
                      <w:lang w:eastAsia="zh-CN"/>
                    </w:rPr>
                    <w:t>（</w:t>
                  </w:r>
                  <w:r>
                    <w:rPr>
                      <w:rFonts w:hint="default" w:ascii="Times New Roman" w:hAnsi="Times New Roman" w:cs="Times New Roman"/>
                      <w:color w:val="auto"/>
                      <w:szCs w:val="21"/>
                      <w:lang w:val="en-US" w:eastAsia="zh-CN"/>
                    </w:rPr>
                    <w:t>4</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lang w:val="en-US" w:eastAsia="zh-CN"/>
                    </w:rPr>
                    <w:t>施工期结束后生态恢复措施：施工期</w:t>
                  </w:r>
                  <w:r>
                    <w:rPr>
                      <w:rFonts w:hint="default" w:ascii="Times New Roman" w:hAnsi="Times New Roman" w:cs="Times New Roman"/>
                      <w:color w:val="auto"/>
                      <w:szCs w:val="21"/>
                    </w:rPr>
                    <w:t>结束后，应对</w:t>
                  </w:r>
                  <w:r>
                    <w:rPr>
                      <w:rFonts w:hint="default" w:ascii="Times New Roman" w:hAnsi="Times New Roman" w:cs="Times New Roman"/>
                      <w:color w:val="auto"/>
                      <w:szCs w:val="21"/>
                      <w:lang w:val="en-US" w:eastAsia="zh-CN"/>
                    </w:rPr>
                    <w:t>河道</w:t>
                  </w:r>
                  <w:r>
                    <w:rPr>
                      <w:rFonts w:hint="default" w:ascii="Times New Roman" w:hAnsi="Times New Roman" w:cs="Times New Roman"/>
                      <w:color w:val="auto"/>
                      <w:szCs w:val="21"/>
                    </w:rPr>
                    <w:t>周边植被进行恢复</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rPr>
                    <w:t>即可进行</w:t>
                  </w:r>
                  <w:r>
                    <w:rPr>
                      <w:rFonts w:hint="default" w:ascii="Times New Roman" w:hAnsi="Times New Roman" w:cs="Times New Roman"/>
                      <w:color w:val="auto"/>
                      <w:szCs w:val="21"/>
                      <w:lang w:val="en-US" w:eastAsia="zh-CN"/>
                    </w:rPr>
                    <w:t>临时占地与</w:t>
                  </w:r>
                  <w:r>
                    <w:rPr>
                      <w:rFonts w:hint="eastAsia" w:ascii="Times New Roman" w:hAnsi="Times New Roman" w:cs="Times New Roman"/>
                      <w:color w:val="auto"/>
                      <w:szCs w:val="21"/>
                      <w:lang w:val="en-US" w:eastAsia="zh-CN"/>
                    </w:rPr>
                    <w:t>东环路泗滤河</w:t>
                  </w:r>
                  <w:r>
                    <w:rPr>
                      <w:rFonts w:hint="default" w:ascii="Times New Roman" w:hAnsi="Times New Roman" w:cs="Times New Roman"/>
                      <w:color w:val="auto"/>
                      <w:szCs w:val="21"/>
                      <w:lang w:val="en-US" w:eastAsia="zh-CN"/>
                    </w:rPr>
                    <w:t>桥下</w:t>
                  </w:r>
                  <w:r>
                    <w:rPr>
                      <w:rFonts w:hint="default" w:ascii="Times New Roman" w:hAnsi="Times New Roman" w:cs="Times New Roman"/>
                      <w:color w:val="auto"/>
                      <w:szCs w:val="21"/>
                    </w:rPr>
                    <w:t>植被的绿化和生态建设工作，使</w:t>
                  </w:r>
                  <w:r>
                    <w:rPr>
                      <w:rFonts w:hint="default" w:ascii="Times New Roman" w:hAnsi="Times New Roman" w:cs="Times New Roman"/>
                      <w:color w:val="auto"/>
                      <w:szCs w:val="21"/>
                      <w:lang w:val="en-US" w:eastAsia="zh-CN"/>
                    </w:rPr>
                    <w:t>项目所在区域</w:t>
                  </w:r>
                  <w:r>
                    <w:rPr>
                      <w:rFonts w:hint="default" w:ascii="Times New Roman" w:hAnsi="Times New Roman" w:cs="Times New Roman"/>
                      <w:color w:val="auto"/>
                      <w:szCs w:val="21"/>
                    </w:rPr>
                    <w:t>成为自然和人工复合的生态系统。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82" w:type="pct"/>
                  <w:vMerge w:val="restart"/>
                  <w:tcBorders>
                    <w:top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运营期</w:t>
                  </w:r>
                </w:p>
              </w:tc>
              <w:tc>
                <w:tcPr>
                  <w:tcW w:w="521" w:type="pct"/>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固废</w:t>
                  </w:r>
                </w:p>
              </w:tc>
              <w:tc>
                <w:tcPr>
                  <w:tcW w:w="3737" w:type="pct"/>
                  <w:gridSpan w:val="3"/>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各类道路垃圾由环卫工人定时清扫、处理</w:t>
                  </w:r>
                  <w:r>
                    <w:rPr>
                      <w:rFonts w:hint="eastAsia" w:ascii="Times New Roman" w:hAnsi="Times New Roman" w:cs="Times New Roman"/>
                      <w:color w:val="auto"/>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8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p>
              </w:tc>
              <w:tc>
                <w:tcPr>
                  <w:tcW w:w="521" w:type="pct"/>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噪声</w:t>
                  </w:r>
                </w:p>
              </w:tc>
              <w:tc>
                <w:tcPr>
                  <w:tcW w:w="3737" w:type="pct"/>
                  <w:gridSpan w:val="3"/>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Cs w:val="21"/>
                      <w:lang w:eastAsia="zh-CN"/>
                    </w:rPr>
                  </w:pPr>
                  <w:r>
                    <w:rPr>
                      <w:rFonts w:hint="default" w:ascii="Times New Roman" w:hAnsi="Times New Roman" w:cs="Times New Roman"/>
                      <w:color w:val="auto"/>
                      <w:szCs w:val="21"/>
                    </w:rPr>
                    <w:t>加强</w:t>
                  </w:r>
                  <w:r>
                    <w:rPr>
                      <w:rFonts w:hint="eastAsia" w:ascii="Times New Roman" w:hAnsi="Times New Roman" w:cs="Times New Roman"/>
                      <w:color w:val="auto"/>
                      <w:szCs w:val="21"/>
                      <w:lang w:val="en-US" w:eastAsia="zh-CN"/>
                    </w:rPr>
                    <w:t>道路、</w:t>
                  </w:r>
                  <w:r>
                    <w:rPr>
                      <w:rFonts w:hint="default" w:ascii="Times New Roman" w:hAnsi="Times New Roman" w:cs="Times New Roman"/>
                      <w:color w:val="auto"/>
                      <w:szCs w:val="21"/>
                    </w:rPr>
                    <w:t>桥梁的检查和保养，及时维修损坏的路面，维持路面的平整度</w:t>
                  </w:r>
                  <w:r>
                    <w:rPr>
                      <w:rFonts w:hint="eastAsia" w:ascii="Times New Roman" w:hAnsi="Times New Roman" w:cs="Times New Roman"/>
                      <w:color w:val="auto"/>
                      <w:szCs w:val="21"/>
                      <w:lang w:eastAsia="zh-CN"/>
                    </w:rPr>
                    <w:t>；</w:t>
                  </w:r>
                  <w:r>
                    <w:rPr>
                      <w:bCs/>
                      <w:color w:val="000000"/>
                      <w:sz w:val="21"/>
                      <w:szCs w:val="21"/>
                    </w:rPr>
                    <w:t>加强限速检测，严格控制车辆超速行驶</w:t>
                  </w:r>
                  <w:r>
                    <w:rPr>
                      <w:rFonts w:hint="eastAsia"/>
                      <w:bCs/>
                      <w:color w:val="000000"/>
                      <w:sz w:val="21"/>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8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p>
              </w:tc>
              <w:tc>
                <w:tcPr>
                  <w:tcW w:w="521" w:type="pct"/>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生态</w:t>
                  </w:r>
                </w:p>
              </w:tc>
              <w:tc>
                <w:tcPr>
                  <w:tcW w:w="3737" w:type="pct"/>
                  <w:gridSpan w:val="3"/>
                  <w:tcBorders>
                    <w:top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Cs w:val="21"/>
                      <w:lang w:eastAsia="zh-CN"/>
                    </w:rPr>
                  </w:pPr>
                  <w:r>
                    <w:rPr>
                      <w:rFonts w:hint="default" w:ascii="Times New Roman" w:hAnsi="Times New Roman" w:cs="Times New Roman"/>
                      <w:color w:val="auto"/>
                      <w:szCs w:val="21"/>
                    </w:rPr>
                    <w:t>桥梁道路旁种植植被，加强绿化</w:t>
                  </w:r>
                  <w:r>
                    <w:rPr>
                      <w:rFonts w:hint="eastAsia" w:ascii="Times New Roman" w:hAnsi="Times New Roman" w:cs="Times New Roman"/>
                      <w:color w:val="auto"/>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其他</w:t>
                  </w:r>
                </w:p>
              </w:tc>
              <w:tc>
                <w:tcPr>
                  <w:tcW w:w="1003"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涉及拆迁面积</w:t>
                  </w:r>
                </w:p>
              </w:tc>
              <w:tc>
                <w:tcPr>
                  <w:tcW w:w="3737"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建筑面积约200m</w:t>
                  </w:r>
                  <w:r>
                    <w:rPr>
                      <w:rFonts w:hint="eastAsia" w:cs="Times New Roman"/>
                      <w:color w:val="auto"/>
                      <w:szCs w:val="21"/>
                      <w:vertAlign w:val="superscript"/>
                      <w:lang w:val="en-US" w:eastAsia="zh-CN"/>
                    </w:rPr>
                    <w:t>2</w:t>
                  </w:r>
                  <w:r>
                    <w:rPr>
                      <w:rFonts w:hint="eastAsia" w:cs="Times New Roman"/>
                      <w:color w:val="auto"/>
                      <w:szCs w:val="21"/>
                      <w:lang w:val="en-US" w:eastAsia="zh-CN"/>
                    </w:rPr>
                    <w:t>，围墙约100m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1003"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征地面积</w:t>
                  </w:r>
                </w:p>
              </w:tc>
              <w:tc>
                <w:tcPr>
                  <w:tcW w:w="3737"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200.25亩</w:t>
                  </w:r>
                </w:p>
              </w:tc>
            </w:tr>
          </w:tbl>
          <w:p>
            <w:pPr>
              <w:pStyle w:val="27"/>
              <w:spacing w:before="0" w:after="0" w:afterAutospacing="0" w:line="480" w:lineRule="atLeast"/>
              <w:rPr>
                <w:rFonts w:hint="eastAsia" w:ascii="黑体" w:hAnsi="黑体" w:eastAsia="黑体"/>
                <w:sz w:val="24"/>
                <w:szCs w:val="24"/>
              </w:rPr>
            </w:pPr>
            <w:r>
              <w:rPr>
                <w:rFonts w:hint="eastAsia" w:ascii="黑体" w:hAnsi="黑体" w:eastAsia="黑体"/>
                <w:sz w:val="24"/>
                <w:szCs w:val="24"/>
              </w:rPr>
              <w:t>表2-</w:t>
            </w:r>
            <w:r>
              <w:rPr>
                <w:rFonts w:hint="eastAsia" w:ascii="黑体" w:hAnsi="黑体" w:eastAsia="黑体"/>
                <w:sz w:val="24"/>
                <w:szCs w:val="24"/>
                <w:lang w:val="en-US" w:eastAsia="zh-CN"/>
              </w:rPr>
              <w:t>1b</w:t>
            </w:r>
            <w:r>
              <w:rPr>
                <w:rFonts w:hint="eastAsia" w:ascii="黑体" w:hAnsi="黑体" w:eastAsia="黑体"/>
                <w:sz w:val="24"/>
                <w:szCs w:val="24"/>
              </w:rPr>
              <w:t xml:space="preserve">  </w:t>
            </w:r>
            <w:r>
              <w:rPr>
                <w:rFonts w:hint="eastAsia" w:ascii="黑体" w:hAnsi="黑体" w:eastAsia="黑体"/>
                <w:sz w:val="24"/>
                <w:szCs w:val="24"/>
                <w:lang w:val="en-US" w:eastAsia="zh-CN"/>
              </w:rPr>
              <w:t>湖滨大街西延主要建设内容</w:t>
            </w:r>
            <w:r>
              <w:rPr>
                <w:rFonts w:hint="eastAsia" w:ascii="黑体" w:hAnsi="黑体" w:eastAsia="黑体"/>
                <w:sz w:val="24"/>
                <w:szCs w:val="24"/>
              </w:rPr>
              <w:t>一览表</w:t>
            </w:r>
          </w:p>
          <w:tbl>
            <w:tblPr>
              <w:tblStyle w:val="21"/>
              <w:tblW w:w="4995"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58"/>
              <w:gridCol w:w="797"/>
              <w:gridCol w:w="871"/>
              <w:gridCol w:w="833"/>
              <w:gridCol w:w="995"/>
              <w:gridCol w:w="436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54" w:type="pct"/>
                  <w:gridSpan w:val="2"/>
                  <w:tcBorders>
                    <w:righ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工程名称</w:t>
                  </w:r>
                </w:p>
              </w:tc>
              <w:tc>
                <w:tcPr>
                  <w:tcW w:w="523" w:type="pct"/>
                  <w:tcBorders>
                    <w:lef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指标名称</w:t>
                  </w:r>
                </w:p>
              </w:tc>
              <w:tc>
                <w:tcPr>
                  <w:tcW w:w="5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单位</w:t>
                  </w:r>
                </w:p>
              </w:tc>
              <w:tc>
                <w:tcPr>
                  <w:tcW w:w="59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数量</w:t>
                  </w:r>
                </w:p>
              </w:tc>
              <w:tc>
                <w:tcPr>
                  <w:tcW w:w="262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Cs w:val="21"/>
                    </w:rPr>
                  </w:pPr>
                  <w:r>
                    <w:rPr>
                      <w:rFonts w:hint="default" w:ascii="Times New Roman" w:hAnsi="Times New Roman" w:cs="Times New Roman"/>
                      <w:b/>
                      <w:bCs/>
                      <w:color w:val="auto"/>
                      <w:szCs w:val="21"/>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75"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Cs w:val="21"/>
                      <w:lang w:eastAsia="zh-CN"/>
                    </w:rPr>
                  </w:pPr>
                  <w:r>
                    <w:rPr>
                      <w:rFonts w:hint="eastAsia" w:ascii="Times New Roman" w:hAnsi="Times New Roman" w:cs="Times New Roman"/>
                      <w:color w:val="auto"/>
                      <w:szCs w:val="21"/>
                      <w:lang w:val="en-US" w:eastAsia="zh-CN"/>
                    </w:rPr>
                    <w:t>主体工程</w:t>
                  </w:r>
                </w:p>
              </w:tc>
              <w:tc>
                <w:tcPr>
                  <w:tcW w:w="479" w:type="pct"/>
                  <w:vMerge w:val="restart"/>
                  <w:tcBorders>
                    <w:righ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道路工程</w:t>
                  </w:r>
                </w:p>
              </w:tc>
              <w:tc>
                <w:tcPr>
                  <w:tcW w:w="523" w:type="pct"/>
                  <w:tcBorders>
                    <w:lef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工程长度</w:t>
                  </w:r>
                </w:p>
              </w:tc>
              <w:tc>
                <w:tcPr>
                  <w:tcW w:w="5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m</w:t>
                  </w:r>
                </w:p>
              </w:tc>
              <w:tc>
                <w:tcPr>
                  <w:tcW w:w="59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Cs/>
                      <w:color w:val="auto"/>
                      <w:szCs w:val="21"/>
                      <w:lang w:val="en-US" w:eastAsia="zh-CN"/>
                    </w:rPr>
                  </w:pPr>
                  <w:r>
                    <w:rPr>
                      <w:rFonts w:hint="eastAsia" w:ascii="Times New Roman" w:hAnsi="Times New Roman" w:cs="Times New Roman"/>
                      <w:iCs/>
                      <w:color w:val="auto"/>
                      <w:szCs w:val="21"/>
                      <w:lang w:val="en-US" w:eastAsia="zh-CN"/>
                    </w:rPr>
                    <w:t>750.829</w:t>
                  </w:r>
                </w:p>
              </w:tc>
              <w:tc>
                <w:tcPr>
                  <w:tcW w:w="262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Cs w:val="21"/>
                      <w:lang w:val="en-US" w:eastAsia="zh-CN"/>
                    </w:rPr>
                  </w:pPr>
                  <w:r>
                    <w:rPr>
                      <w:rFonts w:hint="eastAsia" w:cs="Times New Roman"/>
                      <w:color w:val="auto"/>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7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7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5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设计速度</w:t>
                  </w:r>
                </w:p>
              </w:tc>
              <w:tc>
                <w:tcPr>
                  <w:tcW w:w="5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km/h</w:t>
                  </w:r>
                </w:p>
              </w:tc>
              <w:tc>
                <w:tcPr>
                  <w:tcW w:w="59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50</w:t>
                  </w:r>
                </w:p>
              </w:tc>
              <w:tc>
                <w:tcPr>
                  <w:tcW w:w="262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城市主干路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7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7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5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车道数量</w:t>
                  </w:r>
                </w:p>
              </w:tc>
              <w:tc>
                <w:tcPr>
                  <w:tcW w:w="5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个</w:t>
                  </w:r>
                </w:p>
              </w:tc>
              <w:tc>
                <w:tcPr>
                  <w:tcW w:w="59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6</w:t>
                  </w:r>
                </w:p>
              </w:tc>
              <w:tc>
                <w:tcPr>
                  <w:tcW w:w="262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双向6车道</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7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7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52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道路红线宽度</w:t>
                  </w:r>
                </w:p>
              </w:tc>
              <w:tc>
                <w:tcPr>
                  <w:tcW w:w="5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m</w:t>
                  </w:r>
                </w:p>
              </w:tc>
              <w:tc>
                <w:tcPr>
                  <w:tcW w:w="59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50</w:t>
                  </w:r>
                </w:p>
              </w:tc>
              <w:tc>
                <w:tcPr>
                  <w:tcW w:w="262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Cs w:val="21"/>
                      <w:lang w:eastAsia="zh-CN"/>
                    </w:rPr>
                  </w:pPr>
                  <w:r>
                    <w:rPr>
                      <w:rFonts w:hint="default" w:ascii="Times New Roman" w:hAnsi="Times New Roman" w:cs="Times New Roman"/>
                      <w:color w:val="auto"/>
                      <w:szCs w:val="21"/>
                    </w:rPr>
                    <w:t>4.5m人行道+6m非机动车道+3m绿化带+23m机动车道+3m绿化带+6m非机动车道+4.5m人行道</w:t>
                  </w:r>
                  <w:r>
                    <w:rPr>
                      <w:rFonts w:hint="eastAsia" w:cs="Times New Roman"/>
                      <w:color w:val="auto"/>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7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7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路基工程</w:t>
                  </w:r>
                </w:p>
              </w:tc>
              <w:tc>
                <w:tcPr>
                  <w:tcW w:w="4245"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Cs w:val="21"/>
                      <w:lang w:eastAsia="zh-CN"/>
                    </w:rPr>
                  </w:pPr>
                  <w:r>
                    <w:rPr>
                      <w:rFonts w:hint="default" w:ascii="Times New Roman" w:hAnsi="Times New Roman" w:cs="Times New Roman"/>
                      <w:color w:val="auto"/>
                      <w:szCs w:val="21"/>
                    </w:rPr>
                    <w:t>k1+100—k1+300段，处理措施为0.5m厚片石（碎石填充空隙）+1.5m厚天然砂砾：k1+300~k1+890段，</w:t>
                  </w:r>
                  <w:r>
                    <w:rPr>
                      <w:rFonts w:hint="eastAsia" w:ascii="Times New Roman" w:hAnsi="Times New Roman" w:cs="Times New Roman"/>
                      <w:color w:val="auto"/>
                      <w:szCs w:val="21"/>
                      <w:lang w:val="en-US" w:eastAsia="zh-CN"/>
                    </w:rPr>
                    <w:t>对</w:t>
                  </w:r>
                  <w:r>
                    <w:rPr>
                      <w:rFonts w:hint="default" w:ascii="Times New Roman" w:hAnsi="Times New Roman" w:cs="Times New Roman"/>
                      <w:color w:val="auto"/>
                      <w:szCs w:val="21"/>
                    </w:rPr>
                    <w:t>表层分布杂填土进、素填土进行挖除，采用天然砂砾进行换填处理，对黄土状粉土采用冲击碾压法进行处理，处理深度不小于1.0m</w:t>
                  </w:r>
                  <w:r>
                    <w:rPr>
                      <w:rFonts w:hint="eastAsia" w:cs="Times New Roman"/>
                      <w:color w:val="auto"/>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7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79"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管涵工程</w:t>
                  </w:r>
                </w:p>
              </w:tc>
              <w:tc>
                <w:tcPr>
                  <w:tcW w:w="523" w:type="pct"/>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盖板涵洞</w:t>
                  </w:r>
                </w:p>
              </w:tc>
              <w:tc>
                <w:tcPr>
                  <w:tcW w:w="5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座</w:t>
                  </w:r>
                </w:p>
              </w:tc>
              <w:tc>
                <w:tcPr>
                  <w:tcW w:w="59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1</w:t>
                  </w:r>
                </w:p>
              </w:tc>
              <w:tc>
                <w:tcPr>
                  <w:tcW w:w="262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K1+620</w:t>
                  </w:r>
                  <w:r>
                    <w:rPr>
                      <w:rFonts w:hint="eastAsia" w:ascii="Times New Roman" w:hAnsi="Times New Roman" w:cs="Times New Roman"/>
                      <w:color w:val="auto"/>
                      <w:szCs w:val="21"/>
                      <w:lang w:val="en-US" w:eastAsia="zh-CN"/>
                    </w:rPr>
                    <w:t>处，1.8m×1.2m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7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79" w:type="pct"/>
                  <w:vMerge w:val="continue"/>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Cs w:val="21"/>
                      <w:lang w:val="en-US" w:eastAsia="zh-CN"/>
                    </w:rPr>
                  </w:pPr>
                </w:p>
              </w:tc>
              <w:tc>
                <w:tcPr>
                  <w:tcW w:w="523" w:type="pct"/>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管涵</w:t>
                  </w:r>
                </w:p>
              </w:tc>
              <w:tc>
                <w:tcPr>
                  <w:tcW w:w="5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座</w:t>
                  </w:r>
                </w:p>
              </w:tc>
              <w:tc>
                <w:tcPr>
                  <w:tcW w:w="59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1</w:t>
                  </w:r>
                </w:p>
              </w:tc>
              <w:tc>
                <w:tcPr>
                  <w:tcW w:w="262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K1+800</w:t>
                  </w:r>
                  <w:r>
                    <w:rPr>
                      <w:rFonts w:hint="eastAsia" w:ascii="Times New Roman" w:hAnsi="Times New Roman" w:cs="Times New Roman"/>
                      <w:color w:val="auto"/>
                      <w:szCs w:val="21"/>
                      <w:lang w:val="en-US" w:eastAsia="zh-CN"/>
                    </w:rPr>
                    <w:t>处，直径2m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7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79" w:type="pct"/>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挡墙、防护工程</w:t>
                  </w:r>
                </w:p>
              </w:tc>
              <w:tc>
                <w:tcPr>
                  <w:tcW w:w="4245" w:type="pct"/>
                  <w:gridSpan w:val="4"/>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①K1+100.000~K1+140.000段，边坡高10米，设计路面标高1050.500与原始路面标高相同，道路南侧边坡为原始自然坡面，边坡坡率为1:1.85，边坡处于稳定状态，保持原有的自然边坡。</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②K1+140.000~K1+320.000段，边坡高6米，此段均为填土路基，因边坡高差大，采用毛石挡墙垂直加固，填土采用加筋土加挡土板结合的支护形式。</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③K1+320.000-K1+560.000和K1+680.000-K1+840.000段，边坡高6米，原始自然坡面边坡坡率为1:1.1，此段边坡道路北侧为挖方路基，道路南侧为填方路基。因边坡高差大，采用毛石挡墙垂直加固，填土采用加筋土加挡土板结合的支护形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75"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Cs w:val="21"/>
                      <w:lang w:eastAsia="zh-CN"/>
                    </w:rPr>
                  </w:pPr>
                  <w:r>
                    <w:rPr>
                      <w:rFonts w:hint="eastAsia" w:ascii="Times New Roman" w:hAnsi="Times New Roman" w:cs="Times New Roman"/>
                      <w:color w:val="auto"/>
                      <w:szCs w:val="21"/>
                      <w:lang w:val="en-US" w:eastAsia="zh-CN"/>
                    </w:rPr>
                    <w:t>附属工程</w:t>
                  </w:r>
                </w:p>
              </w:tc>
              <w:tc>
                <w:tcPr>
                  <w:tcW w:w="47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公交停靠站</w:t>
                  </w:r>
                </w:p>
              </w:tc>
              <w:tc>
                <w:tcPr>
                  <w:tcW w:w="4245"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Cs w:val="21"/>
                      <w:lang w:eastAsia="zh-CN"/>
                    </w:rPr>
                  </w:pPr>
                  <w:r>
                    <w:rPr>
                      <w:rFonts w:hint="default" w:ascii="Times New Roman" w:hAnsi="Times New Roman" w:cs="Times New Roman"/>
                      <w:color w:val="auto"/>
                      <w:szCs w:val="21"/>
                    </w:rPr>
                    <w:t>湖滨大街西延分别在起点K1+260（三路交叉中央环道处）、K1+500（唐家湾村入口处）、K1+860（湖滨公园入口处）设置公交停靠站，双向共设置6个公交停靠站，对称设置，为直接式停靠站，站台尺寸为20m×2m</w:t>
                  </w:r>
                  <w:r>
                    <w:rPr>
                      <w:rFonts w:hint="eastAsia" w:cs="Times New Roman"/>
                      <w:color w:val="auto"/>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7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Cs w:val="21"/>
                      <w:lang w:val="en-US" w:eastAsia="zh-CN"/>
                    </w:rPr>
                  </w:pPr>
                </w:p>
              </w:tc>
              <w:tc>
                <w:tcPr>
                  <w:tcW w:w="47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无障碍设计</w:t>
                  </w:r>
                </w:p>
              </w:tc>
              <w:tc>
                <w:tcPr>
                  <w:tcW w:w="4245"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Cs w:val="21"/>
                      <w:lang w:eastAsia="zh-CN"/>
                    </w:rPr>
                  </w:pPr>
                  <w:r>
                    <w:rPr>
                      <w:rFonts w:hint="default" w:ascii="Times New Roman" w:hAnsi="Times New Roman" w:cs="Times New Roman"/>
                      <w:color w:val="auto"/>
                      <w:szCs w:val="21"/>
                    </w:rPr>
                    <w:t>全线在便道上设置条形盲道砖。在盲道起终点及拐弯处铺设圆点形提示盲道砖。在各交叉口进出人行道相应位置，设置缘石坡道，缘石坡道采用单面坡或三面坡缘石坡道</w:t>
                  </w:r>
                  <w:r>
                    <w:rPr>
                      <w:rFonts w:hint="eastAsia" w:cs="Times New Roman"/>
                      <w:color w:val="auto"/>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7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Cs w:val="21"/>
                      <w:lang w:val="en-US" w:eastAsia="zh-CN"/>
                    </w:rPr>
                  </w:pPr>
                </w:p>
              </w:tc>
              <w:tc>
                <w:tcPr>
                  <w:tcW w:w="47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交叉口</w:t>
                  </w:r>
                </w:p>
              </w:tc>
              <w:tc>
                <w:tcPr>
                  <w:tcW w:w="4245"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Cs w:val="21"/>
                      <w:lang w:eastAsia="zh-CN"/>
                    </w:rPr>
                  </w:pPr>
                  <w:r>
                    <w:rPr>
                      <w:rFonts w:hint="default" w:ascii="Times New Roman" w:hAnsi="Times New Roman" w:cs="Times New Roman"/>
                      <w:color w:val="auto"/>
                      <w:szCs w:val="21"/>
                    </w:rPr>
                    <w:t>湖滨大街西延、文昌路、规划路三路交叉处设置环形交叉口</w:t>
                  </w:r>
                  <w:r>
                    <w:rPr>
                      <w:rFonts w:hint="eastAsia" w:ascii="Times New Roman" w:hAnsi="Times New Roman" w:cs="Times New Roman"/>
                      <w:color w:val="auto"/>
                      <w:szCs w:val="21"/>
                      <w:lang w:eastAsia="zh-CN"/>
                    </w:rPr>
                    <w:t>，中心岛形状采用圆形，中心岛半径为20m，环道采用三车道（机非混行车道），车道宽度为12m，人行道宽度2~4.5m，环道横断面以环道中线为路供脊线，采用双面坡，坡度1.5%</w:t>
                  </w:r>
                  <w:r>
                    <w:rPr>
                      <w:rFonts w:hint="eastAsia" w:cs="Times New Roman"/>
                      <w:color w:val="auto"/>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7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Cs w:val="21"/>
                      <w:lang w:val="en-US" w:eastAsia="zh-CN"/>
                    </w:rPr>
                  </w:pPr>
                </w:p>
              </w:tc>
              <w:tc>
                <w:tcPr>
                  <w:tcW w:w="47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供水管网</w:t>
                  </w:r>
                </w:p>
              </w:tc>
              <w:tc>
                <w:tcPr>
                  <w:tcW w:w="4245"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Cs w:val="21"/>
                      <w:lang w:eastAsia="zh-CN"/>
                    </w:rPr>
                  </w:pPr>
                  <w:r>
                    <w:rPr>
                      <w:rFonts w:hint="default" w:ascii="Times New Roman" w:hAnsi="Times New Roman" w:cs="Times New Roman"/>
                      <w:color w:val="auto"/>
                      <w:szCs w:val="21"/>
                    </w:rPr>
                    <w:t>在湖滨大道西延中心线以北24.0米处，规划一趟DN300mm的生活给水管线</w:t>
                  </w:r>
                  <w:r>
                    <w:rPr>
                      <w:rFonts w:hint="eastAsia" w:ascii="Times New Roman" w:hAnsi="Times New Roman" w:cs="Times New Roman"/>
                      <w:color w:val="auto"/>
                      <w:szCs w:val="21"/>
                      <w:lang w:eastAsia="zh-CN"/>
                    </w:rPr>
                    <w:t>；</w:t>
                  </w:r>
                  <w:r>
                    <w:rPr>
                      <w:rFonts w:hint="eastAsia" w:ascii="Times New Roman" w:hAnsi="Times New Roman" w:cs="Times New Roman"/>
                      <w:color w:val="auto"/>
                      <w:szCs w:val="21"/>
                      <w:lang w:val="en-US" w:eastAsia="zh-CN"/>
                    </w:rPr>
                    <w:t>同时设置消火栓井7座，消火栓7个，阀门井4座，排泥井2座，排气井1座</w:t>
                  </w:r>
                  <w:r>
                    <w:rPr>
                      <w:rFonts w:hint="eastAsia" w:cs="Times New Roman"/>
                      <w:color w:val="auto"/>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7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Cs w:val="21"/>
                      <w:lang w:val="en-US" w:eastAsia="zh-CN"/>
                    </w:rPr>
                  </w:pPr>
                </w:p>
              </w:tc>
              <w:tc>
                <w:tcPr>
                  <w:tcW w:w="47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再生水工程</w:t>
                  </w:r>
                </w:p>
              </w:tc>
              <w:tc>
                <w:tcPr>
                  <w:tcW w:w="4245"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rPr>
                    <w:t>湖滨大街西延拟建再生水管道敷设于路南，管线总长约为770m，管径为dn200。设计管线距离道路中心线为24.0m，服务范围为路南绿化及河道补水，取水栓布置间距约为100m</w:t>
                  </w:r>
                  <w:r>
                    <w:rPr>
                      <w:rFonts w:hint="eastAsia" w:cs="Times New Roman"/>
                      <w:color w:val="auto"/>
                      <w:szCs w:val="21"/>
                      <w:lang w:eastAsia="zh-CN"/>
                    </w:rPr>
                    <w:t>；</w:t>
                  </w:r>
                  <w:r>
                    <w:rPr>
                      <w:rFonts w:hint="eastAsia" w:cs="Times New Roman"/>
                      <w:color w:val="auto"/>
                      <w:szCs w:val="21"/>
                      <w:lang w:val="en-US" w:eastAsia="zh-CN"/>
                    </w:rPr>
                    <w:t>同时设置</w:t>
                  </w:r>
                  <w:r>
                    <w:rPr>
                      <w:rFonts w:hint="eastAsia" w:ascii="Times New Roman" w:hAnsi="Times New Roman" w:cs="Times New Roman"/>
                      <w:color w:val="auto"/>
                      <w:szCs w:val="21"/>
                      <w:lang w:val="en-US" w:eastAsia="zh-CN"/>
                    </w:rPr>
                    <w:t>阀门井8座，排泥井2座，排气井1座</w:t>
                  </w:r>
                  <w:r>
                    <w:rPr>
                      <w:rFonts w:hint="eastAsia" w:cs="Times New Roman"/>
                      <w:color w:val="auto"/>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7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Cs w:val="21"/>
                      <w:lang w:val="en-US" w:eastAsia="zh-CN"/>
                    </w:rPr>
                  </w:pPr>
                </w:p>
              </w:tc>
              <w:tc>
                <w:tcPr>
                  <w:tcW w:w="47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雨水管网</w:t>
                  </w:r>
                </w:p>
              </w:tc>
              <w:tc>
                <w:tcPr>
                  <w:tcW w:w="4245"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rPr>
                    <w:t>新建雨水管道负责收集湖滨大街以北、泰康路以南区域汇流雨水。雨水管道总汇水面积为35.69hm</w:t>
                  </w:r>
                  <w:r>
                    <w:rPr>
                      <w:rFonts w:hint="default" w:ascii="Times New Roman" w:hAnsi="Times New Roman" w:cs="Times New Roman"/>
                      <w:color w:val="auto"/>
                      <w:szCs w:val="21"/>
                      <w:vertAlign w:val="superscript"/>
                    </w:rPr>
                    <w:t>2</w:t>
                  </w:r>
                  <w:r>
                    <w:rPr>
                      <w:rFonts w:hint="default" w:ascii="Times New Roman" w:hAnsi="Times New Roman" w:cs="Times New Roman"/>
                      <w:color w:val="auto"/>
                      <w:szCs w:val="21"/>
                    </w:rPr>
                    <w:t>，分两段敷设雨水管道就近接入</w:t>
                  </w:r>
                  <w:r>
                    <w:rPr>
                      <w:rFonts w:hint="eastAsia" w:cs="Times New Roman"/>
                      <w:color w:val="auto"/>
                      <w:szCs w:val="21"/>
                      <w:lang w:val="en-US" w:eastAsia="zh-CN"/>
                    </w:rPr>
                    <w:t>唐家湾水库；</w:t>
                  </w:r>
                  <w:r>
                    <w:rPr>
                      <w:rFonts w:hint="eastAsia" w:ascii="Times New Roman" w:hAnsi="Times New Roman" w:cs="Times New Roman"/>
                      <w:color w:val="auto"/>
                      <w:szCs w:val="21"/>
                      <w:lang w:eastAsia="zh-CN"/>
                    </w:rPr>
                    <w:t>钢筋混凝土管</w:t>
                  </w:r>
                  <w:r>
                    <w:rPr>
                      <w:rFonts w:hint="eastAsia" w:ascii="Times New Roman" w:hAnsi="Times New Roman" w:cs="Times New Roman"/>
                      <w:color w:val="auto"/>
                      <w:szCs w:val="21"/>
                      <w:lang w:val="en-US" w:eastAsia="zh-CN"/>
                    </w:rPr>
                    <w:t>共计1211m，单篦偏沟式雨水口24个，双篦偏沟式雨水口26个，检查井16个</w:t>
                  </w:r>
                  <w:r>
                    <w:rPr>
                      <w:rFonts w:hint="eastAsia" w:cs="Times New Roman"/>
                      <w:color w:val="auto"/>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7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Cs w:val="21"/>
                      <w:lang w:val="en-US" w:eastAsia="zh-CN"/>
                    </w:rPr>
                  </w:pPr>
                </w:p>
              </w:tc>
              <w:tc>
                <w:tcPr>
                  <w:tcW w:w="47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污水管网</w:t>
                  </w:r>
                </w:p>
              </w:tc>
              <w:tc>
                <w:tcPr>
                  <w:tcW w:w="4245"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Cs w:val="21"/>
                      <w:lang w:eastAsia="zh-CN"/>
                    </w:rPr>
                  </w:pPr>
                  <w:r>
                    <w:rPr>
                      <w:rFonts w:hint="default" w:ascii="Times New Roman" w:hAnsi="Times New Roman" w:cs="Times New Roman"/>
                      <w:color w:val="auto"/>
                      <w:szCs w:val="21"/>
                    </w:rPr>
                    <w:t>新建湖滨大街西延西端为服务区域最低点，污水管线自东向西敷设，最终汇入新建污水泵站</w:t>
                  </w:r>
                  <w:r>
                    <w:rPr>
                      <w:rFonts w:hint="eastAsia" w:cs="Times New Roman"/>
                      <w:color w:val="auto"/>
                      <w:szCs w:val="21"/>
                      <w:lang w:eastAsia="zh-CN"/>
                    </w:rPr>
                    <w:t>；湖滨大街西延以北区域收集的污水需通过污水泵站提升排放至既有湖滨大街现状D500污水管道；在文昌路与湖滨大街西延交叉路口北侧建设一体化污水提升泵站1座；污水管道布置在道路北侧，距离道路中心线为22.0m，管径为De400，</w:t>
                  </w:r>
                  <w:r>
                    <w:rPr>
                      <w:rFonts w:hint="eastAsia" w:cs="Times New Roman"/>
                      <w:color w:val="auto"/>
                      <w:szCs w:val="21"/>
                      <w:lang w:val="en-US" w:eastAsia="zh-CN"/>
                    </w:rPr>
                    <w:t>总长1179m，采用HDPE双壁波纹，设置检查井28座</w:t>
                  </w:r>
                  <w:r>
                    <w:rPr>
                      <w:rFonts w:hint="eastAsia" w:cs="Times New Roman"/>
                      <w:color w:val="auto"/>
                      <w:szCs w:val="21"/>
                      <w:lang w:eastAsia="zh-CN"/>
                    </w:rPr>
                    <w:t>。拟建污水提升压力管道布置在道路南侧，距离道路中心线为19.0m，管径为DN3</w:t>
                  </w:r>
                  <w:r>
                    <w:rPr>
                      <w:rFonts w:hint="eastAsia" w:cs="Times New Roman"/>
                      <w:color w:val="auto"/>
                      <w:szCs w:val="21"/>
                      <w:lang w:val="en-US" w:eastAsia="zh-CN"/>
                    </w:rPr>
                    <w:t>15，总长820m，采用聚乙烯PE100管。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7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Cs w:val="21"/>
                      <w:lang w:val="en-US" w:eastAsia="zh-CN"/>
                    </w:rPr>
                  </w:pPr>
                </w:p>
              </w:tc>
              <w:tc>
                <w:tcPr>
                  <w:tcW w:w="47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电力工程</w:t>
                  </w:r>
                </w:p>
              </w:tc>
              <w:tc>
                <w:tcPr>
                  <w:tcW w:w="4245"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szCs w:val="21"/>
                      <w:lang w:val="en-US"/>
                    </w:rPr>
                  </w:pPr>
                  <w:r>
                    <w:rPr>
                      <w:rFonts w:hint="default" w:ascii="Times New Roman" w:hAnsi="Times New Roman" w:cs="Times New Roman"/>
                      <w:color w:val="auto"/>
                      <w:szCs w:val="21"/>
                    </w:rPr>
                    <w:t>预留电缆管，避免重复建设，电力电缆施工由电力部门完成</w:t>
                  </w:r>
                  <w:r>
                    <w:rPr>
                      <w:rFonts w:hint="eastAsia" w:cs="Times New Roman"/>
                      <w:color w:val="auto"/>
                      <w:szCs w:val="21"/>
                      <w:lang w:eastAsia="zh-CN"/>
                    </w:rPr>
                    <w:t>；湖滨大道西延电力电缆管线设置16孔MPP-200/13电缆保护管，主线横向过路处设置8孔DN200热涂塑钢管，主线与相交道路纵向过路设置16孔DN200热涂塑钢管；电力电缆人孔间隔距离为50~80</w:t>
                  </w:r>
                  <w:r>
                    <w:rPr>
                      <w:rFonts w:hint="eastAsia" w:cs="Times New Roman"/>
                      <w:color w:val="auto"/>
                      <w:szCs w:val="21"/>
                      <w:lang w:val="en-US" w:eastAsia="zh-CN"/>
                    </w:rPr>
                    <w:t>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7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Cs w:val="21"/>
                      <w:lang w:val="en-US" w:eastAsia="zh-CN"/>
                    </w:rPr>
                  </w:pPr>
                </w:p>
              </w:tc>
              <w:tc>
                <w:tcPr>
                  <w:tcW w:w="47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color w:val="auto"/>
                      <w:szCs w:val="21"/>
                      <w:lang w:val="en-US" w:eastAsia="zh-CN"/>
                    </w:rPr>
                  </w:pPr>
                  <w:r>
                    <w:rPr>
                      <w:rFonts w:hint="eastAsia" w:cs="Times New Roman"/>
                      <w:color w:val="auto"/>
                      <w:szCs w:val="21"/>
                      <w:lang w:val="en-US" w:eastAsia="zh-CN"/>
                    </w:rPr>
                    <w:t>通信工程</w:t>
                  </w:r>
                </w:p>
              </w:tc>
              <w:tc>
                <w:tcPr>
                  <w:tcW w:w="4245"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在道路建设时预留通信管道，避免重复建设</w:t>
                  </w:r>
                  <w:r>
                    <w:rPr>
                      <w:rFonts w:hint="eastAsia" w:cs="Times New Roman"/>
                      <w:color w:val="auto"/>
                      <w:szCs w:val="21"/>
                      <w:lang w:eastAsia="zh-CN"/>
                    </w:rPr>
                    <w:t>，</w:t>
                  </w:r>
                  <w:r>
                    <w:rPr>
                      <w:rFonts w:hint="default" w:ascii="Times New Roman" w:hAnsi="Times New Roman" w:cs="Times New Roman"/>
                      <w:color w:val="auto"/>
                      <w:szCs w:val="21"/>
                    </w:rPr>
                    <w:t>通信线缆施工由各运营商自行负责</w:t>
                  </w:r>
                  <w:r>
                    <w:rPr>
                      <w:rFonts w:hint="eastAsia" w:cs="Times New Roman"/>
                      <w:color w:val="auto"/>
                      <w:szCs w:val="21"/>
                      <w:lang w:eastAsia="zh-CN"/>
                    </w:rPr>
                    <w:t>；通信排管为Φ32*7梅花管，过路处管线为DN100涂塑钢管；通信电缆人孔，设置间距为70m左右。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7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Cs w:val="21"/>
                      <w:lang w:val="en-US" w:eastAsia="zh-CN"/>
                    </w:rPr>
                  </w:pPr>
                </w:p>
              </w:tc>
              <w:tc>
                <w:tcPr>
                  <w:tcW w:w="47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照明工程</w:t>
                  </w:r>
                </w:p>
              </w:tc>
              <w:tc>
                <w:tcPr>
                  <w:tcW w:w="4245"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szCs w:val="21"/>
                    </w:rPr>
                  </w:pPr>
                  <w:r>
                    <w:rPr>
                      <w:rFonts w:hint="eastAsia" w:ascii="Times New Roman" w:hAnsi="Times New Roman" w:cs="Times New Roman"/>
                      <w:color w:val="auto"/>
                      <w:szCs w:val="21"/>
                      <w:lang w:eastAsia="zh-CN"/>
                    </w:rPr>
                    <w:t>设道路照明专用箱变</w:t>
                  </w:r>
                  <w:r>
                    <w:rPr>
                      <w:rFonts w:hint="eastAsia" w:ascii="Times New Roman" w:hAnsi="Times New Roman" w:cs="Times New Roman"/>
                      <w:color w:val="auto"/>
                      <w:szCs w:val="21"/>
                      <w:lang w:val="en-US" w:eastAsia="zh-CN"/>
                    </w:rPr>
                    <w:t>，</w:t>
                  </w:r>
                  <w:r>
                    <w:rPr>
                      <w:rFonts w:hint="eastAsia" w:ascii="Times New Roman" w:hAnsi="Times New Roman" w:cs="Times New Roman"/>
                      <w:color w:val="auto"/>
                      <w:szCs w:val="21"/>
                      <w:lang w:eastAsia="zh-CN"/>
                    </w:rPr>
                    <w:t>从就近的环网柜引来</w:t>
                  </w:r>
                  <w:r>
                    <w:rPr>
                      <w:rFonts w:hint="eastAsia" w:ascii="Times New Roman" w:hAnsi="Times New Roman" w:cs="Times New Roman"/>
                      <w:color w:val="auto"/>
                      <w:szCs w:val="21"/>
                      <w:lang w:val="en-US" w:eastAsia="zh-CN"/>
                    </w:rPr>
                    <w:t>10k</w:t>
                  </w:r>
                  <w:r>
                    <w:rPr>
                      <w:rFonts w:hint="eastAsia" w:ascii="Times New Roman" w:hAnsi="Times New Roman" w:cs="Times New Roman"/>
                      <w:color w:val="auto"/>
                      <w:szCs w:val="21"/>
                      <w:lang w:eastAsia="zh-CN"/>
                    </w:rPr>
                    <w:t>V电源，沿道路电力排管敷设，供电半径</w:t>
                  </w:r>
                  <w:r>
                    <w:rPr>
                      <w:rFonts w:hint="eastAsia" w:ascii="Times New Roman" w:hAnsi="Times New Roman" w:cs="Times New Roman"/>
                      <w:color w:val="auto"/>
                      <w:szCs w:val="21"/>
                      <w:lang w:val="en-US" w:eastAsia="zh-CN"/>
                    </w:rPr>
                    <w:t>75</w:t>
                  </w:r>
                  <w:r>
                    <w:rPr>
                      <w:rFonts w:hint="eastAsia" w:ascii="Times New Roman" w:hAnsi="Times New Roman" w:cs="Times New Roman"/>
                      <w:color w:val="auto"/>
                      <w:szCs w:val="21"/>
                      <w:lang w:eastAsia="zh-CN"/>
                    </w:rPr>
                    <w:t>0米；本项目</w:t>
                  </w:r>
                  <w:r>
                    <w:rPr>
                      <w:rFonts w:hint="eastAsia" w:ascii="Times New Roman" w:hAnsi="Times New Roman" w:cs="Times New Roman"/>
                      <w:color w:val="auto"/>
                      <w:szCs w:val="21"/>
                      <w:lang w:val="en-US" w:eastAsia="zh-CN"/>
                    </w:rPr>
                    <w:t>在总进线处设置</w:t>
                  </w:r>
                  <w:r>
                    <w:rPr>
                      <w:rFonts w:hint="eastAsia" w:ascii="Times New Roman" w:hAnsi="Times New Roman" w:cs="Times New Roman"/>
                      <w:color w:val="auto"/>
                      <w:szCs w:val="21"/>
                      <w:lang w:eastAsia="zh-CN"/>
                    </w:rPr>
                    <w:t>计量，电度表由供电部门安装；</w:t>
                  </w:r>
                  <w:r>
                    <w:rPr>
                      <w:rFonts w:hint="eastAsia" w:ascii="Times New Roman" w:hAnsi="Times New Roman" w:cs="Times New Roman"/>
                      <w:color w:val="auto"/>
                      <w:szCs w:val="21"/>
                      <w:lang w:val="en-US" w:eastAsia="zh-CN"/>
                    </w:rPr>
                    <w:t>湖滨大道西延设置1座照明专用箱，灯具数量总计70套，采用LED灯</w:t>
                  </w:r>
                  <w:r>
                    <w:rPr>
                      <w:rFonts w:hint="eastAsia" w:cs="Times New Roman"/>
                      <w:color w:val="auto"/>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7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Cs w:val="21"/>
                      <w:lang w:val="en-US" w:eastAsia="zh-CN"/>
                    </w:rPr>
                  </w:pPr>
                </w:p>
              </w:tc>
              <w:tc>
                <w:tcPr>
                  <w:tcW w:w="47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供热管网</w:t>
                  </w:r>
                </w:p>
              </w:tc>
              <w:tc>
                <w:tcPr>
                  <w:tcW w:w="4245"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color w:val="auto"/>
                      <w:szCs w:val="21"/>
                      <w:lang w:eastAsia="zh-CN"/>
                    </w:rPr>
                  </w:pPr>
                  <w:r>
                    <w:rPr>
                      <w:rFonts w:hint="eastAsia" w:ascii="Times New Roman" w:hAnsi="Times New Roman" w:cs="Times New Roman"/>
                      <w:color w:val="auto"/>
                      <w:szCs w:val="21"/>
                      <w:lang w:eastAsia="zh-CN"/>
                    </w:rPr>
                    <w:t>在湖滨大街西延道路中心线以北18.0米处，规划一趟DN350的供热管线，设计起点为文昌路，设计终点与湖滨大道相接，全长约800米；采用螺旋焊缝钢管,材质Q235B；保温材料采用改性硬质聚氨酯泡沫塑料</w:t>
                  </w:r>
                  <w:r>
                    <w:rPr>
                      <w:rFonts w:hint="eastAsia" w:cs="Times New Roman"/>
                      <w:color w:val="auto"/>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7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Cs w:val="21"/>
                      <w:lang w:val="en-US" w:eastAsia="zh-CN"/>
                    </w:rPr>
                  </w:pPr>
                </w:p>
              </w:tc>
              <w:tc>
                <w:tcPr>
                  <w:tcW w:w="47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燃气管网</w:t>
                  </w:r>
                </w:p>
              </w:tc>
              <w:tc>
                <w:tcPr>
                  <w:tcW w:w="4245"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color w:val="auto"/>
                      <w:szCs w:val="21"/>
                      <w:lang w:eastAsia="zh-CN"/>
                    </w:rPr>
                  </w:pPr>
                  <w:r>
                    <w:rPr>
                      <w:rFonts w:hint="eastAsia" w:ascii="Times New Roman" w:hAnsi="Times New Roman" w:cs="Times New Roman"/>
                      <w:color w:val="auto"/>
                      <w:szCs w:val="21"/>
                      <w:lang w:eastAsia="zh-CN"/>
                    </w:rPr>
                    <w:t>为中压天然气管道工程，设计压力0.4MPa，运行压力为0.1~0.4MPa；本次设计全长湖滨大街西延约1180米，管道采用聚乙烯PE100 SDR11dn110</w:t>
                  </w:r>
                  <w:r>
                    <w:rPr>
                      <w:rFonts w:hint="eastAsia" w:cs="Times New Roman"/>
                      <w:color w:val="auto"/>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7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Cs w:val="21"/>
                      <w:lang w:val="en-US" w:eastAsia="zh-CN"/>
                    </w:rPr>
                  </w:pPr>
                </w:p>
              </w:tc>
              <w:tc>
                <w:tcPr>
                  <w:tcW w:w="47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绿化工程</w:t>
                  </w:r>
                </w:p>
              </w:tc>
              <w:tc>
                <w:tcPr>
                  <w:tcW w:w="4245"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color w:val="auto"/>
                      <w:szCs w:val="21"/>
                      <w:lang w:eastAsia="zh-CN"/>
                    </w:rPr>
                  </w:pPr>
                  <w:r>
                    <w:rPr>
                      <w:rFonts w:hint="eastAsia" w:ascii="Times New Roman" w:hAnsi="Times New Roman" w:cs="Times New Roman"/>
                      <w:color w:val="auto"/>
                      <w:szCs w:val="21"/>
                      <w:lang w:val="en-US" w:eastAsia="zh-CN"/>
                    </w:rPr>
                    <w:t>道路绿化带内进行绿化；湖滨大街西延总计种植白皮松6株、国槐353株、紫叶矮樱5株、金叶榆球209株、卫矛球25株、金叶榆篱140m</w:t>
                  </w:r>
                  <w:r>
                    <w:rPr>
                      <w:rFonts w:hint="eastAsia" w:ascii="Times New Roman" w:hAnsi="Times New Roman" w:cs="Times New Roman"/>
                      <w:color w:val="auto"/>
                      <w:szCs w:val="21"/>
                      <w:vertAlign w:val="superscript"/>
                      <w:lang w:val="en-US" w:eastAsia="zh-CN"/>
                    </w:rPr>
                    <w:t>2</w:t>
                  </w:r>
                  <w:r>
                    <w:rPr>
                      <w:rFonts w:hint="eastAsia" w:ascii="Times New Roman" w:hAnsi="Times New Roman" w:cs="Times New Roman"/>
                      <w:color w:val="auto"/>
                      <w:szCs w:val="21"/>
                      <w:lang w:val="en-US" w:eastAsia="zh-CN"/>
                    </w:rPr>
                    <w:t>、紫叶小檗篱57.40m</w:t>
                  </w:r>
                  <w:r>
                    <w:rPr>
                      <w:rFonts w:hint="eastAsia" w:ascii="Times New Roman" w:hAnsi="Times New Roman" w:cs="Times New Roman"/>
                      <w:color w:val="auto"/>
                      <w:szCs w:val="21"/>
                      <w:vertAlign w:val="superscript"/>
                      <w:lang w:val="en-US" w:eastAsia="zh-CN"/>
                    </w:rPr>
                    <w:t>2</w:t>
                  </w:r>
                  <w:r>
                    <w:rPr>
                      <w:rFonts w:hint="eastAsia" w:ascii="Times New Roman" w:hAnsi="Times New Roman" w:cs="Times New Roman"/>
                      <w:color w:val="auto"/>
                      <w:szCs w:val="21"/>
                      <w:lang w:val="en-US" w:eastAsia="zh-CN"/>
                    </w:rPr>
                    <w:t>、蓝叶忍冬33.04m</w:t>
                  </w:r>
                  <w:r>
                    <w:rPr>
                      <w:rFonts w:hint="eastAsia" w:ascii="Times New Roman" w:hAnsi="Times New Roman" w:cs="Times New Roman"/>
                      <w:color w:val="auto"/>
                      <w:szCs w:val="21"/>
                      <w:vertAlign w:val="superscript"/>
                      <w:lang w:val="en-US" w:eastAsia="zh-CN"/>
                    </w:rPr>
                    <w:t>2</w:t>
                  </w:r>
                  <w:r>
                    <w:rPr>
                      <w:rFonts w:hint="eastAsia" w:ascii="Times New Roman" w:hAnsi="Times New Roman" w:cs="Times New Roman"/>
                      <w:color w:val="auto"/>
                      <w:szCs w:val="21"/>
                      <w:lang w:val="en-US" w:eastAsia="zh-CN"/>
                    </w:rPr>
                    <w:t>、胶东卫矛篱1063.32m</w:t>
                  </w:r>
                  <w:r>
                    <w:rPr>
                      <w:rFonts w:hint="eastAsia" w:ascii="Times New Roman" w:hAnsi="Times New Roman" w:cs="Times New Roman"/>
                      <w:color w:val="auto"/>
                      <w:szCs w:val="21"/>
                      <w:vertAlign w:val="superscript"/>
                      <w:lang w:val="en-US" w:eastAsia="zh-CN"/>
                    </w:rPr>
                    <w:t>2</w:t>
                  </w:r>
                  <w:r>
                    <w:rPr>
                      <w:rFonts w:hint="eastAsia" w:ascii="Times New Roman" w:hAnsi="Times New Roman" w:cs="Times New Roman"/>
                      <w:color w:val="auto"/>
                      <w:szCs w:val="21"/>
                      <w:lang w:val="en-US" w:eastAsia="zh-CN"/>
                    </w:rPr>
                    <w:t>、地被菊995.81m</w:t>
                  </w:r>
                  <w:r>
                    <w:rPr>
                      <w:rFonts w:hint="eastAsia" w:ascii="Times New Roman" w:hAnsi="Times New Roman" w:cs="Times New Roman"/>
                      <w:color w:val="auto"/>
                      <w:szCs w:val="21"/>
                      <w:vertAlign w:val="superscript"/>
                      <w:lang w:val="en-US" w:eastAsia="zh-CN"/>
                    </w:rPr>
                    <w:t>2</w:t>
                  </w:r>
                  <w:r>
                    <w:rPr>
                      <w:rFonts w:hint="eastAsia" w:ascii="Times New Roman" w:hAnsi="Times New Roman" w:cs="Times New Roman"/>
                      <w:color w:val="auto"/>
                      <w:szCs w:val="21"/>
                      <w:lang w:val="en-US" w:eastAsia="zh-CN"/>
                    </w:rPr>
                    <w:t>、冷季型草1254.26m</w:t>
                  </w:r>
                  <w:r>
                    <w:rPr>
                      <w:rFonts w:hint="eastAsia" w:ascii="Times New Roman" w:hAnsi="Times New Roman" w:cs="Times New Roman"/>
                      <w:color w:val="auto"/>
                      <w:szCs w:val="21"/>
                      <w:vertAlign w:val="superscript"/>
                      <w:lang w:val="en-US" w:eastAsia="zh-CN"/>
                    </w:rPr>
                    <w:t>2</w:t>
                  </w:r>
                  <w:r>
                    <w:rPr>
                      <w:rFonts w:hint="eastAsia" w:cs="Times New Roman"/>
                      <w:color w:val="auto"/>
                      <w:szCs w:val="21"/>
                      <w:vertAlign w:val="baselin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7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Cs w:val="21"/>
                      <w:lang w:val="en-US" w:eastAsia="zh-CN"/>
                    </w:rPr>
                  </w:pPr>
                </w:p>
              </w:tc>
              <w:tc>
                <w:tcPr>
                  <w:tcW w:w="479"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color w:val="auto"/>
                      <w:szCs w:val="21"/>
                      <w:lang w:val="en-US" w:eastAsia="zh-CN"/>
                    </w:rPr>
                  </w:pPr>
                  <w:r>
                    <w:rPr>
                      <w:rFonts w:hint="default" w:ascii="Times New Roman" w:hAnsi="Times New Roman" w:cs="Times New Roman"/>
                      <w:color w:val="auto"/>
                      <w:szCs w:val="21"/>
                    </w:rPr>
                    <w:t>交通工程</w:t>
                  </w:r>
                </w:p>
              </w:tc>
              <w:tc>
                <w:tcPr>
                  <w:tcW w:w="523" w:type="pct"/>
                  <w:tcBorders>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Cs w:val="21"/>
                      <w:lang w:val="en-US" w:eastAsia="zh-CN"/>
                    </w:rPr>
                  </w:pPr>
                  <w:r>
                    <w:rPr>
                      <w:rFonts w:hint="default" w:ascii="Times New Roman" w:hAnsi="Times New Roman" w:cs="Times New Roman"/>
                      <w:color w:val="auto"/>
                      <w:szCs w:val="21"/>
                    </w:rPr>
                    <w:t>交通监控</w:t>
                  </w:r>
                </w:p>
              </w:tc>
              <w:tc>
                <w:tcPr>
                  <w:tcW w:w="3721" w:type="pct"/>
                  <w:gridSpan w:val="3"/>
                  <w:tcBorders>
                    <w:lef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Cs w:val="21"/>
                      <w:lang w:val="en-US" w:eastAsia="zh-CN"/>
                    </w:rPr>
                  </w:pPr>
                  <w:r>
                    <w:rPr>
                      <w:rFonts w:hint="default" w:ascii="Times New Roman" w:hAnsi="Times New Roman" w:cs="Times New Roman"/>
                      <w:color w:val="auto"/>
                      <w:szCs w:val="21"/>
                    </w:rPr>
                    <w:t>应建设方及交通部门要求设置道路监控，人行通道处设置智能监控，采用智能集成灯杆，设置监控，监控主机，信号灯，信号主机，信息发布系统等</w:t>
                  </w:r>
                  <w:r>
                    <w:rPr>
                      <w:rFonts w:hint="eastAsia" w:cs="Times New Roman"/>
                      <w:color w:val="auto"/>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7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Cs w:val="21"/>
                      <w:lang w:val="en-US" w:eastAsia="zh-CN"/>
                    </w:rPr>
                  </w:pPr>
                </w:p>
              </w:tc>
              <w:tc>
                <w:tcPr>
                  <w:tcW w:w="47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color w:val="auto"/>
                      <w:szCs w:val="21"/>
                      <w:lang w:val="en-US" w:eastAsia="zh-CN"/>
                    </w:rPr>
                  </w:pPr>
                </w:p>
              </w:tc>
              <w:tc>
                <w:tcPr>
                  <w:tcW w:w="523" w:type="pct"/>
                  <w:tcBorders>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Cs w:val="21"/>
                      <w:lang w:val="en-US" w:eastAsia="zh-CN"/>
                    </w:rPr>
                  </w:pPr>
                  <w:r>
                    <w:rPr>
                      <w:rFonts w:hint="default" w:ascii="Times New Roman" w:hAnsi="Times New Roman" w:cs="Times New Roman"/>
                      <w:color w:val="auto"/>
                      <w:szCs w:val="21"/>
                    </w:rPr>
                    <w:t>交通标线</w:t>
                  </w:r>
                </w:p>
              </w:tc>
              <w:tc>
                <w:tcPr>
                  <w:tcW w:w="3721" w:type="pct"/>
                  <w:gridSpan w:val="3"/>
                  <w:tcBorders>
                    <w:lef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color w:val="auto"/>
                      <w:szCs w:val="21"/>
                      <w:lang w:val="en-US" w:eastAsia="zh-CN"/>
                    </w:rPr>
                  </w:pPr>
                  <w:r>
                    <w:rPr>
                      <w:rFonts w:hint="default" w:ascii="Times New Roman" w:hAnsi="Times New Roman" w:cs="Times New Roman"/>
                      <w:color w:val="auto"/>
                      <w:szCs w:val="21"/>
                    </w:rPr>
                    <w:t>道路标线按规范要求需设置双黄线、车行道边缘线、可跨越同向车行道分界线、停止线、导向箭头、人行横道等。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7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Cs w:val="21"/>
                      <w:lang w:val="en-US" w:eastAsia="zh-CN"/>
                    </w:rPr>
                  </w:pPr>
                </w:p>
              </w:tc>
              <w:tc>
                <w:tcPr>
                  <w:tcW w:w="47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color w:val="auto"/>
                      <w:szCs w:val="21"/>
                      <w:lang w:val="en-US" w:eastAsia="zh-CN"/>
                    </w:rPr>
                  </w:pPr>
                </w:p>
              </w:tc>
              <w:tc>
                <w:tcPr>
                  <w:tcW w:w="523" w:type="pct"/>
                  <w:tcBorders>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交通标志</w:t>
                  </w:r>
                </w:p>
              </w:tc>
              <w:tc>
                <w:tcPr>
                  <w:tcW w:w="3721" w:type="pct"/>
                  <w:gridSpan w:val="3"/>
                  <w:tcBorders>
                    <w:lef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Cs w:val="21"/>
                      <w:lang w:val="en-US" w:eastAsia="zh-CN"/>
                    </w:rPr>
                  </w:pPr>
                  <w:r>
                    <w:rPr>
                      <w:rFonts w:hint="default" w:ascii="Times New Roman" w:hAnsi="Times New Roman" w:cs="Times New Roman"/>
                      <w:color w:val="auto"/>
                      <w:szCs w:val="21"/>
                    </w:rPr>
                    <w:t>项目在主干路全路段设置交叉口预告标志，全线道路设置指示标志、警告标志和禁令标志标志牌。标志牌采用铝合金材质，标志杆采用无缝钢管。标志版面反光膜按《公路交通标志反光膜》（GB/T 18833-2012）执行。标注板衬底、文字及图案均采用一级反光膜</w:t>
                  </w:r>
                  <w:r>
                    <w:rPr>
                      <w:rFonts w:hint="eastAsia" w:cs="Times New Roman"/>
                      <w:color w:val="auto"/>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75" w:type="pct"/>
                  <w:vMerge w:val="restart"/>
                  <w:tcBorders>
                    <w:top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Cs w:val="21"/>
                      <w:lang w:val="en-US" w:eastAsia="zh-CN"/>
                    </w:rPr>
                  </w:pPr>
                  <w:r>
                    <w:rPr>
                      <w:rFonts w:hint="eastAsia" w:cs="Times New Roman"/>
                      <w:color w:val="auto"/>
                      <w:szCs w:val="21"/>
                      <w:lang w:val="en-US" w:eastAsia="zh-CN"/>
                    </w:rPr>
                    <w:t>辅助</w:t>
                  </w:r>
                  <w:r>
                    <w:rPr>
                      <w:rFonts w:hint="eastAsia" w:ascii="Times New Roman" w:hAnsi="Times New Roman" w:cs="Times New Roman"/>
                      <w:color w:val="auto"/>
                      <w:szCs w:val="21"/>
                      <w:lang w:val="en-US" w:eastAsia="zh-CN"/>
                    </w:rPr>
                    <w:t>工程</w:t>
                  </w:r>
                </w:p>
              </w:tc>
              <w:tc>
                <w:tcPr>
                  <w:tcW w:w="1003" w:type="pct"/>
                  <w:gridSpan w:val="2"/>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highlight w:val="none"/>
                      <w:lang w:val="en-US" w:eastAsia="zh-CN"/>
                    </w:rPr>
                    <w:t>取</w:t>
                  </w:r>
                  <w:r>
                    <w:rPr>
                      <w:rFonts w:hint="eastAsia" w:ascii="Times New Roman" w:hAnsi="Times New Roman" w:cs="Times New Roman"/>
                      <w:color w:val="auto"/>
                      <w:szCs w:val="21"/>
                      <w:highlight w:val="none"/>
                      <w:lang w:val="en-US" w:eastAsia="zh-CN"/>
                    </w:rPr>
                    <w:t>、弃</w:t>
                  </w:r>
                  <w:r>
                    <w:rPr>
                      <w:rFonts w:hint="default" w:ascii="Times New Roman" w:hAnsi="Times New Roman" w:cs="Times New Roman"/>
                      <w:color w:val="auto"/>
                      <w:szCs w:val="21"/>
                      <w:highlight w:val="none"/>
                      <w:lang w:val="en-US" w:eastAsia="zh-CN"/>
                    </w:rPr>
                    <w:t>土场</w:t>
                  </w:r>
                </w:p>
              </w:tc>
              <w:tc>
                <w:tcPr>
                  <w:tcW w:w="3721" w:type="pct"/>
                  <w:gridSpan w:val="3"/>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szCs w:val="21"/>
                      <w:lang w:val="en-US"/>
                    </w:rPr>
                  </w:pPr>
                  <w:r>
                    <w:rPr>
                      <w:rFonts w:hint="default" w:ascii="Times New Roman" w:hAnsi="Times New Roman" w:cs="Times New Roman"/>
                      <w:color w:val="auto"/>
                      <w:szCs w:val="21"/>
                      <w:highlight w:val="none"/>
                      <w:lang w:val="en-US" w:eastAsia="zh-CN"/>
                    </w:rPr>
                    <w:t>根据初设估算，</w:t>
                  </w:r>
                  <w:r>
                    <w:rPr>
                      <w:rFonts w:hint="eastAsia" w:ascii="Times New Roman" w:hAnsi="Times New Roman" w:cs="Times New Roman"/>
                      <w:color w:val="auto"/>
                      <w:szCs w:val="21"/>
                      <w:lang w:val="en-US" w:eastAsia="zh-CN"/>
                    </w:rPr>
                    <w:t>湖滨大街西延</w:t>
                  </w:r>
                  <w:r>
                    <w:rPr>
                      <w:rFonts w:hint="eastAsia" w:ascii="Times New Roman" w:hAnsi="Times New Roman" w:cs="Times New Roman"/>
                      <w:color w:val="auto"/>
                      <w:szCs w:val="21"/>
                      <w:highlight w:val="none"/>
                      <w:lang w:val="en-US" w:eastAsia="zh-CN"/>
                    </w:rPr>
                    <w:t>弃方量为</w:t>
                  </w:r>
                  <w:r>
                    <w:rPr>
                      <w:rFonts w:hint="eastAsia" w:cs="Times New Roman"/>
                      <w:color w:val="auto"/>
                      <w:szCs w:val="21"/>
                      <w:highlight w:val="none"/>
                      <w:lang w:val="en-US" w:eastAsia="zh-CN"/>
                    </w:rPr>
                    <w:t>42318</w:t>
                  </w:r>
                  <w:r>
                    <w:rPr>
                      <w:rFonts w:hint="default" w:ascii="Times New Roman" w:hAnsi="Times New Roman" w:cs="Times New Roman"/>
                      <w:color w:val="auto"/>
                      <w:szCs w:val="21"/>
                      <w:highlight w:val="none"/>
                      <w:lang w:val="en-US" w:eastAsia="zh-CN"/>
                    </w:rPr>
                    <w:t>m</w:t>
                  </w:r>
                  <w:r>
                    <w:rPr>
                      <w:rFonts w:hint="default" w:ascii="Times New Roman" w:hAnsi="Times New Roman" w:cs="Times New Roman"/>
                      <w:color w:val="auto"/>
                      <w:szCs w:val="21"/>
                      <w:highlight w:val="none"/>
                      <w:vertAlign w:val="superscript"/>
                      <w:lang w:val="en-US" w:eastAsia="zh-CN"/>
                    </w:rPr>
                    <w:t>3</w:t>
                  </w:r>
                  <w:r>
                    <w:rPr>
                      <w:rFonts w:hint="default" w:ascii="Times New Roman" w:hAnsi="Times New Roman" w:cs="Times New Roman"/>
                      <w:color w:val="auto"/>
                      <w:szCs w:val="21"/>
                      <w:highlight w:val="none"/>
                      <w:lang w:val="en-US" w:eastAsia="zh-CN"/>
                    </w:rPr>
                    <w:t>；</w:t>
                  </w:r>
                  <w:r>
                    <w:rPr>
                      <w:rFonts w:hint="eastAsia" w:ascii="Times New Roman" w:hAnsi="Times New Roman" w:cs="Times New Roman"/>
                      <w:color w:val="auto"/>
                      <w:szCs w:val="21"/>
                      <w:highlight w:val="none"/>
                      <w:lang w:val="en-US" w:eastAsia="zh-CN"/>
                    </w:rPr>
                    <w:t>弃方送五台县市政指定的渣土场</w:t>
                  </w:r>
                  <w:r>
                    <w:rPr>
                      <w:rFonts w:hint="eastAsia" w:cs="Times New Roman"/>
                      <w:color w:val="auto"/>
                      <w:szCs w:val="21"/>
                      <w:highlight w:val="none"/>
                      <w:lang w:val="en-US" w:eastAsia="zh-CN"/>
                    </w:rPr>
                    <w:t>处理。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7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color w:val="auto"/>
                      <w:szCs w:val="21"/>
                      <w:lang w:val="en-US" w:eastAsia="zh-CN"/>
                    </w:rPr>
                  </w:pPr>
                </w:p>
              </w:tc>
              <w:tc>
                <w:tcPr>
                  <w:tcW w:w="1003" w:type="pct"/>
                  <w:gridSpan w:val="2"/>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i w:val="0"/>
                      <w:color w:val="auto"/>
                      <w:kern w:val="0"/>
                      <w:sz w:val="21"/>
                      <w:szCs w:val="21"/>
                      <w:u w:val="none"/>
                      <w:lang w:val="en-US" w:eastAsia="zh-CN" w:bidi="ar"/>
                    </w:rPr>
                  </w:pPr>
                  <w:r>
                    <w:rPr>
                      <w:rFonts w:hint="eastAsia" w:ascii="Times New Roman" w:hAnsi="Times New Roman" w:cs="Times New Roman"/>
                      <w:color w:val="auto"/>
                      <w:szCs w:val="21"/>
                      <w:lang w:val="en-US" w:eastAsia="zh-CN"/>
                    </w:rPr>
                    <w:t>表土</w:t>
                  </w:r>
                  <w:r>
                    <w:rPr>
                      <w:rFonts w:hint="eastAsia"/>
                      <w:color w:val="auto"/>
                      <w:sz w:val="21"/>
                      <w:szCs w:val="21"/>
                    </w:rPr>
                    <w:t>临时堆存区</w:t>
                  </w:r>
                </w:p>
              </w:tc>
              <w:tc>
                <w:tcPr>
                  <w:tcW w:w="3721" w:type="pct"/>
                  <w:gridSpan w:val="3"/>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宋体" w:hAnsi="宋体" w:eastAsia="宋体" w:cs="宋体"/>
                      <w:i w:val="0"/>
                      <w:color w:val="auto"/>
                      <w:kern w:val="0"/>
                      <w:sz w:val="21"/>
                      <w:szCs w:val="21"/>
                      <w:u w:val="none"/>
                      <w:lang w:val="en-US" w:eastAsia="zh-CN" w:bidi="ar"/>
                    </w:rPr>
                  </w:pPr>
                  <w:r>
                    <w:rPr>
                      <w:rFonts w:hint="eastAsia" w:ascii="Times New Roman" w:hAnsi="Times New Roman" w:cs="Times New Roman"/>
                      <w:color w:val="auto"/>
                      <w:szCs w:val="21"/>
                      <w:lang w:val="en-US" w:eastAsia="zh-CN"/>
                    </w:rPr>
                    <w:t>根据初设估算，湖滨大街西延清表量为11912.513m</w:t>
                  </w:r>
                  <w:r>
                    <w:rPr>
                      <w:rFonts w:hint="eastAsia" w:ascii="Times New Roman" w:hAnsi="Times New Roman" w:cs="Times New Roman"/>
                      <w:color w:val="auto"/>
                      <w:szCs w:val="21"/>
                      <w:vertAlign w:val="superscript"/>
                      <w:lang w:val="en-US" w:eastAsia="zh-CN"/>
                    </w:rPr>
                    <w:t>3</w:t>
                  </w:r>
                  <w:r>
                    <w:rPr>
                      <w:rFonts w:hint="eastAsia" w:ascii="Times New Roman" w:hAnsi="Times New Roman" w:cs="Times New Roman"/>
                      <w:color w:val="auto"/>
                      <w:szCs w:val="21"/>
                      <w:vertAlign w:val="baseline"/>
                      <w:lang w:val="en-US" w:eastAsia="zh-CN"/>
                    </w:rPr>
                    <w:t>；</w:t>
                  </w:r>
                  <w:r>
                    <w:rPr>
                      <w:rFonts w:hint="eastAsia"/>
                      <w:bCs/>
                      <w:color w:val="auto"/>
                      <w:sz w:val="21"/>
                      <w:szCs w:val="21"/>
                    </w:rPr>
                    <w:t>施工期设置</w:t>
                  </w:r>
                  <w:r>
                    <w:rPr>
                      <w:rFonts w:hint="eastAsia"/>
                      <w:bCs/>
                      <w:color w:val="auto"/>
                      <w:sz w:val="21"/>
                      <w:szCs w:val="21"/>
                      <w:lang w:val="en-US" w:eastAsia="zh-CN"/>
                    </w:rPr>
                    <w:t>1</w:t>
                  </w:r>
                  <w:r>
                    <w:rPr>
                      <w:rFonts w:hint="eastAsia"/>
                      <w:bCs/>
                      <w:color w:val="auto"/>
                      <w:sz w:val="21"/>
                      <w:szCs w:val="21"/>
                    </w:rPr>
                    <w:t>处表土临时堆存区。表土临时堆存区长50m，宽50m，用于堆放路基工程、施工生产、生活区剥离的表土，将堆放的表土进行集中防护，施工结束后作为道路绿化、场地绿化及植被恢复用土，以充分利用表土资源</w:t>
                  </w:r>
                  <w:r>
                    <w:rPr>
                      <w:rFonts w:hint="eastAsia"/>
                      <w:bCs/>
                      <w:color w:val="auto"/>
                      <w:sz w:val="21"/>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7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color w:val="auto"/>
                      <w:szCs w:val="21"/>
                      <w:lang w:val="en-US" w:eastAsia="zh-CN"/>
                    </w:rPr>
                  </w:pPr>
                </w:p>
              </w:tc>
              <w:tc>
                <w:tcPr>
                  <w:tcW w:w="1003" w:type="pct"/>
                  <w:gridSpan w:val="2"/>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i w:val="0"/>
                      <w:color w:val="auto"/>
                      <w:kern w:val="0"/>
                      <w:sz w:val="21"/>
                      <w:szCs w:val="21"/>
                      <w:u w:val="none"/>
                      <w:lang w:val="en-US" w:eastAsia="zh-CN" w:bidi="ar"/>
                    </w:rPr>
                  </w:pPr>
                  <w:r>
                    <w:rPr>
                      <w:rFonts w:hint="eastAsia" w:ascii="Times New Roman" w:hAnsi="Times New Roman" w:cs="Times New Roman"/>
                      <w:color w:val="auto"/>
                      <w:szCs w:val="21"/>
                      <w:lang w:val="en-US" w:eastAsia="zh-CN"/>
                    </w:rPr>
                    <w:t>施工营地</w:t>
                  </w:r>
                </w:p>
              </w:tc>
              <w:tc>
                <w:tcPr>
                  <w:tcW w:w="3721" w:type="pct"/>
                  <w:gridSpan w:val="3"/>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宋体" w:hAnsi="宋体" w:eastAsia="宋体" w:cs="宋体"/>
                      <w:i w:val="0"/>
                      <w:color w:val="auto"/>
                      <w:kern w:val="0"/>
                      <w:sz w:val="21"/>
                      <w:szCs w:val="21"/>
                      <w:u w:val="none"/>
                      <w:lang w:val="en-US" w:eastAsia="zh-CN" w:bidi="ar"/>
                    </w:rPr>
                  </w:pPr>
                  <w:r>
                    <w:rPr>
                      <w:bCs/>
                      <w:color w:val="auto"/>
                      <w:sz w:val="21"/>
                      <w:szCs w:val="21"/>
                    </w:rPr>
                    <w:t>本项目在K0+300处布置1处临时施工营地，</w:t>
                  </w:r>
                  <w:r>
                    <w:rPr>
                      <w:rFonts w:hint="eastAsia"/>
                      <w:bCs/>
                      <w:color w:val="auto"/>
                      <w:sz w:val="21"/>
                      <w:szCs w:val="21"/>
                      <w:lang w:val="en-US" w:eastAsia="zh-CN"/>
                    </w:rPr>
                    <w:t>占地为草地，</w:t>
                  </w:r>
                  <w:r>
                    <w:rPr>
                      <w:color w:val="auto"/>
                      <w:sz w:val="21"/>
                      <w:szCs w:val="21"/>
                    </w:rPr>
                    <w:t>施工营地主要用于原辅料周转、施工机械停放，工人暂住，营地内不设置拌合站、加工厂，设置有原料库、机械存放库、办公生活区、洗车平台，营地内不设浴室</w:t>
                  </w:r>
                  <w:r>
                    <w:rPr>
                      <w:rFonts w:hint="eastAsia"/>
                      <w:color w:val="auto"/>
                      <w:sz w:val="21"/>
                      <w:szCs w:val="21"/>
                    </w:rPr>
                    <w:t>。</w:t>
                  </w:r>
                  <w:r>
                    <w:rPr>
                      <w:rFonts w:hint="eastAsia"/>
                      <w:color w:val="auto"/>
                      <w:sz w:val="21"/>
                      <w:szCs w:val="21"/>
                      <w:lang w:val="en-US" w:eastAsia="zh-CN"/>
                    </w:rPr>
                    <w:t>施工结束后恢复为原状。</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7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color w:val="auto"/>
                      <w:szCs w:val="21"/>
                      <w:lang w:val="en-US" w:eastAsia="zh-CN"/>
                    </w:rPr>
                  </w:pPr>
                </w:p>
              </w:tc>
              <w:tc>
                <w:tcPr>
                  <w:tcW w:w="1003" w:type="pct"/>
                  <w:gridSpan w:val="2"/>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i w:val="0"/>
                      <w:color w:val="auto"/>
                      <w:kern w:val="0"/>
                      <w:sz w:val="21"/>
                      <w:szCs w:val="21"/>
                      <w:u w:val="none"/>
                      <w:lang w:val="en-US" w:eastAsia="zh-CN" w:bidi="ar"/>
                    </w:rPr>
                  </w:pPr>
                  <w:r>
                    <w:rPr>
                      <w:rFonts w:hint="eastAsia" w:ascii="Times New Roman" w:hAnsi="Times New Roman" w:cs="Times New Roman"/>
                      <w:color w:val="auto"/>
                      <w:szCs w:val="21"/>
                      <w:lang w:val="en-US" w:eastAsia="zh-CN"/>
                    </w:rPr>
                    <w:t>施工便道</w:t>
                  </w:r>
                </w:p>
              </w:tc>
              <w:tc>
                <w:tcPr>
                  <w:tcW w:w="3721" w:type="pct"/>
                  <w:gridSpan w:val="3"/>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宋体" w:hAnsi="宋体" w:eastAsia="宋体" w:cs="宋体"/>
                      <w:i w:val="0"/>
                      <w:color w:val="auto"/>
                      <w:kern w:val="0"/>
                      <w:sz w:val="21"/>
                      <w:szCs w:val="21"/>
                      <w:u w:val="none"/>
                      <w:lang w:val="en-US" w:eastAsia="zh-CN" w:bidi="ar"/>
                    </w:rPr>
                  </w:pPr>
                  <w:r>
                    <w:rPr>
                      <w:rFonts w:hint="eastAsia" w:ascii="宋体" w:hAnsi="宋体" w:eastAsia="宋体" w:cs="宋体"/>
                      <w:i w:val="0"/>
                      <w:color w:val="auto"/>
                      <w:kern w:val="0"/>
                      <w:sz w:val="21"/>
                      <w:szCs w:val="21"/>
                      <w:u w:val="none"/>
                      <w:lang w:val="en-US" w:eastAsia="zh-CN" w:bidi="ar"/>
                    </w:rPr>
                    <w:t>依托项目周边可以利用的乡村道路</w:t>
                  </w:r>
                  <w:r>
                    <w:rPr>
                      <w:rFonts w:hint="eastAsia" w:ascii="宋体" w:hAnsi="宋体" w:cs="宋体"/>
                      <w:i w:val="0"/>
                      <w:color w:val="auto"/>
                      <w:kern w:val="0"/>
                      <w:sz w:val="21"/>
                      <w:szCs w:val="21"/>
                      <w:u w:val="none"/>
                      <w:lang w:val="en-US" w:eastAsia="zh-CN" w:bidi="ar"/>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75" w:type="pct"/>
                  <w:vMerge w:val="continue"/>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Cs w:val="21"/>
                      <w:lang w:val="en-US" w:eastAsia="zh-CN"/>
                    </w:rPr>
                  </w:pPr>
                </w:p>
              </w:tc>
              <w:tc>
                <w:tcPr>
                  <w:tcW w:w="1003" w:type="pct"/>
                  <w:gridSpan w:val="2"/>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建筑材料</w:t>
                  </w:r>
                </w:p>
              </w:tc>
              <w:tc>
                <w:tcPr>
                  <w:tcW w:w="3721" w:type="pct"/>
                  <w:gridSpan w:val="3"/>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Cs w:val="21"/>
                      <w:lang w:eastAsia="zh-CN"/>
                    </w:rPr>
                  </w:pPr>
                  <w:r>
                    <w:rPr>
                      <w:color w:val="auto"/>
                      <w:sz w:val="21"/>
                      <w:szCs w:val="21"/>
                    </w:rPr>
                    <w:t>外购，项目区内公路、铁路交通网络发达，交通运输偏离，路网材料可方便到达施工现场</w:t>
                  </w:r>
                  <w:r>
                    <w:rPr>
                      <w:rFonts w:hint="eastAsia"/>
                      <w:color w:val="auto"/>
                      <w:sz w:val="21"/>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75" w:type="pct"/>
                  <w:vMerge w:val="restart"/>
                  <w:tcBorders>
                    <w:top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eastAsia" w:ascii="Times New Roman" w:hAnsi="Times New Roman" w:cs="Times New Roman"/>
                      <w:color w:val="auto"/>
                      <w:szCs w:val="21"/>
                      <w:lang w:val="en-US" w:eastAsia="zh-CN"/>
                    </w:rPr>
                    <w:t>环保工程</w:t>
                  </w:r>
                </w:p>
              </w:tc>
              <w:tc>
                <w:tcPr>
                  <w:tcW w:w="479" w:type="pct"/>
                  <w:vMerge w:val="restart"/>
                  <w:tcBorders>
                    <w:top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施工期</w:t>
                  </w:r>
                </w:p>
              </w:tc>
              <w:tc>
                <w:tcPr>
                  <w:tcW w:w="523" w:type="pct"/>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废气</w:t>
                  </w:r>
                </w:p>
              </w:tc>
              <w:tc>
                <w:tcPr>
                  <w:tcW w:w="3721" w:type="pct"/>
                  <w:gridSpan w:val="3"/>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szCs w:val="21"/>
                      <w:lang w:val="en-US"/>
                    </w:rPr>
                  </w:pPr>
                  <w:r>
                    <w:rPr>
                      <w:rFonts w:hint="eastAsia" w:cs="宋体"/>
                      <w:color w:val="auto"/>
                      <w:szCs w:val="21"/>
                      <w:lang w:val="en-US" w:eastAsia="zh-CN"/>
                    </w:rPr>
                    <w:t>扬尘污染防治应严格按《防治城市扬尘污染技术规范》要求进行防治。土方及施工过程中使用的多尘物料应使用帆布覆盖；运输车辆适当加湿，经过敏感区限速，经过居民区禁止鸣笛。使用优质燃油，并加强设备及车辆养护；</w:t>
                  </w:r>
                  <w:r>
                    <w:rPr>
                      <w:rFonts w:hint="eastAsia" w:ascii="Times New Roman" w:hAnsi="Times New Roman" w:cs="Times New Roman"/>
                      <w:color w:val="auto"/>
                      <w:kern w:val="0"/>
                      <w:szCs w:val="21"/>
                      <w:lang w:val="en-US" w:eastAsia="zh-CN"/>
                    </w:rPr>
                    <w:t>食堂油烟</w:t>
                  </w:r>
                  <w:r>
                    <w:rPr>
                      <w:rFonts w:hint="eastAsia" w:ascii="Times New Roman" w:hAnsi="Times New Roman" w:cs="Times New Roman"/>
                      <w:color w:val="auto"/>
                      <w:kern w:val="32"/>
                      <w:szCs w:val="21"/>
                      <w:lang w:val="en-US" w:eastAsia="zh-CN"/>
                    </w:rPr>
                    <w:t>设置</w:t>
                  </w:r>
                  <w:r>
                    <w:rPr>
                      <w:rFonts w:hint="default" w:ascii="Times New Roman" w:hAnsi="Times New Roman" w:eastAsia="宋体" w:cs="Times New Roman"/>
                      <w:color w:val="auto"/>
                      <w:lang w:val="en-US" w:eastAsia="zh-CN"/>
                    </w:rPr>
                    <w:t>油烟净化</w:t>
                  </w:r>
                  <w:r>
                    <w:rPr>
                      <w:rFonts w:hint="eastAsia" w:ascii="Times New Roman" w:hAnsi="Times New Roman" w:eastAsia="宋体" w:cs="Times New Roman"/>
                      <w:color w:val="auto"/>
                      <w:lang w:val="en-US" w:eastAsia="zh-CN"/>
                    </w:rPr>
                    <w:t>装置（中型）处理</w:t>
                  </w:r>
                  <w:r>
                    <w:rPr>
                      <w:rFonts w:hint="eastAsia" w:cs="Times New Roman"/>
                      <w:color w:val="auto"/>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7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7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Cs w:val="21"/>
                      <w:lang w:val="en-US" w:eastAsia="zh-CN"/>
                    </w:rPr>
                  </w:pPr>
                </w:p>
              </w:tc>
              <w:tc>
                <w:tcPr>
                  <w:tcW w:w="523" w:type="pct"/>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废水</w:t>
                  </w:r>
                </w:p>
              </w:tc>
              <w:tc>
                <w:tcPr>
                  <w:tcW w:w="3721" w:type="pct"/>
                  <w:gridSpan w:val="3"/>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Cs w:val="21"/>
                      <w:lang w:eastAsia="zh-CN"/>
                    </w:rPr>
                  </w:pPr>
                  <w:r>
                    <w:rPr>
                      <w:rFonts w:hint="eastAsia" w:cs="宋体"/>
                      <w:color w:val="auto"/>
                      <w:szCs w:val="21"/>
                    </w:rPr>
                    <w:t>本项目施工期设备冲洗、场地冲洗废水经隔油+沉淀回用施工物料区洒水抑尘；车辆冲洗废水沉淀回用，不外排；生活污水排入</w:t>
                  </w:r>
                  <w:r>
                    <w:rPr>
                      <w:rFonts w:hint="eastAsia" w:cs="宋体"/>
                      <w:color w:val="auto"/>
                      <w:szCs w:val="21"/>
                      <w:lang w:val="en-US" w:eastAsia="zh-CN"/>
                    </w:rPr>
                    <w:t>移动水冲厕</w:t>
                  </w:r>
                  <w:r>
                    <w:rPr>
                      <w:rFonts w:hint="eastAsia" w:cs="宋体"/>
                      <w:color w:val="auto"/>
                      <w:szCs w:val="21"/>
                    </w:rPr>
                    <w:t>定期清掏，用于附近农田施肥</w:t>
                  </w:r>
                  <w:r>
                    <w:rPr>
                      <w:rFonts w:hint="eastAsia" w:cs="宋体"/>
                      <w:color w:val="auto"/>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7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7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Cs w:val="21"/>
                      <w:lang w:val="en-US" w:eastAsia="zh-CN"/>
                    </w:rPr>
                  </w:pPr>
                </w:p>
              </w:tc>
              <w:tc>
                <w:tcPr>
                  <w:tcW w:w="523" w:type="pct"/>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固废</w:t>
                  </w:r>
                </w:p>
              </w:tc>
              <w:tc>
                <w:tcPr>
                  <w:tcW w:w="3721" w:type="pct"/>
                  <w:gridSpan w:val="3"/>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szCs w:val="21"/>
                    </w:rPr>
                  </w:pPr>
                  <w:r>
                    <w:rPr>
                      <w:rFonts w:hint="eastAsia" w:cs="宋体"/>
                      <w:color w:val="auto"/>
                      <w:szCs w:val="21"/>
                    </w:rPr>
                    <w:t>余方</w:t>
                  </w:r>
                  <w:r>
                    <w:rPr>
                      <w:rFonts w:hint="default" w:ascii="Times New Roman" w:hAnsi="Times New Roman" w:cs="Times New Roman"/>
                      <w:color w:val="auto"/>
                      <w:sz w:val="21"/>
                      <w:szCs w:val="21"/>
                    </w:rPr>
                    <w:t>按照</w:t>
                  </w:r>
                  <w:r>
                    <w:rPr>
                      <w:rFonts w:hint="eastAsia" w:cs="Times New Roman"/>
                      <w:color w:val="auto"/>
                      <w:sz w:val="21"/>
                      <w:szCs w:val="21"/>
                      <w:lang w:val="en-US" w:eastAsia="zh-CN"/>
                    </w:rPr>
                    <w:t>五台</w:t>
                  </w:r>
                  <w:r>
                    <w:rPr>
                      <w:rFonts w:hint="default" w:ascii="Times New Roman" w:hAnsi="Times New Roman" w:cs="Times New Roman"/>
                      <w:color w:val="auto"/>
                      <w:sz w:val="21"/>
                      <w:szCs w:val="21"/>
                    </w:rPr>
                    <w:t>县人民政府的要求进行处理</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施工中的建筑垃圾主要是碎砖块、灰浆、废材料等，应由各施工队妥善处理，由</w:t>
                  </w:r>
                  <w:r>
                    <w:rPr>
                      <w:rFonts w:hint="eastAsia" w:cs="Times New Roman"/>
                      <w:color w:val="auto"/>
                      <w:sz w:val="21"/>
                      <w:szCs w:val="21"/>
                      <w:lang w:val="en-US" w:eastAsia="zh-CN"/>
                    </w:rPr>
                    <w:t>五台县</w:t>
                  </w:r>
                  <w:r>
                    <w:rPr>
                      <w:rFonts w:hint="default" w:ascii="Times New Roman" w:hAnsi="Times New Roman" w:cs="Times New Roman"/>
                      <w:color w:val="auto"/>
                      <w:sz w:val="21"/>
                      <w:szCs w:val="21"/>
                    </w:rPr>
                    <w:t>环卫局统一规划处置</w:t>
                  </w:r>
                  <w:r>
                    <w:rPr>
                      <w:rFonts w:hint="default" w:ascii="Times New Roman" w:hAnsi="Times New Roman" w:cs="Times New Roman"/>
                      <w:color w:val="auto"/>
                      <w:sz w:val="21"/>
                      <w:szCs w:val="21"/>
                      <w:lang w:eastAsia="zh-CN"/>
                    </w:rPr>
                    <w:t>；生活垃圾用垃圾桶收集后由环卫工人运送到指定垃圾场处理</w:t>
                  </w:r>
                  <w:r>
                    <w:rPr>
                      <w:rFonts w:hint="eastAsia" w:cs="Times New Roman"/>
                      <w:color w:val="auto"/>
                      <w:sz w:val="21"/>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7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7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Cs w:val="21"/>
                      <w:lang w:val="en-US" w:eastAsia="zh-CN"/>
                    </w:rPr>
                  </w:pPr>
                </w:p>
              </w:tc>
              <w:tc>
                <w:tcPr>
                  <w:tcW w:w="523" w:type="pct"/>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噪声</w:t>
                  </w:r>
                </w:p>
              </w:tc>
              <w:tc>
                <w:tcPr>
                  <w:tcW w:w="3721" w:type="pct"/>
                  <w:gridSpan w:val="3"/>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Cs w:val="21"/>
                      <w:lang w:eastAsia="zh-CN"/>
                    </w:rPr>
                  </w:pPr>
                  <w:r>
                    <w:rPr>
                      <w:rFonts w:cs="宋体"/>
                      <w:color w:val="auto"/>
                      <w:szCs w:val="21"/>
                    </w:rPr>
                    <w:t>采用先进设备、淘汰落后设备，限值作业时间，定期对机械设备进行维护和保养</w:t>
                  </w:r>
                  <w:r>
                    <w:rPr>
                      <w:rFonts w:hint="eastAsia" w:cs="宋体"/>
                      <w:color w:val="auto"/>
                      <w:szCs w:val="21"/>
                    </w:rPr>
                    <w:t>，禁止在夜间施工</w:t>
                  </w:r>
                  <w:r>
                    <w:rPr>
                      <w:rFonts w:hint="eastAsia" w:cs="宋体"/>
                      <w:color w:val="auto"/>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7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7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Cs w:val="21"/>
                      <w:lang w:val="en-US" w:eastAsia="zh-CN"/>
                    </w:rPr>
                  </w:pPr>
                </w:p>
              </w:tc>
              <w:tc>
                <w:tcPr>
                  <w:tcW w:w="523" w:type="pct"/>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移动水冲厕</w:t>
                  </w:r>
                </w:p>
              </w:tc>
              <w:tc>
                <w:tcPr>
                  <w:tcW w:w="3721" w:type="pct"/>
                  <w:gridSpan w:val="3"/>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eastAsia="宋体" w:cs="宋体"/>
                      <w:color w:val="auto"/>
                      <w:szCs w:val="21"/>
                      <w:lang w:val="en-US" w:eastAsia="zh-CN"/>
                    </w:rPr>
                  </w:pPr>
                  <w:r>
                    <w:rPr>
                      <w:rFonts w:hint="eastAsia" w:cs="宋体"/>
                      <w:color w:val="auto"/>
                      <w:szCs w:val="21"/>
                      <w:lang w:val="en-US" w:eastAsia="zh-CN"/>
                    </w:rPr>
                    <w:t>定期清掏，用于附近农田施肥。</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7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79" w:type="pct"/>
                  <w:vMerge w:val="continue"/>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Cs w:val="21"/>
                      <w:lang w:val="en-US" w:eastAsia="zh-CN"/>
                    </w:rPr>
                  </w:pPr>
                </w:p>
              </w:tc>
              <w:tc>
                <w:tcPr>
                  <w:tcW w:w="523" w:type="pct"/>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生态</w:t>
                  </w:r>
                </w:p>
              </w:tc>
              <w:tc>
                <w:tcPr>
                  <w:tcW w:w="3721" w:type="pct"/>
                  <w:gridSpan w:val="3"/>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cs="宋体"/>
                      <w:color w:val="auto"/>
                      <w:szCs w:val="21"/>
                      <w:lang w:val="en-US" w:eastAsia="zh-CN"/>
                    </w:rPr>
                  </w:pPr>
                  <w:r>
                    <w:rPr>
                      <w:rFonts w:hint="eastAsia" w:cs="宋体"/>
                      <w:color w:val="auto"/>
                      <w:szCs w:val="21"/>
                      <w:lang w:val="en-US" w:eastAsia="zh-CN"/>
                    </w:rPr>
                    <w:t>（1）施工期对已有水体的保护措施：钻孔作业禁止在洪水发生时进行开挖，弃土按照五台县人民政府的要求进行处理，严禁将土方倒入河道。同时加强施工机械的检修，严格施工管理，减少施工机械的跑、冒、滴、漏，避免机械油污污染水体。</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cs="宋体"/>
                      <w:color w:val="auto"/>
                      <w:szCs w:val="21"/>
                      <w:lang w:val="en-US" w:eastAsia="zh-CN"/>
                    </w:rPr>
                  </w:pPr>
                  <w:r>
                    <w:rPr>
                      <w:rFonts w:hint="eastAsia" w:cs="宋体"/>
                      <w:color w:val="auto"/>
                      <w:szCs w:val="21"/>
                      <w:lang w:val="en-US" w:eastAsia="zh-CN"/>
                    </w:rPr>
                    <w:t>（2）施工对景观的保护措施：在施工中产生的废建材、垃圾等不得随意堆放，应及时清运。对施工人员应进行严格管理，严禁乱撒乱抛废弃物。施工时应注意避开雨季，防止因雨水造成泥沙流失。</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cs="宋体"/>
                      <w:color w:val="auto"/>
                      <w:szCs w:val="21"/>
                    </w:rPr>
                  </w:pPr>
                  <w:r>
                    <w:rPr>
                      <w:rFonts w:hint="eastAsia" w:cs="宋体"/>
                      <w:color w:val="auto"/>
                      <w:szCs w:val="21"/>
                      <w:lang w:eastAsia="zh-CN"/>
                    </w:rPr>
                    <w:t>（</w:t>
                  </w:r>
                  <w:r>
                    <w:rPr>
                      <w:rFonts w:hint="eastAsia" w:cs="宋体"/>
                      <w:color w:val="auto"/>
                      <w:szCs w:val="21"/>
                      <w:lang w:val="en-US" w:eastAsia="zh-CN"/>
                    </w:rPr>
                    <w:t>3</w:t>
                  </w:r>
                  <w:r>
                    <w:rPr>
                      <w:rFonts w:hint="eastAsia" w:cs="宋体"/>
                      <w:color w:val="auto"/>
                      <w:szCs w:val="21"/>
                      <w:lang w:eastAsia="zh-CN"/>
                    </w:rPr>
                    <w:t>）</w:t>
                  </w:r>
                  <w:r>
                    <w:rPr>
                      <w:rFonts w:hint="eastAsia" w:cs="宋体"/>
                      <w:color w:val="auto"/>
                      <w:szCs w:val="21"/>
                      <w:lang w:val="en-US" w:eastAsia="zh-CN"/>
                    </w:rPr>
                    <w:t>施工期结束后</w:t>
                  </w:r>
                  <w:r>
                    <w:rPr>
                      <w:rFonts w:hint="default" w:cs="宋体"/>
                      <w:color w:val="auto"/>
                      <w:szCs w:val="21"/>
                      <w:lang w:val="en-US" w:eastAsia="zh-CN"/>
                    </w:rPr>
                    <w:t>生态</w:t>
                  </w:r>
                  <w:r>
                    <w:rPr>
                      <w:rFonts w:hint="eastAsia" w:cs="宋体"/>
                      <w:color w:val="auto"/>
                      <w:szCs w:val="21"/>
                      <w:lang w:val="en-US" w:eastAsia="zh-CN"/>
                    </w:rPr>
                    <w:t>恢复措施：施工期</w:t>
                  </w:r>
                  <w:r>
                    <w:rPr>
                      <w:rFonts w:hint="default" w:cs="宋体"/>
                      <w:color w:val="auto"/>
                      <w:szCs w:val="21"/>
                    </w:rPr>
                    <w:t>结束后，</w:t>
                  </w:r>
                  <w:r>
                    <w:rPr>
                      <w:rFonts w:cs="宋体"/>
                      <w:color w:val="auto"/>
                      <w:szCs w:val="21"/>
                    </w:rPr>
                    <w:t>应对</w:t>
                  </w:r>
                  <w:r>
                    <w:rPr>
                      <w:rFonts w:hint="eastAsia" w:cs="宋体"/>
                      <w:color w:val="auto"/>
                      <w:szCs w:val="21"/>
                      <w:lang w:val="en-US" w:eastAsia="zh-CN"/>
                    </w:rPr>
                    <w:t>线路附近</w:t>
                  </w:r>
                  <w:r>
                    <w:rPr>
                      <w:rFonts w:cs="宋体"/>
                      <w:color w:val="auto"/>
                      <w:szCs w:val="21"/>
                    </w:rPr>
                    <w:t>植被进行恢复</w:t>
                  </w:r>
                  <w:r>
                    <w:rPr>
                      <w:rFonts w:hint="eastAsia" w:cs="宋体"/>
                      <w:color w:val="auto"/>
                      <w:szCs w:val="21"/>
                      <w:lang w:eastAsia="zh-CN"/>
                    </w:rPr>
                    <w:t>，</w:t>
                  </w:r>
                  <w:r>
                    <w:rPr>
                      <w:rFonts w:hint="default" w:cs="宋体"/>
                      <w:color w:val="auto"/>
                      <w:szCs w:val="21"/>
                    </w:rPr>
                    <w:t>即可进行</w:t>
                  </w:r>
                  <w:r>
                    <w:rPr>
                      <w:rFonts w:hint="default" w:cs="宋体"/>
                      <w:color w:val="auto"/>
                      <w:szCs w:val="21"/>
                      <w:lang w:val="en-US" w:eastAsia="zh-CN"/>
                    </w:rPr>
                    <w:t>临时占地</w:t>
                  </w:r>
                  <w:r>
                    <w:rPr>
                      <w:rFonts w:hint="eastAsia" w:cs="宋体"/>
                      <w:color w:val="auto"/>
                      <w:szCs w:val="21"/>
                      <w:lang w:val="en-US" w:eastAsia="zh-CN"/>
                    </w:rPr>
                    <w:t>与原滨河西路桥下</w:t>
                  </w:r>
                  <w:r>
                    <w:rPr>
                      <w:rFonts w:hint="default" w:cs="宋体"/>
                      <w:color w:val="auto"/>
                      <w:szCs w:val="21"/>
                    </w:rPr>
                    <w:t>植被的绿化和生态建设工作，使</w:t>
                  </w:r>
                  <w:r>
                    <w:rPr>
                      <w:rFonts w:hint="default" w:cs="宋体"/>
                      <w:color w:val="auto"/>
                      <w:szCs w:val="21"/>
                      <w:lang w:val="en-US" w:eastAsia="zh-CN"/>
                    </w:rPr>
                    <w:t>项目所在区域</w:t>
                  </w:r>
                  <w:r>
                    <w:rPr>
                      <w:rFonts w:hint="default" w:cs="宋体"/>
                      <w:color w:val="auto"/>
                      <w:szCs w:val="21"/>
                    </w:rPr>
                    <w:t>成为自然和人工复合的生态系统。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7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79" w:type="pct"/>
                  <w:vMerge w:val="restart"/>
                  <w:tcBorders>
                    <w:top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运营期</w:t>
                  </w:r>
                </w:p>
              </w:tc>
              <w:tc>
                <w:tcPr>
                  <w:tcW w:w="523" w:type="pct"/>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固废</w:t>
                  </w:r>
                </w:p>
              </w:tc>
              <w:tc>
                <w:tcPr>
                  <w:tcW w:w="3721" w:type="pct"/>
                  <w:gridSpan w:val="3"/>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各类道路垃圾由环卫工人定时清扫、处理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7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7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Cs w:val="21"/>
                      <w:lang w:val="en-US" w:eastAsia="zh-CN"/>
                    </w:rPr>
                  </w:pPr>
                </w:p>
              </w:tc>
              <w:tc>
                <w:tcPr>
                  <w:tcW w:w="523" w:type="pct"/>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噪声</w:t>
                  </w:r>
                </w:p>
              </w:tc>
              <w:tc>
                <w:tcPr>
                  <w:tcW w:w="3721" w:type="pct"/>
                  <w:gridSpan w:val="3"/>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Cs w:val="21"/>
                      <w:lang w:eastAsia="zh-CN"/>
                    </w:rPr>
                  </w:pPr>
                  <w:r>
                    <w:rPr>
                      <w:rFonts w:hint="eastAsia" w:cs="宋体"/>
                      <w:color w:val="auto"/>
                      <w:szCs w:val="21"/>
                    </w:rPr>
                    <w:t>加强</w:t>
                  </w:r>
                  <w:r>
                    <w:rPr>
                      <w:rFonts w:hint="eastAsia" w:cs="宋体"/>
                      <w:color w:val="auto"/>
                      <w:szCs w:val="21"/>
                      <w:lang w:val="en-US" w:eastAsia="zh-CN"/>
                    </w:rPr>
                    <w:t>路面</w:t>
                  </w:r>
                  <w:r>
                    <w:rPr>
                      <w:rFonts w:hint="eastAsia" w:cs="宋体"/>
                      <w:color w:val="auto"/>
                      <w:szCs w:val="21"/>
                    </w:rPr>
                    <w:t>的检查和保养，及时维修损坏的路面，维持路面的平整度</w:t>
                  </w:r>
                  <w:r>
                    <w:rPr>
                      <w:rFonts w:hint="eastAsia" w:cs="宋体"/>
                      <w:color w:val="auto"/>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7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7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Cs w:val="21"/>
                      <w:lang w:val="en-US" w:eastAsia="zh-CN"/>
                    </w:rPr>
                  </w:pPr>
                </w:p>
              </w:tc>
              <w:tc>
                <w:tcPr>
                  <w:tcW w:w="523" w:type="pct"/>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生态</w:t>
                  </w:r>
                </w:p>
              </w:tc>
              <w:tc>
                <w:tcPr>
                  <w:tcW w:w="3721" w:type="pct"/>
                  <w:gridSpan w:val="3"/>
                  <w:tcBorders>
                    <w:top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eastAsia="宋体" w:cs="宋体"/>
                      <w:color w:val="auto"/>
                      <w:szCs w:val="21"/>
                      <w:lang w:eastAsia="zh-CN"/>
                    </w:rPr>
                  </w:pPr>
                  <w:r>
                    <w:rPr>
                      <w:rFonts w:hint="eastAsia" w:cs="宋体"/>
                      <w:color w:val="auto"/>
                      <w:szCs w:val="21"/>
                    </w:rPr>
                    <w:t>道路旁种植植被，加强绿化</w:t>
                  </w:r>
                  <w:r>
                    <w:rPr>
                      <w:rFonts w:hint="eastAsia" w:cs="宋体"/>
                      <w:color w:val="auto"/>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75"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其他</w:t>
                  </w:r>
                </w:p>
              </w:tc>
              <w:tc>
                <w:tcPr>
                  <w:tcW w:w="1003"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涉及拆迁面积</w:t>
                  </w:r>
                </w:p>
              </w:tc>
              <w:tc>
                <w:tcPr>
                  <w:tcW w:w="3721"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Cs w:val="21"/>
                      <w:vertAlign w:val="baseline"/>
                      <w:lang w:val="en-US" w:eastAsia="zh-CN"/>
                    </w:rPr>
                  </w:pPr>
                  <w:r>
                    <w:rPr>
                      <w:rFonts w:hint="eastAsia" w:cs="Times New Roman"/>
                      <w:color w:val="auto"/>
                      <w:szCs w:val="21"/>
                      <w:lang w:val="en-US" w:eastAsia="zh-CN"/>
                    </w:rPr>
                    <w:t>建筑面积6600m</w:t>
                  </w:r>
                  <w:r>
                    <w:rPr>
                      <w:rFonts w:hint="eastAsia" w:cs="Times New Roman"/>
                      <w:color w:val="auto"/>
                      <w:szCs w:val="21"/>
                      <w:vertAlign w:val="superscript"/>
                      <w:lang w:val="en-US" w:eastAsia="zh-CN"/>
                    </w:rPr>
                    <w:t>2</w:t>
                  </w:r>
                  <w:r>
                    <w:rPr>
                      <w:rFonts w:hint="eastAsia" w:cs="Times New Roman"/>
                      <w:color w:val="auto"/>
                      <w:szCs w:val="21"/>
                      <w:vertAlign w:val="baselin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7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1003"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征地面积</w:t>
                  </w:r>
                </w:p>
              </w:tc>
              <w:tc>
                <w:tcPr>
                  <w:tcW w:w="3721"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71.65亩。</w:t>
                  </w:r>
                </w:p>
              </w:tc>
            </w:tr>
          </w:tbl>
          <w:p>
            <w:pPr>
              <w:pStyle w:val="27"/>
              <w:spacing w:before="0" w:after="0" w:afterAutospacing="0" w:line="480" w:lineRule="atLeast"/>
              <w:rPr>
                <w:rFonts w:hint="eastAsia" w:ascii="黑体" w:hAnsi="黑体" w:eastAsia="黑体"/>
                <w:sz w:val="24"/>
                <w:szCs w:val="24"/>
              </w:rPr>
            </w:pPr>
            <w:r>
              <w:rPr>
                <w:rFonts w:hint="eastAsia" w:ascii="黑体" w:hAnsi="黑体" w:eastAsia="黑体"/>
                <w:sz w:val="24"/>
                <w:szCs w:val="24"/>
              </w:rPr>
              <w:t>表2-</w:t>
            </w:r>
            <w:r>
              <w:rPr>
                <w:rFonts w:hint="eastAsia" w:ascii="黑体" w:hAnsi="黑体" w:eastAsia="黑体"/>
                <w:sz w:val="24"/>
                <w:szCs w:val="24"/>
                <w:lang w:val="en-US" w:eastAsia="zh-CN"/>
              </w:rPr>
              <w:t>1c</w:t>
            </w:r>
            <w:r>
              <w:rPr>
                <w:rFonts w:hint="eastAsia" w:ascii="黑体" w:hAnsi="黑体" w:eastAsia="黑体"/>
                <w:sz w:val="24"/>
                <w:szCs w:val="24"/>
              </w:rPr>
              <w:t xml:space="preserve">  </w:t>
            </w:r>
            <w:r>
              <w:rPr>
                <w:rFonts w:hint="eastAsia" w:ascii="黑体" w:hAnsi="黑体" w:eastAsia="黑体"/>
                <w:sz w:val="24"/>
                <w:szCs w:val="24"/>
                <w:lang w:val="en-US" w:eastAsia="zh-CN"/>
              </w:rPr>
              <w:t>文昌</w:t>
            </w:r>
            <w:r>
              <w:rPr>
                <w:rFonts w:hint="eastAsia" w:ascii="黑体" w:hAnsi="黑体" w:eastAsia="黑体"/>
                <w:sz w:val="24"/>
                <w:szCs w:val="24"/>
              </w:rPr>
              <w:t>路</w:t>
            </w:r>
            <w:r>
              <w:rPr>
                <w:rFonts w:hint="eastAsia" w:ascii="黑体" w:hAnsi="黑体" w:eastAsia="黑体"/>
                <w:sz w:val="24"/>
                <w:szCs w:val="24"/>
                <w:lang w:eastAsia="zh-CN"/>
              </w:rPr>
              <w:t>（</w:t>
            </w:r>
            <w:r>
              <w:rPr>
                <w:rFonts w:hint="eastAsia" w:ascii="黑体" w:hAnsi="黑体" w:eastAsia="黑体"/>
                <w:sz w:val="24"/>
                <w:szCs w:val="24"/>
                <w:lang w:val="en-US" w:eastAsia="zh-CN"/>
              </w:rPr>
              <w:t>环唐家湾水库段</w:t>
            </w:r>
            <w:r>
              <w:rPr>
                <w:rFonts w:hint="eastAsia" w:ascii="黑体" w:hAnsi="黑体" w:eastAsia="黑体"/>
                <w:sz w:val="24"/>
                <w:szCs w:val="24"/>
                <w:lang w:eastAsia="zh-CN"/>
              </w:rPr>
              <w:t>）</w:t>
            </w:r>
            <w:r>
              <w:rPr>
                <w:rFonts w:hint="eastAsia" w:ascii="黑体" w:hAnsi="黑体" w:eastAsia="黑体"/>
                <w:sz w:val="24"/>
                <w:szCs w:val="24"/>
                <w:lang w:val="en-US" w:eastAsia="zh-CN"/>
              </w:rPr>
              <w:t>主要建设内容</w:t>
            </w:r>
            <w:r>
              <w:rPr>
                <w:rFonts w:hint="eastAsia" w:ascii="黑体" w:hAnsi="黑体" w:eastAsia="黑体"/>
                <w:sz w:val="24"/>
                <w:szCs w:val="24"/>
              </w:rPr>
              <w:t>一览表</w:t>
            </w:r>
          </w:p>
          <w:tbl>
            <w:tblPr>
              <w:tblStyle w:val="21"/>
              <w:tblW w:w="4995"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44"/>
              <w:gridCol w:w="799"/>
              <w:gridCol w:w="946"/>
              <w:gridCol w:w="778"/>
              <w:gridCol w:w="968"/>
              <w:gridCol w:w="438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747" w:type="pct"/>
                  <w:gridSpan w:val="2"/>
                  <w:tcBorders>
                    <w:righ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工程名称</w:t>
                  </w:r>
                </w:p>
              </w:tc>
              <w:tc>
                <w:tcPr>
                  <w:tcW w:w="568" w:type="pct"/>
                  <w:tcBorders>
                    <w:lef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指标名称</w:t>
                  </w:r>
                </w:p>
              </w:tc>
              <w:tc>
                <w:tcPr>
                  <w:tcW w:w="46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单位</w:t>
                  </w:r>
                </w:p>
              </w:tc>
              <w:tc>
                <w:tcPr>
                  <w:tcW w:w="58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数量</w:t>
                  </w:r>
                </w:p>
              </w:tc>
              <w:tc>
                <w:tcPr>
                  <w:tcW w:w="26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Cs w:val="21"/>
                    </w:rPr>
                  </w:pPr>
                  <w:r>
                    <w:rPr>
                      <w:rFonts w:hint="default" w:ascii="Times New Roman" w:hAnsi="Times New Roman" w:cs="Times New Roman"/>
                      <w:b/>
                      <w:bCs/>
                      <w:color w:val="auto"/>
                      <w:szCs w:val="21"/>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04" w:hRule="atLeast"/>
              </w:trPr>
              <w:tc>
                <w:tcPr>
                  <w:tcW w:w="266"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Cs w:val="21"/>
                      <w:lang w:eastAsia="zh-CN"/>
                    </w:rPr>
                  </w:pPr>
                  <w:r>
                    <w:rPr>
                      <w:rFonts w:hint="eastAsia" w:ascii="Times New Roman" w:hAnsi="Times New Roman" w:cs="Times New Roman"/>
                      <w:color w:val="auto"/>
                      <w:szCs w:val="21"/>
                      <w:lang w:val="en-US" w:eastAsia="zh-CN"/>
                    </w:rPr>
                    <w:t>主体工程</w:t>
                  </w:r>
                </w:p>
              </w:tc>
              <w:tc>
                <w:tcPr>
                  <w:tcW w:w="480" w:type="pct"/>
                  <w:vMerge w:val="restart"/>
                  <w:tcBorders>
                    <w:righ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道路工程</w:t>
                  </w:r>
                </w:p>
              </w:tc>
              <w:tc>
                <w:tcPr>
                  <w:tcW w:w="568" w:type="pct"/>
                  <w:tcBorders>
                    <w:lef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工程长度</w:t>
                  </w:r>
                </w:p>
              </w:tc>
              <w:tc>
                <w:tcPr>
                  <w:tcW w:w="46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m</w:t>
                  </w:r>
                </w:p>
              </w:tc>
              <w:tc>
                <w:tcPr>
                  <w:tcW w:w="58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Cs/>
                      <w:color w:val="auto"/>
                      <w:szCs w:val="21"/>
                      <w:lang w:val="en-US" w:eastAsia="zh-CN"/>
                    </w:rPr>
                  </w:pPr>
                  <w:r>
                    <w:rPr>
                      <w:rFonts w:hint="eastAsia" w:ascii="Times New Roman" w:hAnsi="Times New Roman" w:cs="Times New Roman"/>
                      <w:iCs/>
                      <w:color w:val="auto"/>
                      <w:szCs w:val="21"/>
                      <w:lang w:val="en-US" w:eastAsia="zh-CN"/>
                    </w:rPr>
                    <w:t>1139.484</w:t>
                  </w:r>
                </w:p>
              </w:tc>
              <w:tc>
                <w:tcPr>
                  <w:tcW w:w="26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Cs w:val="21"/>
                      <w:lang w:val="en-US" w:eastAsia="zh-CN"/>
                    </w:rPr>
                  </w:pPr>
                  <w:r>
                    <w:rPr>
                      <w:rFonts w:hint="eastAsia" w:cs="Times New Roman"/>
                      <w:color w:val="auto"/>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5" w:hRule="atLeast"/>
              </w:trPr>
              <w:tc>
                <w:tcPr>
                  <w:tcW w:w="26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8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设计速度</w:t>
                  </w:r>
                </w:p>
              </w:tc>
              <w:tc>
                <w:tcPr>
                  <w:tcW w:w="46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km/h</w:t>
                  </w:r>
                </w:p>
              </w:tc>
              <w:tc>
                <w:tcPr>
                  <w:tcW w:w="58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20</w:t>
                  </w:r>
                </w:p>
              </w:tc>
              <w:tc>
                <w:tcPr>
                  <w:tcW w:w="26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Cs w:val="21"/>
                      <w:lang w:eastAsia="zh-CN"/>
                    </w:rPr>
                  </w:pPr>
                  <w:r>
                    <w:rPr>
                      <w:rFonts w:hint="default" w:ascii="Times New Roman" w:hAnsi="Times New Roman" w:cs="Times New Roman"/>
                      <w:color w:val="auto"/>
                      <w:szCs w:val="21"/>
                    </w:rPr>
                    <w:t>城市</w:t>
                  </w:r>
                  <w:r>
                    <w:rPr>
                      <w:rFonts w:hint="eastAsia" w:ascii="Times New Roman" w:hAnsi="Times New Roman" w:cs="Times New Roman"/>
                      <w:color w:val="auto"/>
                      <w:szCs w:val="21"/>
                      <w:lang w:val="en-US" w:eastAsia="zh-CN"/>
                    </w:rPr>
                    <w:t>支</w:t>
                  </w:r>
                  <w:r>
                    <w:rPr>
                      <w:rFonts w:hint="default" w:ascii="Times New Roman" w:hAnsi="Times New Roman" w:cs="Times New Roman"/>
                      <w:color w:val="auto"/>
                      <w:szCs w:val="21"/>
                    </w:rPr>
                    <w:t>路</w:t>
                  </w:r>
                  <w:r>
                    <w:rPr>
                      <w:rFonts w:hint="eastAsia" w:ascii="Times New Roman" w:hAnsi="Times New Roman" w:cs="Times New Roman"/>
                      <w:color w:val="auto"/>
                      <w:szCs w:val="21"/>
                      <w:lang w:eastAsia="zh-CN"/>
                    </w:rPr>
                    <w:t>（</w:t>
                  </w:r>
                  <w:r>
                    <w:rPr>
                      <w:rFonts w:hint="eastAsia" w:ascii="Times New Roman" w:hAnsi="Times New Roman" w:cs="Times New Roman"/>
                      <w:color w:val="auto"/>
                      <w:szCs w:val="21"/>
                      <w:lang w:val="en-US" w:eastAsia="zh-CN"/>
                    </w:rPr>
                    <w:t>景观大道</w:t>
                  </w:r>
                  <w:r>
                    <w:rPr>
                      <w:rFonts w:hint="eastAsia" w:ascii="Times New Roman" w:hAnsi="Times New Roman" w:cs="Times New Roman"/>
                      <w:color w:val="auto"/>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5" w:hRule="atLeast"/>
              </w:trPr>
              <w:tc>
                <w:tcPr>
                  <w:tcW w:w="26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8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车道数量</w:t>
                  </w:r>
                </w:p>
              </w:tc>
              <w:tc>
                <w:tcPr>
                  <w:tcW w:w="46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个</w:t>
                  </w:r>
                </w:p>
              </w:tc>
              <w:tc>
                <w:tcPr>
                  <w:tcW w:w="58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Cs w:val="21"/>
                      <w:lang w:eastAsia="zh-CN"/>
                    </w:rPr>
                  </w:pPr>
                  <w:r>
                    <w:rPr>
                      <w:rFonts w:hint="eastAsia" w:ascii="Times New Roman" w:hAnsi="Times New Roman" w:cs="Times New Roman"/>
                      <w:color w:val="auto"/>
                      <w:szCs w:val="21"/>
                      <w:lang w:val="en-US" w:eastAsia="zh-CN"/>
                    </w:rPr>
                    <w:t>/</w:t>
                  </w:r>
                </w:p>
              </w:tc>
              <w:tc>
                <w:tcPr>
                  <w:tcW w:w="26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Cs w:val="21"/>
                      <w:lang w:eastAsia="zh-CN"/>
                    </w:rPr>
                  </w:pPr>
                  <w:r>
                    <w:rPr>
                      <w:rFonts w:hint="eastAsia" w:ascii="Times New Roman" w:hAnsi="Times New Roman" w:eastAsia="宋体" w:cs="Times New Roman"/>
                      <w:color w:val="auto"/>
                      <w:szCs w:val="21"/>
                      <w:lang w:eastAsia="zh-CN"/>
                    </w:rPr>
                    <w:t>机非混行车道</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29" w:hRule="atLeast"/>
              </w:trPr>
              <w:tc>
                <w:tcPr>
                  <w:tcW w:w="26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8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道路红线宽度</w:t>
                  </w:r>
                </w:p>
              </w:tc>
              <w:tc>
                <w:tcPr>
                  <w:tcW w:w="46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m</w:t>
                  </w:r>
                </w:p>
              </w:tc>
              <w:tc>
                <w:tcPr>
                  <w:tcW w:w="58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20</w:t>
                  </w:r>
                </w:p>
              </w:tc>
              <w:tc>
                <w:tcPr>
                  <w:tcW w:w="26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1m设施带+16.5m机非混行车道+2.5m人行道</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29" w:hRule="atLeast"/>
              </w:trPr>
              <w:tc>
                <w:tcPr>
                  <w:tcW w:w="26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8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路基工程</w:t>
                  </w:r>
                </w:p>
              </w:tc>
              <w:tc>
                <w:tcPr>
                  <w:tcW w:w="4252"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k0+000~k0+720，</w:t>
                  </w:r>
                  <w:r>
                    <w:rPr>
                      <w:rFonts w:hint="eastAsia" w:ascii="Times New Roman" w:hAnsi="Times New Roman" w:cs="Times New Roman"/>
                      <w:color w:val="auto"/>
                      <w:szCs w:val="21"/>
                      <w:lang w:val="en-US" w:eastAsia="zh-CN"/>
                    </w:rPr>
                    <w:t>对</w:t>
                  </w:r>
                  <w:r>
                    <w:rPr>
                      <w:rFonts w:hint="default" w:ascii="Times New Roman" w:hAnsi="Times New Roman" w:cs="Times New Roman"/>
                      <w:color w:val="auto"/>
                      <w:szCs w:val="21"/>
                      <w:lang w:val="en-US" w:eastAsia="zh-CN"/>
                    </w:rPr>
                    <w:t>表层分布杂填土进、素填土进行挖除，采用天然砂砾进行换填处理，对黄土状粉土采用冲击碾压法进行处理，处理深度不小于1.0m。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69" w:hRule="atLeast"/>
              </w:trPr>
              <w:tc>
                <w:tcPr>
                  <w:tcW w:w="26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80" w:type="pct"/>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拆除工程</w:t>
                  </w:r>
                </w:p>
              </w:tc>
              <w:tc>
                <w:tcPr>
                  <w:tcW w:w="4252" w:type="pct"/>
                  <w:gridSpan w:val="4"/>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现有路面进行拆除。</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69" w:hRule="atLeast"/>
              </w:trPr>
              <w:tc>
                <w:tcPr>
                  <w:tcW w:w="26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80" w:type="pct"/>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eastAsia" w:ascii="Times New Roman" w:hAnsi="Times New Roman" w:cs="Times New Roman"/>
                      <w:color w:val="auto"/>
                      <w:szCs w:val="21"/>
                      <w:lang w:val="en-US" w:eastAsia="zh-CN"/>
                    </w:rPr>
                    <w:t>挡墙防护工程</w:t>
                  </w:r>
                </w:p>
              </w:tc>
              <w:tc>
                <w:tcPr>
                  <w:tcW w:w="4252" w:type="pct"/>
                  <w:gridSpan w:val="4"/>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①K0+0.000~K0+25.000段，边坡高14.6米，道路在设计路面与原始路面标高相同，道路南侧边坡为原始自然坡面，边坡坡率为1:1.85，边坡处于稳定状态，保持原有的自然边坡。</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②K0+25.000~K0+110.000段，边坡高14.6米，道路在设计路面标高1054.600，原始自然标高1056.000，因此段道路距边坡坡脚处较近，此段边坡需要垂直加固，原始边坡坡率为1：1.56，此段边坡道路北侧为挖方路基，道路南侧为填方路基。因边坡高差大，垂直加固难度较大，采用双排抗滑桩加锚索，填土采用加筋土加挡土板结合的支护形式。</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③K0+110.000~K0+150.000段，边坡高16.7米，道路在设计路面1056.700，原始自然标高1055.500，道路南侧边坡为原始自然坡面，边坡坡率为1:1.36，边坡处于稳定状态，保持原有的自然边坡。</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④K0+150.000~K0+290.000段，边坡高16.8米，道路在设计路面标高1056.800，原始自然标高1056.000，因此段道路距边坡坡脚处较近，此段边坡需要垂直加固，原始边坡坡率为1：1.25，此段边坡道路北侧为挖方路基，道路南侧为填方路基。因边坡高差大，垂直加固难度较大，采用双排抗滑桩加锚索，填土采用加筋土加挡土板结合的支护形式。</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⑤K0+290.000~K0+460.000段，边坡高16.3米，道路在设计路面1056.300，原始自然标高1055.100，道路南侧边坡为原始自然坡面，边坡坡率为1:1.0，此段边坡上部分采用垂直加固，采用单排抗滑桩加锚索，填土采用加筋土加挡土板结合的支护形式。</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⑥K0+460.000~K0+540.000段，边坡高16.3米，道路在设计路面1055.900，原始自然标高1055.600，道路南侧边坡为原始自然坡面，边坡坡率为1:1.5，边坡处于稳定状态，保持原有的自然边坡。</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⑦K0+540.000~K0+630.000段，边坡高15.4米，道路在设计路面1055.400，原始自然标高1051.500，道路南侧边坡为原始自然坡面，7、边坡坡率为1:1.5，此段边坡上部分采用垂直加固，采用单排抗滑桩加锚索，填土采用加筋土加挡土板结合的支护形式。</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⑧K0+630.000~K0+720.000段，边坡高15.3米，道路在设计路面1055.000，原始自然标高1055.000，道路南侧边坡为原始自然坡面，边坡坡率为1:1.8，此段边坡上部分采用垂直加固，采用单排抗滑桩加锚索，填土采用加筋土加挡土板结合的支护形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17" w:hRule="atLeast"/>
              </w:trPr>
              <w:tc>
                <w:tcPr>
                  <w:tcW w:w="26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lang w:val="en-US" w:eastAsia="zh-CN"/>
                    </w:rPr>
                  </w:pPr>
                </w:p>
              </w:tc>
              <w:tc>
                <w:tcPr>
                  <w:tcW w:w="480" w:type="pct"/>
                  <w:tcBorders>
                    <w:top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桥梁工程</w:t>
                  </w: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文昌路桥</w:t>
                  </w:r>
                </w:p>
              </w:tc>
              <w:tc>
                <w:tcPr>
                  <w:tcW w:w="3683"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szCs w:val="21"/>
                    </w:rPr>
                  </w:pPr>
                  <w:r>
                    <w:rPr>
                      <w:rFonts w:hint="default" w:ascii="Times New Roman" w:hAnsi="Times New Roman" w:cs="Times New Roman"/>
                      <w:color w:val="auto"/>
                      <w:szCs w:val="21"/>
                      <w:highlight w:val="none"/>
                      <w:lang w:val="en-US" w:eastAsia="zh-CN"/>
                    </w:rPr>
                    <w:t>新建</w:t>
                  </w:r>
                  <w:r>
                    <w:rPr>
                      <w:rFonts w:hint="eastAsia" w:cs="Times New Roman"/>
                      <w:color w:val="auto"/>
                      <w:szCs w:val="21"/>
                      <w:lang w:val="en-US" w:eastAsia="zh-CN"/>
                    </w:rPr>
                    <w:t>文昌路桥</w:t>
                  </w:r>
                  <w:r>
                    <w:rPr>
                      <w:rFonts w:hint="default" w:ascii="Times New Roman" w:hAnsi="Times New Roman" w:cs="Times New Roman"/>
                      <w:color w:val="auto"/>
                      <w:szCs w:val="21"/>
                      <w:highlight w:val="none"/>
                      <w:lang w:val="en-US" w:eastAsia="zh-CN"/>
                    </w:rPr>
                    <w:t>，上跨</w:t>
                  </w:r>
                  <w:r>
                    <w:rPr>
                      <w:rFonts w:hint="eastAsia" w:cs="Times New Roman"/>
                      <w:color w:val="auto"/>
                      <w:szCs w:val="21"/>
                      <w:highlight w:val="none"/>
                      <w:lang w:val="en-US" w:eastAsia="zh-CN"/>
                    </w:rPr>
                    <w:t>泗滤河</w:t>
                  </w:r>
                  <w:r>
                    <w:rPr>
                      <w:rFonts w:hint="default" w:ascii="Times New Roman" w:hAnsi="Times New Roman" w:cs="Times New Roman"/>
                      <w:color w:val="auto"/>
                      <w:szCs w:val="21"/>
                      <w:highlight w:val="none"/>
                      <w:lang w:val="en-US" w:eastAsia="zh-CN"/>
                    </w:rPr>
                    <w:t>，中心桩号K0+</w:t>
                  </w:r>
                  <w:r>
                    <w:rPr>
                      <w:rFonts w:hint="eastAsia" w:cs="Times New Roman"/>
                      <w:color w:val="auto"/>
                      <w:szCs w:val="21"/>
                      <w:highlight w:val="none"/>
                      <w:lang w:val="en-US" w:eastAsia="zh-CN"/>
                    </w:rPr>
                    <w:t>910</w:t>
                  </w:r>
                  <w:r>
                    <w:rPr>
                      <w:rFonts w:hint="default" w:ascii="Times New Roman" w:hAnsi="Times New Roman" w:cs="Times New Roman"/>
                      <w:color w:val="auto"/>
                      <w:szCs w:val="21"/>
                      <w:highlight w:val="none"/>
                      <w:lang w:val="en-US" w:eastAsia="zh-CN"/>
                    </w:rPr>
                    <w:t>.</w:t>
                  </w:r>
                  <w:r>
                    <w:rPr>
                      <w:rFonts w:hint="eastAsia" w:cs="Times New Roman"/>
                      <w:color w:val="auto"/>
                      <w:szCs w:val="21"/>
                      <w:highlight w:val="none"/>
                      <w:lang w:val="en-US" w:eastAsia="zh-CN"/>
                    </w:rPr>
                    <w:t>0</w:t>
                  </w:r>
                  <w:r>
                    <w:rPr>
                      <w:rFonts w:hint="default" w:ascii="Times New Roman" w:hAnsi="Times New Roman" w:cs="Times New Roman"/>
                      <w:color w:val="auto"/>
                      <w:szCs w:val="21"/>
                      <w:highlight w:val="none"/>
                      <w:lang w:val="en-US" w:eastAsia="zh-CN"/>
                    </w:rPr>
                    <w:t>00，全长</w:t>
                  </w:r>
                  <w:r>
                    <w:rPr>
                      <w:rFonts w:hint="eastAsia" w:cs="Times New Roman"/>
                      <w:color w:val="auto"/>
                      <w:szCs w:val="21"/>
                      <w:highlight w:val="none"/>
                      <w:lang w:val="en-US" w:eastAsia="zh-CN"/>
                    </w:rPr>
                    <w:t>386</w:t>
                  </w:r>
                  <w:r>
                    <w:rPr>
                      <w:rFonts w:hint="default" w:ascii="Times New Roman" w:hAnsi="Times New Roman" w:cs="Times New Roman"/>
                      <w:color w:val="auto"/>
                      <w:szCs w:val="21"/>
                      <w:highlight w:val="none"/>
                      <w:lang w:val="en-US" w:eastAsia="zh-CN"/>
                    </w:rPr>
                    <w:t>m，宽</w:t>
                  </w:r>
                  <w:r>
                    <w:rPr>
                      <w:rFonts w:hint="eastAsia" w:cs="Times New Roman"/>
                      <w:color w:val="auto"/>
                      <w:szCs w:val="21"/>
                      <w:highlight w:val="none"/>
                      <w:lang w:val="en-US" w:eastAsia="zh-CN"/>
                    </w:rPr>
                    <w:t>20.569~21.2</w:t>
                  </w:r>
                  <w:r>
                    <w:rPr>
                      <w:rFonts w:hint="default" w:ascii="Times New Roman" w:hAnsi="Times New Roman" w:cs="Times New Roman"/>
                      <w:color w:val="auto"/>
                      <w:szCs w:val="21"/>
                      <w:highlight w:val="none"/>
                      <w:lang w:val="en-US" w:eastAsia="zh-CN"/>
                    </w:rPr>
                    <w:t>m，</w:t>
                  </w:r>
                  <w:r>
                    <w:rPr>
                      <w:rFonts w:hint="default" w:ascii="Times New Roman" w:hAnsi="Times New Roman" w:cs="Times New Roman"/>
                      <w:color w:val="auto"/>
                      <w:kern w:val="0"/>
                      <w:sz w:val="21"/>
                      <w:szCs w:val="21"/>
                      <w:highlight w:val="none"/>
                    </w:rPr>
                    <w:t>上部</w:t>
                  </w:r>
                  <w:r>
                    <w:rPr>
                      <w:rFonts w:hint="eastAsia" w:cs="Times New Roman"/>
                      <w:color w:val="auto"/>
                      <w:kern w:val="0"/>
                      <w:sz w:val="21"/>
                      <w:szCs w:val="21"/>
                      <w:highlight w:val="none"/>
                      <w:lang w:val="en-US" w:eastAsia="zh-CN"/>
                    </w:rPr>
                    <w:t>4</w:t>
                  </w:r>
                  <w:r>
                    <w:rPr>
                      <w:rFonts w:hint="default" w:ascii="Times New Roman" w:hAnsi="Times New Roman" w:cs="Times New Roman"/>
                      <w:color w:val="auto"/>
                      <w:kern w:val="0"/>
                      <w:sz w:val="21"/>
                      <w:szCs w:val="21"/>
                      <w:highlight w:val="none"/>
                      <w:lang w:val="en-US" w:eastAsia="zh-CN"/>
                    </w:rPr>
                    <w:t>×</w:t>
                  </w:r>
                  <w:r>
                    <w:rPr>
                      <w:rFonts w:hint="eastAsia" w:cs="Times New Roman"/>
                      <w:color w:val="auto"/>
                      <w:kern w:val="0"/>
                      <w:sz w:val="21"/>
                      <w:szCs w:val="21"/>
                      <w:highlight w:val="none"/>
                      <w:lang w:val="en-US" w:eastAsia="zh-CN"/>
                    </w:rPr>
                    <w:t>20+5</w:t>
                  </w:r>
                  <w:r>
                    <w:rPr>
                      <w:rFonts w:hint="default" w:ascii="Times New Roman" w:hAnsi="Times New Roman" w:cs="Times New Roman"/>
                      <w:color w:val="auto"/>
                      <w:kern w:val="0"/>
                      <w:sz w:val="21"/>
                      <w:szCs w:val="21"/>
                      <w:highlight w:val="none"/>
                      <w:lang w:val="en-US" w:eastAsia="zh-CN"/>
                    </w:rPr>
                    <w:t>×</w:t>
                  </w:r>
                  <w:r>
                    <w:rPr>
                      <w:rFonts w:hint="eastAsia" w:cs="Times New Roman"/>
                      <w:color w:val="auto"/>
                      <w:kern w:val="0"/>
                      <w:sz w:val="21"/>
                      <w:szCs w:val="21"/>
                      <w:highlight w:val="none"/>
                      <w:lang w:val="en-US" w:eastAsia="zh-CN"/>
                    </w:rPr>
                    <w:t>20+5</w:t>
                  </w:r>
                  <w:r>
                    <w:rPr>
                      <w:rFonts w:hint="default" w:ascii="Times New Roman" w:hAnsi="Times New Roman" w:cs="Times New Roman"/>
                      <w:color w:val="auto"/>
                      <w:kern w:val="0"/>
                      <w:sz w:val="21"/>
                      <w:szCs w:val="21"/>
                      <w:highlight w:val="none"/>
                      <w:lang w:val="en-US" w:eastAsia="zh-CN"/>
                    </w:rPr>
                    <w:t>×</w:t>
                  </w:r>
                  <w:r>
                    <w:rPr>
                      <w:rFonts w:hint="eastAsia" w:cs="Times New Roman"/>
                      <w:color w:val="auto"/>
                      <w:kern w:val="0"/>
                      <w:sz w:val="21"/>
                      <w:szCs w:val="21"/>
                      <w:highlight w:val="none"/>
                      <w:lang w:val="en-US" w:eastAsia="zh-CN"/>
                    </w:rPr>
                    <w:t>20+5</w:t>
                  </w:r>
                  <w:r>
                    <w:rPr>
                      <w:rFonts w:hint="default" w:ascii="Times New Roman" w:hAnsi="Times New Roman" w:cs="Times New Roman"/>
                      <w:color w:val="auto"/>
                      <w:kern w:val="0"/>
                      <w:sz w:val="21"/>
                      <w:szCs w:val="21"/>
                      <w:highlight w:val="none"/>
                      <w:lang w:val="en-US" w:eastAsia="zh-CN"/>
                    </w:rPr>
                    <w:t>×</w:t>
                  </w:r>
                  <w:r>
                    <w:rPr>
                      <w:rFonts w:hint="eastAsia" w:cs="Times New Roman"/>
                      <w:color w:val="auto"/>
                      <w:kern w:val="0"/>
                      <w:sz w:val="21"/>
                      <w:szCs w:val="21"/>
                      <w:highlight w:val="none"/>
                      <w:lang w:val="en-US" w:eastAsia="zh-CN"/>
                    </w:rPr>
                    <w:t>20</w:t>
                  </w:r>
                  <w:r>
                    <w:rPr>
                      <w:rFonts w:hint="default" w:ascii="Times New Roman" w:hAnsi="Times New Roman" w:cs="Times New Roman"/>
                      <w:color w:val="auto"/>
                      <w:kern w:val="0"/>
                      <w:sz w:val="21"/>
                      <w:szCs w:val="21"/>
                      <w:highlight w:val="none"/>
                      <w:lang w:val="en-US" w:eastAsia="zh-CN"/>
                    </w:rPr>
                    <w:t>m装配式</w:t>
                  </w:r>
                  <w:r>
                    <w:rPr>
                      <w:rFonts w:hint="default" w:ascii="Times New Roman" w:hAnsi="Times New Roman" w:cs="Times New Roman"/>
                      <w:color w:val="auto"/>
                      <w:kern w:val="0"/>
                      <w:sz w:val="21"/>
                      <w:szCs w:val="21"/>
                      <w:highlight w:val="none"/>
                    </w:rPr>
                    <w:t>预应力砼简支小箱梁</w:t>
                  </w:r>
                  <w:r>
                    <w:rPr>
                      <w:rFonts w:hint="default" w:ascii="Times New Roman" w:hAnsi="Times New Roman"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lang w:val="en-US" w:eastAsia="zh-CN"/>
                    </w:rPr>
                    <w:t>桥墩为柱式墩，桥台为</w:t>
                  </w:r>
                  <w:r>
                    <w:rPr>
                      <w:rFonts w:hint="eastAsia" w:cs="Times New Roman"/>
                      <w:color w:val="auto"/>
                      <w:kern w:val="0"/>
                      <w:sz w:val="21"/>
                      <w:szCs w:val="21"/>
                      <w:highlight w:val="none"/>
                      <w:lang w:val="en-US" w:eastAsia="zh-CN"/>
                    </w:rPr>
                    <w:t>半柱半</w:t>
                  </w:r>
                  <w:r>
                    <w:rPr>
                      <w:rFonts w:hint="default" w:ascii="Times New Roman" w:hAnsi="Times New Roman" w:cs="Times New Roman"/>
                      <w:color w:val="auto"/>
                      <w:kern w:val="0"/>
                      <w:sz w:val="21"/>
                      <w:szCs w:val="21"/>
                      <w:highlight w:val="none"/>
                      <w:lang w:val="en-US" w:eastAsia="zh-CN"/>
                    </w:rPr>
                    <w:t>肋</w:t>
                  </w:r>
                  <w:r>
                    <w:rPr>
                      <w:rFonts w:hint="eastAsia" w:cs="Times New Roman"/>
                      <w:color w:val="auto"/>
                      <w:kern w:val="0"/>
                      <w:sz w:val="21"/>
                      <w:szCs w:val="21"/>
                      <w:highlight w:val="none"/>
                      <w:lang w:val="en-US" w:eastAsia="zh-CN"/>
                    </w:rPr>
                    <w:t>式</w:t>
                  </w:r>
                  <w:r>
                    <w:rPr>
                      <w:rFonts w:hint="default" w:ascii="Times New Roman" w:hAnsi="Times New Roman" w:cs="Times New Roman"/>
                      <w:color w:val="auto"/>
                      <w:kern w:val="0"/>
                      <w:sz w:val="21"/>
                      <w:szCs w:val="21"/>
                      <w:highlight w:val="none"/>
                      <w:lang w:val="en-US" w:eastAsia="zh-CN"/>
                    </w:rPr>
                    <w:t>台</w:t>
                  </w:r>
                  <w:r>
                    <w:rPr>
                      <w:rFonts w:hint="eastAsia" w:cs="Times New Roman"/>
                      <w:color w:val="auto"/>
                      <w:kern w:val="0"/>
                      <w:sz w:val="21"/>
                      <w:szCs w:val="21"/>
                      <w:highlight w:val="none"/>
                      <w:lang w:val="en-US" w:eastAsia="zh-CN"/>
                    </w:rPr>
                    <w:t>、肋板台</w:t>
                  </w:r>
                  <w:r>
                    <w:rPr>
                      <w:rFonts w:hint="default" w:ascii="Times New Roman" w:hAnsi="Times New Roman" w:cs="Times New Roman"/>
                      <w:color w:val="auto"/>
                      <w:kern w:val="0"/>
                      <w:sz w:val="21"/>
                      <w:szCs w:val="21"/>
                      <w:highlight w:val="none"/>
                      <w:lang w:val="en-US" w:eastAsia="zh-CN"/>
                    </w:rPr>
                    <w:t>，基础为承台桩基础、单桩基础；桩长4</w:t>
                  </w:r>
                  <w:r>
                    <w:rPr>
                      <w:rFonts w:hint="eastAsia" w:cs="Times New Roman"/>
                      <w:color w:val="auto"/>
                      <w:kern w:val="0"/>
                      <w:sz w:val="21"/>
                      <w:szCs w:val="21"/>
                      <w:highlight w:val="none"/>
                      <w:lang w:val="en-US" w:eastAsia="zh-CN"/>
                    </w:rPr>
                    <w:t>0</w:t>
                  </w:r>
                  <w:r>
                    <w:rPr>
                      <w:rFonts w:hint="default" w:ascii="Times New Roman" w:hAnsi="Times New Roman" w:cs="Times New Roman"/>
                      <w:color w:val="auto"/>
                      <w:kern w:val="0"/>
                      <w:sz w:val="21"/>
                      <w:szCs w:val="21"/>
                      <w:highlight w:val="none"/>
                      <w:lang w:val="en-US" w:eastAsia="zh-CN"/>
                    </w:rPr>
                    <w:t>m，桥高约</w:t>
                  </w:r>
                  <w:r>
                    <w:rPr>
                      <w:rFonts w:hint="eastAsia" w:cs="Times New Roman"/>
                      <w:color w:val="auto"/>
                      <w:kern w:val="0"/>
                      <w:sz w:val="21"/>
                      <w:szCs w:val="21"/>
                      <w:highlight w:val="none"/>
                      <w:lang w:val="en-US" w:eastAsia="zh-CN"/>
                    </w:rPr>
                    <w:t>6</w:t>
                  </w:r>
                  <w:r>
                    <w:rPr>
                      <w:rFonts w:hint="default" w:ascii="Times New Roman" w:hAnsi="Times New Roman" w:cs="Times New Roman"/>
                      <w:color w:val="auto"/>
                      <w:kern w:val="0"/>
                      <w:sz w:val="21"/>
                      <w:szCs w:val="21"/>
                      <w:highlight w:val="none"/>
                      <w:lang w:val="en-US" w:eastAsia="zh-CN"/>
                    </w:rPr>
                    <w:t>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66"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附属工程</w:t>
                  </w:r>
                </w:p>
              </w:tc>
              <w:tc>
                <w:tcPr>
                  <w:tcW w:w="48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公交停靠站</w:t>
                  </w:r>
                </w:p>
              </w:tc>
              <w:tc>
                <w:tcPr>
                  <w:tcW w:w="4252"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文昌路分别在起点K0+0.000（西富苑小区）、K0+590（湖滨公园入口处）设置公交停靠站，双向共设置4个公交停靠站，对称设置，为港湾式停靠站，站台尺寸为20m×2m。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6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Cs w:val="21"/>
                      <w:lang w:val="en-US" w:eastAsia="zh-CN"/>
                    </w:rPr>
                  </w:pPr>
                </w:p>
              </w:tc>
              <w:tc>
                <w:tcPr>
                  <w:tcW w:w="48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无障碍设计</w:t>
                  </w:r>
                </w:p>
              </w:tc>
              <w:tc>
                <w:tcPr>
                  <w:tcW w:w="4252"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全线在便道上设置条形盲道砖。在盲道起终点及拐弯处铺设圆点形提示盲道砖。在各交叉口进出人行道相应位置，设置缘石坡道，缘石坡道采用单面坡或三面坡缘石坡道。</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6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Cs w:val="21"/>
                      <w:lang w:val="en-US" w:eastAsia="zh-CN"/>
                    </w:rPr>
                  </w:pPr>
                </w:p>
              </w:tc>
              <w:tc>
                <w:tcPr>
                  <w:tcW w:w="48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交叉口</w:t>
                  </w:r>
                </w:p>
              </w:tc>
              <w:tc>
                <w:tcPr>
                  <w:tcW w:w="4252"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湖滨大街西延、文昌路、规划路三路交叉处设置环形交叉口</w:t>
                  </w:r>
                  <w:r>
                    <w:rPr>
                      <w:rFonts w:hint="eastAsia" w:ascii="Times New Roman" w:hAnsi="Times New Roman" w:cs="Times New Roman"/>
                      <w:color w:val="auto"/>
                      <w:szCs w:val="21"/>
                      <w:lang w:eastAsia="zh-CN"/>
                    </w:rPr>
                    <w:t>，中心岛形状采用圆形，中心岛半径为20m，环道采用三车道（机非混行车道），车道宽度为12m，人行道宽度2~4.5m，环道横断面以环道中线为路供脊线，采用双面坡，坡度1.5%</w:t>
                  </w:r>
                  <w:r>
                    <w:rPr>
                      <w:rFonts w:hint="eastAsia" w:cs="Times New Roman"/>
                      <w:color w:val="auto"/>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6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Cs w:val="21"/>
                      <w:lang w:val="en-US" w:eastAsia="zh-CN"/>
                    </w:rPr>
                  </w:pPr>
                </w:p>
              </w:tc>
              <w:tc>
                <w:tcPr>
                  <w:tcW w:w="48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供水管网</w:t>
                  </w:r>
                </w:p>
              </w:tc>
              <w:tc>
                <w:tcPr>
                  <w:tcW w:w="4252"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Cs w:val="21"/>
                      <w:lang w:eastAsia="zh-CN"/>
                    </w:rPr>
                  </w:pPr>
                  <w:r>
                    <w:rPr>
                      <w:rFonts w:hint="default" w:ascii="Times New Roman" w:hAnsi="Times New Roman" w:cs="Times New Roman"/>
                      <w:color w:val="auto"/>
                      <w:szCs w:val="21"/>
                    </w:rPr>
                    <w:t>在文昌路中心线以东10.0米处，规划一趟DN300mm的生活给水管线</w:t>
                  </w:r>
                  <w:r>
                    <w:rPr>
                      <w:rFonts w:hint="eastAsia" w:ascii="Times New Roman" w:hAnsi="Times New Roman" w:cs="Times New Roman"/>
                      <w:color w:val="auto"/>
                      <w:szCs w:val="21"/>
                      <w:lang w:eastAsia="zh-CN"/>
                    </w:rPr>
                    <w:t>；</w:t>
                  </w:r>
                  <w:r>
                    <w:rPr>
                      <w:rFonts w:hint="eastAsia" w:ascii="Times New Roman" w:hAnsi="Times New Roman" w:cs="Times New Roman"/>
                      <w:color w:val="auto"/>
                      <w:szCs w:val="21"/>
                      <w:lang w:val="en-US" w:eastAsia="zh-CN"/>
                    </w:rPr>
                    <w:t>同时设置消火栓井12座，消火栓12个，阀门井3座，排泥井1座，排气井1座</w:t>
                  </w:r>
                  <w:r>
                    <w:rPr>
                      <w:rFonts w:hint="eastAsia" w:cs="Times New Roman"/>
                      <w:color w:val="auto"/>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6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Cs w:val="21"/>
                      <w:lang w:val="en-US" w:eastAsia="zh-CN"/>
                    </w:rPr>
                  </w:pPr>
                </w:p>
              </w:tc>
              <w:tc>
                <w:tcPr>
                  <w:tcW w:w="48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再生水管网</w:t>
                  </w:r>
                </w:p>
              </w:tc>
              <w:tc>
                <w:tcPr>
                  <w:tcW w:w="4252"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Cs w:val="21"/>
                      <w:lang w:eastAsia="zh-CN"/>
                    </w:rPr>
                  </w:pPr>
                  <w:r>
                    <w:rPr>
                      <w:rFonts w:hint="default" w:ascii="Times New Roman" w:hAnsi="Times New Roman" w:cs="Times New Roman"/>
                      <w:color w:val="auto"/>
                      <w:szCs w:val="21"/>
                    </w:rPr>
                    <w:t>文昌路拟建再生水管道敷设于路西，管线总长约为1230m，管径为dn160，设计管线距离机动车道道路中心线为10.5m，服务范围为路西绿化及河道补水，取水栓布置间距约为200m</w:t>
                  </w:r>
                  <w:r>
                    <w:rPr>
                      <w:rFonts w:hint="eastAsia" w:cs="Times New Roman"/>
                      <w:color w:val="auto"/>
                      <w:szCs w:val="21"/>
                      <w:lang w:eastAsia="zh-CN"/>
                    </w:rPr>
                    <w:t>；</w:t>
                  </w:r>
                  <w:r>
                    <w:rPr>
                      <w:rFonts w:hint="eastAsia" w:cs="Times New Roman"/>
                      <w:color w:val="auto"/>
                      <w:szCs w:val="21"/>
                      <w:lang w:val="en-US" w:eastAsia="zh-CN"/>
                    </w:rPr>
                    <w:t>同时设置</w:t>
                  </w:r>
                  <w:r>
                    <w:rPr>
                      <w:rFonts w:hint="eastAsia" w:ascii="Times New Roman" w:hAnsi="Times New Roman" w:cs="Times New Roman"/>
                      <w:color w:val="auto"/>
                      <w:szCs w:val="21"/>
                      <w:lang w:val="en-US" w:eastAsia="zh-CN"/>
                    </w:rPr>
                    <w:t>阀门井5座，排泥井1座，排气井1座</w:t>
                  </w:r>
                  <w:r>
                    <w:rPr>
                      <w:rFonts w:hint="eastAsia" w:cs="Times New Roman"/>
                      <w:color w:val="auto"/>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6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Cs w:val="21"/>
                      <w:lang w:val="en-US" w:eastAsia="zh-CN"/>
                    </w:rPr>
                  </w:pPr>
                </w:p>
              </w:tc>
              <w:tc>
                <w:tcPr>
                  <w:tcW w:w="48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雨水管网</w:t>
                  </w:r>
                </w:p>
              </w:tc>
              <w:tc>
                <w:tcPr>
                  <w:tcW w:w="4252"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文昌路西侧新建道路边沟排水系统主要收集西侧山体和道路中心线以西路面汇流雨水，分段排入</w:t>
                  </w:r>
                  <w:r>
                    <w:rPr>
                      <w:rFonts w:hint="eastAsia" w:cs="Times New Roman"/>
                      <w:color w:val="auto"/>
                      <w:szCs w:val="21"/>
                      <w:lang w:val="en-US" w:eastAsia="zh-CN"/>
                    </w:rPr>
                    <w:t>唐家湾水库</w:t>
                  </w:r>
                  <w:r>
                    <w:rPr>
                      <w:rFonts w:hint="default" w:ascii="Times New Roman" w:hAnsi="Times New Roman" w:cs="Times New Roman"/>
                      <w:color w:val="auto"/>
                      <w:szCs w:val="21"/>
                    </w:rPr>
                    <w:t>。道路中心线以东汇流雨水通过雨水口汇集至雨水管，分段向东排入</w:t>
                  </w:r>
                  <w:r>
                    <w:rPr>
                      <w:rFonts w:hint="eastAsia" w:cs="Times New Roman"/>
                      <w:color w:val="auto"/>
                      <w:szCs w:val="21"/>
                      <w:lang w:val="en-US" w:eastAsia="zh-CN"/>
                    </w:rPr>
                    <w:t>唐家湾水库</w:t>
                  </w:r>
                  <w:r>
                    <w:rPr>
                      <w:rFonts w:hint="default" w:ascii="Times New Roman" w:hAnsi="Times New Roman" w:cs="Times New Roman"/>
                      <w:color w:val="auto"/>
                      <w:szCs w:val="21"/>
                    </w:rPr>
                    <w:t>。</w:t>
                  </w:r>
                  <w:r>
                    <w:rPr>
                      <w:rFonts w:hint="default" w:ascii="Times New Roman" w:hAnsi="Times New Roman" w:cs="Times New Roman"/>
                      <w:color w:val="auto"/>
                      <w:szCs w:val="21"/>
                      <w:lang w:eastAsia="zh-CN"/>
                    </w:rPr>
                    <w:t>总汇水面积为</w:t>
                  </w:r>
                  <w:r>
                    <w:rPr>
                      <w:rFonts w:hint="default" w:ascii="Times New Roman" w:hAnsi="Times New Roman" w:cs="Times New Roman"/>
                      <w:color w:val="auto"/>
                      <w:szCs w:val="21"/>
                      <w:lang w:val="en-US" w:eastAsia="zh-CN"/>
                    </w:rPr>
                    <w:t>26.30</w:t>
                  </w:r>
                  <w:r>
                    <w:rPr>
                      <w:rFonts w:hint="default" w:ascii="Times New Roman" w:hAnsi="Times New Roman" w:cs="Times New Roman"/>
                      <w:color w:val="auto"/>
                      <w:szCs w:val="21"/>
                      <w:lang w:eastAsia="zh-CN"/>
                    </w:rPr>
                    <w:t>hm</w:t>
                  </w:r>
                  <w:r>
                    <w:rPr>
                      <w:rFonts w:hint="default" w:ascii="Times New Roman" w:hAnsi="Times New Roman" w:cs="Times New Roman"/>
                      <w:color w:val="auto"/>
                      <w:szCs w:val="21"/>
                      <w:vertAlign w:val="superscript"/>
                      <w:lang w:eastAsia="zh-CN"/>
                    </w:rPr>
                    <w:t>2</w:t>
                  </w:r>
                  <w:r>
                    <w:rPr>
                      <w:rFonts w:hint="default" w:ascii="Times New Roman" w:hAnsi="Times New Roman" w:cs="Times New Roman"/>
                      <w:color w:val="auto"/>
                      <w:szCs w:val="21"/>
                      <w:lang w:eastAsia="zh-CN"/>
                    </w:rPr>
                    <w:t>，分</w:t>
                  </w:r>
                  <w:r>
                    <w:rPr>
                      <w:rFonts w:hint="default" w:ascii="Times New Roman" w:hAnsi="Times New Roman" w:cs="Times New Roman"/>
                      <w:color w:val="auto"/>
                      <w:szCs w:val="21"/>
                      <w:lang w:val="en-US" w:eastAsia="zh-CN"/>
                    </w:rPr>
                    <w:t>三</w:t>
                  </w:r>
                  <w:r>
                    <w:rPr>
                      <w:rFonts w:hint="default" w:ascii="Times New Roman" w:hAnsi="Times New Roman" w:cs="Times New Roman"/>
                      <w:color w:val="auto"/>
                      <w:szCs w:val="21"/>
                      <w:lang w:eastAsia="zh-CN"/>
                    </w:rPr>
                    <w:t>段</w:t>
                  </w:r>
                  <w:r>
                    <w:rPr>
                      <w:rFonts w:hint="default" w:ascii="Times New Roman" w:hAnsi="Times New Roman" w:cs="Times New Roman"/>
                      <w:color w:val="auto"/>
                      <w:szCs w:val="21"/>
                      <w:lang w:val="en-US" w:eastAsia="zh-CN"/>
                    </w:rPr>
                    <w:t>就近通过</w:t>
                  </w:r>
                  <w:r>
                    <w:rPr>
                      <w:rFonts w:hint="default" w:ascii="Times New Roman" w:hAnsi="Times New Roman" w:cs="Times New Roman"/>
                      <w:color w:val="auto"/>
                      <w:szCs w:val="21"/>
                      <w:lang w:eastAsia="zh-CN"/>
                    </w:rPr>
                    <w:t>雨水管道</w:t>
                  </w:r>
                  <w:r>
                    <w:rPr>
                      <w:rFonts w:hint="default" w:ascii="Times New Roman" w:hAnsi="Times New Roman" w:cs="Times New Roman"/>
                      <w:color w:val="auto"/>
                      <w:szCs w:val="21"/>
                      <w:lang w:val="en-US" w:eastAsia="zh-CN"/>
                    </w:rPr>
                    <w:t>排入</w:t>
                  </w:r>
                  <w:r>
                    <w:rPr>
                      <w:rFonts w:hint="eastAsia" w:cs="Times New Roman"/>
                      <w:color w:val="auto"/>
                      <w:szCs w:val="21"/>
                      <w:lang w:val="en-US" w:eastAsia="zh-CN"/>
                    </w:rPr>
                    <w:t>唐家湾水库；</w:t>
                  </w:r>
                  <w:r>
                    <w:rPr>
                      <w:rFonts w:hint="eastAsia" w:ascii="Times New Roman" w:hAnsi="Times New Roman" w:cs="Times New Roman"/>
                      <w:color w:val="auto"/>
                      <w:szCs w:val="21"/>
                      <w:lang w:eastAsia="zh-CN"/>
                    </w:rPr>
                    <w:t>钢筋混凝土管</w:t>
                  </w:r>
                  <w:r>
                    <w:rPr>
                      <w:rFonts w:hint="eastAsia" w:ascii="Times New Roman" w:hAnsi="Times New Roman" w:cs="Times New Roman"/>
                      <w:color w:val="auto"/>
                      <w:szCs w:val="21"/>
                      <w:lang w:val="en-US" w:eastAsia="zh-CN"/>
                    </w:rPr>
                    <w:t>共计875m，单篦偏沟式雨水口15个，检查井21个</w:t>
                  </w:r>
                  <w:r>
                    <w:rPr>
                      <w:rFonts w:hint="eastAsia" w:cs="Times New Roman"/>
                      <w:color w:val="auto"/>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6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Cs w:val="21"/>
                      <w:lang w:val="en-US" w:eastAsia="zh-CN"/>
                    </w:rPr>
                  </w:pPr>
                </w:p>
              </w:tc>
              <w:tc>
                <w:tcPr>
                  <w:tcW w:w="48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污水管网</w:t>
                  </w:r>
                </w:p>
              </w:tc>
              <w:tc>
                <w:tcPr>
                  <w:tcW w:w="4252"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Cs w:val="21"/>
                      <w:lang w:eastAsia="zh-CN"/>
                    </w:rPr>
                  </w:pPr>
                  <w:r>
                    <w:rPr>
                      <w:rFonts w:hint="default" w:ascii="Times New Roman" w:hAnsi="Times New Roman" w:cs="Times New Roman"/>
                      <w:color w:val="auto"/>
                      <w:szCs w:val="21"/>
                    </w:rPr>
                    <w:t>拟建文昌路西侧为绿地，东侧为般若湖，均无用水和排污单位，本工程不建设污水管网</w:t>
                  </w:r>
                  <w:r>
                    <w:rPr>
                      <w:rFonts w:hint="eastAsia" w:cs="Times New Roman"/>
                      <w:color w:val="auto"/>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6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Cs w:val="21"/>
                      <w:lang w:val="en-US" w:eastAsia="zh-CN"/>
                    </w:rPr>
                  </w:pPr>
                </w:p>
              </w:tc>
              <w:tc>
                <w:tcPr>
                  <w:tcW w:w="48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Cs w:val="21"/>
                      <w:lang w:val="en-US" w:eastAsia="zh-CN"/>
                    </w:rPr>
                  </w:pPr>
                  <w:r>
                    <w:rPr>
                      <w:rFonts w:hint="eastAsia" w:cs="Times New Roman"/>
                      <w:color w:val="auto"/>
                      <w:szCs w:val="21"/>
                      <w:lang w:val="en-US" w:eastAsia="zh-CN"/>
                    </w:rPr>
                    <w:t>电力工程</w:t>
                  </w:r>
                </w:p>
              </w:tc>
              <w:tc>
                <w:tcPr>
                  <w:tcW w:w="4252"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预留电缆管，避免重复建设，电力电缆施工由电力部门完成</w:t>
                  </w:r>
                  <w:r>
                    <w:rPr>
                      <w:rFonts w:hint="eastAsia" w:cs="Times New Roman"/>
                      <w:color w:val="auto"/>
                      <w:szCs w:val="21"/>
                      <w:lang w:eastAsia="zh-CN"/>
                    </w:rPr>
                    <w:t>；文昌路电力电缆管线设置9孔MPP-200/13电缆保护管，主线横向过路处设置4孔DN200热涂塑钢管，主线与相交道路纵向过路设置9孔DN200热涂塑钢管；电力电缆人孔间隔距离为50~80</w:t>
                  </w:r>
                  <w:r>
                    <w:rPr>
                      <w:rFonts w:hint="eastAsia" w:cs="Times New Roman"/>
                      <w:color w:val="auto"/>
                      <w:szCs w:val="21"/>
                      <w:lang w:val="en-US" w:eastAsia="zh-CN"/>
                    </w:rPr>
                    <w:t>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6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Cs w:val="21"/>
                      <w:lang w:val="en-US" w:eastAsia="zh-CN"/>
                    </w:rPr>
                  </w:pPr>
                </w:p>
              </w:tc>
              <w:tc>
                <w:tcPr>
                  <w:tcW w:w="48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color w:val="auto"/>
                      <w:szCs w:val="21"/>
                      <w:lang w:val="en-US" w:eastAsia="zh-CN"/>
                    </w:rPr>
                  </w:pPr>
                  <w:r>
                    <w:rPr>
                      <w:rFonts w:hint="eastAsia" w:cs="Times New Roman"/>
                      <w:color w:val="auto"/>
                      <w:szCs w:val="21"/>
                      <w:lang w:val="en-US" w:eastAsia="zh-CN"/>
                    </w:rPr>
                    <w:t>通信工程</w:t>
                  </w:r>
                </w:p>
              </w:tc>
              <w:tc>
                <w:tcPr>
                  <w:tcW w:w="4252"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在道路建设时预留通信管道，避免重复建设</w:t>
                  </w:r>
                  <w:r>
                    <w:rPr>
                      <w:rFonts w:hint="eastAsia" w:cs="Times New Roman"/>
                      <w:color w:val="auto"/>
                      <w:szCs w:val="21"/>
                      <w:lang w:eastAsia="zh-CN"/>
                    </w:rPr>
                    <w:t>，</w:t>
                  </w:r>
                  <w:r>
                    <w:rPr>
                      <w:rFonts w:hint="default" w:ascii="Times New Roman" w:hAnsi="Times New Roman" w:cs="Times New Roman"/>
                      <w:color w:val="auto"/>
                      <w:szCs w:val="21"/>
                    </w:rPr>
                    <w:t>通信线缆施工由各运营商自行负责</w:t>
                  </w:r>
                  <w:r>
                    <w:rPr>
                      <w:rFonts w:hint="eastAsia" w:cs="Times New Roman"/>
                      <w:color w:val="auto"/>
                      <w:szCs w:val="21"/>
                      <w:lang w:eastAsia="zh-CN"/>
                    </w:rPr>
                    <w:t>；通信排管为Φ32*7梅花管，过路处管线为DN100涂塑钢管；通信电缆人孔，设置间距为70m左右。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6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Cs w:val="21"/>
                      <w:lang w:val="en-US" w:eastAsia="zh-CN"/>
                    </w:rPr>
                  </w:pPr>
                </w:p>
              </w:tc>
              <w:tc>
                <w:tcPr>
                  <w:tcW w:w="48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lang w:val="en-US" w:eastAsia="zh-CN"/>
                    </w:rPr>
                  </w:pPr>
                  <w:r>
                    <w:rPr>
                      <w:rFonts w:hint="eastAsia"/>
                      <w:color w:val="auto"/>
                      <w:lang w:val="en-US" w:eastAsia="zh-CN"/>
                    </w:rPr>
                    <w:t>照明工程</w:t>
                  </w:r>
                </w:p>
                <w:p>
                  <w:pPr>
                    <w:pStyle w:val="10"/>
                    <w:rPr>
                      <w:rFonts w:hint="eastAsia"/>
                      <w:color w:val="auto"/>
                      <w:lang w:val="en-US" w:eastAsia="zh-CN"/>
                    </w:rPr>
                  </w:pPr>
                </w:p>
              </w:tc>
              <w:tc>
                <w:tcPr>
                  <w:tcW w:w="4252"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szCs w:val="21"/>
                    </w:rPr>
                  </w:pPr>
                  <w:r>
                    <w:rPr>
                      <w:rFonts w:hint="eastAsia" w:ascii="Times New Roman" w:hAnsi="Times New Roman" w:cs="Times New Roman"/>
                      <w:color w:val="auto"/>
                      <w:szCs w:val="21"/>
                      <w:lang w:eastAsia="zh-CN"/>
                    </w:rPr>
                    <w:t>设道路照明专用箱变</w:t>
                  </w:r>
                  <w:r>
                    <w:rPr>
                      <w:rFonts w:hint="eastAsia" w:ascii="Times New Roman" w:hAnsi="Times New Roman" w:cs="Times New Roman"/>
                      <w:color w:val="auto"/>
                      <w:szCs w:val="21"/>
                      <w:lang w:val="en-US" w:eastAsia="zh-CN"/>
                    </w:rPr>
                    <w:t>，</w:t>
                  </w:r>
                  <w:r>
                    <w:rPr>
                      <w:rFonts w:hint="eastAsia" w:ascii="Times New Roman" w:hAnsi="Times New Roman" w:cs="Times New Roman"/>
                      <w:color w:val="auto"/>
                      <w:szCs w:val="21"/>
                      <w:lang w:eastAsia="zh-CN"/>
                    </w:rPr>
                    <w:t>从就近的环网柜引来</w:t>
                  </w:r>
                  <w:r>
                    <w:rPr>
                      <w:rFonts w:hint="eastAsia" w:ascii="Times New Roman" w:hAnsi="Times New Roman" w:cs="Times New Roman"/>
                      <w:color w:val="auto"/>
                      <w:szCs w:val="21"/>
                      <w:lang w:val="en-US" w:eastAsia="zh-CN"/>
                    </w:rPr>
                    <w:t>10k</w:t>
                  </w:r>
                  <w:r>
                    <w:rPr>
                      <w:rFonts w:hint="eastAsia" w:ascii="Times New Roman" w:hAnsi="Times New Roman" w:cs="Times New Roman"/>
                      <w:color w:val="auto"/>
                      <w:szCs w:val="21"/>
                      <w:lang w:eastAsia="zh-CN"/>
                    </w:rPr>
                    <w:t>V电源，沿道路电力排管敷设，供电半径</w:t>
                  </w:r>
                  <w:r>
                    <w:rPr>
                      <w:rFonts w:hint="eastAsia" w:ascii="Times New Roman" w:hAnsi="Times New Roman" w:cs="Times New Roman"/>
                      <w:color w:val="auto"/>
                      <w:szCs w:val="21"/>
                      <w:lang w:val="en-US" w:eastAsia="zh-CN"/>
                    </w:rPr>
                    <w:t>75</w:t>
                  </w:r>
                  <w:r>
                    <w:rPr>
                      <w:rFonts w:hint="eastAsia" w:ascii="Times New Roman" w:hAnsi="Times New Roman" w:cs="Times New Roman"/>
                      <w:color w:val="auto"/>
                      <w:szCs w:val="21"/>
                      <w:lang w:eastAsia="zh-CN"/>
                    </w:rPr>
                    <w:t>0米；本项目</w:t>
                  </w:r>
                  <w:r>
                    <w:rPr>
                      <w:rFonts w:hint="eastAsia" w:ascii="Times New Roman" w:hAnsi="Times New Roman" w:cs="Times New Roman"/>
                      <w:color w:val="auto"/>
                      <w:szCs w:val="21"/>
                      <w:lang w:val="en-US" w:eastAsia="zh-CN"/>
                    </w:rPr>
                    <w:t>在总进线处设置</w:t>
                  </w:r>
                  <w:r>
                    <w:rPr>
                      <w:rFonts w:hint="eastAsia" w:ascii="Times New Roman" w:hAnsi="Times New Roman" w:cs="Times New Roman"/>
                      <w:color w:val="auto"/>
                      <w:szCs w:val="21"/>
                      <w:lang w:eastAsia="zh-CN"/>
                    </w:rPr>
                    <w:t>计量，电度表由供电部门安装；</w:t>
                  </w:r>
                  <w:r>
                    <w:rPr>
                      <w:rFonts w:hint="eastAsia" w:ascii="Times New Roman" w:hAnsi="Times New Roman" w:cs="Times New Roman"/>
                      <w:color w:val="auto"/>
                      <w:szCs w:val="21"/>
                      <w:lang w:val="en-US" w:eastAsia="zh-CN"/>
                    </w:rPr>
                    <w:t>文昌路设置1座照明专用箱，灯具数量总计98套，采用LED灯</w:t>
                  </w:r>
                  <w:r>
                    <w:rPr>
                      <w:rFonts w:hint="eastAsia" w:cs="Times New Roman"/>
                      <w:color w:val="auto"/>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6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Cs w:val="21"/>
                      <w:lang w:val="en-US" w:eastAsia="zh-CN"/>
                    </w:rPr>
                  </w:pPr>
                </w:p>
              </w:tc>
              <w:tc>
                <w:tcPr>
                  <w:tcW w:w="48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auto"/>
                      <w:lang w:val="en-US" w:eastAsia="zh-CN"/>
                    </w:rPr>
                  </w:pPr>
                  <w:r>
                    <w:rPr>
                      <w:rFonts w:hint="eastAsia" w:cs="Times New Roman"/>
                      <w:color w:val="auto"/>
                      <w:szCs w:val="21"/>
                      <w:lang w:val="en-US" w:eastAsia="zh-CN"/>
                    </w:rPr>
                    <w:t>绿化工程</w:t>
                  </w:r>
                </w:p>
              </w:tc>
              <w:tc>
                <w:tcPr>
                  <w:tcW w:w="4252"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color w:val="auto"/>
                      <w:szCs w:val="21"/>
                      <w:vertAlign w:val="baseline"/>
                      <w:lang w:eastAsia="zh-CN"/>
                    </w:rPr>
                  </w:pPr>
                  <w:r>
                    <w:rPr>
                      <w:rFonts w:hint="eastAsia" w:ascii="Times New Roman" w:hAnsi="Times New Roman" w:cs="Times New Roman"/>
                      <w:color w:val="auto"/>
                      <w:szCs w:val="21"/>
                      <w:lang w:val="en-US" w:eastAsia="zh-CN"/>
                    </w:rPr>
                    <w:t>道路绿化带内进行绿化；湖滨大街西延总计种植国槐204株、白皮松31株、紫叶矮樱28株、金叶榆球25株、卫矛球159株、胶东卫矛篱423.38m</w:t>
                  </w:r>
                  <w:r>
                    <w:rPr>
                      <w:rFonts w:hint="eastAsia" w:ascii="Times New Roman" w:hAnsi="Times New Roman" w:cs="Times New Roman"/>
                      <w:color w:val="auto"/>
                      <w:szCs w:val="21"/>
                      <w:vertAlign w:val="superscript"/>
                      <w:lang w:val="en-US" w:eastAsia="zh-CN"/>
                    </w:rPr>
                    <w:t>2</w:t>
                  </w:r>
                  <w:r>
                    <w:rPr>
                      <w:rFonts w:hint="eastAsia" w:ascii="Times New Roman" w:hAnsi="Times New Roman" w:cs="Times New Roman"/>
                      <w:color w:val="auto"/>
                      <w:szCs w:val="21"/>
                      <w:lang w:val="en-US" w:eastAsia="zh-CN"/>
                    </w:rPr>
                    <w:t>、冷季型草1200.51m</w:t>
                  </w:r>
                  <w:r>
                    <w:rPr>
                      <w:rFonts w:hint="eastAsia" w:ascii="Times New Roman" w:hAnsi="Times New Roman" w:cs="Times New Roman"/>
                      <w:color w:val="auto"/>
                      <w:szCs w:val="21"/>
                      <w:vertAlign w:val="superscript"/>
                      <w:lang w:val="en-US" w:eastAsia="zh-CN"/>
                    </w:rPr>
                    <w:t>2</w:t>
                  </w:r>
                  <w:r>
                    <w:rPr>
                      <w:rFonts w:hint="eastAsia" w:ascii="Times New Roman" w:hAnsi="Times New Roman" w:cs="Times New Roman"/>
                      <w:color w:val="auto"/>
                      <w:szCs w:val="21"/>
                      <w:lang w:val="en-US" w:eastAsia="zh-CN"/>
                    </w:rPr>
                    <w:t>、爬山虎450.16m</w:t>
                  </w:r>
                  <w:r>
                    <w:rPr>
                      <w:rFonts w:hint="eastAsia" w:ascii="Times New Roman" w:hAnsi="Times New Roman" w:cs="Times New Roman"/>
                      <w:color w:val="auto"/>
                      <w:szCs w:val="21"/>
                      <w:vertAlign w:val="superscript"/>
                      <w:lang w:val="en-US" w:eastAsia="zh-CN"/>
                    </w:rPr>
                    <w:t>2</w:t>
                  </w:r>
                  <w:r>
                    <w:rPr>
                      <w:rFonts w:hint="eastAsia" w:cs="Times New Roman"/>
                      <w:color w:val="auto"/>
                      <w:szCs w:val="21"/>
                      <w:vertAlign w:val="baselin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6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80"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交通工程</w:t>
                  </w: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交通监控</w:t>
                  </w:r>
                </w:p>
              </w:tc>
              <w:tc>
                <w:tcPr>
                  <w:tcW w:w="3683"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Cs w:val="21"/>
                      <w:lang w:val="en-US" w:eastAsia="zh-CN"/>
                    </w:rPr>
                  </w:pPr>
                  <w:r>
                    <w:rPr>
                      <w:rFonts w:hint="default" w:ascii="Times New Roman" w:hAnsi="Times New Roman" w:cs="Times New Roman"/>
                      <w:color w:val="auto"/>
                      <w:szCs w:val="21"/>
                    </w:rPr>
                    <w:t>应建设方及交通部门要求设置道路监控，人行通道处设置智能监控，采用智能集成灯杆，设置监控，监控主机，信号灯，信号主机，信息发布系统等</w:t>
                  </w:r>
                  <w:r>
                    <w:rPr>
                      <w:rFonts w:hint="eastAsia" w:cs="Times New Roman"/>
                      <w:color w:val="auto"/>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6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8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5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交通标线</w:t>
                  </w:r>
                </w:p>
              </w:tc>
              <w:tc>
                <w:tcPr>
                  <w:tcW w:w="3683"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道路标线按规范要求需设置双黄线、车行道边缘线、可跨越同向车行道分界线、停止线、导向箭头、人行横道等。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266" w:type="pct"/>
                  <w:vMerge w:val="continue"/>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80" w:type="pct"/>
                  <w:vMerge w:val="continue"/>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568" w:type="pct"/>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交通标志</w:t>
                  </w:r>
                </w:p>
              </w:tc>
              <w:tc>
                <w:tcPr>
                  <w:tcW w:w="3683" w:type="pct"/>
                  <w:gridSpan w:val="3"/>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Cs w:val="21"/>
                      <w:lang w:eastAsia="zh-CN"/>
                    </w:rPr>
                  </w:pPr>
                  <w:r>
                    <w:rPr>
                      <w:rFonts w:hint="default" w:ascii="Times New Roman" w:hAnsi="Times New Roman" w:cs="Times New Roman"/>
                      <w:color w:val="auto"/>
                      <w:szCs w:val="21"/>
                    </w:rPr>
                    <w:t>项目在主干路全路段设置交叉口预告标志，全线道路设置指示标志、警告标志和禁令标志标志牌。标志牌采用铝合金材质，标志杆采用无缝钢管。标志版面反光膜按《公路交通标志反光膜》（GB/T 18833-2012）执行。标注板衬底、文字及图案均采用一级反光膜</w:t>
                  </w:r>
                  <w:r>
                    <w:rPr>
                      <w:rFonts w:hint="eastAsia" w:cs="Times New Roman"/>
                      <w:color w:val="auto"/>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2" w:hRule="atLeast"/>
              </w:trPr>
              <w:tc>
                <w:tcPr>
                  <w:tcW w:w="266" w:type="pct"/>
                  <w:vMerge w:val="restart"/>
                  <w:tcBorders>
                    <w:top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储运工程</w:t>
                  </w:r>
                </w:p>
              </w:tc>
              <w:tc>
                <w:tcPr>
                  <w:tcW w:w="1049" w:type="pct"/>
                  <w:gridSpan w:val="2"/>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取</w:t>
                  </w:r>
                  <w:r>
                    <w:rPr>
                      <w:rFonts w:hint="eastAsia" w:cs="Times New Roman"/>
                      <w:color w:val="auto"/>
                      <w:szCs w:val="21"/>
                      <w:lang w:val="en-US" w:eastAsia="zh-CN"/>
                    </w:rPr>
                    <w:t>、弃</w:t>
                  </w:r>
                  <w:r>
                    <w:rPr>
                      <w:rFonts w:hint="eastAsia" w:ascii="Times New Roman" w:hAnsi="Times New Roman" w:cs="Times New Roman"/>
                      <w:color w:val="auto"/>
                      <w:szCs w:val="21"/>
                      <w:lang w:val="en-US" w:eastAsia="zh-CN"/>
                    </w:rPr>
                    <w:t>土场</w:t>
                  </w:r>
                </w:p>
              </w:tc>
              <w:tc>
                <w:tcPr>
                  <w:tcW w:w="3683" w:type="pct"/>
                  <w:gridSpan w:val="3"/>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szCs w:val="21"/>
                    </w:rPr>
                  </w:pPr>
                  <w:r>
                    <w:rPr>
                      <w:rFonts w:hint="default" w:ascii="Times New Roman" w:hAnsi="Times New Roman" w:cs="Times New Roman"/>
                      <w:color w:val="auto"/>
                      <w:szCs w:val="21"/>
                      <w:highlight w:val="none"/>
                      <w:lang w:val="en-US" w:eastAsia="zh-CN"/>
                    </w:rPr>
                    <w:t>根据初设估算，</w:t>
                  </w:r>
                  <w:r>
                    <w:rPr>
                      <w:rFonts w:hint="eastAsia" w:ascii="Times New Roman" w:hAnsi="Times New Roman" w:cs="Times New Roman"/>
                      <w:color w:val="auto"/>
                      <w:szCs w:val="21"/>
                      <w:lang w:val="en-US" w:eastAsia="zh-CN"/>
                    </w:rPr>
                    <w:t>湖滨大街西延</w:t>
                  </w:r>
                  <w:r>
                    <w:rPr>
                      <w:rFonts w:hint="eastAsia" w:ascii="Times New Roman" w:hAnsi="Times New Roman" w:cs="Times New Roman"/>
                      <w:color w:val="auto"/>
                      <w:szCs w:val="21"/>
                      <w:highlight w:val="none"/>
                      <w:lang w:val="en-US" w:eastAsia="zh-CN"/>
                    </w:rPr>
                    <w:t>弃方量为</w:t>
                  </w:r>
                  <w:r>
                    <w:rPr>
                      <w:rFonts w:hint="eastAsia" w:cs="Times New Roman"/>
                      <w:color w:val="auto"/>
                      <w:szCs w:val="21"/>
                      <w:highlight w:val="none"/>
                      <w:lang w:val="en-US" w:eastAsia="zh-CN"/>
                    </w:rPr>
                    <w:t>11059</w:t>
                  </w:r>
                  <w:r>
                    <w:rPr>
                      <w:rFonts w:hint="default" w:ascii="Times New Roman" w:hAnsi="Times New Roman" w:cs="Times New Roman"/>
                      <w:color w:val="auto"/>
                      <w:szCs w:val="21"/>
                      <w:highlight w:val="none"/>
                      <w:lang w:val="en-US" w:eastAsia="zh-CN"/>
                    </w:rPr>
                    <w:t>m</w:t>
                  </w:r>
                  <w:r>
                    <w:rPr>
                      <w:rFonts w:hint="default" w:ascii="Times New Roman" w:hAnsi="Times New Roman" w:cs="Times New Roman"/>
                      <w:color w:val="auto"/>
                      <w:szCs w:val="21"/>
                      <w:highlight w:val="none"/>
                      <w:vertAlign w:val="superscript"/>
                      <w:lang w:val="en-US" w:eastAsia="zh-CN"/>
                    </w:rPr>
                    <w:t>3</w:t>
                  </w:r>
                  <w:r>
                    <w:rPr>
                      <w:rFonts w:hint="default" w:ascii="Times New Roman" w:hAnsi="Times New Roman" w:cs="Times New Roman"/>
                      <w:color w:val="auto"/>
                      <w:szCs w:val="21"/>
                      <w:highlight w:val="none"/>
                      <w:lang w:val="en-US" w:eastAsia="zh-CN"/>
                    </w:rPr>
                    <w:t>；</w:t>
                  </w:r>
                  <w:r>
                    <w:rPr>
                      <w:rFonts w:hint="eastAsia" w:ascii="Times New Roman" w:hAnsi="Times New Roman" w:cs="Times New Roman"/>
                      <w:color w:val="auto"/>
                      <w:szCs w:val="21"/>
                      <w:highlight w:val="none"/>
                      <w:lang w:val="en-US" w:eastAsia="zh-CN"/>
                    </w:rPr>
                    <w:t>弃方送五台县市政指定的渣土场</w:t>
                  </w:r>
                  <w:r>
                    <w:rPr>
                      <w:rFonts w:hint="eastAsia" w:cs="Times New Roman"/>
                      <w:color w:val="auto"/>
                      <w:szCs w:val="21"/>
                      <w:highlight w:val="none"/>
                      <w:lang w:val="en-US" w:eastAsia="zh-CN"/>
                    </w:rPr>
                    <w:t>处理。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2" w:hRule="atLeast"/>
              </w:trPr>
              <w:tc>
                <w:tcPr>
                  <w:tcW w:w="26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Cs w:val="21"/>
                      <w:lang w:val="en-US" w:eastAsia="zh-CN"/>
                    </w:rPr>
                  </w:pPr>
                </w:p>
              </w:tc>
              <w:tc>
                <w:tcPr>
                  <w:tcW w:w="1049" w:type="pct"/>
                  <w:gridSpan w:val="2"/>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i w:val="0"/>
                      <w:color w:val="auto"/>
                      <w:kern w:val="0"/>
                      <w:sz w:val="21"/>
                      <w:szCs w:val="21"/>
                      <w:u w:val="none"/>
                      <w:lang w:val="en-US" w:eastAsia="zh-CN" w:bidi="ar"/>
                    </w:rPr>
                  </w:pPr>
                  <w:r>
                    <w:rPr>
                      <w:rFonts w:hint="eastAsia" w:ascii="Times New Roman" w:hAnsi="Times New Roman" w:cs="Times New Roman"/>
                      <w:color w:val="auto"/>
                      <w:szCs w:val="21"/>
                      <w:lang w:val="en-US" w:eastAsia="zh-CN"/>
                    </w:rPr>
                    <w:t>表土</w:t>
                  </w:r>
                  <w:r>
                    <w:rPr>
                      <w:rFonts w:hint="eastAsia"/>
                      <w:color w:val="auto"/>
                      <w:sz w:val="21"/>
                      <w:szCs w:val="21"/>
                    </w:rPr>
                    <w:t>临时堆存区</w:t>
                  </w:r>
                </w:p>
              </w:tc>
              <w:tc>
                <w:tcPr>
                  <w:tcW w:w="3683" w:type="pct"/>
                  <w:gridSpan w:val="3"/>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i w:val="0"/>
                      <w:color w:val="auto"/>
                      <w:kern w:val="0"/>
                      <w:sz w:val="21"/>
                      <w:szCs w:val="21"/>
                      <w:u w:val="none"/>
                      <w:lang w:val="en-US" w:eastAsia="zh-CN" w:bidi="ar"/>
                    </w:rPr>
                  </w:pPr>
                  <w:r>
                    <w:rPr>
                      <w:rFonts w:hint="eastAsia" w:ascii="Times New Roman" w:hAnsi="Times New Roman" w:cs="Times New Roman"/>
                      <w:color w:val="auto"/>
                      <w:szCs w:val="21"/>
                      <w:lang w:val="en-US" w:eastAsia="zh-CN"/>
                    </w:rPr>
                    <w:t>根据初设估算，文昌路（环唐家湾水库段）清表量为</w:t>
                  </w:r>
                  <w:r>
                    <w:rPr>
                      <w:rFonts w:hint="eastAsia" w:cs="Times New Roman"/>
                      <w:color w:val="auto"/>
                      <w:szCs w:val="21"/>
                      <w:lang w:val="en-US" w:eastAsia="zh-CN"/>
                    </w:rPr>
                    <w:t>6352.732</w:t>
                  </w:r>
                  <w:r>
                    <w:rPr>
                      <w:rFonts w:hint="eastAsia" w:ascii="Times New Roman" w:hAnsi="Times New Roman" w:cs="Times New Roman"/>
                      <w:color w:val="auto"/>
                      <w:szCs w:val="21"/>
                      <w:lang w:val="en-US" w:eastAsia="zh-CN"/>
                    </w:rPr>
                    <w:t>m</w:t>
                  </w:r>
                  <w:r>
                    <w:rPr>
                      <w:rFonts w:hint="eastAsia" w:ascii="Times New Roman" w:hAnsi="Times New Roman" w:cs="Times New Roman"/>
                      <w:color w:val="auto"/>
                      <w:szCs w:val="21"/>
                      <w:vertAlign w:val="superscript"/>
                      <w:lang w:val="en-US" w:eastAsia="zh-CN"/>
                    </w:rPr>
                    <w:t>3</w:t>
                  </w:r>
                  <w:r>
                    <w:rPr>
                      <w:rFonts w:hint="eastAsia" w:ascii="Times New Roman" w:hAnsi="Times New Roman" w:cs="Times New Roman"/>
                      <w:color w:val="auto"/>
                      <w:szCs w:val="21"/>
                      <w:vertAlign w:val="baseline"/>
                      <w:lang w:val="en-US" w:eastAsia="zh-CN"/>
                    </w:rPr>
                    <w:t>；</w:t>
                  </w:r>
                  <w:r>
                    <w:rPr>
                      <w:rFonts w:hint="eastAsia"/>
                      <w:bCs/>
                      <w:color w:val="auto"/>
                      <w:sz w:val="21"/>
                      <w:szCs w:val="21"/>
                    </w:rPr>
                    <w:t>施工期设置</w:t>
                  </w:r>
                  <w:r>
                    <w:rPr>
                      <w:rFonts w:hint="eastAsia"/>
                      <w:bCs/>
                      <w:color w:val="auto"/>
                      <w:sz w:val="21"/>
                      <w:szCs w:val="21"/>
                      <w:lang w:val="en-US" w:eastAsia="zh-CN"/>
                    </w:rPr>
                    <w:t>1</w:t>
                  </w:r>
                  <w:r>
                    <w:rPr>
                      <w:rFonts w:hint="eastAsia"/>
                      <w:bCs/>
                      <w:color w:val="auto"/>
                      <w:sz w:val="21"/>
                      <w:szCs w:val="21"/>
                    </w:rPr>
                    <w:t>处表土临时堆存区，每个堆土场不超过1万方。表土临时堆存区长50m，宽50m，用于堆放路基工程、施工生产、生活区剥离的表土，将堆放的表土进行集中防护，施工结束后作为道路绿化、场地绿化及植被恢复用土，以充分利用表土资源</w:t>
                  </w:r>
                  <w:r>
                    <w:rPr>
                      <w:rFonts w:hint="eastAsia"/>
                      <w:bCs/>
                      <w:color w:val="auto"/>
                      <w:sz w:val="21"/>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2" w:hRule="atLeast"/>
              </w:trPr>
              <w:tc>
                <w:tcPr>
                  <w:tcW w:w="26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Cs w:val="21"/>
                      <w:lang w:val="en-US" w:eastAsia="zh-CN"/>
                    </w:rPr>
                  </w:pPr>
                </w:p>
              </w:tc>
              <w:tc>
                <w:tcPr>
                  <w:tcW w:w="1049" w:type="pct"/>
                  <w:gridSpan w:val="2"/>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i w:val="0"/>
                      <w:color w:val="auto"/>
                      <w:kern w:val="0"/>
                      <w:sz w:val="21"/>
                      <w:szCs w:val="21"/>
                      <w:u w:val="none"/>
                      <w:lang w:val="en-US" w:eastAsia="zh-CN" w:bidi="ar"/>
                    </w:rPr>
                  </w:pPr>
                  <w:r>
                    <w:rPr>
                      <w:rFonts w:hint="eastAsia" w:ascii="Times New Roman" w:hAnsi="Times New Roman" w:cs="Times New Roman"/>
                      <w:color w:val="auto"/>
                      <w:szCs w:val="21"/>
                      <w:lang w:val="en-US" w:eastAsia="zh-CN"/>
                    </w:rPr>
                    <w:t>施工营地</w:t>
                  </w:r>
                </w:p>
              </w:tc>
              <w:tc>
                <w:tcPr>
                  <w:tcW w:w="3683" w:type="pct"/>
                  <w:gridSpan w:val="3"/>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宋体" w:hAnsi="宋体" w:eastAsia="宋体" w:cs="宋体"/>
                      <w:i w:val="0"/>
                      <w:color w:val="auto"/>
                      <w:kern w:val="0"/>
                      <w:sz w:val="21"/>
                      <w:szCs w:val="21"/>
                      <w:u w:val="none"/>
                      <w:lang w:val="en-US" w:eastAsia="zh-CN" w:bidi="ar"/>
                    </w:rPr>
                  </w:pPr>
                  <w:r>
                    <w:rPr>
                      <w:color w:val="auto"/>
                      <w:sz w:val="21"/>
                      <w:szCs w:val="21"/>
                    </w:rPr>
                    <w:t>施工营地主要用于原辅料周转、施工机械停放，工人暂住，营地内不设置拌合站、加工厂，设置有原料库、机械存放库、办公生活区、洗车平台，营地内不设浴室</w:t>
                  </w:r>
                  <w:r>
                    <w:rPr>
                      <w:rFonts w:hint="eastAsia"/>
                      <w:color w:val="auto"/>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2" w:hRule="atLeast"/>
              </w:trPr>
              <w:tc>
                <w:tcPr>
                  <w:tcW w:w="26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Cs w:val="21"/>
                      <w:lang w:val="en-US" w:eastAsia="zh-CN"/>
                    </w:rPr>
                  </w:pPr>
                </w:p>
              </w:tc>
              <w:tc>
                <w:tcPr>
                  <w:tcW w:w="1049" w:type="pct"/>
                  <w:gridSpan w:val="2"/>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i w:val="0"/>
                      <w:color w:val="auto"/>
                      <w:kern w:val="0"/>
                      <w:sz w:val="21"/>
                      <w:szCs w:val="21"/>
                      <w:u w:val="none"/>
                      <w:lang w:val="en-US" w:eastAsia="zh-CN" w:bidi="ar"/>
                    </w:rPr>
                  </w:pPr>
                  <w:r>
                    <w:rPr>
                      <w:rFonts w:hint="eastAsia" w:ascii="Times New Roman" w:hAnsi="Times New Roman" w:cs="Times New Roman"/>
                      <w:color w:val="auto"/>
                      <w:szCs w:val="21"/>
                      <w:lang w:val="en-US" w:eastAsia="zh-CN"/>
                    </w:rPr>
                    <w:t>施工便道</w:t>
                  </w:r>
                </w:p>
              </w:tc>
              <w:tc>
                <w:tcPr>
                  <w:tcW w:w="3683" w:type="pct"/>
                  <w:gridSpan w:val="3"/>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宋体" w:hAnsi="宋体" w:eastAsia="宋体" w:cs="宋体"/>
                      <w:i w:val="0"/>
                      <w:color w:val="auto"/>
                      <w:kern w:val="0"/>
                      <w:sz w:val="21"/>
                      <w:szCs w:val="21"/>
                      <w:u w:val="none"/>
                      <w:lang w:val="en-US" w:eastAsia="zh-CN" w:bidi="ar"/>
                    </w:rPr>
                  </w:pPr>
                  <w:r>
                    <w:rPr>
                      <w:rFonts w:hint="eastAsia" w:ascii="宋体" w:hAnsi="宋体" w:eastAsia="宋体" w:cs="宋体"/>
                      <w:i w:val="0"/>
                      <w:color w:val="auto"/>
                      <w:kern w:val="0"/>
                      <w:sz w:val="21"/>
                      <w:szCs w:val="21"/>
                      <w:u w:val="none"/>
                      <w:lang w:val="en-US" w:eastAsia="zh-CN" w:bidi="ar"/>
                    </w:rPr>
                    <w:t>依托项目周边可以利用的乡村道路</w:t>
                  </w:r>
                  <w:r>
                    <w:rPr>
                      <w:rFonts w:hint="eastAsia" w:ascii="宋体" w:hAnsi="宋体" w:cs="宋体"/>
                      <w:i w:val="0"/>
                      <w:color w:val="auto"/>
                      <w:kern w:val="0"/>
                      <w:sz w:val="21"/>
                      <w:szCs w:val="21"/>
                      <w:u w:val="none"/>
                      <w:lang w:val="en-US" w:eastAsia="zh-CN" w:bidi="ar"/>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92" w:hRule="atLeast"/>
              </w:trPr>
              <w:tc>
                <w:tcPr>
                  <w:tcW w:w="266" w:type="pct"/>
                  <w:vMerge w:val="continue"/>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Cs w:val="21"/>
                      <w:lang w:val="en-US" w:eastAsia="zh-CN"/>
                    </w:rPr>
                  </w:pPr>
                </w:p>
              </w:tc>
              <w:tc>
                <w:tcPr>
                  <w:tcW w:w="1049" w:type="pct"/>
                  <w:gridSpan w:val="2"/>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建筑材料</w:t>
                  </w:r>
                </w:p>
              </w:tc>
              <w:tc>
                <w:tcPr>
                  <w:tcW w:w="3683" w:type="pct"/>
                  <w:gridSpan w:val="3"/>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Cs w:val="21"/>
                      <w:lang w:eastAsia="zh-CN"/>
                    </w:rPr>
                  </w:pPr>
                  <w:r>
                    <w:rPr>
                      <w:color w:val="auto"/>
                      <w:sz w:val="21"/>
                      <w:szCs w:val="21"/>
                    </w:rPr>
                    <w:t>外购，项目区内公路、铁路交通网络发达，交通运输偏离，路网材料可方便到达施工现场</w:t>
                  </w:r>
                  <w:r>
                    <w:rPr>
                      <w:rFonts w:hint="eastAsia"/>
                      <w:color w:val="auto"/>
                      <w:sz w:val="21"/>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0" w:hRule="atLeast"/>
              </w:trPr>
              <w:tc>
                <w:tcPr>
                  <w:tcW w:w="266" w:type="pct"/>
                  <w:vMerge w:val="restart"/>
                  <w:tcBorders>
                    <w:top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eastAsia" w:ascii="Times New Roman" w:hAnsi="Times New Roman" w:cs="Times New Roman"/>
                      <w:color w:val="auto"/>
                      <w:szCs w:val="21"/>
                      <w:lang w:val="en-US" w:eastAsia="zh-CN"/>
                    </w:rPr>
                    <w:t>环保工程</w:t>
                  </w:r>
                </w:p>
              </w:tc>
              <w:tc>
                <w:tcPr>
                  <w:tcW w:w="480" w:type="pct"/>
                  <w:vMerge w:val="restart"/>
                  <w:tcBorders>
                    <w:top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施工期</w:t>
                  </w:r>
                </w:p>
              </w:tc>
              <w:tc>
                <w:tcPr>
                  <w:tcW w:w="568" w:type="pct"/>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废气</w:t>
                  </w:r>
                </w:p>
              </w:tc>
              <w:tc>
                <w:tcPr>
                  <w:tcW w:w="3683" w:type="pct"/>
                  <w:gridSpan w:val="3"/>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szCs w:val="21"/>
                      <w:lang w:val="en-US"/>
                    </w:rPr>
                  </w:pPr>
                  <w:r>
                    <w:rPr>
                      <w:rFonts w:hint="eastAsia" w:cs="宋体"/>
                      <w:color w:val="auto"/>
                      <w:szCs w:val="21"/>
                      <w:lang w:val="en-US" w:eastAsia="zh-CN"/>
                    </w:rPr>
                    <w:t>扬尘污染防治应严格按《防治城市扬尘污染技术规范》要求进行防治。土方及施工过程中使用的多尘物料应使用帆布覆盖；运输车辆适当加湿，经过敏感区限速，经过居民区禁止鸣笛。使用优质燃油，并加强设备及车辆养护；</w:t>
                  </w:r>
                  <w:r>
                    <w:rPr>
                      <w:rFonts w:hint="eastAsia" w:ascii="Times New Roman" w:hAnsi="Times New Roman" w:cs="Times New Roman"/>
                      <w:color w:val="auto"/>
                      <w:kern w:val="0"/>
                      <w:szCs w:val="21"/>
                      <w:lang w:val="en-US" w:eastAsia="zh-CN"/>
                    </w:rPr>
                    <w:t>食堂油烟</w:t>
                  </w:r>
                  <w:r>
                    <w:rPr>
                      <w:rFonts w:hint="eastAsia" w:ascii="Times New Roman" w:hAnsi="Times New Roman" w:cs="Times New Roman"/>
                      <w:color w:val="auto"/>
                      <w:kern w:val="32"/>
                      <w:szCs w:val="21"/>
                      <w:lang w:val="en-US" w:eastAsia="zh-CN"/>
                    </w:rPr>
                    <w:t>设置</w:t>
                  </w:r>
                  <w:r>
                    <w:rPr>
                      <w:rFonts w:hint="default" w:ascii="Times New Roman" w:hAnsi="Times New Roman" w:eastAsia="宋体" w:cs="Times New Roman"/>
                      <w:color w:val="auto"/>
                      <w:lang w:val="en-US" w:eastAsia="zh-CN"/>
                    </w:rPr>
                    <w:t>油烟净化</w:t>
                  </w:r>
                  <w:r>
                    <w:rPr>
                      <w:rFonts w:hint="eastAsia" w:ascii="Times New Roman" w:hAnsi="Times New Roman" w:eastAsia="宋体" w:cs="Times New Roman"/>
                      <w:color w:val="auto"/>
                      <w:lang w:val="en-US" w:eastAsia="zh-CN"/>
                    </w:rPr>
                    <w:t>装置（中型）处理</w:t>
                  </w:r>
                  <w:r>
                    <w:rPr>
                      <w:rFonts w:hint="eastAsia" w:cs="Times New Roman"/>
                      <w:color w:val="auto"/>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1" w:hRule="atLeast"/>
              </w:trPr>
              <w:tc>
                <w:tcPr>
                  <w:tcW w:w="26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8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Cs w:val="21"/>
                      <w:lang w:val="en-US" w:eastAsia="zh-CN"/>
                    </w:rPr>
                  </w:pPr>
                </w:p>
              </w:tc>
              <w:tc>
                <w:tcPr>
                  <w:tcW w:w="568" w:type="pct"/>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废水</w:t>
                  </w:r>
                </w:p>
              </w:tc>
              <w:tc>
                <w:tcPr>
                  <w:tcW w:w="3683" w:type="pct"/>
                  <w:gridSpan w:val="3"/>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Cs w:val="21"/>
                      <w:lang w:eastAsia="zh-CN"/>
                    </w:rPr>
                  </w:pPr>
                  <w:r>
                    <w:rPr>
                      <w:rFonts w:hint="eastAsia" w:cs="宋体"/>
                      <w:color w:val="auto"/>
                      <w:szCs w:val="21"/>
                    </w:rPr>
                    <w:t>本项目施工期设备冲洗、场地冲洗废水经隔油+沉淀回用施工物料区洒水抑尘；车辆冲洗废水沉淀回用，不外排；生活污水排入</w:t>
                  </w:r>
                  <w:r>
                    <w:rPr>
                      <w:rFonts w:hint="eastAsia" w:cs="宋体"/>
                      <w:color w:val="auto"/>
                      <w:szCs w:val="21"/>
                      <w:lang w:val="en-US" w:eastAsia="zh-CN"/>
                    </w:rPr>
                    <w:t>移动水冲厕</w:t>
                  </w:r>
                  <w:r>
                    <w:rPr>
                      <w:rFonts w:hint="eastAsia" w:cs="宋体"/>
                      <w:color w:val="auto"/>
                      <w:szCs w:val="21"/>
                    </w:rPr>
                    <w:t>定期清掏，用于附近农田施肥</w:t>
                  </w:r>
                  <w:r>
                    <w:rPr>
                      <w:rFonts w:hint="eastAsia" w:cs="宋体"/>
                      <w:color w:val="auto"/>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1" w:hRule="atLeast"/>
              </w:trPr>
              <w:tc>
                <w:tcPr>
                  <w:tcW w:w="26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8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Cs w:val="21"/>
                      <w:lang w:val="en-US" w:eastAsia="zh-CN"/>
                    </w:rPr>
                  </w:pPr>
                </w:p>
              </w:tc>
              <w:tc>
                <w:tcPr>
                  <w:tcW w:w="568" w:type="pct"/>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固废</w:t>
                  </w:r>
                </w:p>
              </w:tc>
              <w:tc>
                <w:tcPr>
                  <w:tcW w:w="3683" w:type="pct"/>
                  <w:gridSpan w:val="3"/>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szCs w:val="21"/>
                    </w:rPr>
                  </w:pPr>
                  <w:r>
                    <w:rPr>
                      <w:rFonts w:hint="eastAsia" w:cs="宋体"/>
                      <w:color w:val="auto"/>
                      <w:szCs w:val="21"/>
                    </w:rPr>
                    <w:t>余方</w:t>
                  </w:r>
                  <w:r>
                    <w:rPr>
                      <w:rFonts w:hint="default" w:ascii="Times New Roman" w:hAnsi="Times New Roman" w:cs="Times New Roman"/>
                      <w:color w:val="auto"/>
                      <w:sz w:val="21"/>
                      <w:szCs w:val="21"/>
                    </w:rPr>
                    <w:t>按照清徐县人民政府的要求进行处理</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施工中的建筑垃圾主要是碎砖块、灰浆、废材料等，应由各施工队妥善处理，由</w:t>
                  </w:r>
                  <w:r>
                    <w:rPr>
                      <w:rFonts w:hint="default" w:ascii="Times New Roman" w:hAnsi="Times New Roman" w:cs="Times New Roman"/>
                      <w:color w:val="auto"/>
                      <w:sz w:val="21"/>
                      <w:szCs w:val="21"/>
                      <w:lang w:val="en-US" w:eastAsia="zh-CN"/>
                    </w:rPr>
                    <w:t>清徐县</w:t>
                  </w:r>
                  <w:r>
                    <w:rPr>
                      <w:rFonts w:hint="default" w:ascii="Times New Roman" w:hAnsi="Times New Roman" w:cs="Times New Roman"/>
                      <w:color w:val="auto"/>
                      <w:sz w:val="21"/>
                      <w:szCs w:val="21"/>
                    </w:rPr>
                    <w:t>环卫局统一规划处置</w:t>
                  </w:r>
                  <w:r>
                    <w:rPr>
                      <w:rFonts w:hint="default" w:ascii="Times New Roman" w:hAnsi="Times New Roman" w:cs="Times New Roman"/>
                      <w:color w:val="auto"/>
                      <w:sz w:val="21"/>
                      <w:szCs w:val="21"/>
                      <w:lang w:eastAsia="zh-CN"/>
                    </w:rPr>
                    <w:t>；生活垃圾用垃圾桶收集后由环卫工人运送到指定垃圾场处理</w:t>
                  </w:r>
                  <w:r>
                    <w:rPr>
                      <w:rFonts w:hint="eastAsia" w:cs="Times New Roman"/>
                      <w:color w:val="auto"/>
                      <w:sz w:val="21"/>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4" w:hRule="atLeast"/>
              </w:trPr>
              <w:tc>
                <w:tcPr>
                  <w:tcW w:w="26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8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Cs w:val="21"/>
                      <w:lang w:val="en-US" w:eastAsia="zh-CN"/>
                    </w:rPr>
                  </w:pPr>
                </w:p>
              </w:tc>
              <w:tc>
                <w:tcPr>
                  <w:tcW w:w="568" w:type="pct"/>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噪声</w:t>
                  </w:r>
                </w:p>
              </w:tc>
              <w:tc>
                <w:tcPr>
                  <w:tcW w:w="3683" w:type="pct"/>
                  <w:gridSpan w:val="3"/>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Cs w:val="21"/>
                      <w:lang w:eastAsia="zh-CN"/>
                    </w:rPr>
                  </w:pPr>
                  <w:r>
                    <w:rPr>
                      <w:rFonts w:cs="宋体"/>
                      <w:color w:val="auto"/>
                      <w:szCs w:val="21"/>
                    </w:rPr>
                    <w:t>采用先进设备、淘汰落后设备，限值作业时间，定期对机械设备进行维护和保养</w:t>
                  </w:r>
                  <w:r>
                    <w:rPr>
                      <w:rFonts w:hint="eastAsia" w:cs="宋体"/>
                      <w:color w:val="auto"/>
                      <w:szCs w:val="21"/>
                    </w:rPr>
                    <w:t>，禁止在夜间施工</w:t>
                  </w:r>
                  <w:r>
                    <w:rPr>
                      <w:rFonts w:hint="eastAsia" w:cs="宋体"/>
                      <w:color w:val="auto"/>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51" w:hRule="atLeast"/>
              </w:trPr>
              <w:tc>
                <w:tcPr>
                  <w:tcW w:w="26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8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Cs w:val="21"/>
                      <w:lang w:val="en-US" w:eastAsia="zh-CN"/>
                    </w:rPr>
                  </w:pPr>
                </w:p>
              </w:tc>
              <w:tc>
                <w:tcPr>
                  <w:tcW w:w="568" w:type="pct"/>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移动水冲厕</w:t>
                  </w:r>
                </w:p>
              </w:tc>
              <w:tc>
                <w:tcPr>
                  <w:tcW w:w="3683" w:type="pct"/>
                  <w:gridSpan w:val="3"/>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eastAsia="宋体" w:cs="宋体"/>
                      <w:color w:val="auto"/>
                      <w:szCs w:val="21"/>
                      <w:lang w:val="en-US" w:eastAsia="zh-CN"/>
                    </w:rPr>
                  </w:pPr>
                  <w:r>
                    <w:rPr>
                      <w:rFonts w:hint="eastAsia" w:cs="宋体"/>
                      <w:color w:val="auto"/>
                      <w:szCs w:val="21"/>
                      <w:lang w:val="en-US" w:eastAsia="zh-CN"/>
                    </w:rPr>
                    <w:t>定期清掏，用于附近农田施肥。</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81" w:hRule="atLeast"/>
              </w:trPr>
              <w:tc>
                <w:tcPr>
                  <w:tcW w:w="26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80" w:type="pct"/>
                  <w:vMerge w:val="continue"/>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Cs w:val="21"/>
                      <w:lang w:val="en-US" w:eastAsia="zh-CN"/>
                    </w:rPr>
                  </w:pPr>
                </w:p>
              </w:tc>
              <w:tc>
                <w:tcPr>
                  <w:tcW w:w="568" w:type="pct"/>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生态</w:t>
                  </w:r>
                </w:p>
              </w:tc>
              <w:tc>
                <w:tcPr>
                  <w:tcW w:w="3683" w:type="pct"/>
                  <w:gridSpan w:val="3"/>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cs="宋体"/>
                      <w:color w:val="auto"/>
                      <w:szCs w:val="21"/>
                      <w:lang w:val="en-US" w:eastAsia="zh-CN"/>
                    </w:rPr>
                  </w:pPr>
                  <w:r>
                    <w:rPr>
                      <w:rFonts w:hint="eastAsia" w:cs="宋体"/>
                      <w:color w:val="auto"/>
                      <w:szCs w:val="21"/>
                      <w:lang w:val="en-US" w:eastAsia="zh-CN"/>
                    </w:rPr>
                    <w:t>（1）施工期对已有水体的保护措施：钻孔作业禁止在洪水发生时进行开挖，弃土按照五台县人民政府的要求进行处理，严禁将土方倒入河道。同事加强施工机械的检修，严格施工管理，减少施工机械的跑、猫、滴、漏，避免机械油污污染水体。</w:t>
                  </w:r>
                </w:p>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cs="宋体"/>
                      <w:color w:val="auto"/>
                      <w:szCs w:val="21"/>
                      <w:lang w:val="en-US" w:eastAsia="zh-CN"/>
                    </w:rPr>
                  </w:pPr>
                  <w:r>
                    <w:rPr>
                      <w:rFonts w:hint="eastAsia" w:cs="宋体"/>
                      <w:color w:val="auto"/>
                      <w:szCs w:val="21"/>
                      <w:lang w:val="en-US" w:eastAsia="zh-CN"/>
                    </w:rPr>
                    <w:t>（2）施工对景观的保护措施：在施工中产生的废建材、垃圾等不得随意堆放，应及时清运。对施工人员应进行严格管理，严禁乱撒乱抛废弃物。施工时应注意避开雨季，防止因雨水造成泥沙流失。</w:t>
                  </w:r>
                </w:p>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cs="宋体"/>
                      <w:color w:val="auto"/>
                      <w:szCs w:val="21"/>
                      <w:lang w:val="en-US" w:eastAsia="zh-CN"/>
                    </w:rPr>
                  </w:pPr>
                  <w:r>
                    <w:rPr>
                      <w:rFonts w:hint="eastAsia" w:cs="宋体"/>
                      <w:color w:val="auto"/>
                      <w:szCs w:val="21"/>
                      <w:lang w:eastAsia="zh-CN"/>
                    </w:rPr>
                    <w:t>（</w:t>
                  </w:r>
                  <w:r>
                    <w:rPr>
                      <w:rFonts w:hint="eastAsia" w:cs="宋体"/>
                      <w:color w:val="auto"/>
                      <w:szCs w:val="21"/>
                      <w:lang w:val="en-US" w:eastAsia="zh-CN"/>
                    </w:rPr>
                    <w:t>3</w:t>
                  </w:r>
                  <w:r>
                    <w:rPr>
                      <w:rFonts w:hint="eastAsia" w:cs="宋体"/>
                      <w:color w:val="auto"/>
                      <w:szCs w:val="21"/>
                      <w:lang w:eastAsia="zh-CN"/>
                    </w:rPr>
                    <w:t>）</w:t>
                  </w:r>
                  <w:r>
                    <w:rPr>
                      <w:rFonts w:hint="eastAsia" w:cs="宋体"/>
                      <w:color w:val="auto"/>
                      <w:szCs w:val="21"/>
                      <w:lang w:val="en-US" w:eastAsia="zh-CN"/>
                    </w:rPr>
                    <w:t>桥墩施工时对河道的保护措施：在钻孔前挖好泥浆池，钻进过程中经泥浆循环固壁，并循环过程中将土石带入泥浆池进行土石的沉淀，沉淀后的泥浆循环利用。同时定期清理沉淀池，对清出后的沉淀物运至五台县人民政府的要求进行处理。</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cs="宋体"/>
                      <w:color w:val="auto"/>
                      <w:szCs w:val="21"/>
                    </w:rPr>
                  </w:pPr>
                  <w:r>
                    <w:rPr>
                      <w:rFonts w:hint="eastAsia" w:cs="宋体"/>
                      <w:color w:val="auto"/>
                      <w:szCs w:val="21"/>
                      <w:lang w:eastAsia="zh-CN"/>
                    </w:rPr>
                    <w:t>（</w:t>
                  </w:r>
                  <w:r>
                    <w:rPr>
                      <w:rFonts w:hint="eastAsia" w:cs="宋体"/>
                      <w:color w:val="auto"/>
                      <w:szCs w:val="21"/>
                      <w:lang w:val="en-US" w:eastAsia="zh-CN"/>
                    </w:rPr>
                    <w:t>4</w:t>
                  </w:r>
                  <w:r>
                    <w:rPr>
                      <w:rFonts w:hint="eastAsia" w:cs="宋体"/>
                      <w:color w:val="auto"/>
                      <w:szCs w:val="21"/>
                      <w:lang w:eastAsia="zh-CN"/>
                    </w:rPr>
                    <w:t>）</w:t>
                  </w:r>
                  <w:r>
                    <w:rPr>
                      <w:rFonts w:hint="eastAsia" w:cs="宋体"/>
                      <w:color w:val="auto"/>
                      <w:szCs w:val="21"/>
                      <w:lang w:val="en-US" w:eastAsia="zh-CN"/>
                    </w:rPr>
                    <w:t>施工期结束后</w:t>
                  </w:r>
                  <w:r>
                    <w:rPr>
                      <w:rFonts w:hint="default" w:cs="宋体"/>
                      <w:color w:val="auto"/>
                      <w:szCs w:val="21"/>
                      <w:lang w:val="en-US" w:eastAsia="zh-CN"/>
                    </w:rPr>
                    <w:t>生态</w:t>
                  </w:r>
                  <w:r>
                    <w:rPr>
                      <w:rFonts w:hint="eastAsia" w:cs="宋体"/>
                      <w:color w:val="auto"/>
                      <w:szCs w:val="21"/>
                      <w:lang w:val="en-US" w:eastAsia="zh-CN"/>
                    </w:rPr>
                    <w:t>恢复措施：施工期</w:t>
                  </w:r>
                  <w:r>
                    <w:rPr>
                      <w:rFonts w:hint="default" w:cs="宋体"/>
                      <w:color w:val="auto"/>
                      <w:szCs w:val="21"/>
                    </w:rPr>
                    <w:t>结束后，</w:t>
                  </w:r>
                  <w:r>
                    <w:rPr>
                      <w:rFonts w:cs="宋体"/>
                      <w:color w:val="auto"/>
                      <w:szCs w:val="21"/>
                    </w:rPr>
                    <w:t>应对</w:t>
                  </w:r>
                  <w:r>
                    <w:rPr>
                      <w:rFonts w:hint="eastAsia" w:cs="宋体"/>
                      <w:color w:val="auto"/>
                      <w:szCs w:val="21"/>
                      <w:lang w:val="en-US" w:eastAsia="zh-CN"/>
                    </w:rPr>
                    <w:t>河道</w:t>
                  </w:r>
                  <w:r>
                    <w:rPr>
                      <w:rFonts w:cs="宋体"/>
                      <w:color w:val="auto"/>
                      <w:szCs w:val="21"/>
                    </w:rPr>
                    <w:t>周边植被进行恢复</w:t>
                  </w:r>
                  <w:r>
                    <w:rPr>
                      <w:rFonts w:hint="eastAsia" w:cs="宋体"/>
                      <w:color w:val="auto"/>
                      <w:szCs w:val="21"/>
                      <w:lang w:eastAsia="zh-CN"/>
                    </w:rPr>
                    <w:t>，</w:t>
                  </w:r>
                  <w:r>
                    <w:rPr>
                      <w:rFonts w:hint="default" w:cs="宋体"/>
                      <w:color w:val="auto"/>
                      <w:szCs w:val="21"/>
                    </w:rPr>
                    <w:t>即可进行</w:t>
                  </w:r>
                  <w:r>
                    <w:rPr>
                      <w:rFonts w:hint="default" w:cs="宋体"/>
                      <w:color w:val="auto"/>
                      <w:szCs w:val="21"/>
                      <w:lang w:val="en-US" w:eastAsia="zh-CN"/>
                    </w:rPr>
                    <w:t>临时占地</w:t>
                  </w:r>
                  <w:r>
                    <w:rPr>
                      <w:rFonts w:hint="default" w:cs="宋体"/>
                      <w:color w:val="auto"/>
                      <w:szCs w:val="21"/>
                    </w:rPr>
                    <w:t>植被的绿化和生态建设工作，使</w:t>
                  </w:r>
                  <w:r>
                    <w:rPr>
                      <w:rFonts w:hint="default" w:cs="宋体"/>
                      <w:color w:val="auto"/>
                      <w:szCs w:val="21"/>
                      <w:lang w:val="en-US" w:eastAsia="zh-CN"/>
                    </w:rPr>
                    <w:t>项目所在区域</w:t>
                  </w:r>
                  <w:r>
                    <w:rPr>
                      <w:rFonts w:hint="default" w:cs="宋体"/>
                      <w:color w:val="auto"/>
                      <w:szCs w:val="21"/>
                    </w:rPr>
                    <w:t>成为自然和人工复合的生态系统。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88" w:hRule="atLeast"/>
              </w:trPr>
              <w:tc>
                <w:tcPr>
                  <w:tcW w:w="26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80" w:type="pct"/>
                  <w:vMerge w:val="restart"/>
                  <w:tcBorders>
                    <w:top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运营期</w:t>
                  </w:r>
                </w:p>
              </w:tc>
              <w:tc>
                <w:tcPr>
                  <w:tcW w:w="568" w:type="pct"/>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固废</w:t>
                  </w:r>
                </w:p>
              </w:tc>
              <w:tc>
                <w:tcPr>
                  <w:tcW w:w="3683" w:type="pct"/>
                  <w:gridSpan w:val="3"/>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各类道路垃圾由环卫工人定时清扫、处理</w:t>
                  </w:r>
                  <w:r>
                    <w:rPr>
                      <w:rFonts w:hint="eastAsia" w:cs="Times New Roman"/>
                      <w:color w:val="auto"/>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4" w:hRule="atLeast"/>
              </w:trPr>
              <w:tc>
                <w:tcPr>
                  <w:tcW w:w="26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8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Cs w:val="21"/>
                      <w:lang w:val="en-US" w:eastAsia="zh-CN"/>
                    </w:rPr>
                  </w:pPr>
                </w:p>
              </w:tc>
              <w:tc>
                <w:tcPr>
                  <w:tcW w:w="568" w:type="pct"/>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噪声</w:t>
                  </w:r>
                </w:p>
              </w:tc>
              <w:tc>
                <w:tcPr>
                  <w:tcW w:w="3683" w:type="pct"/>
                  <w:gridSpan w:val="3"/>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Cs w:val="21"/>
                      <w:lang w:eastAsia="zh-CN"/>
                    </w:rPr>
                  </w:pPr>
                  <w:r>
                    <w:rPr>
                      <w:rFonts w:hint="eastAsia" w:cs="宋体"/>
                      <w:color w:val="auto"/>
                      <w:szCs w:val="21"/>
                    </w:rPr>
                    <w:t>加强</w:t>
                  </w:r>
                  <w:r>
                    <w:rPr>
                      <w:rFonts w:hint="eastAsia" w:cs="宋体"/>
                      <w:color w:val="auto"/>
                      <w:szCs w:val="21"/>
                      <w:lang w:val="en-US" w:eastAsia="zh-CN"/>
                    </w:rPr>
                    <w:t>路面</w:t>
                  </w:r>
                  <w:r>
                    <w:rPr>
                      <w:rFonts w:hint="eastAsia" w:cs="宋体"/>
                      <w:color w:val="auto"/>
                      <w:szCs w:val="21"/>
                    </w:rPr>
                    <w:t>的检查和保养，及时维修损坏的路面，维持路面的平整度</w:t>
                  </w:r>
                  <w:r>
                    <w:rPr>
                      <w:rFonts w:hint="eastAsia" w:cs="宋体"/>
                      <w:color w:val="auto"/>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90" w:hRule="atLeast"/>
              </w:trPr>
              <w:tc>
                <w:tcPr>
                  <w:tcW w:w="26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48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Cs w:val="21"/>
                      <w:lang w:val="en-US" w:eastAsia="zh-CN"/>
                    </w:rPr>
                  </w:pPr>
                </w:p>
              </w:tc>
              <w:tc>
                <w:tcPr>
                  <w:tcW w:w="568" w:type="pct"/>
                  <w:tcBorders>
                    <w:top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生态</w:t>
                  </w:r>
                </w:p>
              </w:tc>
              <w:tc>
                <w:tcPr>
                  <w:tcW w:w="3683" w:type="pct"/>
                  <w:gridSpan w:val="3"/>
                  <w:tcBorders>
                    <w:top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eastAsia="宋体" w:cs="宋体"/>
                      <w:color w:val="auto"/>
                      <w:szCs w:val="21"/>
                      <w:lang w:eastAsia="zh-CN"/>
                    </w:rPr>
                  </w:pPr>
                  <w:r>
                    <w:rPr>
                      <w:rFonts w:hint="eastAsia" w:cs="宋体"/>
                      <w:color w:val="auto"/>
                      <w:szCs w:val="21"/>
                    </w:rPr>
                    <w:t>道路旁种植植被，加强绿化</w:t>
                  </w:r>
                  <w:r>
                    <w:rPr>
                      <w:rFonts w:hint="eastAsia" w:cs="宋体"/>
                      <w:color w:val="auto"/>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66"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其他</w:t>
                  </w:r>
                </w:p>
              </w:tc>
              <w:tc>
                <w:tcPr>
                  <w:tcW w:w="1049"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涉及拆迁面积</w:t>
                  </w:r>
                </w:p>
              </w:tc>
              <w:tc>
                <w:tcPr>
                  <w:tcW w:w="3683"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建筑面积336m</w:t>
                  </w:r>
                  <w:r>
                    <w:rPr>
                      <w:rFonts w:hint="eastAsia" w:cs="Times New Roman"/>
                      <w:color w:val="auto"/>
                      <w:szCs w:val="21"/>
                      <w:vertAlign w:val="superscript"/>
                      <w:lang w:val="en-US" w:eastAsia="zh-CN"/>
                    </w:rPr>
                    <w:t>2</w:t>
                  </w:r>
                  <w:r>
                    <w:rPr>
                      <w:rFonts w:hint="eastAsia" w:cs="Times New Roman"/>
                      <w:color w:val="auto"/>
                      <w:szCs w:val="21"/>
                      <w:lang w:val="en-US" w:eastAsia="zh-CN"/>
                    </w:rPr>
                    <w:t>，围墙110m。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6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1049"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征地面积</w:t>
                  </w:r>
                </w:p>
              </w:tc>
              <w:tc>
                <w:tcPr>
                  <w:tcW w:w="3683"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54.41亩。</w:t>
                  </w:r>
                </w:p>
              </w:tc>
            </w:tr>
          </w:tbl>
          <w:p>
            <w:pPr>
              <w:pStyle w:val="12"/>
              <w:keepNext w:val="0"/>
              <w:keepLines w:val="0"/>
              <w:pageBreakBefore w:val="0"/>
              <w:widowControl w:val="0"/>
              <w:kinsoku/>
              <w:wordWrap/>
              <w:overflowPunct/>
              <w:topLinePunct w:val="0"/>
              <w:autoSpaceDE/>
              <w:autoSpaceDN/>
              <w:bidi w:val="0"/>
              <w:adjustRightInd/>
              <w:snapToGrid/>
              <w:spacing w:line="480" w:lineRule="exact"/>
              <w:ind w:firstLine="480" w:firstLineChars="200"/>
              <w:jc w:val="both"/>
              <w:textAlignment w:val="auto"/>
              <w:rPr>
                <w:rFonts w:hint="eastAsia" w:ascii="Times New Roman" w:hAnsi="Times New Roman"/>
                <w:b w:val="0"/>
                <w:bCs/>
                <w:color w:val="auto"/>
                <w:sz w:val="24"/>
                <w:szCs w:val="24"/>
                <w:lang w:val="en-US" w:eastAsia="zh-CN"/>
              </w:rPr>
            </w:pPr>
            <w:r>
              <w:rPr>
                <w:rFonts w:hint="eastAsia" w:ascii="Times New Roman" w:hAnsi="Times New Roman"/>
                <w:b w:val="0"/>
                <w:bCs/>
                <w:color w:val="auto"/>
                <w:sz w:val="24"/>
                <w:szCs w:val="24"/>
                <w:lang w:val="en-US" w:eastAsia="zh-CN"/>
              </w:rPr>
              <w:t>本项目道路主要技术指标见表2-2。</w:t>
            </w:r>
          </w:p>
          <w:p>
            <w:pPr>
              <w:pStyle w:val="27"/>
              <w:spacing w:before="0" w:after="0" w:afterAutospacing="0" w:line="480" w:lineRule="atLeast"/>
              <w:rPr>
                <w:rFonts w:hint="eastAsia" w:ascii="黑体" w:hAnsi="黑体" w:eastAsia="黑体"/>
                <w:sz w:val="24"/>
                <w:szCs w:val="24"/>
                <w:lang w:val="en-US" w:eastAsia="zh-CN"/>
              </w:rPr>
            </w:pPr>
            <w:r>
              <w:rPr>
                <w:rFonts w:hint="eastAsia" w:ascii="黑体" w:hAnsi="黑体" w:eastAsia="黑体"/>
                <w:sz w:val="24"/>
                <w:szCs w:val="24"/>
                <w:lang w:val="en-US" w:eastAsia="zh-CN"/>
              </w:rPr>
              <w:t>表2-2a  东外环路主要技术指标表</w:t>
            </w:r>
          </w:p>
          <w:tbl>
            <w:tblPr>
              <w:tblStyle w:val="21"/>
              <w:tblW w:w="4998" w:type="pct"/>
              <w:tblInd w:w="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6"/>
              <w:gridCol w:w="3062"/>
              <w:gridCol w:w="1282"/>
              <w:gridCol w:w="1405"/>
              <w:gridCol w:w="14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1" w:type="pct"/>
                  <w:vMerge w:val="restart"/>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000000"/>
                      <w:kern w:val="2"/>
                      <w:sz w:val="21"/>
                      <w:szCs w:val="21"/>
                      <w:highlight w:val="none"/>
                      <w:lang w:val="en-US" w:eastAsia="zh-CN" w:bidi="ar"/>
                    </w:rPr>
                  </w:pPr>
                  <w:r>
                    <w:rPr>
                      <w:rFonts w:hint="default" w:ascii="Times New Roman" w:hAnsi="Times New Roman" w:eastAsia="宋体" w:cs="Times New Roman"/>
                      <w:b/>
                      <w:bCs w:val="0"/>
                      <w:color w:val="000000"/>
                      <w:kern w:val="2"/>
                      <w:sz w:val="21"/>
                      <w:szCs w:val="21"/>
                      <w:highlight w:val="none"/>
                      <w:lang w:val="en-US" w:eastAsia="zh-CN" w:bidi="ar"/>
                    </w:rPr>
                    <w:t>东外环路</w:t>
                  </w:r>
                </w:p>
              </w:tc>
              <w:tc>
                <w:tcPr>
                  <w:tcW w:w="1840" w:type="pct"/>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000000"/>
                      <w:kern w:val="2"/>
                      <w:sz w:val="21"/>
                      <w:szCs w:val="21"/>
                      <w:highlight w:val="none"/>
                    </w:rPr>
                  </w:pPr>
                  <w:r>
                    <w:rPr>
                      <w:rFonts w:hint="default" w:ascii="Times New Roman" w:hAnsi="Times New Roman" w:eastAsia="宋体" w:cs="Times New Roman"/>
                      <w:b/>
                      <w:bCs w:val="0"/>
                      <w:color w:val="000000"/>
                      <w:kern w:val="2"/>
                      <w:sz w:val="21"/>
                      <w:szCs w:val="21"/>
                      <w:highlight w:val="none"/>
                      <w:lang w:val="en-US" w:eastAsia="zh-CN" w:bidi="ar"/>
                    </w:rPr>
                    <w:t>指  标</w:t>
                  </w:r>
                </w:p>
              </w:tc>
              <w:tc>
                <w:tcPr>
                  <w:tcW w:w="770" w:type="pct"/>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000000"/>
                      <w:kern w:val="2"/>
                      <w:sz w:val="21"/>
                      <w:szCs w:val="21"/>
                      <w:highlight w:val="none"/>
                    </w:rPr>
                  </w:pPr>
                  <w:r>
                    <w:rPr>
                      <w:rFonts w:hint="default" w:ascii="Times New Roman" w:hAnsi="Times New Roman" w:eastAsia="宋体" w:cs="Times New Roman"/>
                      <w:b/>
                      <w:bCs w:val="0"/>
                      <w:color w:val="000000"/>
                      <w:kern w:val="2"/>
                      <w:sz w:val="21"/>
                      <w:szCs w:val="21"/>
                      <w:highlight w:val="none"/>
                      <w:lang w:val="en-US" w:eastAsia="zh-CN" w:bidi="ar"/>
                    </w:rPr>
                    <w:t>单位</w:t>
                  </w:r>
                </w:p>
              </w:tc>
              <w:tc>
                <w:tcPr>
                  <w:tcW w:w="844" w:type="pct"/>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000000"/>
                      <w:kern w:val="2"/>
                      <w:sz w:val="21"/>
                      <w:szCs w:val="21"/>
                      <w:highlight w:val="none"/>
                    </w:rPr>
                  </w:pPr>
                  <w:r>
                    <w:rPr>
                      <w:rFonts w:hint="default" w:ascii="Times New Roman" w:hAnsi="Times New Roman" w:eastAsia="宋体" w:cs="Times New Roman"/>
                      <w:b/>
                      <w:bCs w:val="0"/>
                      <w:color w:val="000000"/>
                      <w:kern w:val="2"/>
                      <w:sz w:val="21"/>
                      <w:szCs w:val="21"/>
                      <w:highlight w:val="none"/>
                      <w:lang w:val="en-US" w:eastAsia="zh-CN" w:bidi="ar"/>
                    </w:rPr>
                    <w:t>技术标准值</w:t>
                  </w:r>
                </w:p>
              </w:tc>
              <w:tc>
                <w:tcPr>
                  <w:tcW w:w="844" w:type="pct"/>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000000"/>
                      <w:kern w:val="2"/>
                      <w:sz w:val="21"/>
                      <w:szCs w:val="21"/>
                      <w:highlight w:val="none"/>
                    </w:rPr>
                  </w:pPr>
                  <w:r>
                    <w:rPr>
                      <w:rFonts w:hint="default" w:ascii="Times New Roman" w:hAnsi="Times New Roman" w:eastAsia="宋体" w:cs="Times New Roman"/>
                      <w:b/>
                      <w:bCs w:val="0"/>
                      <w:color w:val="000000"/>
                      <w:kern w:val="2"/>
                      <w:sz w:val="21"/>
                      <w:szCs w:val="21"/>
                      <w:highlight w:val="none"/>
                      <w:lang w:val="en-US" w:eastAsia="zh-CN" w:bidi="ar"/>
                    </w:rPr>
                    <w:t>实际采用值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1" w:type="pct"/>
                  <w:vMerge w:val="continue"/>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
                    </w:rPr>
                  </w:pPr>
                </w:p>
              </w:tc>
              <w:tc>
                <w:tcPr>
                  <w:tcW w:w="1840" w:type="pct"/>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道路等级</w:t>
                  </w:r>
                </w:p>
              </w:tc>
              <w:tc>
                <w:tcPr>
                  <w:tcW w:w="770" w:type="pct"/>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highlight w:val="none"/>
                    </w:rPr>
                  </w:pPr>
                </w:p>
              </w:tc>
              <w:tc>
                <w:tcPr>
                  <w:tcW w:w="844" w:type="pct"/>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城市主干路</w:t>
                  </w:r>
                </w:p>
              </w:tc>
              <w:tc>
                <w:tcPr>
                  <w:tcW w:w="844" w:type="pct"/>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城市主干路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1" w:type="pct"/>
                  <w:vMerge w:val="continue"/>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
                    </w:rPr>
                  </w:pPr>
                </w:p>
              </w:tc>
              <w:tc>
                <w:tcPr>
                  <w:tcW w:w="1840" w:type="pct"/>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设计速度</w:t>
                  </w:r>
                </w:p>
              </w:tc>
              <w:tc>
                <w:tcPr>
                  <w:tcW w:w="770" w:type="pct"/>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公里/小时</w:t>
                  </w:r>
                </w:p>
              </w:tc>
              <w:tc>
                <w:tcPr>
                  <w:tcW w:w="844" w:type="pct"/>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highlight w:val="none"/>
                      <w:lang w:val="en-US"/>
                    </w:rPr>
                  </w:pPr>
                  <w:r>
                    <w:rPr>
                      <w:rFonts w:hint="default" w:ascii="Times New Roman" w:hAnsi="Times New Roman" w:eastAsia="宋体" w:cs="Times New Roman"/>
                      <w:color w:val="000000"/>
                      <w:kern w:val="2"/>
                      <w:sz w:val="21"/>
                      <w:szCs w:val="21"/>
                      <w:highlight w:val="none"/>
                      <w:lang w:val="en-US" w:eastAsia="zh-CN" w:bidi="ar"/>
                    </w:rPr>
                    <w:t>40-60</w:t>
                  </w:r>
                </w:p>
              </w:tc>
              <w:tc>
                <w:tcPr>
                  <w:tcW w:w="844" w:type="pct"/>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highlight w:val="none"/>
                      <w:lang w:val="en-US"/>
                    </w:rPr>
                  </w:pPr>
                  <w:r>
                    <w:rPr>
                      <w:rFonts w:hint="default" w:ascii="Times New Roman" w:hAnsi="Times New Roman" w:eastAsia="宋体" w:cs="Times New Roman"/>
                      <w:color w:val="000000"/>
                      <w:kern w:val="2"/>
                      <w:sz w:val="21"/>
                      <w:szCs w:val="21"/>
                      <w:highlight w:val="none"/>
                      <w:lang w:val="en-US" w:eastAsia="zh-CN" w:bidi="ar"/>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1" w:type="pct"/>
                  <w:vMerge w:val="continue"/>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
                    </w:rPr>
                  </w:pPr>
                </w:p>
              </w:tc>
              <w:tc>
                <w:tcPr>
                  <w:tcW w:w="1840" w:type="pct"/>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标准轴载</w:t>
                  </w:r>
                </w:p>
              </w:tc>
              <w:tc>
                <w:tcPr>
                  <w:tcW w:w="770" w:type="pct"/>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highlight w:val="none"/>
                    </w:rPr>
                  </w:pPr>
                </w:p>
              </w:tc>
              <w:tc>
                <w:tcPr>
                  <w:tcW w:w="844" w:type="pct"/>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BZZ—100</w:t>
                  </w:r>
                </w:p>
              </w:tc>
              <w:tc>
                <w:tcPr>
                  <w:tcW w:w="844" w:type="pct"/>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BZZ—100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1" w:type="pct"/>
                  <w:vMerge w:val="continue"/>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
                    </w:rPr>
                  </w:pPr>
                </w:p>
              </w:tc>
              <w:tc>
                <w:tcPr>
                  <w:tcW w:w="1840" w:type="pct"/>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设计洪水频率</w:t>
                  </w:r>
                </w:p>
              </w:tc>
              <w:tc>
                <w:tcPr>
                  <w:tcW w:w="770" w:type="pct"/>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m</w:t>
                  </w:r>
                </w:p>
              </w:tc>
              <w:tc>
                <w:tcPr>
                  <w:tcW w:w="844" w:type="pct"/>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1/100</w:t>
                  </w:r>
                </w:p>
              </w:tc>
              <w:tc>
                <w:tcPr>
                  <w:tcW w:w="844" w:type="pct"/>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1/100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1" w:type="pct"/>
                  <w:vMerge w:val="continue"/>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
                    </w:rPr>
                  </w:pPr>
                </w:p>
              </w:tc>
              <w:tc>
                <w:tcPr>
                  <w:tcW w:w="1840" w:type="pct"/>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不设超高的最小圆曲线半径</w:t>
                  </w:r>
                </w:p>
              </w:tc>
              <w:tc>
                <w:tcPr>
                  <w:tcW w:w="770" w:type="pct"/>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m</w:t>
                  </w:r>
                </w:p>
              </w:tc>
              <w:tc>
                <w:tcPr>
                  <w:tcW w:w="844" w:type="pct"/>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highlight w:val="none"/>
                      <w:lang w:val="en-US"/>
                    </w:rPr>
                  </w:pPr>
                  <w:r>
                    <w:rPr>
                      <w:rFonts w:hint="default" w:ascii="Times New Roman" w:hAnsi="Times New Roman" w:eastAsia="宋体" w:cs="Times New Roman"/>
                      <w:color w:val="000000"/>
                      <w:kern w:val="2"/>
                      <w:sz w:val="21"/>
                      <w:szCs w:val="21"/>
                      <w:highlight w:val="none"/>
                      <w:lang w:val="en-US" w:eastAsia="zh-CN" w:bidi="ar"/>
                    </w:rPr>
                    <w:t>300-600</w:t>
                  </w:r>
                </w:p>
              </w:tc>
              <w:tc>
                <w:tcPr>
                  <w:tcW w:w="844" w:type="pct"/>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highlight w:val="none"/>
                      <w:lang w:val="en-US"/>
                    </w:rPr>
                  </w:pPr>
                  <w:r>
                    <w:rPr>
                      <w:rFonts w:hint="default" w:ascii="Times New Roman" w:hAnsi="Times New Roman" w:eastAsia="宋体" w:cs="Times New Roman"/>
                      <w:color w:val="000000"/>
                      <w:kern w:val="2"/>
                      <w:sz w:val="21"/>
                      <w:szCs w:val="21"/>
                      <w:highlight w:val="none"/>
                      <w:lang w:val="en-US" w:eastAsia="zh-CN" w:bidi="ar"/>
                    </w:rPr>
                    <w:t>260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1" w:type="pct"/>
                  <w:vMerge w:val="continue"/>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
                    </w:rPr>
                  </w:pPr>
                </w:p>
              </w:tc>
              <w:tc>
                <w:tcPr>
                  <w:tcW w:w="1840" w:type="pct"/>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缓和曲线最小长度</w:t>
                  </w:r>
                </w:p>
              </w:tc>
              <w:tc>
                <w:tcPr>
                  <w:tcW w:w="770" w:type="pct"/>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m</w:t>
                  </w:r>
                </w:p>
              </w:tc>
              <w:tc>
                <w:tcPr>
                  <w:tcW w:w="844" w:type="pct"/>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highlight w:val="none"/>
                      <w:lang w:val="en-US"/>
                    </w:rPr>
                  </w:pPr>
                  <w:r>
                    <w:rPr>
                      <w:rFonts w:hint="default" w:ascii="Times New Roman" w:hAnsi="Times New Roman" w:eastAsia="宋体" w:cs="Times New Roman"/>
                      <w:color w:val="000000"/>
                      <w:kern w:val="2"/>
                      <w:sz w:val="21"/>
                      <w:szCs w:val="21"/>
                      <w:highlight w:val="none"/>
                      <w:lang w:val="en-US" w:eastAsia="zh-CN" w:bidi="ar"/>
                    </w:rPr>
                    <w:t>45</w:t>
                  </w:r>
                </w:p>
              </w:tc>
              <w:tc>
                <w:tcPr>
                  <w:tcW w:w="844" w:type="pct"/>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highlight w:val="none"/>
                      <w:lang w:val="en-US"/>
                    </w:rPr>
                  </w:pPr>
                  <w:r>
                    <w:rPr>
                      <w:rFonts w:hint="default" w:ascii="Times New Roman" w:hAnsi="Times New Roman" w:eastAsia="宋体" w:cs="Times New Roman"/>
                      <w:color w:val="000000"/>
                      <w:kern w:val="2"/>
                      <w:sz w:val="21"/>
                      <w:szCs w:val="21"/>
                      <w:highlight w:val="none"/>
                      <w:lang w:val="en-US" w:eastAsia="zh-CN" w:bidi="ar"/>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1" w:type="pct"/>
                  <w:vMerge w:val="continue"/>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
                    </w:rPr>
                  </w:pPr>
                </w:p>
              </w:tc>
              <w:tc>
                <w:tcPr>
                  <w:tcW w:w="1840" w:type="pct"/>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凸型竖曲线一般最小半径</w:t>
                  </w:r>
                </w:p>
              </w:tc>
              <w:tc>
                <w:tcPr>
                  <w:tcW w:w="770" w:type="pct"/>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m</w:t>
                  </w:r>
                </w:p>
              </w:tc>
              <w:tc>
                <w:tcPr>
                  <w:tcW w:w="844" w:type="pct"/>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highlight w:val="none"/>
                      <w:lang w:val="en-US"/>
                    </w:rPr>
                  </w:pPr>
                  <w:r>
                    <w:rPr>
                      <w:rFonts w:hint="default" w:ascii="Times New Roman" w:hAnsi="Times New Roman" w:eastAsia="宋体" w:cs="Times New Roman"/>
                      <w:color w:val="000000"/>
                      <w:kern w:val="2"/>
                      <w:sz w:val="21"/>
                      <w:szCs w:val="21"/>
                      <w:highlight w:val="none"/>
                      <w:lang w:val="en-US" w:eastAsia="zh-CN" w:bidi="ar"/>
                    </w:rPr>
                    <w:t>1350</w:t>
                  </w:r>
                </w:p>
              </w:tc>
              <w:tc>
                <w:tcPr>
                  <w:tcW w:w="844" w:type="pct"/>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highlight w:val="none"/>
                      <w:lang w:val="en-US"/>
                    </w:rPr>
                  </w:pPr>
                  <w:r>
                    <w:rPr>
                      <w:rFonts w:hint="default" w:ascii="Times New Roman" w:hAnsi="Times New Roman" w:eastAsia="宋体" w:cs="Times New Roman"/>
                      <w:color w:val="000000"/>
                      <w:kern w:val="2"/>
                      <w:sz w:val="21"/>
                      <w:szCs w:val="21"/>
                      <w:highlight w:val="none"/>
                      <w:lang w:val="en-US" w:eastAsia="zh-CN" w:bidi="ar"/>
                    </w:rPr>
                    <w:t>2800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1" w:type="pct"/>
                  <w:vMerge w:val="continue"/>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
                    </w:rPr>
                  </w:pPr>
                </w:p>
              </w:tc>
              <w:tc>
                <w:tcPr>
                  <w:tcW w:w="1840" w:type="pct"/>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凹型竖曲线一般最小半径</w:t>
                  </w:r>
                </w:p>
              </w:tc>
              <w:tc>
                <w:tcPr>
                  <w:tcW w:w="770" w:type="pct"/>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m</w:t>
                  </w:r>
                </w:p>
              </w:tc>
              <w:tc>
                <w:tcPr>
                  <w:tcW w:w="844" w:type="pct"/>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highlight w:val="none"/>
                      <w:lang w:val="en-US"/>
                    </w:rPr>
                  </w:pPr>
                  <w:r>
                    <w:rPr>
                      <w:rFonts w:hint="default" w:ascii="Times New Roman" w:hAnsi="Times New Roman" w:eastAsia="宋体" w:cs="Times New Roman"/>
                      <w:color w:val="000000"/>
                      <w:kern w:val="2"/>
                      <w:sz w:val="21"/>
                      <w:szCs w:val="21"/>
                      <w:highlight w:val="none"/>
                      <w:lang w:val="en-US" w:eastAsia="zh-CN" w:bidi="ar"/>
                    </w:rPr>
                    <w:t>1050</w:t>
                  </w:r>
                </w:p>
              </w:tc>
              <w:tc>
                <w:tcPr>
                  <w:tcW w:w="844" w:type="pct"/>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highlight w:val="none"/>
                      <w:lang w:val="en-US"/>
                    </w:rPr>
                  </w:pPr>
                  <w:r>
                    <w:rPr>
                      <w:rFonts w:hint="default" w:ascii="Times New Roman" w:hAnsi="Times New Roman" w:eastAsia="宋体" w:cs="Times New Roman"/>
                      <w:color w:val="000000"/>
                      <w:kern w:val="2"/>
                      <w:sz w:val="21"/>
                      <w:szCs w:val="21"/>
                      <w:highlight w:val="none"/>
                      <w:lang w:val="en-US" w:eastAsia="zh-CN" w:bidi="ar"/>
                    </w:rPr>
                    <w:t>4200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1" w:type="pct"/>
                  <w:vMerge w:val="continue"/>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
                    </w:rPr>
                  </w:pPr>
                </w:p>
              </w:tc>
              <w:tc>
                <w:tcPr>
                  <w:tcW w:w="1840" w:type="pct"/>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最大纵坡</w:t>
                  </w:r>
                </w:p>
              </w:tc>
              <w:tc>
                <w:tcPr>
                  <w:tcW w:w="770" w:type="pct"/>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w:t>
                  </w:r>
                </w:p>
              </w:tc>
              <w:tc>
                <w:tcPr>
                  <w:tcW w:w="844" w:type="pct"/>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highlight w:val="none"/>
                      <w:lang w:val="en-US"/>
                    </w:rPr>
                  </w:pPr>
                  <w:r>
                    <w:rPr>
                      <w:rFonts w:hint="default" w:ascii="Times New Roman" w:hAnsi="Times New Roman" w:eastAsia="宋体" w:cs="Times New Roman"/>
                      <w:color w:val="000000"/>
                      <w:kern w:val="2"/>
                      <w:sz w:val="21"/>
                      <w:szCs w:val="21"/>
                      <w:highlight w:val="none"/>
                      <w:lang w:val="en-US" w:eastAsia="zh-CN" w:bidi="ar"/>
                    </w:rPr>
                    <w:t>6</w:t>
                  </w:r>
                </w:p>
              </w:tc>
              <w:tc>
                <w:tcPr>
                  <w:tcW w:w="844" w:type="pct"/>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highlight w:val="none"/>
                      <w:lang w:val="en-US"/>
                    </w:rPr>
                  </w:pPr>
                  <w:r>
                    <w:rPr>
                      <w:rFonts w:hint="default" w:ascii="Times New Roman" w:hAnsi="Times New Roman" w:eastAsia="宋体" w:cs="Times New Roman"/>
                      <w:color w:val="000000"/>
                      <w:kern w:val="2"/>
                      <w:sz w:val="21"/>
                      <w:szCs w:val="21"/>
                      <w:highlight w:val="none"/>
                      <w:lang w:val="en-US" w:eastAsia="zh-CN" w:bidi="ar"/>
                    </w:rPr>
                    <w:t>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1" w:type="pct"/>
                  <w:vMerge w:val="continue"/>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
                    </w:rPr>
                  </w:pPr>
                </w:p>
              </w:tc>
              <w:tc>
                <w:tcPr>
                  <w:tcW w:w="1840" w:type="pct"/>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地震烈度</w:t>
                  </w:r>
                </w:p>
              </w:tc>
              <w:tc>
                <w:tcPr>
                  <w:tcW w:w="770" w:type="pct"/>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烈度</w:t>
                  </w:r>
                </w:p>
              </w:tc>
              <w:tc>
                <w:tcPr>
                  <w:tcW w:w="844" w:type="pct"/>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8</w:t>
                  </w:r>
                </w:p>
              </w:tc>
              <w:tc>
                <w:tcPr>
                  <w:tcW w:w="844" w:type="pct"/>
                  <w:noWrap w:val="0"/>
                  <w:vAlign w:val="center"/>
                </w:tcPr>
                <w:p>
                  <w:pPr>
                    <w:pStyle w:val="19"/>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8</w:t>
                  </w:r>
                </w:p>
              </w:tc>
            </w:tr>
          </w:tbl>
          <w:p>
            <w:pPr>
              <w:pStyle w:val="27"/>
              <w:spacing w:before="0" w:after="0" w:afterAutospacing="0" w:line="480" w:lineRule="atLeast"/>
              <w:rPr>
                <w:rFonts w:hint="eastAsia" w:ascii="黑体" w:hAnsi="黑体" w:eastAsia="黑体"/>
                <w:sz w:val="24"/>
                <w:szCs w:val="24"/>
                <w:lang w:val="en-US" w:eastAsia="zh-CN"/>
              </w:rPr>
            </w:pPr>
            <w:r>
              <w:rPr>
                <w:rFonts w:hint="eastAsia" w:ascii="黑体" w:hAnsi="黑体" w:eastAsia="黑体"/>
                <w:sz w:val="24"/>
                <w:szCs w:val="24"/>
                <w:lang w:val="en-US" w:eastAsia="zh-CN"/>
              </w:rPr>
              <w:t>表2-2b  湖滨大街西延主要技术指标表</w:t>
            </w:r>
          </w:p>
          <w:tbl>
            <w:tblPr>
              <w:tblStyle w:val="21"/>
              <w:tblW w:w="4998" w:type="pct"/>
              <w:tblInd w:w="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7"/>
              <w:gridCol w:w="2936"/>
              <w:gridCol w:w="1197"/>
              <w:gridCol w:w="1525"/>
              <w:gridCol w:w="15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3" w:type="pct"/>
                  <w:vMerge w:val="restar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b/>
                      <w:bCs w:val="0"/>
                      <w:color w:val="000000"/>
                      <w:kern w:val="2"/>
                      <w:sz w:val="21"/>
                      <w:szCs w:val="21"/>
                      <w:highlight w:val="none"/>
                      <w:lang w:val="en-US" w:eastAsia="zh-CN" w:bidi="ar"/>
                    </w:rPr>
                  </w:pPr>
                  <w:r>
                    <w:rPr>
                      <w:rFonts w:hint="default" w:ascii="Times New Roman" w:hAnsi="Times New Roman" w:eastAsia="宋体" w:cs="Times New Roman"/>
                      <w:b/>
                      <w:bCs w:val="0"/>
                      <w:color w:val="000000"/>
                      <w:kern w:val="2"/>
                      <w:sz w:val="21"/>
                      <w:szCs w:val="21"/>
                      <w:highlight w:val="none"/>
                      <w:lang w:val="en-US" w:eastAsia="zh-CN" w:bidi="ar"/>
                    </w:rPr>
                    <w:t>湖滨大街</w:t>
                  </w:r>
                </w:p>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b/>
                      <w:bCs w:val="0"/>
                      <w:color w:val="000000"/>
                      <w:kern w:val="2"/>
                      <w:sz w:val="21"/>
                      <w:szCs w:val="21"/>
                      <w:highlight w:val="none"/>
                      <w:lang w:val="en-US" w:eastAsia="zh-CN" w:bidi="ar"/>
                    </w:rPr>
                  </w:pPr>
                  <w:r>
                    <w:rPr>
                      <w:rFonts w:hint="default" w:ascii="Times New Roman" w:hAnsi="Times New Roman" w:eastAsia="宋体" w:cs="Times New Roman"/>
                      <w:b/>
                      <w:bCs w:val="0"/>
                      <w:color w:val="000000"/>
                      <w:kern w:val="2"/>
                      <w:sz w:val="21"/>
                      <w:szCs w:val="21"/>
                      <w:highlight w:val="none"/>
                      <w:lang w:val="en-US" w:eastAsia="zh-CN" w:bidi="ar"/>
                    </w:rPr>
                    <w:t>西延</w:t>
                  </w:r>
                </w:p>
              </w:tc>
              <w:tc>
                <w:tcPr>
                  <w:tcW w:w="1764"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b/>
                      <w:bCs w:val="0"/>
                      <w:color w:val="000000"/>
                      <w:kern w:val="2"/>
                      <w:sz w:val="21"/>
                      <w:szCs w:val="21"/>
                      <w:highlight w:val="none"/>
                    </w:rPr>
                  </w:pPr>
                  <w:r>
                    <w:rPr>
                      <w:rFonts w:hint="default" w:ascii="Times New Roman" w:hAnsi="Times New Roman" w:eastAsia="宋体" w:cs="Times New Roman"/>
                      <w:b/>
                      <w:bCs w:val="0"/>
                      <w:color w:val="000000"/>
                      <w:kern w:val="2"/>
                      <w:sz w:val="21"/>
                      <w:szCs w:val="21"/>
                      <w:highlight w:val="none"/>
                      <w:lang w:val="en-US" w:eastAsia="zh-CN" w:bidi="ar"/>
                    </w:rPr>
                    <w:t>指  标</w:t>
                  </w:r>
                </w:p>
              </w:tc>
              <w:tc>
                <w:tcPr>
                  <w:tcW w:w="719"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b/>
                      <w:bCs w:val="0"/>
                      <w:color w:val="000000"/>
                      <w:kern w:val="2"/>
                      <w:sz w:val="21"/>
                      <w:szCs w:val="21"/>
                      <w:highlight w:val="none"/>
                    </w:rPr>
                  </w:pPr>
                  <w:r>
                    <w:rPr>
                      <w:rFonts w:hint="default" w:ascii="Times New Roman" w:hAnsi="Times New Roman" w:eastAsia="宋体" w:cs="Times New Roman"/>
                      <w:b/>
                      <w:bCs w:val="0"/>
                      <w:color w:val="000000"/>
                      <w:kern w:val="2"/>
                      <w:sz w:val="21"/>
                      <w:szCs w:val="21"/>
                      <w:highlight w:val="none"/>
                      <w:lang w:val="en-US" w:eastAsia="zh-CN" w:bidi="ar"/>
                    </w:rPr>
                    <w:t>单位</w:t>
                  </w:r>
                </w:p>
              </w:tc>
              <w:tc>
                <w:tcPr>
                  <w:tcW w:w="916"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b/>
                      <w:bCs w:val="0"/>
                      <w:color w:val="000000"/>
                      <w:kern w:val="2"/>
                      <w:sz w:val="21"/>
                      <w:szCs w:val="21"/>
                      <w:highlight w:val="none"/>
                    </w:rPr>
                  </w:pPr>
                  <w:r>
                    <w:rPr>
                      <w:rFonts w:hint="default" w:ascii="Times New Roman" w:hAnsi="Times New Roman" w:eastAsia="宋体" w:cs="Times New Roman"/>
                      <w:b/>
                      <w:bCs w:val="0"/>
                      <w:color w:val="000000"/>
                      <w:kern w:val="2"/>
                      <w:sz w:val="21"/>
                      <w:szCs w:val="21"/>
                      <w:highlight w:val="none"/>
                      <w:lang w:val="en-US" w:eastAsia="zh-CN" w:bidi="ar"/>
                    </w:rPr>
                    <w:t>技术标准值</w:t>
                  </w:r>
                </w:p>
              </w:tc>
              <w:tc>
                <w:tcPr>
                  <w:tcW w:w="916"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b/>
                      <w:bCs w:val="0"/>
                      <w:color w:val="000000"/>
                      <w:kern w:val="2"/>
                      <w:sz w:val="21"/>
                      <w:szCs w:val="21"/>
                      <w:highlight w:val="none"/>
                    </w:rPr>
                  </w:pPr>
                  <w:r>
                    <w:rPr>
                      <w:rFonts w:hint="default" w:ascii="Times New Roman" w:hAnsi="Times New Roman" w:eastAsia="宋体" w:cs="Times New Roman"/>
                      <w:b/>
                      <w:bCs w:val="0"/>
                      <w:color w:val="000000"/>
                      <w:kern w:val="2"/>
                      <w:sz w:val="21"/>
                      <w:szCs w:val="21"/>
                      <w:highlight w:val="none"/>
                      <w:lang w:val="en-US" w:eastAsia="zh-CN" w:bidi="ar"/>
                    </w:rPr>
                    <w:t>实际采用值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3" w:type="pct"/>
                  <w:vMerge w:val="continue"/>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lang w:val="en-US" w:eastAsia="zh-CN" w:bidi="ar"/>
                    </w:rPr>
                  </w:pPr>
                </w:p>
              </w:tc>
              <w:tc>
                <w:tcPr>
                  <w:tcW w:w="1764"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道路等级</w:t>
                  </w:r>
                </w:p>
              </w:tc>
              <w:tc>
                <w:tcPr>
                  <w:tcW w:w="719"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p>
              </w:tc>
              <w:tc>
                <w:tcPr>
                  <w:tcW w:w="916"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leftChars="0" w:right="0" w:rightChars="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城市主干路</w:t>
                  </w:r>
                </w:p>
              </w:tc>
              <w:tc>
                <w:tcPr>
                  <w:tcW w:w="916"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leftChars="0" w:right="0" w:rightChars="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城市主干路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3" w:type="pct"/>
                  <w:vMerge w:val="continue"/>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lang w:val="en-US" w:eastAsia="zh-CN" w:bidi="ar"/>
                    </w:rPr>
                  </w:pPr>
                </w:p>
              </w:tc>
              <w:tc>
                <w:tcPr>
                  <w:tcW w:w="1764"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设计速度</w:t>
                  </w:r>
                </w:p>
              </w:tc>
              <w:tc>
                <w:tcPr>
                  <w:tcW w:w="719"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公里/小时</w:t>
                  </w:r>
                </w:p>
              </w:tc>
              <w:tc>
                <w:tcPr>
                  <w:tcW w:w="916"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leftChars="0" w:right="0" w:rightChars="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40-60</w:t>
                  </w:r>
                </w:p>
              </w:tc>
              <w:tc>
                <w:tcPr>
                  <w:tcW w:w="916"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lang w:val="en-US"/>
                    </w:rPr>
                  </w:pPr>
                  <w:r>
                    <w:rPr>
                      <w:rFonts w:hint="default" w:ascii="Times New Roman" w:hAnsi="Times New Roman" w:eastAsia="宋体" w:cs="Times New Roman"/>
                      <w:color w:val="000000"/>
                      <w:kern w:val="2"/>
                      <w:sz w:val="21"/>
                      <w:szCs w:val="21"/>
                      <w:highlight w:val="none"/>
                      <w:lang w:val="en-US" w:eastAsia="zh-CN" w:bidi="ar"/>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3" w:type="pct"/>
                  <w:vMerge w:val="continue"/>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lang w:val="en-US" w:eastAsia="zh-CN" w:bidi="ar"/>
                    </w:rPr>
                  </w:pPr>
                </w:p>
              </w:tc>
              <w:tc>
                <w:tcPr>
                  <w:tcW w:w="1764"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标准轴载</w:t>
                  </w:r>
                </w:p>
              </w:tc>
              <w:tc>
                <w:tcPr>
                  <w:tcW w:w="719"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p>
              </w:tc>
              <w:tc>
                <w:tcPr>
                  <w:tcW w:w="916"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leftChars="0" w:right="0" w:rightChars="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BZZ—100</w:t>
                  </w:r>
                </w:p>
              </w:tc>
              <w:tc>
                <w:tcPr>
                  <w:tcW w:w="916"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BZZ—100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3" w:type="pct"/>
                  <w:vMerge w:val="continue"/>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lang w:val="en-US" w:eastAsia="zh-CN" w:bidi="ar"/>
                    </w:rPr>
                  </w:pPr>
                </w:p>
              </w:tc>
              <w:tc>
                <w:tcPr>
                  <w:tcW w:w="1764"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设计洪水频率</w:t>
                  </w:r>
                </w:p>
              </w:tc>
              <w:tc>
                <w:tcPr>
                  <w:tcW w:w="719"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m</w:t>
                  </w:r>
                </w:p>
              </w:tc>
              <w:tc>
                <w:tcPr>
                  <w:tcW w:w="916"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leftChars="0" w:right="0" w:rightChars="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1/100</w:t>
                  </w:r>
                </w:p>
              </w:tc>
              <w:tc>
                <w:tcPr>
                  <w:tcW w:w="916"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1/100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3" w:type="pct"/>
                  <w:vMerge w:val="continue"/>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lang w:val="en-US" w:eastAsia="zh-CN" w:bidi="ar"/>
                    </w:rPr>
                  </w:pPr>
                </w:p>
              </w:tc>
              <w:tc>
                <w:tcPr>
                  <w:tcW w:w="1764"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不设超高的最小圆曲线半径</w:t>
                  </w:r>
                </w:p>
              </w:tc>
              <w:tc>
                <w:tcPr>
                  <w:tcW w:w="719"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m</w:t>
                  </w:r>
                </w:p>
              </w:tc>
              <w:tc>
                <w:tcPr>
                  <w:tcW w:w="916"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leftChars="0" w:right="0" w:rightChars="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300-600</w:t>
                  </w:r>
                </w:p>
              </w:tc>
              <w:tc>
                <w:tcPr>
                  <w:tcW w:w="916"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lang w:val="en-US" w:eastAsia="zh-CN"/>
                    </w:rPr>
                  </w:pPr>
                  <w:r>
                    <w:rPr>
                      <w:rFonts w:hint="default" w:ascii="Times New Roman" w:hAnsi="Times New Roman" w:eastAsia="宋体" w:cs="Times New Roman"/>
                      <w:color w:val="000000"/>
                      <w:kern w:val="2"/>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3" w:type="pct"/>
                  <w:vMerge w:val="continue"/>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lang w:val="en-US" w:eastAsia="zh-CN" w:bidi="ar"/>
                    </w:rPr>
                  </w:pPr>
                </w:p>
              </w:tc>
              <w:tc>
                <w:tcPr>
                  <w:tcW w:w="1764"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缓和曲线最小长度</w:t>
                  </w:r>
                </w:p>
              </w:tc>
              <w:tc>
                <w:tcPr>
                  <w:tcW w:w="719"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m</w:t>
                  </w:r>
                </w:p>
              </w:tc>
              <w:tc>
                <w:tcPr>
                  <w:tcW w:w="916"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leftChars="0" w:right="0" w:rightChars="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45</w:t>
                  </w:r>
                </w:p>
              </w:tc>
              <w:tc>
                <w:tcPr>
                  <w:tcW w:w="916"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3" w:type="pct"/>
                  <w:vMerge w:val="continue"/>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lang w:val="en-US" w:eastAsia="zh-CN" w:bidi="ar"/>
                    </w:rPr>
                  </w:pPr>
                </w:p>
              </w:tc>
              <w:tc>
                <w:tcPr>
                  <w:tcW w:w="1764"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凸型竖曲线一般最小半径</w:t>
                  </w:r>
                </w:p>
              </w:tc>
              <w:tc>
                <w:tcPr>
                  <w:tcW w:w="719"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m</w:t>
                  </w:r>
                </w:p>
              </w:tc>
              <w:tc>
                <w:tcPr>
                  <w:tcW w:w="916"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leftChars="0" w:right="0" w:rightChars="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1350</w:t>
                  </w:r>
                </w:p>
              </w:tc>
              <w:tc>
                <w:tcPr>
                  <w:tcW w:w="916"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3" w:type="pct"/>
                  <w:vMerge w:val="continue"/>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lang w:val="en-US" w:eastAsia="zh-CN" w:bidi="ar"/>
                    </w:rPr>
                  </w:pPr>
                </w:p>
              </w:tc>
              <w:tc>
                <w:tcPr>
                  <w:tcW w:w="1764"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凹型竖曲线一般最小半径</w:t>
                  </w:r>
                </w:p>
              </w:tc>
              <w:tc>
                <w:tcPr>
                  <w:tcW w:w="719"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m</w:t>
                  </w:r>
                </w:p>
              </w:tc>
              <w:tc>
                <w:tcPr>
                  <w:tcW w:w="916"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leftChars="0" w:right="0" w:rightChars="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1050</w:t>
                  </w:r>
                </w:p>
              </w:tc>
              <w:tc>
                <w:tcPr>
                  <w:tcW w:w="916"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lang w:val="en-US"/>
                    </w:rPr>
                  </w:pPr>
                  <w:r>
                    <w:rPr>
                      <w:rFonts w:hint="default" w:ascii="Times New Roman" w:hAnsi="Times New Roman" w:eastAsia="宋体" w:cs="Times New Roman"/>
                      <w:color w:val="000000"/>
                      <w:kern w:val="2"/>
                      <w:sz w:val="21"/>
                      <w:szCs w:val="21"/>
                      <w:highlight w:val="none"/>
                      <w:lang w:val="en-US" w:eastAsia="zh-CN" w:bidi="ar"/>
                    </w:rPr>
                    <w:t>5500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3" w:type="pct"/>
                  <w:vMerge w:val="continue"/>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lang w:val="en-US" w:eastAsia="zh-CN" w:bidi="ar"/>
                    </w:rPr>
                  </w:pPr>
                </w:p>
              </w:tc>
              <w:tc>
                <w:tcPr>
                  <w:tcW w:w="1764"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最大纵坡</w:t>
                  </w:r>
                </w:p>
              </w:tc>
              <w:tc>
                <w:tcPr>
                  <w:tcW w:w="719"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w:t>
                  </w:r>
                </w:p>
              </w:tc>
              <w:tc>
                <w:tcPr>
                  <w:tcW w:w="916"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leftChars="0" w:right="0" w:rightChars="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6</w:t>
                  </w:r>
                </w:p>
              </w:tc>
              <w:tc>
                <w:tcPr>
                  <w:tcW w:w="916"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lang w:val="en-US"/>
                    </w:rPr>
                  </w:pPr>
                  <w:r>
                    <w:rPr>
                      <w:rFonts w:hint="default" w:ascii="Times New Roman" w:hAnsi="Times New Roman" w:eastAsia="宋体" w:cs="Times New Roman"/>
                      <w:color w:val="000000"/>
                      <w:kern w:val="2"/>
                      <w:sz w:val="21"/>
                      <w:szCs w:val="21"/>
                      <w:highlight w:val="none"/>
                      <w:lang w:val="en-US" w:eastAsia="zh-CN" w:bidi="ar"/>
                    </w:rPr>
                    <w:t>0.85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3" w:type="pct"/>
                  <w:vMerge w:val="continue"/>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lang w:val="en-US" w:eastAsia="zh-CN" w:bidi="ar"/>
                    </w:rPr>
                  </w:pPr>
                </w:p>
              </w:tc>
              <w:tc>
                <w:tcPr>
                  <w:tcW w:w="1764"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地震烈度</w:t>
                  </w:r>
                </w:p>
              </w:tc>
              <w:tc>
                <w:tcPr>
                  <w:tcW w:w="719"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烈度</w:t>
                  </w:r>
                </w:p>
              </w:tc>
              <w:tc>
                <w:tcPr>
                  <w:tcW w:w="916"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leftChars="0" w:right="0" w:rightChars="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8</w:t>
                  </w:r>
                </w:p>
              </w:tc>
              <w:tc>
                <w:tcPr>
                  <w:tcW w:w="916"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8</w:t>
                  </w:r>
                </w:p>
              </w:tc>
            </w:tr>
          </w:tbl>
          <w:p>
            <w:pPr>
              <w:pStyle w:val="27"/>
              <w:spacing w:before="0" w:after="0" w:afterAutospacing="0" w:line="480" w:lineRule="atLeast"/>
              <w:rPr>
                <w:rFonts w:hint="eastAsia" w:ascii="黑体" w:hAnsi="黑体" w:eastAsia="黑体"/>
                <w:sz w:val="24"/>
                <w:szCs w:val="24"/>
                <w:lang w:val="en-US" w:eastAsia="zh-CN"/>
              </w:rPr>
            </w:pPr>
            <w:r>
              <w:rPr>
                <w:rFonts w:hint="eastAsia" w:ascii="黑体" w:hAnsi="黑体" w:eastAsia="黑体"/>
                <w:sz w:val="24"/>
                <w:szCs w:val="24"/>
                <w:lang w:val="en-US" w:eastAsia="zh-CN"/>
              </w:rPr>
              <w:t>表2-2c  文昌路主要技术指标表</w:t>
            </w:r>
          </w:p>
          <w:tbl>
            <w:tblPr>
              <w:tblStyle w:val="2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4"/>
              <w:gridCol w:w="3145"/>
              <w:gridCol w:w="1280"/>
              <w:gridCol w:w="1460"/>
              <w:gridCol w:w="14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85" w:type="pct"/>
                  <w:vMerge w:val="restar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b/>
                      <w:bCs w:val="0"/>
                      <w:color w:val="000000"/>
                      <w:kern w:val="2"/>
                      <w:sz w:val="21"/>
                      <w:szCs w:val="21"/>
                      <w:highlight w:val="none"/>
                      <w:lang w:val="en-US" w:eastAsia="zh-CN" w:bidi="ar"/>
                    </w:rPr>
                  </w:pPr>
                  <w:r>
                    <w:rPr>
                      <w:rFonts w:hint="default" w:ascii="Times New Roman" w:hAnsi="Times New Roman" w:eastAsia="宋体" w:cs="Times New Roman"/>
                      <w:b/>
                      <w:bCs w:val="0"/>
                      <w:color w:val="000000"/>
                      <w:kern w:val="2"/>
                      <w:sz w:val="21"/>
                      <w:szCs w:val="21"/>
                      <w:highlight w:val="none"/>
                      <w:lang w:val="en-US" w:eastAsia="zh-CN" w:bidi="ar"/>
                    </w:rPr>
                    <w:t>文昌路</w:t>
                  </w:r>
                </w:p>
              </w:tc>
              <w:tc>
                <w:tcPr>
                  <w:tcW w:w="1889"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b/>
                      <w:bCs w:val="0"/>
                      <w:color w:val="000000"/>
                      <w:kern w:val="2"/>
                      <w:sz w:val="21"/>
                      <w:szCs w:val="21"/>
                      <w:highlight w:val="none"/>
                    </w:rPr>
                  </w:pPr>
                  <w:r>
                    <w:rPr>
                      <w:rFonts w:hint="default" w:ascii="Times New Roman" w:hAnsi="Times New Roman" w:eastAsia="宋体" w:cs="Times New Roman"/>
                      <w:b/>
                      <w:bCs w:val="0"/>
                      <w:color w:val="000000"/>
                      <w:kern w:val="2"/>
                      <w:sz w:val="21"/>
                      <w:szCs w:val="21"/>
                      <w:highlight w:val="none"/>
                      <w:lang w:val="en-US" w:eastAsia="zh-CN" w:bidi="ar"/>
                    </w:rPr>
                    <w:t>指  标</w:t>
                  </w:r>
                </w:p>
              </w:tc>
              <w:tc>
                <w:tcPr>
                  <w:tcW w:w="769"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b/>
                      <w:bCs w:val="0"/>
                      <w:color w:val="000000"/>
                      <w:kern w:val="2"/>
                      <w:sz w:val="21"/>
                      <w:szCs w:val="21"/>
                      <w:highlight w:val="none"/>
                    </w:rPr>
                  </w:pPr>
                  <w:r>
                    <w:rPr>
                      <w:rFonts w:hint="default" w:ascii="Times New Roman" w:hAnsi="Times New Roman" w:eastAsia="宋体" w:cs="Times New Roman"/>
                      <w:b/>
                      <w:bCs w:val="0"/>
                      <w:color w:val="000000"/>
                      <w:kern w:val="2"/>
                      <w:sz w:val="21"/>
                      <w:szCs w:val="21"/>
                      <w:highlight w:val="none"/>
                      <w:lang w:val="en-US" w:eastAsia="zh-CN" w:bidi="ar"/>
                    </w:rPr>
                    <w:t>单位</w:t>
                  </w:r>
                </w:p>
              </w:tc>
              <w:tc>
                <w:tcPr>
                  <w:tcW w:w="877"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b/>
                      <w:bCs w:val="0"/>
                      <w:color w:val="000000"/>
                      <w:kern w:val="2"/>
                      <w:sz w:val="21"/>
                      <w:szCs w:val="21"/>
                      <w:highlight w:val="none"/>
                    </w:rPr>
                  </w:pPr>
                  <w:r>
                    <w:rPr>
                      <w:rFonts w:hint="default" w:ascii="Times New Roman" w:hAnsi="Times New Roman" w:eastAsia="宋体" w:cs="Times New Roman"/>
                      <w:b/>
                      <w:bCs w:val="0"/>
                      <w:color w:val="000000"/>
                      <w:kern w:val="2"/>
                      <w:sz w:val="21"/>
                      <w:szCs w:val="21"/>
                      <w:highlight w:val="none"/>
                      <w:lang w:val="en-US" w:eastAsia="zh-CN" w:bidi="ar"/>
                    </w:rPr>
                    <w:t>技术标准值</w:t>
                  </w:r>
                </w:p>
              </w:tc>
              <w:tc>
                <w:tcPr>
                  <w:tcW w:w="877"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b/>
                      <w:bCs w:val="0"/>
                      <w:color w:val="000000"/>
                      <w:kern w:val="2"/>
                      <w:sz w:val="21"/>
                      <w:szCs w:val="21"/>
                      <w:highlight w:val="none"/>
                    </w:rPr>
                  </w:pPr>
                  <w:r>
                    <w:rPr>
                      <w:rFonts w:hint="default" w:ascii="Times New Roman" w:hAnsi="Times New Roman" w:eastAsia="宋体" w:cs="Times New Roman"/>
                      <w:b/>
                      <w:bCs w:val="0"/>
                      <w:color w:val="000000"/>
                      <w:kern w:val="2"/>
                      <w:sz w:val="21"/>
                      <w:szCs w:val="21"/>
                      <w:highlight w:val="none"/>
                      <w:lang w:val="en-US" w:eastAsia="zh-CN" w:bidi="ar"/>
                    </w:rPr>
                    <w:t>实际采用值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85" w:type="pct"/>
                  <w:vMerge w:val="continue"/>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lang w:val="en-US" w:eastAsia="zh-CN" w:bidi="ar"/>
                    </w:rPr>
                  </w:pPr>
                </w:p>
              </w:tc>
              <w:tc>
                <w:tcPr>
                  <w:tcW w:w="1889"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道路等级</w:t>
                  </w:r>
                </w:p>
              </w:tc>
              <w:tc>
                <w:tcPr>
                  <w:tcW w:w="769"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p>
              </w:tc>
              <w:tc>
                <w:tcPr>
                  <w:tcW w:w="877"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城市支路</w:t>
                  </w:r>
                </w:p>
              </w:tc>
              <w:tc>
                <w:tcPr>
                  <w:tcW w:w="877"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城市支路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85" w:type="pct"/>
                  <w:vMerge w:val="continue"/>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lang w:val="en-US" w:eastAsia="zh-CN" w:bidi="ar"/>
                    </w:rPr>
                  </w:pPr>
                </w:p>
              </w:tc>
              <w:tc>
                <w:tcPr>
                  <w:tcW w:w="1889"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设计速度</w:t>
                  </w:r>
                </w:p>
              </w:tc>
              <w:tc>
                <w:tcPr>
                  <w:tcW w:w="769"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公里/小时</w:t>
                  </w:r>
                </w:p>
              </w:tc>
              <w:tc>
                <w:tcPr>
                  <w:tcW w:w="877"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lang w:val="en-US"/>
                    </w:rPr>
                  </w:pPr>
                  <w:r>
                    <w:rPr>
                      <w:rFonts w:hint="default" w:ascii="Times New Roman" w:hAnsi="Times New Roman" w:eastAsia="宋体" w:cs="Times New Roman"/>
                      <w:color w:val="000000"/>
                      <w:kern w:val="2"/>
                      <w:sz w:val="21"/>
                      <w:szCs w:val="21"/>
                      <w:highlight w:val="none"/>
                      <w:lang w:val="en-US" w:eastAsia="zh-CN" w:bidi="ar"/>
                    </w:rPr>
                    <w:t>20-40</w:t>
                  </w:r>
                </w:p>
              </w:tc>
              <w:tc>
                <w:tcPr>
                  <w:tcW w:w="877"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lang w:val="en-US"/>
                    </w:rPr>
                  </w:pPr>
                  <w:r>
                    <w:rPr>
                      <w:rFonts w:hint="default" w:ascii="Times New Roman" w:hAnsi="Times New Roman" w:eastAsia="宋体" w:cs="Times New Roman"/>
                      <w:color w:val="000000"/>
                      <w:kern w:val="2"/>
                      <w:sz w:val="21"/>
                      <w:szCs w:val="21"/>
                      <w:highlight w:val="none"/>
                      <w:lang w:val="en-US" w:eastAsia="zh-CN" w:bidi="ar"/>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85" w:type="pct"/>
                  <w:vMerge w:val="continue"/>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lang w:val="en-US" w:eastAsia="zh-CN" w:bidi="ar"/>
                    </w:rPr>
                  </w:pPr>
                </w:p>
              </w:tc>
              <w:tc>
                <w:tcPr>
                  <w:tcW w:w="1889"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标准轴载</w:t>
                  </w:r>
                </w:p>
              </w:tc>
              <w:tc>
                <w:tcPr>
                  <w:tcW w:w="769"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p>
              </w:tc>
              <w:tc>
                <w:tcPr>
                  <w:tcW w:w="877"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BZZ—100</w:t>
                  </w:r>
                </w:p>
              </w:tc>
              <w:tc>
                <w:tcPr>
                  <w:tcW w:w="877"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BZZ—100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85" w:type="pct"/>
                  <w:vMerge w:val="continue"/>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lang w:val="en-US" w:eastAsia="zh-CN" w:bidi="ar"/>
                    </w:rPr>
                  </w:pPr>
                </w:p>
              </w:tc>
              <w:tc>
                <w:tcPr>
                  <w:tcW w:w="1889"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设计洪水频率</w:t>
                  </w:r>
                </w:p>
              </w:tc>
              <w:tc>
                <w:tcPr>
                  <w:tcW w:w="769"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m</w:t>
                  </w:r>
                </w:p>
              </w:tc>
              <w:tc>
                <w:tcPr>
                  <w:tcW w:w="877"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1/100</w:t>
                  </w:r>
                </w:p>
              </w:tc>
              <w:tc>
                <w:tcPr>
                  <w:tcW w:w="877"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1/100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85" w:type="pct"/>
                  <w:vMerge w:val="continue"/>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lang w:val="en-US" w:eastAsia="zh-CN" w:bidi="ar"/>
                    </w:rPr>
                  </w:pPr>
                </w:p>
              </w:tc>
              <w:tc>
                <w:tcPr>
                  <w:tcW w:w="1889"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不设超高的最小圆曲线半径</w:t>
                  </w:r>
                </w:p>
              </w:tc>
              <w:tc>
                <w:tcPr>
                  <w:tcW w:w="769"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m</w:t>
                  </w:r>
                </w:p>
              </w:tc>
              <w:tc>
                <w:tcPr>
                  <w:tcW w:w="877"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lang w:val="en-US"/>
                    </w:rPr>
                  </w:pPr>
                  <w:r>
                    <w:rPr>
                      <w:rFonts w:hint="default" w:ascii="Times New Roman" w:hAnsi="Times New Roman" w:eastAsia="宋体" w:cs="Times New Roman"/>
                      <w:color w:val="000000"/>
                      <w:kern w:val="2"/>
                      <w:sz w:val="21"/>
                      <w:szCs w:val="21"/>
                      <w:highlight w:val="none"/>
                      <w:lang w:val="en-US" w:eastAsia="zh-CN" w:bidi="ar"/>
                    </w:rPr>
                    <w:t>70-300</w:t>
                  </w:r>
                </w:p>
              </w:tc>
              <w:tc>
                <w:tcPr>
                  <w:tcW w:w="877"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lang w:val="en-US"/>
                    </w:rPr>
                  </w:pPr>
                  <w:r>
                    <w:rPr>
                      <w:rFonts w:hint="default" w:ascii="Times New Roman" w:hAnsi="Times New Roman" w:eastAsia="宋体" w:cs="Times New Roman"/>
                      <w:color w:val="000000"/>
                      <w:kern w:val="2"/>
                      <w:sz w:val="21"/>
                      <w:szCs w:val="21"/>
                      <w:highlight w:val="none"/>
                      <w:lang w:val="en-US" w:eastAsia="zh-CN" w:bidi="ar"/>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85" w:type="pct"/>
                  <w:vMerge w:val="continue"/>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lang w:val="en-US" w:eastAsia="zh-CN" w:bidi="ar"/>
                    </w:rPr>
                  </w:pPr>
                </w:p>
              </w:tc>
              <w:tc>
                <w:tcPr>
                  <w:tcW w:w="1889"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缓和曲线最小长度</w:t>
                  </w:r>
                </w:p>
              </w:tc>
              <w:tc>
                <w:tcPr>
                  <w:tcW w:w="769"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m</w:t>
                  </w:r>
                </w:p>
              </w:tc>
              <w:tc>
                <w:tcPr>
                  <w:tcW w:w="877"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lang w:val="en-US"/>
                    </w:rPr>
                  </w:pPr>
                  <w:r>
                    <w:rPr>
                      <w:rFonts w:hint="default" w:ascii="Times New Roman" w:hAnsi="Times New Roman" w:eastAsia="宋体" w:cs="Times New Roman"/>
                      <w:color w:val="000000"/>
                      <w:kern w:val="2"/>
                      <w:sz w:val="21"/>
                      <w:szCs w:val="21"/>
                      <w:highlight w:val="none"/>
                      <w:lang w:val="en-US" w:eastAsia="zh-CN" w:bidi="ar"/>
                    </w:rPr>
                    <w:t>20</w:t>
                  </w:r>
                </w:p>
              </w:tc>
              <w:tc>
                <w:tcPr>
                  <w:tcW w:w="877"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85" w:type="pct"/>
                  <w:vMerge w:val="continue"/>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lang w:val="en-US" w:eastAsia="zh-CN" w:bidi="ar"/>
                    </w:rPr>
                  </w:pPr>
                </w:p>
              </w:tc>
              <w:tc>
                <w:tcPr>
                  <w:tcW w:w="1889"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凸型竖曲线一般最小半径</w:t>
                  </w:r>
                </w:p>
              </w:tc>
              <w:tc>
                <w:tcPr>
                  <w:tcW w:w="769"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m</w:t>
                  </w:r>
                </w:p>
              </w:tc>
              <w:tc>
                <w:tcPr>
                  <w:tcW w:w="877"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lang w:val="en-US"/>
                    </w:rPr>
                  </w:pPr>
                  <w:r>
                    <w:rPr>
                      <w:rFonts w:hint="default" w:ascii="Times New Roman" w:hAnsi="Times New Roman" w:eastAsia="宋体" w:cs="Times New Roman"/>
                      <w:color w:val="000000"/>
                      <w:kern w:val="2"/>
                      <w:sz w:val="21"/>
                      <w:szCs w:val="21"/>
                      <w:highlight w:val="none"/>
                      <w:lang w:val="en-US" w:eastAsia="zh-CN" w:bidi="ar"/>
                    </w:rPr>
                    <w:t>150</w:t>
                  </w:r>
                </w:p>
              </w:tc>
              <w:tc>
                <w:tcPr>
                  <w:tcW w:w="877"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lang w:val="en-US"/>
                    </w:rPr>
                  </w:pPr>
                  <w:r>
                    <w:rPr>
                      <w:rFonts w:hint="default" w:ascii="Times New Roman" w:hAnsi="Times New Roman" w:eastAsia="宋体" w:cs="Times New Roman"/>
                      <w:color w:val="000000"/>
                      <w:kern w:val="2"/>
                      <w:sz w:val="21"/>
                      <w:szCs w:val="21"/>
                      <w:highlight w:val="none"/>
                      <w:lang w:val="en-US" w:eastAsia="zh-CN" w:bidi="ar"/>
                    </w:rPr>
                    <w:t>2100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85" w:type="pct"/>
                  <w:vMerge w:val="continue"/>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lang w:val="en-US" w:eastAsia="zh-CN" w:bidi="ar"/>
                    </w:rPr>
                  </w:pPr>
                </w:p>
              </w:tc>
              <w:tc>
                <w:tcPr>
                  <w:tcW w:w="1889"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凹型竖曲线一般最小半径</w:t>
                  </w:r>
                </w:p>
              </w:tc>
              <w:tc>
                <w:tcPr>
                  <w:tcW w:w="769"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m</w:t>
                  </w:r>
                </w:p>
              </w:tc>
              <w:tc>
                <w:tcPr>
                  <w:tcW w:w="877"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lang w:val="en-US"/>
                    </w:rPr>
                  </w:pPr>
                  <w:r>
                    <w:rPr>
                      <w:rFonts w:hint="default" w:ascii="Times New Roman" w:hAnsi="Times New Roman" w:eastAsia="宋体" w:cs="Times New Roman"/>
                      <w:color w:val="000000"/>
                      <w:kern w:val="2"/>
                      <w:sz w:val="21"/>
                      <w:szCs w:val="21"/>
                      <w:highlight w:val="none"/>
                      <w:lang w:val="en-US" w:eastAsia="zh-CN" w:bidi="ar"/>
                    </w:rPr>
                    <w:t>150</w:t>
                  </w:r>
                </w:p>
              </w:tc>
              <w:tc>
                <w:tcPr>
                  <w:tcW w:w="877"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85" w:type="pct"/>
                  <w:vMerge w:val="continue"/>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lang w:val="en-US" w:eastAsia="zh-CN" w:bidi="ar"/>
                    </w:rPr>
                  </w:pPr>
                </w:p>
              </w:tc>
              <w:tc>
                <w:tcPr>
                  <w:tcW w:w="1889"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最大纵坡</w:t>
                  </w:r>
                </w:p>
              </w:tc>
              <w:tc>
                <w:tcPr>
                  <w:tcW w:w="769"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w:t>
                  </w:r>
                </w:p>
              </w:tc>
              <w:tc>
                <w:tcPr>
                  <w:tcW w:w="877"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8</w:t>
                  </w:r>
                </w:p>
              </w:tc>
              <w:tc>
                <w:tcPr>
                  <w:tcW w:w="877"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lang w:val="en-US"/>
                    </w:rPr>
                  </w:pPr>
                  <w:r>
                    <w:rPr>
                      <w:rFonts w:hint="default" w:ascii="Times New Roman" w:hAnsi="Times New Roman" w:eastAsia="宋体" w:cs="Times New Roman"/>
                      <w:color w:val="000000"/>
                      <w:kern w:val="2"/>
                      <w:sz w:val="21"/>
                      <w:szCs w:val="21"/>
                      <w:highlight w:val="none"/>
                      <w:lang w:val="en-US" w:eastAsia="zh-CN" w:bidi="ar"/>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85" w:type="pct"/>
                  <w:vMerge w:val="continue"/>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lang w:val="en-US" w:eastAsia="zh-CN" w:bidi="ar"/>
                    </w:rPr>
                  </w:pPr>
                </w:p>
              </w:tc>
              <w:tc>
                <w:tcPr>
                  <w:tcW w:w="1889"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地震烈度</w:t>
                  </w:r>
                </w:p>
              </w:tc>
              <w:tc>
                <w:tcPr>
                  <w:tcW w:w="769"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烈度</w:t>
                  </w:r>
                </w:p>
              </w:tc>
              <w:tc>
                <w:tcPr>
                  <w:tcW w:w="877"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000000"/>
                      <w:kern w:val="2"/>
                      <w:sz w:val="21"/>
                      <w:szCs w:val="21"/>
                      <w:highlight w:val="none"/>
                      <w:lang w:val="en-US" w:eastAsia="zh-CN" w:bidi="ar"/>
                    </w:rPr>
                    <w:t>8</w:t>
                  </w:r>
                </w:p>
              </w:tc>
              <w:tc>
                <w:tcPr>
                  <w:tcW w:w="877" w:type="pct"/>
                  <w:noWrap w:val="0"/>
                  <w:vAlign w:val="center"/>
                </w:tcPr>
                <w:p>
                  <w:pPr>
                    <w:pStyle w:val="19"/>
                    <w:keepNext w:val="0"/>
                    <w:keepLines w:val="0"/>
                    <w:widowControl w:val="0"/>
                    <w:suppressLineNumbers w:val="0"/>
                    <w:topLinePunct/>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kern w:val="2"/>
                      <w:sz w:val="21"/>
                      <w:szCs w:val="21"/>
                      <w:highlight w:val="none"/>
                    </w:rPr>
                  </w:pPr>
                  <w:r>
                    <w:rPr>
                      <w:rFonts w:hint="default" w:ascii="Times New Roman" w:hAnsi="Times New Roman" w:eastAsia="宋体" w:cs="Times New Roman"/>
                      <w:color w:val="auto"/>
                      <w:kern w:val="2"/>
                      <w:sz w:val="21"/>
                      <w:szCs w:val="21"/>
                      <w:highlight w:val="none"/>
                      <w:lang w:val="en-US" w:eastAsia="zh-CN" w:bidi="ar"/>
                    </w:rPr>
                    <w:t>8</w:t>
                  </w:r>
                </w:p>
              </w:tc>
            </w:tr>
          </w:tbl>
          <w:p>
            <w:pPr>
              <w:spacing w:line="480" w:lineRule="exact"/>
              <w:ind w:firstLine="482"/>
              <w:rPr>
                <w:rFonts w:hint="default"/>
                <w:b/>
                <w:sz w:val="24"/>
                <w:szCs w:val="24"/>
                <w:lang w:val="en-US" w:eastAsia="zh-CN"/>
              </w:rPr>
            </w:pPr>
            <w:r>
              <w:rPr>
                <w:rFonts w:hint="eastAsia"/>
                <w:b/>
                <w:sz w:val="24"/>
                <w:szCs w:val="24"/>
                <w:lang w:val="en-US" w:eastAsia="zh-CN"/>
              </w:rPr>
              <w:t>2.1道路工程</w:t>
            </w:r>
          </w:p>
          <w:p>
            <w:pPr>
              <w:spacing w:line="480" w:lineRule="exact"/>
              <w:ind w:firstLine="480"/>
              <w:rPr>
                <w:rFonts w:hint="default" w:ascii="Times New Roman" w:hAnsi="Times New Roman" w:eastAsia="宋体" w:cs="Times New Roman"/>
                <w:b/>
                <w:bCs w:val="0"/>
                <w:sz w:val="24"/>
                <w:szCs w:val="24"/>
                <w:lang w:val="en-US" w:eastAsia="zh-CN"/>
              </w:rPr>
            </w:pPr>
            <w:r>
              <w:rPr>
                <w:rFonts w:hint="default" w:ascii="Times New Roman" w:hAnsi="Times New Roman" w:cs="Times New Roman"/>
                <w:b/>
                <w:bCs w:val="0"/>
                <w:sz w:val="24"/>
                <w:szCs w:val="24"/>
                <w:lang w:val="en-US" w:eastAsia="zh-CN"/>
              </w:rPr>
              <w:t>2.1.1道路平面设计</w:t>
            </w:r>
          </w:p>
          <w:p>
            <w:pPr>
              <w:spacing w:line="480" w:lineRule="exact"/>
              <w:ind w:firstLine="480"/>
              <w:rPr>
                <w:rFonts w:hint="eastAsia" w:ascii="Times New Roman" w:hAnsi="Times New Roman" w:cs="Times New Roman"/>
                <w:b w:val="0"/>
                <w:bCs/>
                <w:sz w:val="24"/>
                <w:szCs w:val="24"/>
                <w:lang w:val="en-US" w:eastAsia="zh-CN"/>
              </w:rPr>
            </w:pPr>
            <w:r>
              <w:rPr>
                <w:rFonts w:hint="eastAsia" w:cs="Times New Roman"/>
                <w:b/>
                <w:bCs w:val="0"/>
                <w:sz w:val="24"/>
                <w:szCs w:val="24"/>
                <w:lang w:val="en-US" w:eastAsia="zh-CN"/>
              </w:rPr>
              <w:t>东外环路</w:t>
            </w:r>
            <w:r>
              <w:rPr>
                <w:rFonts w:hint="eastAsia" w:ascii="Times New Roman" w:hAnsi="Times New Roman" w:cs="Times New Roman"/>
                <w:b/>
                <w:bCs w:val="0"/>
                <w:sz w:val="24"/>
                <w:szCs w:val="24"/>
                <w:lang w:val="en-US" w:eastAsia="zh-CN"/>
              </w:rPr>
              <w:t>：</w:t>
            </w:r>
            <w:r>
              <w:rPr>
                <w:rFonts w:hint="eastAsia" w:ascii="Times New Roman" w:hAnsi="Times New Roman" w:cs="Times New Roman"/>
                <w:b w:val="0"/>
                <w:bCs/>
                <w:sz w:val="24"/>
                <w:szCs w:val="24"/>
                <w:lang w:val="en-US" w:eastAsia="zh-CN"/>
              </w:rPr>
              <w:t>东外环路平面线形主要依据现状而定，设计全长2985.25m。起终点控制坐标为</w:t>
            </w:r>
            <w:r>
              <w:rPr>
                <w:rFonts w:hint="eastAsia" w:cs="Times New Roman"/>
                <w:b w:val="0"/>
                <w:bCs/>
                <w:sz w:val="24"/>
                <w:szCs w:val="24"/>
                <w:lang w:val="en-US" w:eastAsia="zh-CN"/>
              </w:rPr>
              <w:t>：</w:t>
            </w:r>
          </w:p>
          <w:p>
            <w:pPr>
              <w:spacing w:line="480" w:lineRule="exact"/>
              <w:ind w:firstLine="480"/>
              <w:rPr>
                <w:rFonts w:hint="default" w:ascii="Times New Roman" w:hAnsi="Times New Roman" w:cs="Times New Roman"/>
                <w:b w:val="0"/>
                <w:bCs/>
                <w:sz w:val="24"/>
                <w:szCs w:val="24"/>
                <w:lang w:val="en-US" w:eastAsia="zh-CN"/>
              </w:rPr>
            </w:pPr>
            <w:r>
              <w:rPr>
                <w:rFonts w:hint="eastAsia" w:ascii="Times New Roman" w:hAnsi="Times New Roman" w:cs="Times New Roman"/>
                <w:b w:val="0"/>
                <w:bCs/>
                <w:sz w:val="24"/>
                <w:szCs w:val="24"/>
                <w:lang w:val="en-US" w:eastAsia="zh-CN"/>
              </w:rPr>
              <w:t>起点：K0+000.000  X：4285034.375  Y：436184.776（五台南收费站）</w:t>
            </w:r>
          </w:p>
          <w:p>
            <w:pPr>
              <w:spacing w:line="480" w:lineRule="exact"/>
              <w:ind w:firstLine="480"/>
              <w:rPr>
                <w:rFonts w:hint="default" w:ascii="Times New Roman" w:hAnsi="Times New Roman" w:cs="Times New Roman"/>
                <w:b w:val="0"/>
                <w:bCs/>
                <w:sz w:val="24"/>
                <w:szCs w:val="24"/>
                <w:lang w:val="en-US" w:eastAsia="zh-CN"/>
              </w:rPr>
            </w:pPr>
            <w:r>
              <w:rPr>
                <w:rFonts w:hint="eastAsia" w:ascii="Times New Roman" w:hAnsi="Times New Roman" w:cs="Times New Roman"/>
                <w:b w:val="0"/>
                <w:bCs/>
                <w:sz w:val="24"/>
                <w:szCs w:val="24"/>
                <w:lang w:val="en-US" w:eastAsia="zh-CN"/>
              </w:rPr>
              <w:t>终点：K2+985.250  X：4287904.414  Y：435702.031 （五黄路）</w:t>
            </w:r>
          </w:p>
          <w:p>
            <w:pPr>
              <w:spacing w:line="480" w:lineRule="exact"/>
              <w:ind w:firstLine="480"/>
              <w:rPr>
                <w:rFonts w:hint="eastAsia" w:ascii="Times New Roman" w:hAnsi="Times New Roman" w:cs="Times New Roman"/>
                <w:b w:val="0"/>
                <w:bCs/>
                <w:color w:val="auto"/>
                <w:sz w:val="24"/>
                <w:szCs w:val="24"/>
                <w:lang w:val="en-US" w:eastAsia="zh-CN"/>
              </w:rPr>
            </w:pPr>
            <w:r>
              <w:rPr>
                <w:rFonts w:hint="eastAsia" w:ascii="Times New Roman" w:hAnsi="Times New Roman" w:cs="Times New Roman"/>
                <w:b/>
                <w:bCs w:val="0"/>
                <w:color w:val="auto"/>
                <w:sz w:val="24"/>
                <w:szCs w:val="24"/>
                <w:lang w:val="en-US" w:eastAsia="zh-CN"/>
              </w:rPr>
              <w:t>湖滨大街西延：</w:t>
            </w:r>
            <w:r>
              <w:rPr>
                <w:rFonts w:hint="eastAsia" w:ascii="Times New Roman" w:hAnsi="Times New Roman" w:cs="Times New Roman"/>
                <w:b w:val="0"/>
                <w:bCs/>
                <w:color w:val="auto"/>
                <w:sz w:val="24"/>
                <w:szCs w:val="24"/>
                <w:lang w:val="en-US" w:eastAsia="zh-CN"/>
              </w:rPr>
              <w:t>湖滨大街西延平面线形与规划一致，设计全长750.829m。起终点控制坐标为：</w:t>
            </w:r>
          </w:p>
          <w:p>
            <w:pPr>
              <w:spacing w:line="480" w:lineRule="exact"/>
              <w:ind w:firstLine="480"/>
              <w:rPr>
                <w:rFonts w:hint="default" w:ascii="Times New Roman" w:hAnsi="Times New Roman" w:cs="Times New Roman"/>
                <w:b w:val="0"/>
                <w:bCs/>
                <w:sz w:val="24"/>
                <w:szCs w:val="24"/>
                <w:lang w:val="en-US" w:eastAsia="zh-CN"/>
              </w:rPr>
            </w:pPr>
            <w:r>
              <w:rPr>
                <w:rFonts w:hint="eastAsia" w:ascii="Times New Roman" w:hAnsi="Times New Roman" w:cs="Times New Roman"/>
                <w:b w:val="0"/>
                <w:bCs/>
                <w:sz w:val="24"/>
                <w:szCs w:val="24"/>
                <w:lang w:val="en-US" w:eastAsia="zh-CN"/>
              </w:rPr>
              <w:t>起点：K1+139.484  X</w:t>
            </w:r>
            <w:r>
              <w:rPr>
                <w:rFonts w:hint="eastAsia" w:cs="Times New Roman"/>
                <w:b w:val="0"/>
                <w:bCs/>
                <w:sz w:val="24"/>
                <w:szCs w:val="24"/>
                <w:lang w:val="en-US" w:eastAsia="zh-CN"/>
              </w:rPr>
              <w:t>：</w:t>
            </w:r>
            <w:r>
              <w:rPr>
                <w:rFonts w:hint="eastAsia" w:ascii="Times New Roman" w:hAnsi="Times New Roman" w:cs="Times New Roman"/>
                <w:b w:val="0"/>
                <w:bCs/>
                <w:sz w:val="24"/>
                <w:szCs w:val="24"/>
                <w:lang w:val="en-US" w:eastAsia="zh-CN"/>
              </w:rPr>
              <w:t>4289565.958  Y</w:t>
            </w:r>
            <w:r>
              <w:rPr>
                <w:rFonts w:hint="eastAsia" w:cs="Times New Roman"/>
                <w:b w:val="0"/>
                <w:bCs/>
                <w:sz w:val="24"/>
                <w:szCs w:val="24"/>
                <w:lang w:val="en-US" w:eastAsia="zh-CN"/>
              </w:rPr>
              <w:t>：</w:t>
            </w:r>
            <w:r>
              <w:rPr>
                <w:rFonts w:hint="eastAsia" w:ascii="Times New Roman" w:hAnsi="Times New Roman" w:cs="Times New Roman"/>
                <w:b w:val="0"/>
                <w:bCs/>
                <w:sz w:val="24"/>
                <w:szCs w:val="24"/>
                <w:lang w:val="en-US" w:eastAsia="zh-CN"/>
              </w:rPr>
              <w:t>433796.288（规划文昌路）</w:t>
            </w:r>
          </w:p>
          <w:p>
            <w:pPr>
              <w:spacing w:line="480" w:lineRule="exact"/>
              <w:ind w:firstLine="480"/>
              <w:rPr>
                <w:rFonts w:hint="default" w:ascii="Times New Roman" w:hAnsi="Times New Roman" w:cs="Times New Roman"/>
                <w:b w:val="0"/>
                <w:bCs/>
                <w:sz w:val="24"/>
                <w:szCs w:val="24"/>
                <w:lang w:val="en-US" w:eastAsia="zh-CN"/>
              </w:rPr>
            </w:pPr>
            <w:r>
              <w:rPr>
                <w:rFonts w:hint="eastAsia" w:ascii="Times New Roman" w:hAnsi="Times New Roman" w:cs="Times New Roman"/>
                <w:b w:val="0"/>
                <w:bCs/>
                <w:sz w:val="24"/>
                <w:szCs w:val="24"/>
                <w:lang w:val="en-US" w:eastAsia="zh-CN"/>
              </w:rPr>
              <w:t>终点：K1+890.313  X</w:t>
            </w:r>
            <w:r>
              <w:rPr>
                <w:rFonts w:hint="eastAsia" w:cs="Times New Roman"/>
                <w:b w:val="0"/>
                <w:bCs/>
                <w:sz w:val="24"/>
                <w:szCs w:val="24"/>
                <w:lang w:val="en-US" w:eastAsia="zh-CN"/>
              </w:rPr>
              <w:t>：</w:t>
            </w:r>
            <w:r>
              <w:rPr>
                <w:rFonts w:hint="eastAsia" w:ascii="Times New Roman" w:hAnsi="Times New Roman" w:cs="Times New Roman"/>
                <w:b w:val="0"/>
                <w:bCs/>
                <w:sz w:val="24"/>
                <w:szCs w:val="24"/>
                <w:lang w:val="en-US" w:eastAsia="zh-CN"/>
              </w:rPr>
              <w:t>4289672.393  Y</w:t>
            </w:r>
            <w:r>
              <w:rPr>
                <w:rFonts w:hint="eastAsia" w:cs="Times New Roman"/>
                <w:b w:val="0"/>
                <w:bCs/>
                <w:sz w:val="24"/>
                <w:szCs w:val="24"/>
                <w:lang w:val="en-US" w:eastAsia="zh-CN"/>
              </w:rPr>
              <w:t>：</w:t>
            </w:r>
            <w:r>
              <w:rPr>
                <w:rFonts w:hint="eastAsia" w:ascii="Times New Roman" w:hAnsi="Times New Roman" w:cs="Times New Roman"/>
                <w:b w:val="0"/>
                <w:bCs/>
                <w:sz w:val="24"/>
                <w:szCs w:val="24"/>
                <w:lang w:val="en-US" w:eastAsia="zh-CN"/>
              </w:rPr>
              <w:t>434539.535（现状湖滨大街）</w:t>
            </w:r>
          </w:p>
          <w:p>
            <w:pPr>
              <w:spacing w:line="480" w:lineRule="exact"/>
              <w:ind w:firstLine="480"/>
              <w:rPr>
                <w:rFonts w:hint="eastAsia" w:ascii="Times New Roman" w:hAnsi="Times New Roman" w:cs="Times New Roman"/>
                <w:b w:val="0"/>
                <w:bCs/>
                <w:sz w:val="24"/>
                <w:szCs w:val="24"/>
                <w:lang w:val="en-US" w:eastAsia="zh-CN"/>
              </w:rPr>
            </w:pPr>
            <w:r>
              <w:rPr>
                <w:rFonts w:hint="eastAsia" w:cs="Times New Roman"/>
                <w:b/>
                <w:bCs w:val="0"/>
                <w:sz w:val="24"/>
                <w:szCs w:val="24"/>
                <w:lang w:val="en-US" w:eastAsia="zh-CN"/>
              </w:rPr>
              <w:t>文昌路</w:t>
            </w:r>
            <w:r>
              <w:rPr>
                <w:rFonts w:hint="eastAsia" w:ascii="Times New Roman" w:hAnsi="Times New Roman" w:cs="Times New Roman"/>
                <w:b/>
                <w:bCs w:val="0"/>
                <w:sz w:val="24"/>
                <w:szCs w:val="24"/>
                <w:lang w:val="en-US" w:eastAsia="zh-CN"/>
              </w:rPr>
              <w:t>：</w:t>
            </w:r>
            <w:r>
              <w:rPr>
                <w:rFonts w:hint="eastAsia" w:ascii="Times New Roman" w:hAnsi="Times New Roman" w:cs="Times New Roman"/>
                <w:b w:val="0"/>
                <w:bCs/>
                <w:sz w:val="24"/>
                <w:szCs w:val="24"/>
                <w:lang w:val="en-US" w:eastAsia="zh-CN"/>
              </w:rPr>
              <w:t>文昌路平面线形主要依据现状，局部截弯取直，设计全长1139.484m，起终点控制坐标为：</w:t>
            </w:r>
          </w:p>
          <w:p>
            <w:pPr>
              <w:spacing w:line="480" w:lineRule="exact"/>
              <w:ind w:firstLine="480"/>
              <w:rPr>
                <w:rFonts w:hint="default" w:ascii="Times New Roman" w:hAnsi="Times New Roman" w:cs="Times New Roman"/>
                <w:b w:val="0"/>
                <w:bCs/>
                <w:sz w:val="24"/>
                <w:szCs w:val="24"/>
                <w:lang w:val="en-US" w:eastAsia="zh-CN"/>
              </w:rPr>
            </w:pPr>
            <w:r>
              <w:rPr>
                <w:rFonts w:hint="eastAsia" w:ascii="Times New Roman" w:hAnsi="Times New Roman" w:cs="Times New Roman"/>
                <w:b w:val="0"/>
                <w:bCs/>
                <w:sz w:val="24"/>
                <w:szCs w:val="24"/>
                <w:lang w:val="en-US" w:eastAsia="zh-CN"/>
              </w:rPr>
              <w:t>起点：K0+000.000  X</w:t>
            </w:r>
            <w:r>
              <w:rPr>
                <w:rFonts w:hint="eastAsia" w:cs="Times New Roman"/>
                <w:b w:val="0"/>
                <w:bCs/>
                <w:sz w:val="24"/>
                <w:szCs w:val="24"/>
                <w:lang w:val="en-US" w:eastAsia="zh-CN"/>
              </w:rPr>
              <w:t>：</w:t>
            </w:r>
            <w:r>
              <w:rPr>
                <w:rFonts w:hint="eastAsia" w:ascii="Times New Roman" w:hAnsi="Times New Roman" w:cs="Times New Roman"/>
                <w:b w:val="0"/>
                <w:bCs/>
                <w:sz w:val="24"/>
                <w:szCs w:val="24"/>
                <w:lang w:val="en-US" w:eastAsia="zh-CN"/>
              </w:rPr>
              <w:t>4288831.059  Y</w:t>
            </w:r>
            <w:r>
              <w:rPr>
                <w:rFonts w:hint="eastAsia" w:cs="Times New Roman"/>
                <w:b w:val="0"/>
                <w:bCs/>
                <w:sz w:val="24"/>
                <w:szCs w:val="24"/>
                <w:lang w:val="en-US" w:eastAsia="zh-CN"/>
              </w:rPr>
              <w:t>：</w:t>
            </w:r>
            <w:r>
              <w:rPr>
                <w:rFonts w:hint="eastAsia" w:ascii="Times New Roman" w:hAnsi="Times New Roman" w:cs="Times New Roman"/>
                <w:b w:val="0"/>
                <w:bCs/>
                <w:sz w:val="24"/>
                <w:szCs w:val="24"/>
                <w:lang w:val="en-US" w:eastAsia="zh-CN"/>
              </w:rPr>
              <w:t>434231.375（现状文昌路）</w:t>
            </w:r>
          </w:p>
          <w:p>
            <w:pPr>
              <w:spacing w:line="480" w:lineRule="exact"/>
              <w:ind w:firstLine="480"/>
              <w:rPr>
                <w:rFonts w:hint="default" w:ascii="Times New Roman" w:hAnsi="Times New Roman" w:cs="Times New Roman"/>
                <w:b w:val="0"/>
                <w:bCs/>
                <w:sz w:val="24"/>
                <w:szCs w:val="24"/>
                <w:lang w:val="en-US" w:eastAsia="zh-CN"/>
              </w:rPr>
            </w:pPr>
            <w:r>
              <w:rPr>
                <w:rFonts w:hint="eastAsia" w:ascii="Times New Roman" w:hAnsi="Times New Roman" w:cs="Times New Roman"/>
                <w:b w:val="0"/>
                <w:bCs/>
                <w:sz w:val="24"/>
                <w:szCs w:val="24"/>
                <w:lang w:val="en-US" w:eastAsia="zh-CN"/>
              </w:rPr>
              <w:t>终点：K1+139.484  X</w:t>
            </w:r>
            <w:r>
              <w:rPr>
                <w:rFonts w:hint="eastAsia" w:cs="Times New Roman"/>
                <w:b w:val="0"/>
                <w:bCs/>
                <w:sz w:val="24"/>
                <w:szCs w:val="24"/>
                <w:lang w:val="en-US" w:eastAsia="zh-CN"/>
              </w:rPr>
              <w:t>：</w:t>
            </w:r>
            <w:r>
              <w:rPr>
                <w:rFonts w:hint="eastAsia" w:ascii="Times New Roman" w:hAnsi="Times New Roman" w:cs="Times New Roman"/>
                <w:b w:val="0"/>
                <w:bCs/>
                <w:sz w:val="24"/>
                <w:szCs w:val="24"/>
                <w:lang w:val="en-US" w:eastAsia="zh-CN"/>
              </w:rPr>
              <w:t>4289565.958  Y</w:t>
            </w:r>
            <w:r>
              <w:rPr>
                <w:rFonts w:hint="eastAsia" w:cs="Times New Roman"/>
                <w:b w:val="0"/>
                <w:bCs/>
                <w:sz w:val="24"/>
                <w:szCs w:val="24"/>
                <w:lang w:val="en-US" w:eastAsia="zh-CN"/>
              </w:rPr>
              <w:t>：</w:t>
            </w:r>
            <w:r>
              <w:rPr>
                <w:rFonts w:hint="eastAsia" w:ascii="Times New Roman" w:hAnsi="Times New Roman" w:cs="Times New Roman"/>
                <w:b w:val="0"/>
                <w:bCs/>
                <w:sz w:val="24"/>
                <w:szCs w:val="24"/>
                <w:lang w:val="en-US" w:eastAsia="zh-CN"/>
              </w:rPr>
              <w:t>433796.288 （规划湖滨大街）</w:t>
            </w:r>
          </w:p>
          <w:p>
            <w:pPr>
              <w:spacing w:line="480" w:lineRule="exact"/>
              <w:ind w:firstLine="480"/>
              <w:rPr>
                <w:rFonts w:hint="default" w:ascii="Times New Roman" w:hAnsi="Times New Roman" w:eastAsia="宋体" w:cs="Times New Roman"/>
                <w:b/>
                <w:bCs w:val="0"/>
                <w:sz w:val="24"/>
                <w:szCs w:val="24"/>
                <w:lang w:val="en-US" w:eastAsia="zh-CN"/>
              </w:rPr>
            </w:pPr>
            <w:r>
              <w:rPr>
                <w:rFonts w:hint="default" w:ascii="Times New Roman" w:hAnsi="Times New Roman" w:cs="Times New Roman"/>
                <w:b/>
                <w:bCs w:val="0"/>
                <w:sz w:val="24"/>
                <w:szCs w:val="24"/>
                <w:lang w:val="en-US" w:eastAsia="zh-CN"/>
              </w:rPr>
              <w:t>2.1.</w:t>
            </w:r>
            <w:r>
              <w:rPr>
                <w:rFonts w:hint="eastAsia" w:cs="Times New Roman"/>
                <w:b/>
                <w:bCs w:val="0"/>
                <w:sz w:val="24"/>
                <w:szCs w:val="24"/>
                <w:lang w:val="en-US" w:eastAsia="zh-CN"/>
              </w:rPr>
              <w:t>2</w:t>
            </w:r>
            <w:r>
              <w:rPr>
                <w:rFonts w:hint="default" w:ascii="Times New Roman" w:hAnsi="Times New Roman" w:cs="Times New Roman"/>
                <w:b/>
                <w:bCs w:val="0"/>
                <w:sz w:val="24"/>
                <w:szCs w:val="24"/>
                <w:lang w:val="en-US" w:eastAsia="zh-CN"/>
              </w:rPr>
              <w:t>道路</w:t>
            </w:r>
            <w:r>
              <w:rPr>
                <w:rFonts w:hint="eastAsia" w:cs="Times New Roman"/>
                <w:b/>
                <w:bCs w:val="0"/>
                <w:sz w:val="24"/>
                <w:szCs w:val="24"/>
                <w:lang w:val="en-US" w:eastAsia="zh-CN"/>
              </w:rPr>
              <w:t>纵断面</w:t>
            </w:r>
            <w:r>
              <w:rPr>
                <w:rFonts w:hint="default" w:ascii="Times New Roman" w:hAnsi="Times New Roman" w:cs="Times New Roman"/>
                <w:b/>
                <w:bCs w:val="0"/>
                <w:sz w:val="24"/>
                <w:szCs w:val="24"/>
                <w:lang w:val="en-US" w:eastAsia="zh-CN"/>
              </w:rPr>
              <w:t>设计</w:t>
            </w:r>
          </w:p>
          <w:p>
            <w:pPr>
              <w:spacing w:line="480" w:lineRule="exact"/>
              <w:ind w:firstLine="480"/>
              <w:rPr>
                <w:rFonts w:hint="eastAsia" w:cs="Times New Roman"/>
                <w:b w:val="0"/>
                <w:bCs/>
                <w:sz w:val="24"/>
                <w:szCs w:val="24"/>
                <w:lang w:val="en-US" w:eastAsia="zh-CN"/>
              </w:rPr>
            </w:pPr>
            <w:r>
              <w:rPr>
                <w:rFonts w:hint="eastAsia" w:cs="Times New Roman"/>
                <w:b w:val="0"/>
                <w:bCs/>
                <w:sz w:val="24"/>
                <w:szCs w:val="24"/>
                <w:lang w:val="en-US" w:eastAsia="zh-CN"/>
              </w:rPr>
              <w:t>道路纵断面设计在满足设计规范中计算行车速度要求的前提下，综合考虑了平面、纵断面线型组合以及根据相交道路标高、周围地形标高的衔接，尽量做到填挖平衡，减少土方量，降低工程造价。东外环路最大设计纵坡为5.4%，最小设计纵坡为0.3%，最小坡长171m；文昌路最大设计纵坡为2.1%，最小设计纵坡为0.3%，最小坡长108m；湖滨大街西延最大设计纵坡为0.85%，最小设计纵坡为0.85%，最小坡长674m。</w:t>
            </w:r>
          </w:p>
          <w:p>
            <w:pPr>
              <w:spacing w:line="480" w:lineRule="exact"/>
              <w:ind w:firstLine="480"/>
              <w:rPr>
                <w:rFonts w:hint="default" w:ascii="Times New Roman" w:hAnsi="Times New Roman" w:eastAsia="宋体" w:cs="Times New Roman"/>
                <w:b/>
                <w:bCs w:val="0"/>
                <w:sz w:val="24"/>
                <w:szCs w:val="24"/>
                <w:lang w:val="en-US" w:eastAsia="zh-CN"/>
              </w:rPr>
            </w:pPr>
            <w:r>
              <w:rPr>
                <w:rFonts w:hint="default" w:ascii="Times New Roman" w:hAnsi="Times New Roman" w:cs="Times New Roman"/>
                <w:b/>
                <w:bCs w:val="0"/>
                <w:sz w:val="24"/>
                <w:szCs w:val="24"/>
                <w:lang w:val="en-US" w:eastAsia="zh-CN"/>
              </w:rPr>
              <w:t>2.1.</w:t>
            </w:r>
            <w:r>
              <w:rPr>
                <w:rFonts w:hint="eastAsia" w:cs="Times New Roman"/>
                <w:b/>
                <w:bCs w:val="0"/>
                <w:sz w:val="24"/>
                <w:szCs w:val="24"/>
                <w:lang w:val="en-US" w:eastAsia="zh-CN"/>
              </w:rPr>
              <w:t>3</w:t>
            </w:r>
            <w:r>
              <w:rPr>
                <w:rFonts w:hint="default" w:ascii="Times New Roman" w:hAnsi="Times New Roman" w:cs="Times New Roman"/>
                <w:b/>
                <w:bCs w:val="0"/>
                <w:sz w:val="24"/>
                <w:szCs w:val="24"/>
                <w:lang w:val="en-US" w:eastAsia="zh-CN"/>
              </w:rPr>
              <w:t>道路</w:t>
            </w:r>
            <w:r>
              <w:rPr>
                <w:rFonts w:hint="eastAsia" w:cs="Times New Roman"/>
                <w:b/>
                <w:bCs w:val="0"/>
                <w:sz w:val="24"/>
                <w:szCs w:val="24"/>
                <w:lang w:val="en-US" w:eastAsia="zh-CN"/>
              </w:rPr>
              <w:t>横断面</w:t>
            </w:r>
            <w:r>
              <w:rPr>
                <w:rFonts w:hint="default" w:ascii="Times New Roman" w:hAnsi="Times New Roman" w:cs="Times New Roman"/>
                <w:b/>
                <w:bCs w:val="0"/>
                <w:sz w:val="24"/>
                <w:szCs w:val="24"/>
                <w:lang w:val="en-US" w:eastAsia="zh-CN"/>
              </w:rPr>
              <w:t>设计</w:t>
            </w:r>
          </w:p>
          <w:p>
            <w:pPr>
              <w:spacing w:line="480" w:lineRule="exact"/>
              <w:ind w:firstLine="480"/>
              <w:rPr>
                <w:rFonts w:hint="eastAsia" w:ascii="Times New Roman" w:hAnsi="Times New Roman" w:cs="Times New Roman"/>
                <w:b w:val="0"/>
                <w:bCs/>
                <w:sz w:val="24"/>
                <w:szCs w:val="24"/>
                <w:lang w:val="en-US" w:eastAsia="zh-CN"/>
              </w:rPr>
            </w:pPr>
            <w:r>
              <w:rPr>
                <w:rFonts w:hint="eastAsia" w:cs="Times New Roman"/>
                <w:b/>
                <w:bCs w:val="0"/>
                <w:sz w:val="24"/>
                <w:szCs w:val="24"/>
                <w:lang w:val="en-US" w:eastAsia="zh-CN"/>
              </w:rPr>
              <w:t>东外环路</w:t>
            </w:r>
            <w:r>
              <w:rPr>
                <w:rFonts w:hint="eastAsia" w:ascii="Times New Roman" w:hAnsi="Times New Roman" w:cs="Times New Roman"/>
                <w:b/>
                <w:bCs w:val="0"/>
                <w:sz w:val="24"/>
                <w:szCs w:val="24"/>
                <w:lang w:val="en-US" w:eastAsia="zh-CN"/>
              </w:rPr>
              <w:t>：</w:t>
            </w:r>
            <w:r>
              <w:rPr>
                <w:rFonts w:hint="eastAsia" w:ascii="Times New Roman" w:hAnsi="Times New Roman" w:cs="Times New Roman"/>
                <w:b w:val="0"/>
                <w:bCs/>
                <w:sz w:val="24"/>
                <w:szCs w:val="24"/>
                <w:lang w:val="en-US" w:eastAsia="zh-CN"/>
              </w:rPr>
              <w:t>K0+000-K1+960路段红线宽度为26m，K1+960-K2+985.248路段红线宽度46m，横断面方案如下</w:t>
            </w:r>
            <w:r>
              <w:rPr>
                <w:rFonts w:hint="eastAsia" w:cs="Times New Roman"/>
                <w:b w:val="0"/>
                <w:bCs/>
                <w:sz w:val="24"/>
                <w:szCs w:val="24"/>
                <w:lang w:val="en-US" w:eastAsia="zh-CN"/>
              </w:rPr>
              <w:t>：</w:t>
            </w:r>
          </w:p>
          <w:p>
            <w:pPr>
              <w:spacing w:line="480" w:lineRule="exact"/>
              <w:ind w:firstLine="480"/>
              <w:rPr>
                <w:rFonts w:hint="eastAsia" w:ascii="Times New Roman" w:hAnsi="Times New Roman" w:cs="Times New Roman"/>
                <w:b/>
                <w:bCs w:val="0"/>
                <w:sz w:val="24"/>
                <w:szCs w:val="24"/>
                <w:lang w:val="en-US" w:eastAsia="zh-CN"/>
              </w:rPr>
            </w:pPr>
            <w:r>
              <w:rPr>
                <w:rFonts w:hint="eastAsia" w:ascii="Times New Roman" w:hAnsi="Times New Roman" w:cs="Times New Roman"/>
                <w:b/>
                <w:bCs w:val="0"/>
                <w:sz w:val="24"/>
                <w:szCs w:val="24"/>
                <w:lang w:val="en-US" w:eastAsia="zh-CN"/>
              </w:rPr>
              <w:t>（1）K0+000-K1+960路段标准横断面：</w:t>
            </w:r>
          </w:p>
          <w:p>
            <w:pPr>
              <w:spacing w:line="480" w:lineRule="exact"/>
              <w:ind w:firstLine="480"/>
              <w:rPr>
                <w:rFonts w:hint="eastAsia" w:ascii="Times New Roman" w:hAnsi="Times New Roman" w:cs="Times New Roman"/>
                <w:b w:val="0"/>
                <w:bCs/>
                <w:sz w:val="24"/>
                <w:szCs w:val="24"/>
                <w:lang w:val="en-US" w:eastAsia="zh-CN"/>
              </w:rPr>
            </w:pPr>
            <w:r>
              <w:rPr>
                <w:rFonts w:hint="eastAsia" w:ascii="Times New Roman" w:hAnsi="Times New Roman" w:cs="Times New Roman"/>
                <w:b w:val="0"/>
                <w:bCs/>
                <w:sz w:val="24"/>
                <w:szCs w:val="24"/>
                <w:lang w:val="en-US" w:eastAsia="zh-CN"/>
              </w:rPr>
              <w:t>①现状道路按左幅路保留使用，道路总长1960m，道路总宽12m，为增加行车舒适性，路面需要重新找坡。</w:t>
            </w:r>
          </w:p>
          <w:p>
            <w:pPr>
              <w:spacing w:line="480" w:lineRule="exact"/>
              <w:ind w:firstLine="480"/>
              <w:rPr>
                <w:rFonts w:hint="default" w:ascii="Times New Roman" w:hAnsi="Times New Roman" w:cs="Times New Roman"/>
                <w:b w:val="0"/>
                <w:bCs/>
                <w:sz w:val="24"/>
                <w:szCs w:val="24"/>
                <w:lang w:val="en-US" w:eastAsia="zh-CN"/>
              </w:rPr>
            </w:pPr>
            <w:r>
              <w:rPr>
                <w:rFonts w:hint="eastAsia" w:ascii="Times New Roman" w:hAnsi="Times New Roman" w:cs="Times New Roman"/>
                <w:b w:val="0"/>
                <w:bCs/>
                <w:sz w:val="24"/>
                <w:szCs w:val="24"/>
                <w:lang w:val="en-US" w:eastAsia="zh-CN"/>
              </w:rPr>
              <w:t>②道路红线宽26m，横断面形式为：12m宽既有左幅道路（维持现状）+2m新建绿化带+12m新建机动车道，道路车行道横坡为1.5%，路拱曲线为修正三次抛物线，硬路肩横坡为2.0%，土路肩横坡3.0%。</w:t>
            </w:r>
          </w:p>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val="0"/>
                <w:bCs/>
                <w:sz w:val="24"/>
                <w:szCs w:val="24"/>
                <w:lang w:val="en-US" w:eastAsia="zh-CN"/>
              </w:rPr>
            </w:pPr>
            <w:r>
              <w:rPr>
                <w:color w:val="000000"/>
                <w:highlight w:val="none"/>
              </w:rPr>
              <w:drawing>
                <wp:inline distT="0" distB="0" distL="114300" distR="114300">
                  <wp:extent cx="5087620" cy="2951480"/>
                  <wp:effectExtent l="0" t="0" r="17780" b="1270"/>
                  <wp:docPr id="3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6"/>
                          <pic:cNvPicPr>
                            <a:picLocks noChangeAspect="1"/>
                          </pic:cNvPicPr>
                        </pic:nvPicPr>
                        <pic:blipFill>
                          <a:blip r:embed="rId11"/>
                          <a:stretch>
                            <a:fillRect/>
                          </a:stretch>
                        </pic:blipFill>
                        <pic:spPr>
                          <a:xfrm>
                            <a:off x="0" y="0"/>
                            <a:ext cx="5087620" cy="2951480"/>
                          </a:xfrm>
                          <a:prstGeom prst="rect">
                            <a:avLst/>
                          </a:prstGeom>
                          <a:noFill/>
                          <a:ln>
                            <a:noFill/>
                          </a:ln>
                        </pic:spPr>
                      </pic:pic>
                    </a:graphicData>
                  </a:graphic>
                </wp:inline>
              </w:drawing>
            </w:r>
          </w:p>
          <w:p>
            <w:pPr>
              <w:pStyle w:val="27"/>
              <w:keepNext w:val="0"/>
              <w:keepLines w:val="0"/>
              <w:pageBreakBefore w:val="0"/>
              <w:widowControl w:val="0"/>
              <w:kinsoku/>
              <w:wordWrap/>
              <w:overflowPunct/>
              <w:topLinePunct w:val="0"/>
              <w:autoSpaceDE/>
              <w:autoSpaceDN/>
              <w:bidi w:val="0"/>
              <w:adjustRightInd/>
              <w:snapToGrid/>
              <w:spacing w:before="0" w:after="0" w:afterAutospacing="0" w:line="480" w:lineRule="atLeast"/>
              <w:textAlignment w:val="auto"/>
              <w:rPr>
                <w:rFonts w:hint="default" w:ascii="黑体" w:hAnsi="黑体" w:eastAsia="黑体"/>
                <w:sz w:val="24"/>
                <w:szCs w:val="24"/>
                <w:lang w:val="en-US" w:eastAsia="zh-CN"/>
              </w:rPr>
            </w:pPr>
            <w:r>
              <w:rPr>
                <w:rFonts w:hint="eastAsia" w:ascii="黑体" w:hAnsi="黑体" w:eastAsia="黑体"/>
                <w:sz w:val="24"/>
                <w:szCs w:val="24"/>
                <w:lang w:val="en-US" w:eastAsia="zh-CN"/>
              </w:rPr>
              <w:t>图2-1  东外环路K0+000-K1+960路段标准横断面图</w:t>
            </w:r>
          </w:p>
          <w:p>
            <w:pPr>
              <w:spacing w:line="480" w:lineRule="exact"/>
              <w:ind w:firstLine="480"/>
              <w:rPr>
                <w:rFonts w:hint="eastAsia" w:ascii="Times New Roman" w:hAnsi="Times New Roman" w:cs="Times New Roman"/>
                <w:b/>
                <w:bCs w:val="0"/>
                <w:sz w:val="24"/>
                <w:szCs w:val="24"/>
                <w:lang w:val="en-US" w:eastAsia="zh-CN"/>
              </w:rPr>
            </w:pPr>
            <w:r>
              <w:rPr>
                <w:rFonts w:hint="eastAsia" w:ascii="Times New Roman" w:hAnsi="Times New Roman" w:cs="Times New Roman"/>
                <w:b/>
                <w:bCs w:val="0"/>
                <w:sz w:val="24"/>
                <w:szCs w:val="24"/>
                <w:lang w:val="en-US" w:eastAsia="zh-CN"/>
              </w:rPr>
              <w:t>（</w:t>
            </w:r>
            <w:r>
              <w:rPr>
                <w:rFonts w:hint="eastAsia" w:cs="Times New Roman"/>
                <w:b/>
                <w:bCs w:val="0"/>
                <w:sz w:val="24"/>
                <w:szCs w:val="24"/>
                <w:lang w:val="en-US" w:eastAsia="zh-CN"/>
              </w:rPr>
              <w:t>2</w:t>
            </w:r>
            <w:r>
              <w:rPr>
                <w:rFonts w:hint="eastAsia" w:ascii="Times New Roman" w:hAnsi="Times New Roman" w:cs="Times New Roman"/>
                <w:b/>
                <w:bCs w:val="0"/>
                <w:sz w:val="24"/>
                <w:szCs w:val="24"/>
                <w:lang w:val="en-US" w:eastAsia="zh-CN"/>
              </w:rPr>
              <w:t>）K1+960-K2+985.248路段标准横断面：</w:t>
            </w:r>
          </w:p>
          <w:p>
            <w:pPr>
              <w:spacing w:line="480" w:lineRule="exact"/>
              <w:ind w:firstLine="482"/>
              <w:rPr>
                <w:rFonts w:hint="eastAsia"/>
                <w:b w:val="0"/>
                <w:bCs/>
                <w:sz w:val="24"/>
                <w:szCs w:val="24"/>
                <w:lang w:val="en-US" w:eastAsia="zh-CN"/>
              </w:rPr>
            </w:pPr>
            <w:r>
              <w:rPr>
                <w:rFonts w:hint="eastAsia"/>
                <w:b w:val="0"/>
                <w:bCs/>
                <w:sz w:val="24"/>
                <w:szCs w:val="24"/>
                <w:lang w:val="en-US" w:eastAsia="zh-CN"/>
              </w:rPr>
              <w:t>道路红线宽度46m，横断面形式为：4m人行道+5m非机动车道+3m绿化带+22m机动车道+3m绿化带+5m非机动车道+4m人行道。道路车行道横坡为1.5%，路拱曲线为修正三次抛物线，非机动车道横坡为1.5%，人行道横坡2.0%。</w:t>
            </w:r>
          </w:p>
          <w:p>
            <w:pPr>
              <w:spacing w:line="480" w:lineRule="exact"/>
              <w:ind w:firstLine="482"/>
              <w:rPr>
                <w:rFonts w:hint="eastAsia"/>
                <w:b w:val="0"/>
                <w:bCs/>
                <w:sz w:val="24"/>
                <w:szCs w:val="24"/>
                <w:lang w:val="en-US" w:eastAsia="zh-CN"/>
              </w:rPr>
            </w:pPr>
          </w:p>
          <w:p>
            <w:pPr>
              <w:spacing w:line="480" w:lineRule="exact"/>
              <w:ind w:firstLine="482"/>
              <w:rPr>
                <w:rFonts w:hint="eastAsia"/>
                <w:b w:val="0"/>
                <w:bCs/>
                <w:sz w:val="24"/>
                <w:szCs w:val="24"/>
                <w:lang w:val="en-US" w:eastAsia="zh-CN"/>
              </w:rPr>
            </w:pPr>
          </w:p>
          <w:p>
            <w:pPr>
              <w:spacing w:line="480" w:lineRule="exact"/>
              <w:ind w:firstLine="482"/>
              <w:rPr>
                <w:rFonts w:hint="eastAsia"/>
                <w:b w:val="0"/>
                <w:bCs/>
                <w:sz w:val="24"/>
                <w:szCs w:val="24"/>
                <w:lang w:val="en-US" w:eastAsia="zh-CN"/>
              </w:rPr>
            </w:pPr>
          </w:p>
          <w:p>
            <w:pPr>
              <w:spacing w:line="480" w:lineRule="exact"/>
              <w:ind w:firstLine="482"/>
              <w:rPr>
                <w:rFonts w:hint="eastAsia"/>
                <w:b w:val="0"/>
                <w:bCs/>
                <w:sz w:val="24"/>
                <w:szCs w:val="24"/>
                <w:lang w:val="en-US" w:eastAsia="zh-CN"/>
              </w:rPr>
            </w:pPr>
          </w:p>
          <w:p>
            <w:pPr>
              <w:spacing w:line="480" w:lineRule="exact"/>
              <w:ind w:firstLine="482"/>
              <w:rPr>
                <w:rFonts w:hint="default"/>
                <w:b w:val="0"/>
                <w:bCs/>
                <w:sz w:val="24"/>
                <w:szCs w:val="24"/>
                <w:lang w:val="en-US"/>
              </w:rPr>
            </w:pPr>
          </w:p>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b/>
                <w:sz w:val="24"/>
                <w:szCs w:val="24"/>
              </w:rPr>
            </w:pPr>
            <w:r>
              <w:drawing>
                <wp:inline distT="0" distB="0" distL="114300" distR="114300">
                  <wp:extent cx="5158740" cy="2154555"/>
                  <wp:effectExtent l="0" t="0" r="3810" b="17145"/>
                  <wp:docPr id="4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7"/>
                          <pic:cNvPicPr>
                            <a:picLocks noChangeAspect="1"/>
                          </pic:cNvPicPr>
                        </pic:nvPicPr>
                        <pic:blipFill>
                          <a:blip r:embed="rId12"/>
                          <a:stretch>
                            <a:fillRect/>
                          </a:stretch>
                        </pic:blipFill>
                        <pic:spPr>
                          <a:xfrm>
                            <a:off x="0" y="0"/>
                            <a:ext cx="5158740" cy="2154555"/>
                          </a:xfrm>
                          <a:prstGeom prst="rect">
                            <a:avLst/>
                          </a:prstGeom>
                          <a:noFill/>
                          <a:ln>
                            <a:noFill/>
                          </a:ln>
                        </pic:spPr>
                      </pic:pic>
                    </a:graphicData>
                  </a:graphic>
                </wp:inline>
              </w:drawing>
            </w:r>
          </w:p>
          <w:p>
            <w:pPr>
              <w:pStyle w:val="27"/>
              <w:keepNext w:val="0"/>
              <w:keepLines w:val="0"/>
              <w:pageBreakBefore w:val="0"/>
              <w:widowControl w:val="0"/>
              <w:kinsoku/>
              <w:wordWrap/>
              <w:overflowPunct/>
              <w:topLinePunct w:val="0"/>
              <w:autoSpaceDE/>
              <w:autoSpaceDN/>
              <w:bidi w:val="0"/>
              <w:adjustRightInd/>
              <w:snapToGrid/>
              <w:spacing w:before="0" w:after="0" w:afterAutospacing="0" w:line="480" w:lineRule="atLeast"/>
              <w:textAlignment w:val="auto"/>
              <w:rPr>
                <w:rFonts w:hint="default" w:ascii="黑体" w:hAnsi="黑体" w:eastAsia="黑体"/>
                <w:sz w:val="24"/>
                <w:szCs w:val="24"/>
                <w:lang w:val="en-US" w:eastAsia="zh-CN"/>
              </w:rPr>
            </w:pPr>
            <w:r>
              <w:rPr>
                <w:rFonts w:hint="eastAsia" w:ascii="黑体" w:hAnsi="黑体" w:eastAsia="黑体"/>
                <w:sz w:val="24"/>
                <w:szCs w:val="24"/>
                <w:lang w:val="en-US" w:eastAsia="zh-CN"/>
              </w:rPr>
              <w:t>图2-2  东外环路K1+960-K2+985.248路段标准横断面图</w:t>
            </w:r>
          </w:p>
          <w:p>
            <w:pPr>
              <w:spacing w:line="480" w:lineRule="exact"/>
              <w:ind w:firstLine="480"/>
              <w:rPr>
                <w:rFonts w:hint="eastAsia" w:ascii="Times New Roman" w:hAnsi="Times New Roman" w:cs="Times New Roman"/>
                <w:b w:val="0"/>
                <w:bCs/>
                <w:sz w:val="24"/>
                <w:szCs w:val="24"/>
                <w:lang w:val="en-US" w:eastAsia="zh-CN"/>
              </w:rPr>
            </w:pPr>
            <w:r>
              <w:rPr>
                <w:rFonts w:hint="eastAsia" w:ascii="Times New Roman" w:hAnsi="Times New Roman" w:cs="Times New Roman"/>
                <w:b/>
                <w:bCs w:val="0"/>
                <w:sz w:val="24"/>
                <w:szCs w:val="24"/>
                <w:lang w:val="en-US" w:eastAsia="zh-CN"/>
              </w:rPr>
              <w:t>湖滨大街西延：</w:t>
            </w:r>
            <w:r>
              <w:rPr>
                <w:rFonts w:hint="eastAsia" w:ascii="Times New Roman" w:hAnsi="Times New Roman" w:cs="Times New Roman"/>
                <w:b w:val="0"/>
                <w:bCs/>
                <w:sz w:val="24"/>
                <w:szCs w:val="24"/>
                <w:lang w:val="en-US" w:eastAsia="zh-CN"/>
              </w:rPr>
              <w:t>湖滨大街西延红线宽度50m，横断面方案如下</w:t>
            </w:r>
            <w:r>
              <w:rPr>
                <w:rFonts w:hint="eastAsia" w:cs="Times New Roman"/>
                <w:b w:val="0"/>
                <w:bCs/>
                <w:sz w:val="24"/>
                <w:szCs w:val="24"/>
                <w:lang w:val="en-US" w:eastAsia="zh-CN"/>
              </w:rPr>
              <w:t>：</w:t>
            </w:r>
          </w:p>
          <w:p>
            <w:pPr>
              <w:spacing w:line="480" w:lineRule="exact"/>
              <w:ind w:firstLine="480"/>
              <w:rPr>
                <w:rFonts w:hint="eastAsia" w:ascii="Times New Roman" w:hAnsi="Times New Roman" w:cs="Times New Roman"/>
                <w:b w:val="0"/>
                <w:bCs/>
                <w:sz w:val="24"/>
                <w:szCs w:val="24"/>
                <w:lang w:val="en-US" w:eastAsia="zh-CN"/>
              </w:rPr>
            </w:pPr>
            <w:r>
              <w:rPr>
                <w:rFonts w:hint="eastAsia" w:ascii="Times New Roman" w:hAnsi="Times New Roman" w:cs="Times New Roman"/>
                <w:b w:val="0"/>
                <w:bCs/>
                <w:sz w:val="24"/>
                <w:szCs w:val="24"/>
                <w:lang w:val="en-US" w:eastAsia="zh-CN"/>
              </w:rPr>
              <w:t>道路红线宽度50m，横断面形式为：4.5m人行道+6m非机动车道+3m绿化带+23m机动车道+3m绿化带+6m非机动车道+4.5m人行道。道路车行道横坡为1.5%，路拱曲线为修正三次抛物线，非机动车道横坡为1.5%，人行道横坡2.0%。</w:t>
            </w:r>
          </w:p>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ascii="Times New Roman" w:hAnsi="Times New Roman" w:cs="Times New Roman"/>
                <w:b w:val="0"/>
                <w:bCs/>
                <w:sz w:val="24"/>
                <w:szCs w:val="24"/>
                <w:lang w:val="en-US" w:eastAsia="zh-CN"/>
              </w:rPr>
            </w:pPr>
            <w:r>
              <w:drawing>
                <wp:inline distT="0" distB="0" distL="114300" distR="114300">
                  <wp:extent cx="5230495" cy="1780540"/>
                  <wp:effectExtent l="0" t="0" r="8255" b="10160"/>
                  <wp:docPr id="4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8"/>
                          <pic:cNvPicPr>
                            <a:picLocks noChangeAspect="1"/>
                          </pic:cNvPicPr>
                        </pic:nvPicPr>
                        <pic:blipFill>
                          <a:blip r:embed="rId13"/>
                          <a:srcRect t="8157"/>
                          <a:stretch>
                            <a:fillRect/>
                          </a:stretch>
                        </pic:blipFill>
                        <pic:spPr>
                          <a:xfrm>
                            <a:off x="0" y="0"/>
                            <a:ext cx="5230495" cy="1780540"/>
                          </a:xfrm>
                          <a:prstGeom prst="rect">
                            <a:avLst/>
                          </a:prstGeom>
                          <a:noFill/>
                          <a:ln>
                            <a:noFill/>
                          </a:ln>
                        </pic:spPr>
                      </pic:pic>
                    </a:graphicData>
                  </a:graphic>
                </wp:inline>
              </w:drawing>
            </w:r>
          </w:p>
          <w:p>
            <w:pPr>
              <w:pStyle w:val="27"/>
              <w:keepNext w:val="0"/>
              <w:keepLines w:val="0"/>
              <w:pageBreakBefore w:val="0"/>
              <w:widowControl w:val="0"/>
              <w:kinsoku/>
              <w:wordWrap/>
              <w:overflowPunct/>
              <w:topLinePunct w:val="0"/>
              <w:autoSpaceDE/>
              <w:autoSpaceDN/>
              <w:bidi w:val="0"/>
              <w:adjustRightInd/>
              <w:snapToGrid/>
              <w:spacing w:before="0" w:after="0" w:afterAutospacing="0" w:line="480" w:lineRule="atLeast"/>
              <w:textAlignment w:val="auto"/>
              <w:rPr>
                <w:rFonts w:hint="default" w:ascii="黑体" w:hAnsi="黑体" w:eastAsia="黑体"/>
                <w:sz w:val="24"/>
                <w:szCs w:val="24"/>
                <w:lang w:val="en-US" w:eastAsia="zh-CN"/>
              </w:rPr>
            </w:pPr>
            <w:r>
              <w:rPr>
                <w:rFonts w:hint="eastAsia" w:ascii="黑体" w:hAnsi="黑体" w:eastAsia="黑体"/>
                <w:sz w:val="24"/>
                <w:szCs w:val="24"/>
                <w:lang w:val="en-US" w:eastAsia="zh-CN"/>
              </w:rPr>
              <w:t>图2-3  湖滨大街西延标准横断面图</w:t>
            </w:r>
          </w:p>
          <w:p>
            <w:pPr>
              <w:spacing w:line="480" w:lineRule="exact"/>
              <w:ind w:firstLine="480"/>
              <w:rPr>
                <w:rFonts w:hint="eastAsia" w:ascii="Times New Roman" w:hAnsi="Times New Roman" w:cs="Times New Roman"/>
                <w:b w:val="0"/>
                <w:bCs/>
                <w:sz w:val="24"/>
                <w:szCs w:val="24"/>
                <w:lang w:val="en-US" w:eastAsia="zh-CN"/>
              </w:rPr>
            </w:pPr>
            <w:r>
              <w:rPr>
                <w:rFonts w:hint="eastAsia" w:cs="Times New Roman"/>
                <w:b/>
                <w:bCs w:val="0"/>
                <w:sz w:val="24"/>
                <w:szCs w:val="24"/>
                <w:lang w:val="en-US" w:eastAsia="zh-CN"/>
              </w:rPr>
              <w:t>文昌路</w:t>
            </w:r>
            <w:r>
              <w:rPr>
                <w:rFonts w:hint="eastAsia" w:ascii="Times New Roman" w:hAnsi="Times New Roman" w:cs="Times New Roman"/>
                <w:b/>
                <w:bCs w:val="0"/>
                <w:sz w:val="24"/>
                <w:szCs w:val="24"/>
                <w:lang w:val="en-US" w:eastAsia="zh-CN"/>
              </w:rPr>
              <w:t>：</w:t>
            </w:r>
            <w:r>
              <w:rPr>
                <w:rFonts w:hint="eastAsia" w:ascii="Times New Roman" w:hAnsi="Times New Roman" w:cs="Times New Roman"/>
                <w:b w:val="0"/>
                <w:bCs/>
                <w:sz w:val="24"/>
                <w:szCs w:val="24"/>
                <w:lang w:val="en-US" w:eastAsia="zh-CN"/>
              </w:rPr>
              <w:t>文昌路红线宽度20m，作为景观大道设计，横断面方案如下</w:t>
            </w:r>
            <w:r>
              <w:rPr>
                <w:rFonts w:hint="eastAsia" w:cs="Times New Roman"/>
                <w:b w:val="0"/>
                <w:bCs/>
                <w:sz w:val="24"/>
                <w:szCs w:val="24"/>
                <w:lang w:val="en-US" w:eastAsia="zh-CN"/>
              </w:rPr>
              <w:t>：</w:t>
            </w:r>
          </w:p>
          <w:p>
            <w:pPr>
              <w:spacing w:line="480" w:lineRule="exact"/>
              <w:ind w:firstLine="480"/>
              <w:rPr>
                <w:rFonts w:hint="default" w:ascii="Times New Roman" w:hAnsi="Times New Roman" w:cs="Times New Roman"/>
                <w:b w:val="0"/>
                <w:bCs/>
                <w:sz w:val="24"/>
                <w:szCs w:val="24"/>
                <w:lang w:val="en-US" w:eastAsia="zh-CN"/>
              </w:rPr>
            </w:pPr>
            <w:r>
              <w:rPr>
                <w:rFonts w:hint="default" w:ascii="Times New Roman" w:hAnsi="Times New Roman" w:cs="Times New Roman"/>
                <w:b w:val="0"/>
                <w:bCs/>
                <w:sz w:val="24"/>
                <w:szCs w:val="24"/>
                <w:lang w:val="en-US" w:eastAsia="zh-CN"/>
              </w:rPr>
              <w:t>红线20m宽横断面形式：1m设施带+16.5m机非混行车道+2.5m人行道；</w:t>
            </w:r>
          </w:p>
          <w:p>
            <w:pPr>
              <w:spacing w:line="480" w:lineRule="exact"/>
              <w:ind w:firstLine="480"/>
              <w:rPr>
                <w:rFonts w:hint="default" w:ascii="Times New Roman" w:hAnsi="Times New Roman" w:cs="Times New Roman"/>
                <w:b w:val="0"/>
                <w:bCs/>
                <w:sz w:val="24"/>
                <w:szCs w:val="24"/>
                <w:lang w:val="en-US" w:eastAsia="zh-CN"/>
              </w:rPr>
            </w:pPr>
          </w:p>
          <w:p>
            <w:pPr>
              <w:spacing w:line="480" w:lineRule="exact"/>
              <w:ind w:firstLine="480"/>
              <w:rPr>
                <w:rFonts w:hint="default" w:ascii="Times New Roman" w:hAnsi="Times New Roman" w:cs="Times New Roman"/>
                <w:b w:val="0"/>
                <w:bCs/>
                <w:sz w:val="24"/>
                <w:szCs w:val="24"/>
                <w:lang w:val="en-US" w:eastAsia="zh-CN"/>
              </w:rPr>
            </w:pPr>
          </w:p>
          <w:p>
            <w:pPr>
              <w:spacing w:line="480" w:lineRule="exact"/>
              <w:ind w:firstLine="480"/>
              <w:rPr>
                <w:rFonts w:hint="default" w:ascii="Times New Roman" w:hAnsi="Times New Roman" w:cs="Times New Roman"/>
                <w:b w:val="0"/>
                <w:bCs/>
                <w:sz w:val="24"/>
                <w:szCs w:val="24"/>
                <w:lang w:val="en-US" w:eastAsia="zh-CN"/>
              </w:rPr>
            </w:pPr>
          </w:p>
          <w:p>
            <w:pPr>
              <w:spacing w:line="480" w:lineRule="exact"/>
              <w:ind w:firstLine="480"/>
              <w:rPr>
                <w:rFonts w:hint="default" w:ascii="Times New Roman" w:hAnsi="Times New Roman" w:cs="Times New Roman"/>
                <w:b w:val="0"/>
                <w:bCs/>
                <w:sz w:val="24"/>
                <w:szCs w:val="24"/>
                <w:lang w:val="en-US" w:eastAsia="zh-CN"/>
              </w:rPr>
            </w:pPr>
          </w:p>
          <w:p>
            <w:pPr>
              <w:spacing w:line="480" w:lineRule="exact"/>
              <w:ind w:firstLine="480"/>
              <w:rPr>
                <w:rFonts w:hint="default" w:ascii="Times New Roman" w:hAnsi="Times New Roman" w:cs="Times New Roman"/>
                <w:b w:val="0"/>
                <w:bCs/>
                <w:sz w:val="24"/>
                <w:szCs w:val="24"/>
                <w:lang w:val="en-US" w:eastAsia="zh-CN"/>
              </w:rPr>
            </w:pPr>
          </w:p>
          <w:p>
            <w:pPr>
              <w:spacing w:line="480" w:lineRule="exact"/>
              <w:ind w:firstLine="480"/>
              <w:rPr>
                <w:rFonts w:hint="default" w:ascii="Times New Roman" w:hAnsi="Times New Roman" w:cs="Times New Roman"/>
                <w:b w:val="0"/>
                <w:bCs/>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val="0"/>
                <w:bCs/>
                <w:sz w:val="24"/>
                <w:szCs w:val="24"/>
                <w:lang w:val="en-US" w:eastAsia="zh-CN"/>
              </w:rPr>
            </w:pPr>
            <w:r>
              <w:rPr>
                <w:color w:val="000000"/>
                <w:highlight w:val="none"/>
              </w:rPr>
              <w:drawing>
                <wp:inline distT="0" distB="0" distL="114300" distR="114300">
                  <wp:extent cx="4222750" cy="2687955"/>
                  <wp:effectExtent l="0" t="0" r="6350" b="17145"/>
                  <wp:docPr id="4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9"/>
                          <pic:cNvPicPr>
                            <a:picLocks noChangeAspect="1"/>
                          </pic:cNvPicPr>
                        </pic:nvPicPr>
                        <pic:blipFill>
                          <a:blip r:embed="rId14"/>
                          <a:stretch>
                            <a:fillRect/>
                          </a:stretch>
                        </pic:blipFill>
                        <pic:spPr>
                          <a:xfrm>
                            <a:off x="0" y="0"/>
                            <a:ext cx="4222750" cy="2687955"/>
                          </a:xfrm>
                          <a:prstGeom prst="rect">
                            <a:avLst/>
                          </a:prstGeom>
                          <a:noFill/>
                          <a:ln>
                            <a:noFill/>
                          </a:ln>
                        </pic:spPr>
                      </pic:pic>
                    </a:graphicData>
                  </a:graphic>
                </wp:inline>
              </w:drawing>
            </w:r>
          </w:p>
          <w:p>
            <w:pPr>
              <w:pStyle w:val="27"/>
              <w:keepNext w:val="0"/>
              <w:keepLines w:val="0"/>
              <w:pageBreakBefore w:val="0"/>
              <w:widowControl w:val="0"/>
              <w:kinsoku/>
              <w:wordWrap/>
              <w:overflowPunct/>
              <w:topLinePunct w:val="0"/>
              <w:autoSpaceDE/>
              <w:autoSpaceDN/>
              <w:bidi w:val="0"/>
              <w:adjustRightInd/>
              <w:snapToGrid/>
              <w:spacing w:before="0" w:after="0" w:afterAutospacing="0" w:line="480" w:lineRule="atLeast"/>
              <w:textAlignment w:val="auto"/>
              <w:rPr>
                <w:rFonts w:hint="default" w:ascii="黑体" w:hAnsi="黑体" w:eastAsia="黑体"/>
                <w:sz w:val="24"/>
                <w:szCs w:val="24"/>
                <w:lang w:val="en-US" w:eastAsia="zh-CN"/>
              </w:rPr>
            </w:pPr>
            <w:r>
              <w:rPr>
                <w:rFonts w:hint="eastAsia" w:ascii="黑体" w:hAnsi="黑体" w:eastAsia="黑体"/>
                <w:sz w:val="24"/>
                <w:szCs w:val="24"/>
                <w:lang w:val="en-US" w:eastAsia="zh-CN"/>
              </w:rPr>
              <w:t>图2-4  文昌路标准横断面图</w:t>
            </w:r>
          </w:p>
          <w:p>
            <w:pPr>
              <w:spacing w:line="480" w:lineRule="exact"/>
              <w:ind w:firstLine="480"/>
              <w:rPr>
                <w:rFonts w:hint="default" w:ascii="Times New Roman" w:hAnsi="Times New Roman" w:eastAsia="宋体" w:cs="Times New Roman"/>
                <w:b/>
                <w:bCs w:val="0"/>
                <w:sz w:val="24"/>
                <w:szCs w:val="24"/>
                <w:lang w:val="en-US" w:eastAsia="zh-CN"/>
              </w:rPr>
            </w:pPr>
            <w:r>
              <w:rPr>
                <w:rFonts w:hint="default" w:ascii="Times New Roman" w:hAnsi="Times New Roman" w:cs="Times New Roman"/>
                <w:b/>
                <w:bCs w:val="0"/>
                <w:sz w:val="24"/>
                <w:szCs w:val="24"/>
                <w:lang w:val="en-US" w:eastAsia="zh-CN"/>
              </w:rPr>
              <w:t>2.1.</w:t>
            </w:r>
            <w:r>
              <w:rPr>
                <w:rFonts w:hint="eastAsia" w:cs="Times New Roman"/>
                <w:b/>
                <w:bCs w:val="0"/>
                <w:sz w:val="24"/>
                <w:szCs w:val="24"/>
                <w:lang w:val="en-US" w:eastAsia="zh-CN"/>
              </w:rPr>
              <w:t>4</w:t>
            </w:r>
            <w:r>
              <w:rPr>
                <w:rFonts w:hint="default" w:ascii="Times New Roman" w:hAnsi="Times New Roman" w:cs="Times New Roman"/>
                <w:b/>
                <w:bCs w:val="0"/>
                <w:sz w:val="24"/>
                <w:szCs w:val="24"/>
                <w:lang w:val="en-US" w:eastAsia="zh-CN"/>
              </w:rPr>
              <w:t>道路</w:t>
            </w:r>
            <w:r>
              <w:rPr>
                <w:rFonts w:hint="eastAsia" w:cs="Times New Roman"/>
                <w:b/>
                <w:bCs w:val="0"/>
                <w:sz w:val="24"/>
                <w:szCs w:val="24"/>
                <w:lang w:val="en-US" w:eastAsia="zh-CN"/>
              </w:rPr>
              <w:t>路基处理</w:t>
            </w:r>
          </w:p>
          <w:p>
            <w:pPr>
              <w:spacing w:line="480" w:lineRule="exact"/>
              <w:ind w:firstLine="480"/>
              <w:rPr>
                <w:rFonts w:hint="default" w:ascii="Times New Roman" w:hAnsi="Times New Roman" w:cs="Times New Roman"/>
                <w:b w:val="0"/>
                <w:bCs/>
                <w:sz w:val="24"/>
                <w:szCs w:val="24"/>
                <w:lang w:val="en-US" w:eastAsia="zh-CN"/>
              </w:rPr>
            </w:pPr>
            <w:r>
              <w:rPr>
                <w:rFonts w:hint="eastAsia" w:cs="Times New Roman"/>
                <w:b/>
                <w:bCs w:val="0"/>
                <w:sz w:val="24"/>
                <w:szCs w:val="24"/>
                <w:lang w:val="en-US" w:eastAsia="zh-CN"/>
              </w:rPr>
              <w:t>东外环路</w:t>
            </w:r>
            <w:r>
              <w:rPr>
                <w:rFonts w:hint="eastAsia" w:ascii="Times New Roman" w:hAnsi="Times New Roman" w:cs="Times New Roman"/>
                <w:b/>
                <w:bCs w:val="0"/>
                <w:sz w:val="24"/>
                <w:szCs w:val="24"/>
                <w:lang w:val="en-US" w:eastAsia="zh-CN"/>
              </w:rPr>
              <w:t>：</w:t>
            </w:r>
            <w:r>
              <w:rPr>
                <w:rFonts w:hint="eastAsia" w:ascii="Times New Roman" w:hAnsi="Times New Roman" w:cs="Times New Roman"/>
                <w:b w:val="0"/>
                <w:bCs/>
                <w:sz w:val="24"/>
                <w:szCs w:val="24"/>
                <w:lang w:val="en-US" w:eastAsia="zh-CN"/>
              </w:rPr>
              <w:t>k0+248—k0+410段，路基填方边坡最大高度为14.5m，该段坡脚自然地面高程为1012m，地下水位为1009m，地下水埋深为3m，地表以下第二层土为3m厚杂填土层（图层埋深为3~4m），为了保证填方路堤边坡稳定性，减小工后沉降，路基采用换填处理，处理措施为：0.5m厚片石（碎石填充空隙）+1.5m厚天然砂砾；k0+000—k0+248、k0+485—k1+278段存在非自重湿陷性黄土状粉土，不可作为路基土使用；第⑴1层杂填土、第⑴2层素填土为人工堆积形成，成份复杂，压缩性高，强度低，不可做天然路基持力层。因此表层分布杂填土进、素填土进行挖除，采用天然砂砾进行换填处理，对黄土状粉土采用冲击碾压法进行处理，处理深度不小于1.0m。k1+278—k1+878段，地下水位埋深为4m，地表下第二层土为粉土，土层埋深为0.6m，具有中压缩性，湿度高，为了减小该段填方路堤沉降，处理措施为：0.5m厚片石（碎石填充空隙）+1.5m厚天然砂砾。</w:t>
            </w:r>
          </w:p>
          <w:p>
            <w:pPr>
              <w:spacing w:line="480" w:lineRule="exact"/>
              <w:ind w:firstLine="480"/>
              <w:rPr>
                <w:rFonts w:hint="default" w:ascii="Times New Roman" w:hAnsi="Times New Roman" w:cs="Times New Roman"/>
                <w:b w:val="0"/>
                <w:bCs/>
                <w:sz w:val="24"/>
                <w:szCs w:val="24"/>
                <w:lang w:val="en-US" w:eastAsia="zh-CN"/>
              </w:rPr>
            </w:pPr>
            <w:r>
              <w:rPr>
                <w:rFonts w:hint="eastAsia" w:ascii="Times New Roman" w:hAnsi="Times New Roman" w:cs="Times New Roman"/>
                <w:b/>
                <w:bCs w:val="0"/>
                <w:sz w:val="24"/>
                <w:szCs w:val="24"/>
                <w:lang w:val="en-US" w:eastAsia="zh-CN"/>
              </w:rPr>
              <w:t>湖滨大街西延：</w:t>
            </w:r>
            <w:r>
              <w:rPr>
                <w:rFonts w:hint="eastAsia" w:ascii="Times New Roman" w:hAnsi="Times New Roman" w:cs="Times New Roman"/>
                <w:b w:val="0"/>
                <w:bCs/>
                <w:sz w:val="24"/>
                <w:szCs w:val="24"/>
                <w:lang w:val="en-US" w:eastAsia="zh-CN"/>
              </w:rPr>
              <w:t>k1+100</w:t>
            </w:r>
            <w:r>
              <w:rPr>
                <w:rFonts w:hint="eastAsia" w:cs="Times New Roman"/>
                <w:b w:val="0"/>
                <w:bCs/>
                <w:sz w:val="24"/>
                <w:szCs w:val="24"/>
                <w:lang w:val="en-US" w:eastAsia="zh-CN"/>
              </w:rPr>
              <w:t>~</w:t>
            </w:r>
            <w:r>
              <w:rPr>
                <w:rFonts w:hint="eastAsia" w:ascii="Times New Roman" w:hAnsi="Times New Roman" w:cs="Times New Roman"/>
                <w:b w:val="0"/>
                <w:bCs/>
                <w:sz w:val="24"/>
                <w:szCs w:val="24"/>
                <w:lang w:val="en-US" w:eastAsia="zh-CN"/>
              </w:rPr>
              <w:t>k1+300段，地下水位埋深为2m，土层湿度高，处理措施为0.5m厚片石（碎石填充空隙）+1.5m厚天然砂砾：k1+300~k1+890段，第二层为非自重湿陷性黄土状粉土，不可作为路基土使用；第一层为素填土，土质不均，力学性质较差，中压缩性，不可做天然路基持力层。因此表层分布杂填土进、素填土进行挖除，采用天然砂砾进行换填处理，对黄土状粉土采用冲击碾压法进行处理，处理深度不小于1.0m。</w:t>
            </w:r>
          </w:p>
          <w:p>
            <w:pPr>
              <w:spacing w:line="480" w:lineRule="exact"/>
              <w:ind w:firstLine="480"/>
              <w:rPr>
                <w:rFonts w:hint="default" w:ascii="Times New Roman" w:hAnsi="Times New Roman" w:cs="Times New Roman"/>
                <w:b w:val="0"/>
                <w:bCs/>
                <w:sz w:val="24"/>
                <w:szCs w:val="24"/>
                <w:lang w:val="en-US" w:eastAsia="zh-CN"/>
              </w:rPr>
            </w:pPr>
            <w:r>
              <w:rPr>
                <w:rFonts w:hint="eastAsia" w:cs="Times New Roman"/>
                <w:b/>
                <w:bCs w:val="0"/>
                <w:sz w:val="24"/>
                <w:szCs w:val="24"/>
                <w:lang w:val="en-US" w:eastAsia="zh-CN"/>
              </w:rPr>
              <w:t>文昌路</w:t>
            </w:r>
            <w:r>
              <w:rPr>
                <w:rFonts w:hint="eastAsia" w:ascii="Times New Roman" w:hAnsi="Times New Roman" w:cs="Times New Roman"/>
                <w:b/>
                <w:bCs w:val="0"/>
                <w:sz w:val="24"/>
                <w:szCs w:val="24"/>
                <w:lang w:val="en-US" w:eastAsia="zh-CN"/>
              </w:rPr>
              <w:t>：</w:t>
            </w:r>
            <w:r>
              <w:rPr>
                <w:rFonts w:hint="eastAsia" w:ascii="Times New Roman" w:hAnsi="Times New Roman" w:cs="Times New Roman"/>
                <w:b w:val="0"/>
                <w:bCs/>
                <w:sz w:val="24"/>
                <w:szCs w:val="24"/>
                <w:lang w:val="en-US" w:eastAsia="zh-CN"/>
              </w:rPr>
              <w:t>k0+000~k0+720，第一层为人工填土，成分杂乱，结构松散，均匀性差，其中第二个亚层素填土具中～高压缩性，具轻微~中等湿陷性，不可做天然路基持力层。第二层为非自重湿陷性黄土状粉土，不可作为路基土使用；因此表层分布杂填土进、素填土进行挖除，采用天然砂砾进行换填处理，对黄土状粉土采用冲击碾压法进行处理，处理深度不小于1.0m。</w:t>
            </w:r>
          </w:p>
          <w:p>
            <w:pPr>
              <w:spacing w:line="480" w:lineRule="exact"/>
              <w:ind w:firstLine="480"/>
              <w:rPr>
                <w:rFonts w:hint="default" w:ascii="Times New Roman" w:hAnsi="Times New Roman" w:eastAsia="宋体" w:cs="Times New Roman"/>
                <w:b/>
                <w:bCs w:val="0"/>
                <w:sz w:val="24"/>
                <w:szCs w:val="24"/>
                <w:lang w:val="en-US" w:eastAsia="zh-CN"/>
              </w:rPr>
            </w:pPr>
            <w:r>
              <w:rPr>
                <w:rFonts w:hint="default" w:ascii="Times New Roman" w:hAnsi="Times New Roman" w:cs="Times New Roman"/>
                <w:b/>
                <w:bCs w:val="0"/>
                <w:sz w:val="24"/>
                <w:szCs w:val="24"/>
                <w:lang w:val="en-US" w:eastAsia="zh-CN"/>
              </w:rPr>
              <w:t>2.1.</w:t>
            </w:r>
            <w:r>
              <w:rPr>
                <w:rFonts w:hint="eastAsia" w:cs="Times New Roman"/>
                <w:b/>
                <w:bCs w:val="0"/>
                <w:sz w:val="24"/>
                <w:szCs w:val="24"/>
                <w:lang w:val="en-US" w:eastAsia="zh-CN"/>
              </w:rPr>
              <w:t>5</w:t>
            </w:r>
            <w:r>
              <w:rPr>
                <w:rFonts w:hint="default" w:ascii="Times New Roman" w:hAnsi="Times New Roman" w:cs="Times New Roman"/>
                <w:b/>
                <w:bCs w:val="0"/>
                <w:sz w:val="24"/>
                <w:szCs w:val="24"/>
                <w:lang w:val="en-US" w:eastAsia="zh-CN"/>
              </w:rPr>
              <w:t>道路</w:t>
            </w:r>
            <w:r>
              <w:rPr>
                <w:rFonts w:hint="eastAsia" w:cs="Times New Roman"/>
                <w:b/>
                <w:bCs w:val="0"/>
                <w:sz w:val="24"/>
                <w:szCs w:val="24"/>
                <w:lang w:val="en-US" w:eastAsia="zh-CN"/>
              </w:rPr>
              <w:t>路面</w:t>
            </w:r>
            <w:r>
              <w:rPr>
                <w:rFonts w:hint="default" w:ascii="Times New Roman" w:hAnsi="Times New Roman" w:cs="Times New Roman"/>
                <w:b/>
                <w:bCs w:val="0"/>
                <w:sz w:val="24"/>
                <w:szCs w:val="24"/>
                <w:lang w:val="en-US" w:eastAsia="zh-CN"/>
              </w:rPr>
              <w:t>设计</w:t>
            </w:r>
          </w:p>
          <w:p>
            <w:pPr>
              <w:spacing w:line="480" w:lineRule="exact"/>
              <w:ind w:firstLine="482"/>
              <w:rPr>
                <w:b w:val="0"/>
                <w:bCs/>
                <w:sz w:val="24"/>
                <w:szCs w:val="24"/>
              </w:rPr>
            </w:pPr>
            <w:r>
              <w:rPr>
                <w:b w:val="0"/>
                <w:bCs/>
                <w:sz w:val="24"/>
                <w:szCs w:val="24"/>
              </w:rPr>
              <w:t>考虑本</w:t>
            </w:r>
            <w:r>
              <w:rPr>
                <w:rFonts w:hint="eastAsia"/>
                <w:b w:val="0"/>
                <w:bCs/>
                <w:sz w:val="24"/>
                <w:szCs w:val="24"/>
              </w:rPr>
              <w:t>项目</w:t>
            </w:r>
            <w:r>
              <w:rPr>
                <w:b w:val="0"/>
                <w:bCs/>
                <w:sz w:val="24"/>
                <w:szCs w:val="24"/>
              </w:rPr>
              <w:t>属</w:t>
            </w:r>
            <w:r>
              <w:rPr>
                <w:rFonts w:hint="eastAsia"/>
                <w:b w:val="0"/>
                <w:bCs/>
                <w:sz w:val="24"/>
                <w:szCs w:val="24"/>
              </w:rPr>
              <w:t>新建项目</w:t>
            </w:r>
            <w:r>
              <w:rPr>
                <w:b w:val="0"/>
                <w:bCs/>
                <w:sz w:val="24"/>
                <w:szCs w:val="24"/>
              </w:rPr>
              <w:t>，从交通车辆组成分析，同时考虑到交通量诱增因素、道路建成后的正常运营养护、行车舒适性、施工期要求短等因素，认为沥青混凝土路面能较好地适应本项目对路面结构的要求，本次设计采用沥青混凝土柔性路面。</w:t>
            </w:r>
          </w:p>
          <w:p>
            <w:pPr>
              <w:spacing w:line="480" w:lineRule="exact"/>
              <w:ind w:firstLine="482"/>
              <w:rPr>
                <w:rFonts w:hint="default" w:eastAsia="宋体"/>
                <w:b/>
                <w:bCs w:val="0"/>
                <w:sz w:val="24"/>
                <w:szCs w:val="24"/>
                <w:lang w:val="en-US" w:eastAsia="zh-CN"/>
              </w:rPr>
            </w:pPr>
            <w:r>
              <w:rPr>
                <w:rFonts w:hint="eastAsia"/>
                <w:b/>
                <w:bCs w:val="0"/>
                <w:sz w:val="24"/>
                <w:szCs w:val="24"/>
                <w:lang w:eastAsia="zh-CN"/>
              </w:rPr>
              <w:t>（</w:t>
            </w:r>
            <w:r>
              <w:rPr>
                <w:rFonts w:hint="eastAsia"/>
                <w:b/>
                <w:bCs w:val="0"/>
                <w:sz w:val="24"/>
                <w:szCs w:val="24"/>
                <w:lang w:val="en-US" w:eastAsia="zh-CN"/>
              </w:rPr>
              <w:t>1</w:t>
            </w:r>
            <w:r>
              <w:rPr>
                <w:rFonts w:hint="eastAsia"/>
                <w:b/>
                <w:bCs w:val="0"/>
                <w:sz w:val="24"/>
                <w:szCs w:val="24"/>
                <w:lang w:eastAsia="zh-CN"/>
              </w:rPr>
              <w:t>）</w:t>
            </w:r>
            <w:r>
              <w:rPr>
                <w:rFonts w:hint="eastAsia"/>
                <w:b/>
                <w:bCs w:val="0"/>
                <w:sz w:val="24"/>
                <w:szCs w:val="24"/>
                <w:lang w:val="en-US" w:eastAsia="zh-CN"/>
              </w:rPr>
              <w:t>车行道路面</w:t>
            </w:r>
          </w:p>
          <w:p>
            <w:pPr>
              <w:spacing w:line="480" w:lineRule="exact"/>
              <w:ind w:firstLine="482"/>
              <w:rPr>
                <w:rFonts w:hint="eastAsia"/>
                <w:b w:val="0"/>
                <w:bCs/>
                <w:sz w:val="24"/>
                <w:szCs w:val="24"/>
                <w:lang w:val="en-US" w:eastAsia="zh-CN"/>
              </w:rPr>
            </w:pPr>
            <w:r>
              <w:rPr>
                <w:rFonts w:hint="eastAsia"/>
                <w:b w:val="0"/>
                <w:bCs/>
                <w:sz w:val="24"/>
                <w:szCs w:val="24"/>
                <w:lang w:val="en-US" w:eastAsia="zh-CN"/>
              </w:rPr>
              <w:t>车行道路面采用沥青混凝土路面，车行道路面结构总厚度为72cm（下封层未计入结构层）。从上到下依次为：</w:t>
            </w:r>
          </w:p>
          <w:p>
            <w:pPr>
              <w:spacing w:line="480" w:lineRule="exact"/>
              <w:ind w:firstLine="482"/>
              <w:rPr>
                <w:rFonts w:hint="eastAsia"/>
                <w:b w:val="0"/>
                <w:bCs/>
                <w:sz w:val="24"/>
                <w:szCs w:val="24"/>
                <w:lang w:val="en-US" w:eastAsia="zh-CN"/>
              </w:rPr>
            </w:pPr>
            <w:r>
              <w:rPr>
                <w:rFonts w:hint="eastAsia"/>
                <w:b/>
                <w:bCs w:val="0"/>
                <w:sz w:val="24"/>
                <w:szCs w:val="24"/>
                <w:lang w:val="en-US" w:eastAsia="zh-CN"/>
              </w:rPr>
              <w:t>上面层：</w:t>
            </w:r>
            <w:r>
              <w:rPr>
                <w:rFonts w:hint="eastAsia"/>
                <w:b w:val="0"/>
                <w:bCs/>
                <w:sz w:val="24"/>
                <w:szCs w:val="24"/>
                <w:lang w:val="en-US" w:eastAsia="zh-CN"/>
              </w:rPr>
              <w:t>细粒式密级配沥青混凝土(AC-13C)，5cm；</w:t>
            </w:r>
          </w:p>
          <w:p>
            <w:pPr>
              <w:spacing w:line="480" w:lineRule="exact"/>
              <w:ind w:firstLine="482"/>
              <w:rPr>
                <w:rFonts w:hint="default"/>
                <w:b w:val="0"/>
                <w:bCs/>
                <w:sz w:val="24"/>
                <w:szCs w:val="24"/>
                <w:lang w:val="en-US" w:eastAsia="zh-CN"/>
              </w:rPr>
            </w:pPr>
            <w:r>
              <w:rPr>
                <w:rFonts w:hint="eastAsia"/>
                <w:b w:val="0"/>
                <w:bCs/>
                <w:sz w:val="24"/>
                <w:szCs w:val="24"/>
                <w:lang w:val="en-US" w:eastAsia="zh-CN"/>
              </w:rPr>
              <w:t>乳化沥青粘层油；</w:t>
            </w:r>
          </w:p>
          <w:p>
            <w:pPr>
              <w:spacing w:line="480" w:lineRule="exact"/>
              <w:ind w:firstLine="482"/>
              <w:rPr>
                <w:rFonts w:hint="eastAsia"/>
                <w:b w:val="0"/>
                <w:bCs/>
                <w:sz w:val="24"/>
                <w:szCs w:val="24"/>
                <w:lang w:val="en-US" w:eastAsia="zh-CN"/>
              </w:rPr>
            </w:pPr>
            <w:r>
              <w:rPr>
                <w:rFonts w:hint="eastAsia"/>
                <w:b/>
                <w:bCs w:val="0"/>
                <w:sz w:val="24"/>
                <w:szCs w:val="24"/>
                <w:lang w:val="en-US" w:eastAsia="zh-CN"/>
              </w:rPr>
              <w:t>下面层：</w:t>
            </w:r>
            <w:r>
              <w:rPr>
                <w:rFonts w:hint="eastAsia"/>
                <w:b w:val="0"/>
                <w:bCs/>
                <w:sz w:val="24"/>
                <w:szCs w:val="24"/>
                <w:lang w:val="en-US" w:eastAsia="zh-CN"/>
              </w:rPr>
              <w:t>中粒式密级配沥青混凝土（AC-20C），7cm；</w:t>
            </w:r>
          </w:p>
          <w:p>
            <w:pPr>
              <w:spacing w:line="480" w:lineRule="exact"/>
              <w:ind w:firstLine="482"/>
              <w:rPr>
                <w:rFonts w:hint="eastAsia"/>
                <w:b w:val="0"/>
                <w:bCs/>
                <w:sz w:val="24"/>
                <w:szCs w:val="24"/>
                <w:lang w:val="en-US" w:eastAsia="zh-CN"/>
              </w:rPr>
            </w:pPr>
            <w:r>
              <w:rPr>
                <w:rFonts w:hint="eastAsia"/>
                <w:b/>
                <w:bCs w:val="0"/>
                <w:sz w:val="24"/>
                <w:szCs w:val="24"/>
                <w:lang w:val="en-US" w:eastAsia="zh-CN"/>
              </w:rPr>
              <w:t>下封层：</w:t>
            </w:r>
            <w:r>
              <w:rPr>
                <w:rFonts w:hint="eastAsia"/>
                <w:b w:val="0"/>
                <w:bCs/>
                <w:sz w:val="24"/>
                <w:szCs w:val="24"/>
                <w:lang w:val="en-US" w:eastAsia="zh-CN"/>
              </w:rPr>
              <w:t>稀浆封层，1cm；</w:t>
            </w:r>
          </w:p>
          <w:p>
            <w:pPr>
              <w:spacing w:line="480" w:lineRule="exact"/>
              <w:ind w:firstLine="482"/>
              <w:rPr>
                <w:rFonts w:hint="eastAsia"/>
                <w:b w:val="0"/>
                <w:bCs/>
                <w:sz w:val="24"/>
                <w:szCs w:val="24"/>
                <w:lang w:val="en-US" w:eastAsia="zh-CN"/>
              </w:rPr>
            </w:pPr>
            <w:r>
              <w:rPr>
                <w:rFonts w:hint="eastAsia"/>
                <w:b/>
                <w:bCs w:val="0"/>
                <w:sz w:val="24"/>
                <w:szCs w:val="24"/>
                <w:lang w:val="en-US" w:eastAsia="zh-CN"/>
              </w:rPr>
              <w:t>基  层：</w:t>
            </w:r>
            <w:r>
              <w:rPr>
                <w:rFonts w:hint="eastAsia"/>
                <w:b w:val="0"/>
                <w:bCs/>
                <w:sz w:val="24"/>
                <w:szCs w:val="24"/>
                <w:lang w:val="en-US" w:eastAsia="zh-CN"/>
              </w:rPr>
              <w:t>水泥稳定碎石（3.5MPa），20cm；</w:t>
            </w:r>
          </w:p>
          <w:p>
            <w:pPr>
              <w:spacing w:line="480" w:lineRule="exact"/>
              <w:ind w:firstLine="482"/>
              <w:rPr>
                <w:rFonts w:hint="eastAsia"/>
                <w:b w:val="0"/>
                <w:bCs/>
                <w:sz w:val="24"/>
                <w:szCs w:val="24"/>
                <w:lang w:val="en-US" w:eastAsia="zh-CN"/>
              </w:rPr>
            </w:pPr>
            <w:r>
              <w:rPr>
                <w:rFonts w:hint="eastAsia"/>
                <w:b/>
                <w:bCs w:val="0"/>
                <w:sz w:val="24"/>
                <w:szCs w:val="24"/>
                <w:lang w:val="en-US" w:eastAsia="zh-CN"/>
              </w:rPr>
              <w:t>底基层：</w:t>
            </w:r>
            <w:r>
              <w:rPr>
                <w:rFonts w:hint="eastAsia"/>
                <w:b w:val="0"/>
                <w:bCs/>
                <w:sz w:val="24"/>
                <w:szCs w:val="24"/>
                <w:lang w:val="en-US" w:eastAsia="zh-CN"/>
              </w:rPr>
              <w:t>水泥稳定碎石（2.5MPa），20cm；</w:t>
            </w:r>
          </w:p>
          <w:p>
            <w:pPr>
              <w:spacing w:line="480" w:lineRule="exact"/>
              <w:ind w:firstLine="482"/>
              <w:rPr>
                <w:rFonts w:hint="eastAsia"/>
                <w:b w:val="0"/>
                <w:bCs/>
                <w:sz w:val="24"/>
                <w:szCs w:val="24"/>
                <w:lang w:val="en-US" w:eastAsia="zh-CN"/>
              </w:rPr>
            </w:pPr>
            <w:r>
              <w:rPr>
                <w:rFonts w:hint="eastAsia"/>
                <w:b/>
                <w:bCs w:val="0"/>
                <w:sz w:val="24"/>
                <w:szCs w:val="24"/>
                <w:lang w:val="en-US" w:eastAsia="zh-CN"/>
              </w:rPr>
              <w:t>垫  层：</w:t>
            </w:r>
            <w:r>
              <w:rPr>
                <w:rFonts w:hint="eastAsia"/>
                <w:b w:val="0"/>
                <w:bCs/>
                <w:sz w:val="24"/>
                <w:szCs w:val="24"/>
                <w:lang w:val="en-US" w:eastAsia="zh-CN"/>
              </w:rPr>
              <w:t>天然砂砾，20cm；</w:t>
            </w:r>
          </w:p>
          <w:p>
            <w:pPr>
              <w:spacing w:line="480" w:lineRule="exact"/>
              <w:ind w:firstLine="482"/>
              <w:rPr>
                <w:rFonts w:hint="eastAsia"/>
                <w:b w:val="0"/>
                <w:bCs/>
                <w:sz w:val="24"/>
                <w:szCs w:val="24"/>
                <w:lang w:val="en-US" w:eastAsia="zh-CN"/>
              </w:rPr>
            </w:pPr>
            <w:r>
              <w:rPr>
                <w:rFonts w:hint="eastAsia"/>
                <w:b w:val="0"/>
                <w:bCs/>
                <w:sz w:val="24"/>
                <w:szCs w:val="24"/>
                <w:lang w:val="en-US" w:eastAsia="zh-CN"/>
              </w:rPr>
              <w:t>土路基回弹模量不得小于30MPa。</w:t>
            </w:r>
          </w:p>
          <w:p>
            <w:pPr>
              <w:spacing w:line="480" w:lineRule="exact"/>
              <w:ind w:firstLine="482"/>
              <w:rPr>
                <w:rFonts w:hint="default" w:eastAsia="宋体"/>
                <w:b/>
                <w:bCs w:val="0"/>
                <w:sz w:val="24"/>
                <w:szCs w:val="24"/>
                <w:lang w:val="en-US" w:eastAsia="zh-CN"/>
              </w:rPr>
            </w:pPr>
            <w:r>
              <w:rPr>
                <w:rFonts w:hint="eastAsia"/>
                <w:b/>
                <w:bCs w:val="0"/>
                <w:sz w:val="24"/>
                <w:szCs w:val="24"/>
                <w:lang w:eastAsia="zh-CN"/>
              </w:rPr>
              <w:t>（</w:t>
            </w:r>
            <w:r>
              <w:rPr>
                <w:rFonts w:hint="eastAsia"/>
                <w:b/>
                <w:bCs w:val="0"/>
                <w:sz w:val="24"/>
                <w:szCs w:val="24"/>
                <w:lang w:val="en-US" w:eastAsia="zh-CN"/>
              </w:rPr>
              <w:t>2</w:t>
            </w:r>
            <w:r>
              <w:rPr>
                <w:rFonts w:hint="eastAsia"/>
                <w:b/>
                <w:bCs w:val="0"/>
                <w:sz w:val="24"/>
                <w:szCs w:val="24"/>
                <w:lang w:eastAsia="zh-CN"/>
              </w:rPr>
              <w:t>）</w:t>
            </w:r>
            <w:r>
              <w:rPr>
                <w:rFonts w:hint="eastAsia"/>
                <w:b/>
                <w:bCs w:val="0"/>
                <w:sz w:val="24"/>
                <w:szCs w:val="24"/>
                <w:lang w:val="en-US" w:eastAsia="zh-CN"/>
              </w:rPr>
              <w:t>非机动车道</w:t>
            </w:r>
          </w:p>
          <w:p>
            <w:pPr>
              <w:spacing w:line="480" w:lineRule="exact"/>
              <w:ind w:firstLine="482"/>
              <w:rPr>
                <w:rFonts w:hint="eastAsia"/>
                <w:b w:val="0"/>
                <w:bCs/>
                <w:sz w:val="24"/>
                <w:szCs w:val="24"/>
                <w:lang w:val="en-US" w:eastAsia="zh-CN"/>
              </w:rPr>
            </w:pPr>
            <w:r>
              <w:rPr>
                <w:rFonts w:hint="eastAsia"/>
                <w:b w:val="0"/>
                <w:bCs/>
                <w:sz w:val="24"/>
                <w:szCs w:val="24"/>
                <w:lang w:val="en-US" w:eastAsia="zh-CN"/>
              </w:rPr>
              <w:t xml:space="preserve">非机动车道路面采用沥青混凝土路面，非机动车车行道路面结构总厚度为45cm。从上到下依次为： </w:t>
            </w:r>
          </w:p>
          <w:p>
            <w:pPr>
              <w:spacing w:line="480" w:lineRule="exact"/>
              <w:ind w:firstLine="482"/>
              <w:rPr>
                <w:rFonts w:hint="eastAsia"/>
                <w:b w:val="0"/>
                <w:bCs/>
                <w:sz w:val="24"/>
                <w:szCs w:val="24"/>
                <w:lang w:val="en-US" w:eastAsia="zh-CN"/>
              </w:rPr>
            </w:pPr>
            <w:r>
              <w:rPr>
                <w:rFonts w:hint="eastAsia"/>
                <w:b/>
                <w:bCs w:val="0"/>
                <w:sz w:val="24"/>
                <w:szCs w:val="24"/>
                <w:lang w:val="en-US" w:eastAsia="zh-CN"/>
              </w:rPr>
              <w:t>上面层：</w:t>
            </w:r>
            <w:r>
              <w:rPr>
                <w:rFonts w:hint="eastAsia"/>
                <w:b w:val="0"/>
                <w:bCs/>
                <w:sz w:val="24"/>
                <w:szCs w:val="24"/>
                <w:lang w:val="en-US" w:eastAsia="zh-CN"/>
              </w:rPr>
              <w:t>细粒式沥青混凝土(AC-13)，4cm；</w:t>
            </w:r>
          </w:p>
          <w:p>
            <w:pPr>
              <w:spacing w:line="480" w:lineRule="exact"/>
              <w:ind w:firstLine="482"/>
              <w:rPr>
                <w:rFonts w:hint="eastAsia"/>
                <w:b w:val="0"/>
                <w:bCs/>
                <w:sz w:val="24"/>
                <w:szCs w:val="24"/>
                <w:lang w:val="en-US" w:eastAsia="zh-CN"/>
              </w:rPr>
            </w:pPr>
            <w:r>
              <w:rPr>
                <w:rFonts w:hint="eastAsia"/>
                <w:b/>
                <w:bCs w:val="0"/>
                <w:sz w:val="24"/>
                <w:szCs w:val="24"/>
                <w:lang w:val="en-US" w:eastAsia="zh-CN"/>
              </w:rPr>
              <w:t>下面层：</w:t>
            </w:r>
            <w:r>
              <w:rPr>
                <w:rFonts w:hint="eastAsia"/>
                <w:b w:val="0"/>
                <w:bCs/>
                <w:sz w:val="24"/>
                <w:szCs w:val="24"/>
                <w:lang w:val="en-US" w:eastAsia="zh-CN"/>
              </w:rPr>
              <w:t>中粒式沥青混凝土（AC-20），6cm；</w:t>
            </w:r>
          </w:p>
          <w:p>
            <w:pPr>
              <w:spacing w:line="480" w:lineRule="exact"/>
              <w:ind w:firstLine="482"/>
              <w:rPr>
                <w:rFonts w:hint="eastAsia"/>
                <w:b w:val="0"/>
                <w:bCs/>
                <w:sz w:val="24"/>
                <w:szCs w:val="24"/>
                <w:lang w:val="en-US" w:eastAsia="zh-CN"/>
              </w:rPr>
            </w:pPr>
            <w:r>
              <w:rPr>
                <w:rFonts w:hint="eastAsia"/>
                <w:b/>
                <w:bCs w:val="0"/>
                <w:sz w:val="24"/>
                <w:szCs w:val="24"/>
                <w:lang w:val="en-US" w:eastAsia="zh-CN"/>
              </w:rPr>
              <w:t>基  层：</w:t>
            </w:r>
            <w:r>
              <w:rPr>
                <w:rFonts w:hint="eastAsia"/>
                <w:b w:val="0"/>
                <w:bCs/>
                <w:sz w:val="24"/>
                <w:szCs w:val="24"/>
                <w:lang w:val="en-US" w:eastAsia="zh-CN"/>
              </w:rPr>
              <w:t>水泥稳定碎石，20cm；</w:t>
            </w:r>
          </w:p>
          <w:p>
            <w:pPr>
              <w:spacing w:line="480" w:lineRule="exact"/>
              <w:ind w:firstLine="482"/>
              <w:rPr>
                <w:rFonts w:hint="eastAsia"/>
                <w:b w:val="0"/>
                <w:bCs/>
                <w:sz w:val="24"/>
                <w:szCs w:val="24"/>
                <w:lang w:val="en-US" w:eastAsia="zh-CN"/>
              </w:rPr>
            </w:pPr>
            <w:r>
              <w:rPr>
                <w:rFonts w:hint="eastAsia"/>
                <w:b/>
                <w:bCs w:val="0"/>
                <w:sz w:val="24"/>
                <w:szCs w:val="24"/>
                <w:lang w:val="en-US" w:eastAsia="zh-CN"/>
              </w:rPr>
              <w:t>垫  层：</w:t>
            </w:r>
            <w:r>
              <w:rPr>
                <w:rFonts w:hint="eastAsia"/>
                <w:b w:val="0"/>
                <w:bCs/>
                <w:sz w:val="24"/>
                <w:szCs w:val="24"/>
                <w:lang w:val="en-US" w:eastAsia="zh-CN"/>
              </w:rPr>
              <w:t>天然砂砾，15cm；</w:t>
            </w:r>
          </w:p>
          <w:p>
            <w:pPr>
              <w:spacing w:line="480" w:lineRule="exact"/>
              <w:ind w:firstLine="482"/>
              <w:rPr>
                <w:rFonts w:hint="eastAsia"/>
                <w:b w:val="0"/>
                <w:bCs/>
                <w:sz w:val="24"/>
                <w:szCs w:val="24"/>
                <w:lang w:val="en-US" w:eastAsia="zh-CN"/>
              </w:rPr>
            </w:pPr>
            <w:r>
              <w:rPr>
                <w:rFonts w:hint="eastAsia"/>
                <w:b w:val="0"/>
                <w:bCs/>
                <w:sz w:val="24"/>
                <w:szCs w:val="24"/>
                <w:lang w:val="en-US" w:eastAsia="zh-CN"/>
              </w:rPr>
              <w:t>土路基回弹模量不得小于30MPa，道路侧石、卡边石采用花岗岩材质。</w:t>
            </w:r>
          </w:p>
          <w:p>
            <w:pPr>
              <w:spacing w:line="480" w:lineRule="exact"/>
              <w:ind w:firstLine="482"/>
              <w:rPr>
                <w:rFonts w:hint="default" w:eastAsia="宋体"/>
                <w:b/>
                <w:bCs w:val="0"/>
                <w:sz w:val="24"/>
                <w:szCs w:val="24"/>
                <w:lang w:val="en-US" w:eastAsia="zh-CN"/>
              </w:rPr>
            </w:pPr>
            <w:r>
              <w:rPr>
                <w:rFonts w:hint="eastAsia"/>
                <w:b/>
                <w:bCs w:val="0"/>
                <w:sz w:val="24"/>
                <w:szCs w:val="24"/>
                <w:lang w:eastAsia="zh-CN"/>
              </w:rPr>
              <w:t>（</w:t>
            </w:r>
            <w:r>
              <w:rPr>
                <w:rFonts w:hint="eastAsia"/>
                <w:b/>
                <w:bCs w:val="0"/>
                <w:sz w:val="24"/>
                <w:szCs w:val="24"/>
                <w:lang w:val="en-US" w:eastAsia="zh-CN"/>
              </w:rPr>
              <w:t>3</w:t>
            </w:r>
            <w:r>
              <w:rPr>
                <w:rFonts w:hint="eastAsia"/>
                <w:b/>
                <w:bCs w:val="0"/>
                <w:sz w:val="24"/>
                <w:szCs w:val="24"/>
                <w:lang w:eastAsia="zh-CN"/>
              </w:rPr>
              <w:t>）</w:t>
            </w:r>
            <w:r>
              <w:rPr>
                <w:rFonts w:hint="eastAsia"/>
                <w:b/>
                <w:bCs w:val="0"/>
                <w:sz w:val="24"/>
                <w:szCs w:val="24"/>
                <w:lang w:val="en-US" w:eastAsia="zh-CN"/>
              </w:rPr>
              <w:t>人行道</w:t>
            </w:r>
          </w:p>
          <w:p>
            <w:pPr>
              <w:spacing w:line="480" w:lineRule="exact"/>
              <w:ind w:firstLine="482"/>
              <w:rPr>
                <w:rFonts w:hint="eastAsia"/>
                <w:b w:val="0"/>
                <w:bCs/>
                <w:sz w:val="24"/>
                <w:szCs w:val="24"/>
                <w:lang w:val="en-US" w:eastAsia="zh-CN"/>
              </w:rPr>
            </w:pPr>
            <w:r>
              <w:rPr>
                <w:rFonts w:hint="eastAsia"/>
                <w:b w:val="0"/>
                <w:bCs/>
                <w:sz w:val="24"/>
                <w:szCs w:val="24"/>
                <w:lang w:val="en-US" w:eastAsia="zh-CN"/>
              </w:rPr>
              <w:t>人行道采用彩色人行道砖铺设，人行道路面结构总厚度为34cm，从上到下依次为：</w:t>
            </w:r>
          </w:p>
          <w:p>
            <w:pPr>
              <w:spacing w:line="480" w:lineRule="exact"/>
              <w:ind w:firstLine="482"/>
              <w:rPr>
                <w:rFonts w:hint="eastAsia"/>
                <w:b w:val="0"/>
                <w:bCs/>
                <w:sz w:val="24"/>
                <w:szCs w:val="24"/>
                <w:lang w:val="en-US" w:eastAsia="zh-CN"/>
              </w:rPr>
            </w:pPr>
            <w:r>
              <w:rPr>
                <w:rFonts w:hint="eastAsia"/>
                <w:b w:val="0"/>
                <w:bCs/>
                <w:sz w:val="24"/>
                <w:szCs w:val="24"/>
                <w:lang w:val="en-US" w:eastAsia="zh-CN"/>
              </w:rPr>
              <w:t>彩色人行道砖，6cm；</w:t>
            </w:r>
          </w:p>
          <w:p>
            <w:pPr>
              <w:spacing w:line="480" w:lineRule="exact"/>
              <w:ind w:firstLine="482"/>
              <w:rPr>
                <w:rFonts w:hint="eastAsia"/>
                <w:b w:val="0"/>
                <w:bCs/>
                <w:sz w:val="24"/>
                <w:szCs w:val="24"/>
                <w:lang w:val="en-US" w:eastAsia="zh-CN"/>
              </w:rPr>
            </w:pPr>
            <w:r>
              <w:rPr>
                <w:rFonts w:hint="eastAsia"/>
                <w:b w:val="0"/>
                <w:bCs/>
                <w:sz w:val="24"/>
                <w:szCs w:val="24"/>
                <w:lang w:val="en-US" w:eastAsia="zh-CN"/>
              </w:rPr>
              <w:t>M10水泥砂浆，3cm；</w:t>
            </w:r>
          </w:p>
          <w:p>
            <w:pPr>
              <w:spacing w:line="480" w:lineRule="exact"/>
              <w:ind w:firstLine="482"/>
              <w:rPr>
                <w:rFonts w:hint="eastAsia"/>
                <w:b w:val="0"/>
                <w:bCs/>
                <w:sz w:val="24"/>
                <w:szCs w:val="24"/>
                <w:lang w:val="en-US" w:eastAsia="zh-CN"/>
              </w:rPr>
            </w:pPr>
            <w:r>
              <w:rPr>
                <w:rFonts w:hint="eastAsia"/>
                <w:b w:val="0"/>
                <w:bCs/>
                <w:sz w:val="24"/>
                <w:szCs w:val="24"/>
                <w:lang w:val="en-US" w:eastAsia="zh-CN"/>
              </w:rPr>
              <w:t>C15水泥混凝土，10cm；</w:t>
            </w:r>
          </w:p>
          <w:p>
            <w:pPr>
              <w:spacing w:line="480" w:lineRule="exact"/>
              <w:ind w:firstLine="482"/>
              <w:rPr>
                <w:rFonts w:hint="eastAsia"/>
                <w:b w:val="0"/>
                <w:bCs/>
                <w:sz w:val="24"/>
                <w:szCs w:val="24"/>
                <w:lang w:val="en-US" w:eastAsia="zh-CN"/>
              </w:rPr>
            </w:pPr>
            <w:r>
              <w:rPr>
                <w:rFonts w:hint="eastAsia"/>
                <w:b w:val="0"/>
                <w:bCs/>
                <w:sz w:val="24"/>
                <w:szCs w:val="24"/>
                <w:lang w:val="en-US" w:eastAsia="zh-CN"/>
              </w:rPr>
              <w:t>天然砂砾，15cm；</w:t>
            </w:r>
          </w:p>
          <w:p>
            <w:pPr>
              <w:spacing w:line="480" w:lineRule="exact"/>
              <w:ind w:firstLine="482"/>
              <w:rPr>
                <w:rFonts w:hint="default"/>
                <w:b w:val="0"/>
                <w:bCs/>
                <w:sz w:val="24"/>
                <w:szCs w:val="24"/>
                <w:lang w:val="en-US" w:eastAsia="zh-CN"/>
              </w:rPr>
            </w:pPr>
            <w:r>
              <w:rPr>
                <w:rFonts w:hint="eastAsia"/>
                <w:b w:val="0"/>
                <w:bCs/>
                <w:sz w:val="24"/>
                <w:szCs w:val="24"/>
                <w:lang w:val="en-US" w:eastAsia="zh-CN"/>
              </w:rPr>
              <w:t>注：东外环路西侧左幅路（K0+000~K1+960），现状为双面坡路拱，为了提升东外环路改扩建完成后左幅路的行车舒适性，需将左幅路由双面坡改为单面坡，具体做法为：将原路面结构挖除，露出道路原基层，经碾压检测合格合格后加铺面层结构找坡，面层做法参照东侧右幅路。</w:t>
            </w:r>
          </w:p>
          <w:p>
            <w:pPr>
              <w:spacing w:line="480" w:lineRule="exact"/>
              <w:ind w:firstLine="480"/>
              <w:rPr>
                <w:rFonts w:hint="default" w:ascii="Times New Roman" w:hAnsi="Times New Roman" w:eastAsia="宋体" w:cs="Times New Roman"/>
                <w:b/>
                <w:bCs w:val="0"/>
                <w:color w:val="auto"/>
                <w:sz w:val="24"/>
                <w:szCs w:val="24"/>
                <w:shd w:val="clear" w:color="auto" w:fill="auto"/>
                <w:lang w:val="en-US" w:eastAsia="zh-CN"/>
              </w:rPr>
            </w:pPr>
            <w:r>
              <w:rPr>
                <w:rFonts w:hint="default" w:ascii="Times New Roman" w:hAnsi="Times New Roman" w:cs="Times New Roman"/>
                <w:b/>
                <w:bCs w:val="0"/>
                <w:color w:val="auto"/>
                <w:sz w:val="24"/>
                <w:szCs w:val="24"/>
                <w:shd w:val="clear" w:color="auto" w:fill="auto"/>
                <w:lang w:val="en-US" w:eastAsia="zh-CN"/>
              </w:rPr>
              <w:t>2.1.</w:t>
            </w:r>
            <w:r>
              <w:rPr>
                <w:rFonts w:hint="eastAsia" w:cs="Times New Roman"/>
                <w:b/>
                <w:bCs w:val="0"/>
                <w:color w:val="auto"/>
                <w:sz w:val="24"/>
                <w:szCs w:val="24"/>
                <w:shd w:val="clear" w:color="auto" w:fill="auto"/>
                <w:lang w:val="en-US" w:eastAsia="zh-CN"/>
              </w:rPr>
              <w:t>6道路交叉口设计</w:t>
            </w:r>
          </w:p>
          <w:p>
            <w:pPr>
              <w:spacing w:line="480" w:lineRule="exact"/>
              <w:ind w:firstLine="482"/>
              <w:rPr>
                <w:rFonts w:hint="eastAsia"/>
                <w:b w:val="0"/>
                <w:bCs/>
                <w:color w:val="auto"/>
                <w:sz w:val="24"/>
                <w:szCs w:val="24"/>
                <w:shd w:val="clear" w:color="auto" w:fill="auto"/>
                <w:lang w:val="en-US" w:eastAsia="zh-CN"/>
              </w:rPr>
            </w:pPr>
            <w:r>
              <w:rPr>
                <w:rFonts w:hint="eastAsia"/>
                <w:b w:val="0"/>
                <w:bCs/>
                <w:color w:val="auto"/>
                <w:sz w:val="24"/>
                <w:szCs w:val="24"/>
                <w:shd w:val="clear" w:color="auto" w:fill="auto"/>
                <w:lang w:val="en-US" w:eastAsia="zh-CN"/>
              </w:rPr>
              <w:t>依据规划拟建道路与沿线相交道路均为平交，其中湖滨大街与文昌路相交处设置环形交叉口，其余均为信号控制交叉口。</w:t>
            </w:r>
          </w:p>
          <w:p>
            <w:pPr>
              <w:spacing w:line="480" w:lineRule="exact"/>
              <w:ind w:firstLine="482"/>
              <w:rPr>
                <w:rFonts w:hint="eastAsia"/>
                <w:b w:val="0"/>
                <w:bCs/>
                <w:color w:val="auto"/>
                <w:sz w:val="24"/>
                <w:szCs w:val="24"/>
                <w:lang w:val="en-US" w:eastAsia="zh-CN"/>
              </w:rPr>
            </w:pPr>
            <w:r>
              <w:rPr>
                <w:rFonts w:hint="eastAsia"/>
                <w:b w:val="0"/>
                <w:bCs/>
                <w:color w:val="auto"/>
                <w:sz w:val="24"/>
                <w:szCs w:val="24"/>
                <w:lang w:val="en-US" w:eastAsia="zh-CN"/>
              </w:rPr>
              <w:t>（1）在湖滨大街西延、文昌路、规划路三路交叉处设置环形交叉口，根据《城市道路交叉口设计规程》中心岛形状采用圆形，中心岛半径为20m，环道采用三车道（机非混行车道），车道宽度为12m，人行道宽度2~4.5m，环道横断面以环道中线为路供脊线，采用双面坡，坡度1.5%。</w:t>
            </w:r>
          </w:p>
          <w:p>
            <w:pPr>
              <w:spacing w:line="480" w:lineRule="exact"/>
              <w:ind w:firstLine="482"/>
              <w:rPr>
                <w:rFonts w:hint="eastAsia"/>
                <w:b w:val="0"/>
                <w:bCs/>
                <w:color w:val="auto"/>
                <w:sz w:val="24"/>
                <w:szCs w:val="24"/>
                <w:lang w:val="en-US" w:eastAsia="zh-CN"/>
              </w:rPr>
            </w:pPr>
            <w:r>
              <w:rPr>
                <w:rFonts w:hint="eastAsia"/>
                <w:b w:val="0"/>
                <w:bCs/>
                <w:color w:val="auto"/>
                <w:sz w:val="24"/>
                <w:szCs w:val="24"/>
                <w:lang w:val="en-US" w:eastAsia="zh-CN"/>
              </w:rPr>
              <w:t>（2）东外环路终点处与五黄路、现状东外环、127县道三路交叉，为了加强东外环路在终点处高峰通行能力，在终点处做右转专用车道设计，依据《城市道路交叉口设计规程》，入口道渐变段长度为40m，展宽段长度为115m；出口道渐变段长度为40m，展宽段长度为70m。</w:t>
            </w:r>
          </w:p>
          <w:p>
            <w:pPr>
              <w:spacing w:line="480" w:lineRule="exact"/>
              <w:ind w:firstLine="480"/>
              <w:rPr>
                <w:rFonts w:hint="default" w:ascii="Times New Roman" w:hAnsi="Times New Roman" w:eastAsia="宋体" w:cs="Times New Roman"/>
                <w:b/>
                <w:bCs w:val="0"/>
                <w:color w:val="auto"/>
                <w:sz w:val="24"/>
                <w:szCs w:val="24"/>
                <w:lang w:val="en-US" w:eastAsia="zh-CN"/>
              </w:rPr>
            </w:pPr>
            <w:r>
              <w:rPr>
                <w:rFonts w:hint="default" w:ascii="Times New Roman" w:hAnsi="Times New Roman" w:cs="Times New Roman"/>
                <w:b/>
                <w:bCs w:val="0"/>
                <w:color w:val="auto"/>
                <w:sz w:val="24"/>
                <w:szCs w:val="24"/>
                <w:lang w:val="en-US" w:eastAsia="zh-CN"/>
              </w:rPr>
              <w:t>2.1.</w:t>
            </w:r>
            <w:r>
              <w:rPr>
                <w:rFonts w:hint="eastAsia" w:cs="Times New Roman"/>
                <w:b/>
                <w:bCs w:val="0"/>
                <w:color w:val="auto"/>
                <w:sz w:val="24"/>
                <w:szCs w:val="24"/>
                <w:lang w:val="en-US" w:eastAsia="zh-CN"/>
              </w:rPr>
              <w:t>7防护工程</w:t>
            </w:r>
          </w:p>
          <w:p>
            <w:pPr>
              <w:spacing w:line="480" w:lineRule="exact"/>
              <w:ind w:firstLine="482"/>
              <w:rPr>
                <w:rFonts w:hint="eastAsia"/>
                <w:b w:val="0"/>
                <w:bCs/>
                <w:color w:val="auto"/>
                <w:sz w:val="24"/>
                <w:szCs w:val="24"/>
                <w:lang w:val="en-US" w:eastAsia="zh-CN"/>
              </w:rPr>
            </w:pPr>
            <w:r>
              <w:rPr>
                <w:rFonts w:hint="eastAsia"/>
                <w:b w:val="0"/>
                <w:bCs/>
                <w:color w:val="auto"/>
                <w:sz w:val="24"/>
                <w:szCs w:val="24"/>
                <w:lang w:val="en-US" w:eastAsia="zh-CN"/>
              </w:rPr>
              <w:t>根据道路两侧的用地性质及周边环境要求，湖滨大街西延、文昌路坡面防护方案如下：</w:t>
            </w:r>
          </w:p>
          <w:p>
            <w:pPr>
              <w:spacing w:line="480" w:lineRule="exact"/>
              <w:ind w:firstLine="482"/>
              <w:rPr>
                <w:rFonts w:hint="eastAsia"/>
                <w:b w:val="0"/>
                <w:bCs/>
                <w:color w:val="auto"/>
                <w:sz w:val="24"/>
                <w:szCs w:val="24"/>
                <w:lang w:val="en-US" w:eastAsia="zh-CN"/>
              </w:rPr>
            </w:pPr>
            <w:r>
              <w:rPr>
                <w:rFonts w:hint="eastAsia"/>
                <w:b/>
                <w:bCs w:val="0"/>
                <w:color w:val="auto"/>
                <w:sz w:val="24"/>
                <w:szCs w:val="24"/>
                <w:lang w:val="en-US" w:eastAsia="zh-CN"/>
              </w:rPr>
              <w:t>湖滨大街西延：</w:t>
            </w:r>
            <w:r>
              <w:rPr>
                <w:rFonts w:hint="eastAsia"/>
                <w:b w:val="0"/>
                <w:bCs/>
                <w:color w:val="auto"/>
                <w:sz w:val="24"/>
                <w:szCs w:val="24"/>
                <w:lang w:val="en-US" w:eastAsia="zh-CN"/>
              </w:rPr>
              <w:t>湖滨大街西延从K1+100.000~K1+840.000道路南侧边坡治理方案，道路设计路面标高1050.000~1055.000，原始路面标高1040~1052之间，坡脚地面标高1041.000~1053.000，道路分挖方路基和填方路基。</w:t>
            </w:r>
          </w:p>
          <w:p>
            <w:pPr>
              <w:spacing w:line="480" w:lineRule="exact"/>
              <w:ind w:firstLine="482"/>
              <w:rPr>
                <w:rFonts w:hint="default"/>
                <w:b w:val="0"/>
                <w:bCs/>
                <w:color w:val="auto"/>
                <w:sz w:val="24"/>
                <w:szCs w:val="24"/>
                <w:lang w:val="en-US" w:eastAsia="zh-CN"/>
              </w:rPr>
            </w:pPr>
            <w:r>
              <w:rPr>
                <w:rFonts w:hint="eastAsia"/>
                <w:b w:val="0"/>
                <w:bCs/>
                <w:color w:val="auto"/>
                <w:sz w:val="24"/>
                <w:szCs w:val="24"/>
                <w:lang w:val="en-US" w:eastAsia="zh-CN"/>
              </w:rPr>
              <w:t>①K1+100.000~K1+140.000段，边坡高10米，设计路面标高1050.500与原始路面标高相同，道路南侧边坡为原始自然坡面，边坡坡率为1:1.85，边坡处于稳定状态，保持原有的自然边坡。</w:t>
            </w:r>
          </w:p>
          <w:p>
            <w:pPr>
              <w:spacing w:line="480" w:lineRule="exact"/>
              <w:ind w:firstLine="482"/>
              <w:rPr>
                <w:rFonts w:hint="default"/>
                <w:b w:val="0"/>
                <w:bCs/>
                <w:color w:val="auto"/>
                <w:sz w:val="24"/>
                <w:szCs w:val="24"/>
                <w:lang w:val="en-US" w:eastAsia="zh-CN"/>
              </w:rPr>
            </w:pPr>
            <w:r>
              <w:rPr>
                <w:rFonts w:hint="eastAsia"/>
                <w:b w:val="0"/>
                <w:bCs/>
                <w:color w:val="auto"/>
                <w:sz w:val="24"/>
                <w:szCs w:val="24"/>
                <w:lang w:val="en-US" w:eastAsia="zh-CN"/>
              </w:rPr>
              <w:t>②K1+140.000~K1+320.000段，边坡高6米，此段均为填土路基，因边坡高差大，采用毛石挡墙垂直加固，填土采用加筋土加挡土板结合的支护形式。</w:t>
            </w:r>
          </w:p>
          <w:p>
            <w:pPr>
              <w:spacing w:line="480" w:lineRule="exact"/>
              <w:ind w:firstLine="482"/>
              <w:rPr>
                <w:rFonts w:hint="default"/>
                <w:b w:val="0"/>
                <w:bCs/>
                <w:color w:val="auto"/>
                <w:sz w:val="24"/>
                <w:szCs w:val="24"/>
                <w:lang w:val="en-US" w:eastAsia="zh-CN"/>
              </w:rPr>
            </w:pPr>
            <w:r>
              <w:rPr>
                <w:rFonts w:hint="eastAsia"/>
                <w:b w:val="0"/>
                <w:bCs/>
                <w:color w:val="auto"/>
                <w:sz w:val="24"/>
                <w:szCs w:val="24"/>
                <w:lang w:val="en-US" w:eastAsia="zh-CN"/>
              </w:rPr>
              <w:t>③K1+320.000~K1+560.000和K1+680.000~K1+840.000段，边坡高6米，原始自然坡面边坡坡率为1:1.1，此段边坡道路北侧为挖方路基，道路南侧为填方路基。因边坡高差大，采用毛石挡墙垂直加固，填土采用加筋土加挡土板结合的支护形式。</w:t>
            </w:r>
          </w:p>
          <w:p>
            <w:pPr>
              <w:spacing w:line="480" w:lineRule="exact"/>
              <w:ind w:firstLine="482"/>
              <w:rPr>
                <w:rFonts w:hint="eastAsia"/>
                <w:b w:val="0"/>
                <w:bCs/>
                <w:color w:val="auto"/>
                <w:sz w:val="24"/>
                <w:szCs w:val="24"/>
                <w:lang w:val="en-US" w:eastAsia="zh-CN"/>
              </w:rPr>
            </w:pPr>
            <w:r>
              <w:rPr>
                <w:rFonts w:hint="eastAsia"/>
                <w:b/>
                <w:bCs w:val="0"/>
                <w:color w:val="auto"/>
                <w:sz w:val="24"/>
                <w:szCs w:val="24"/>
                <w:lang w:val="en-US" w:eastAsia="zh-CN"/>
              </w:rPr>
              <w:t>文昌路：</w:t>
            </w:r>
            <w:r>
              <w:rPr>
                <w:rFonts w:hint="eastAsia"/>
                <w:b w:val="0"/>
                <w:bCs/>
                <w:color w:val="auto"/>
                <w:sz w:val="24"/>
                <w:szCs w:val="24"/>
                <w:lang w:val="en-US" w:eastAsia="zh-CN"/>
              </w:rPr>
              <w:t>文昌路从K0+0.000~K0+720.000道路南侧边坡治理方案，道路设计路面标高1054.000~1056.800，原始路面标高1054~1055之间，坡脚地面标高1040.000，道路分挖方路基和填方路基。</w:t>
            </w:r>
          </w:p>
          <w:p>
            <w:pPr>
              <w:spacing w:line="480" w:lineRule="exact"/>
              <w:ind w:firstLine="482"/>
              <w:rPr>
                <w:rFonts w:hint="eastAsia"/>
                <w:b w:val="0"/>
                <w:bCs/>
                <w:color w:val="auto"/>
                <w:sz w:val="24"/>
                <w:szCs w:val="24"/>
                <w:lang w:val="en-US" w:eastAsia="zh-CN"/>
              </w:rPr>
            </w:pPr>
            <w:r>
              <w:rPr>
                <w:rFonts w:hint="eastAsia"/>
                <w:b w:val="0"/>
                <w:bCs/>
                <w:color w:val="auto"/>
                <w:sz w:val="24"/>
                <w:szCs w:val="24"/>
                <w:lang w:val="en-US" w:eastAsia="zh-CN"/>
              </w:rPr>
              <w:t>①K0+0.000~K0+25.000段，边坡高14.6米，道路在设计路面与原始路面标高相同，道路南侧边坡为原始自然坡面，边坡坡率为1:1.85，边坡处于稳定状态，保持原有的自然边坡。</w:t>
            </w:r>
          </w:p>
          <w:p>
            <w:pPr>
              <w:spacing w:line="480" w:lineRule="exact"/>
              <w:ind w:firstLine="482"/>
              <w:rPr>
                <w:rFonts w:hint="eastAsia"/>
                <w:b w:val="0"/>
                <w:bCs/>
                <w:color w:val="auto"/>
                <w:sz w:val="24"/>
                <w:szCs w:val="24"/>
                <w:lang w:val="en-US" w:eastAsia="zh-CN"/>
              </w:rPr>
            </w:pPr>
            <w:r>
              <w:rPr>
                <w:rFonts w:hint="eastAsia"/>
                <w:b w:val="0"/>
                <w:bCs/>
                <w:color w:val="auto"/>
                <w:sz w:val="24"/>
                <w:szCs w:val="24"/>
                <w:lang w:val="en-US" w:eastAsia="zh-CN"/>
              </w:rPr>
              <w:t>②K0+25.000~K0+110.000段，边坡高14.6米，道路在设计路面标高1054.600，原始自然标高1056.000，因此段道路距边坡坡脚处较近，此段边坡需要垂直加固，原始边坡坡率为1：1.56，此段边坡道路北侧为挖方路基，道路南侧为填方路基。因边坡高差大，垂直加固难度较大，采用双排抗滑桩加锚索，填土采用加筋土加挡土板结合的支护形式。</w:t>
            </w:r>
          </w:p>
          <w:p>
            <w:pPr>
              <w:spacing w:line="480" w:lineRule="exact"/>
              <w:ind w:firstLine="482"/>
              <w:rPr>
                <w:rFonts w:hint="eastAsia"/>
                <w:b w:val="0"/>
                <w:bCs/>
                <w:color w:val="auto"/>
                <w:sz w:val="24"/>
                <w:szCs w:val="24"/>
                <w:lang w:val="en-US" w:eastAsia="zh-CN"/>
              </w:rPr>
            </w:pPr>
            <w:r>
              <w:rPr>
                <w:rFonts w:hint="eastAsia"/>
                <w:b w:val="0"/>
                <w:bCs/>
                <w:color w:val="auto"/>
                <w:sz w:val="24"/>
                <w:szCs w:val="24"/>
                <w:lang w:val="en-US" w:eastAsia="zh-CN"/>
              </w:rPr>
              <w:t>③K0+110.000~K0+150.000段，边坡高16.7米，道路在设计路面1056.700，原始自然标高1055.500，道路南侧边坡为原始自然坡面，边坡坡率为1:1.36，边坡处于稳定状态，保持原有的自然边坡。</w:t>
            </w:r>
          </w:p>
          <w:p>
            <w:pPr>
              <w:spacing w:line="480" w:lineRule="exact"/>
              <w:ind w:firstLine="482"/>
              <w:rPr>
                <w:rFonts w:hint="eastAsia"/>
                <w:b w:val="0"/>
                <w:bCs/>
                <w:color w:val="auto"/>
                <w:sz w:val="24"/>
                <w:szCs w:val="24"/>
                <w:lang w:val="en-US" w:eastAsia="zh-CN"/>
              </w:rPr>
            </w:pPr>
            <w:r>
              <w:rPr>
                <w:rFonts w:hint="eastAsia"/>
                <w:b w:val="0"/>
                <w:bCs/>
                <w:color w:val="auto"/>
                <w:sz w:val="24"/>
                <w:szCs w:val="24"/>
                <w:lang w:val="en-US" w:eastAsia="zh-CN"/>
              </w:rPr>
              <w:t>④K0+150.000~K0+290.000段，边坡高16.8米，道路在设计路面标高1056.800，原始自然标高1056.000，因此段道路距边坡坡脚处较近，此段边坡需要垂直加固，原始边坡坡率为1：1.25，此段边坡道路北侧为挖方路基，道路南侧为填方路基。因边坡高差大，垂直加固难度较大，采用双排抗滑桩加锚索，填土采用加筋土加挡土板结合的支护形式。</w:t>
            </w:r>
          </w:p>
          <w:p>
            <w:pPr>
              <w:spacing w:line="480" w:lineRule="exact"/>
              <w:ind w:firstLine="482"/>
              <w:rPr>
                <w:rFonts w:hint="eastAsia"/>
                <w:b w:val="0"/>
                <w:bCs/>
                <w:color w:val="auto"/>
                <w:sz w:val="24"/>
                <w:szCs w:val="24"/>
                <w:lang w:val="en-US" w:eastAsia="zh-CN"/>
              </w:rPr>
            </w:pPr>
            <w:r>
              <w:rPr>
                <w:rFonts w:hint="eastAsia"/>
                <w:b w:val="0"/>
                <w:bCs/>
                <w:color w:val="auto"/>
                <w:sz w:val="24"/>
                <w:szCs w:val="24"/>
                <w:lang w:val="en-US" w:eastAsia="zh-CN"/>
              </w:rPr>
              <w:t>⑤K0+290.000~K0+460.000段，边坡高16.3米，道路在设计路面1056.300，原始自然标高1055.100，道路南侧边坡为原始自然坡面，边坡坡率为1:1.0，此段边坡上部分采用垂直加固，采用单排抗滑桩加锚索，填土采用加筋土加挡土板结合的支护形式。</w:t>
            </w:r>
          </w:p>
          <w:p>
            <w:pPr>
              <w:spacing w:line="480" w:lineRule="exact"/>
              <w:ind w:firstLine="482"/>
              <w:rPr>
                <w:rFonts w:hint="eastAsia"/>
                <w:b w:val="0"/>
                <w:bCs/>
                <w:color w:val="auto"/>
                <w:sz w:val="24"/>
                <w:szCs w:val="24"/>
                <w:lang w:val="en-US" w:eastAsia="zh-CN"/>
              </w:rPr>
            </w:pPr>
            <w:r>
              <w:rPr>
                <w:rFonts w:hint="eastAsia"/>
                <w:b w:val="0"/>
                <w:bCs/>
                <w:color w:val="auto"/>
                <w:sz w:val="24"/>
                <w:szCs w:val="24"/>
                <w:lang w:val="en-US" w:eastAsia="zh-CN"/>
              </w:rPr>
              <w:t>⑥K0+460.000~K0+540.000段，边坡高16.3米，道路在设计路面1055.900，原始自然标高1055.600，道路南侧边坡为原始自然坡面，边坡坡率为1:1.5，边坡处于稳定状态，保持原有的自然边坡。</w:t>
            </w:r>
          </w:p>
          <w:p>
            <w:pPr>
              <w:spacing w:line="480" w:lineRule="exact"/>
              <w:ind w:firstLine="482"/>
              <w:rPr>
                <w:rFonts w:hint="eastAsia"/>
                <w:b w:val="0"/>
                <w:bCs/>
                <w:color w:val="auto"/>
                <w:sz w:val="24"/>
                <w:szCs w:val="24"/>
                <w:lang w:val="en-US" w:eastAsia="zh-CN"/>
              </w:rPr>
            </w:pPr>
            <w:r>
              <w:rPr>
                <w:rFonts w:hint="eastAsia"/>
                <w:b w:val="0"/>
                <w:bCs/>
                <w:color w:val="auto"/>
                <w:sz w:val="24"/>
                <w:szCs w:val="24"/>
                <w:lang w:val="en-US" w:eastAsia="zh-CN"/>
              </w:rPr>
              <w:t>⑦K0+540.000~K0+630.000段，边坡高15.4米，道路在设计路面1055.400，原始自然标高1051.500，道路南侧边坡为原始自然坡面，7、边坡坡率为1:1.5，此段边坡上部分采用垂直加固，采用单排抗滑桩加锚索，填土采用加筋土加挡土板结合的支护形式。</w:t>
            </w:r>
          </w:p>
          <w:p>
            <w:pPr>
              <w:spacing w:line="480" w:lineRule="exact"/>
              <w:ind w:firstLine="482"/>
              <w:rPr>
                <w:rFonts w:hint="eastAsia"/>
                <w:b w:val="0"/>
                <w:bCs/>
                <w:color w:val="auto"/>
                <w:sz w:val="24"/>
                <w:szCs w:val="24"/>
                <w:lang w:val="en-US" w:eastAsia="zh-CN"/>
              </w:rPr>
            </w:pPr>
            <w:r>
              <w:rPr>
                <w:rFonts w:hint="eastAsia"/>
                <w:b w:val="0"/>
                <w:bCs/>
                <w:color w:val="auto"/>
                <w:sz w:val="24"/>
                <w:szCs w:val="24"/>
                <w:lang w:val="en-US" w:eastAsia="zh-CN"/>
              </w:rPr>
              <w:t>⑧K0+630.000~K0+720.000段，边坡高15.3米，道路在设计路面1055.000，原始自然标高1055.000，道路南侧边坡为原始自然坡面，边坡坡率为1:1.8，此段边坡上部分采用垂直加固，采用单排抗滑桩加锚索，填土采用加筋土加挡土板结合的支护形式。</w:t>
            </w:r>
          </w:p>
          <w:p>
            <w:pPr>
              <w:spacing w:line="480" w:lineRule="exact"/>
              <w:ind w:firstLine="480"/>
              <w:rPr>
                <w:rFonts w:hint="default" w:ascii="Times New Roman" w:hAnsi="Times New Roman" w:eastAsia="宋体" w:cs="Times New Roman"/>
                <w:b/>
                <w:bCs w:val="0"/>
                <w:color w:val="auto"/>
                <w:sz w:val="24"/>
                <w:szCs w:val="24"/>
                <w:lang w:val="en-US" w:eastAsia="zh-CN"/>
              </w:rPr>
            </w:pPr>
            <w:r>
              <w:rPr>
                <w:rFonts w:hint="default" w:ascii="Times New Roman" w:hAnsi="Times New Roman" w:cs="Times New Roman"/>
                <w:b/>
                <w:bCs w:val="0"/>
                <w:color w:val="auto"/>
                <w:sz w:val="24"/>
                <w:szCs w:val="24"/>
                <w:lang w:val="en-US" w:eastAsia="zh-CN"/>
              </w:rPr>
              <w:t>2.1.</w:t>
            </w:r>
            <w:r>
              <w:rPr>
                <w:rFonts w:hint="eastAsia" w:cs="Times New Roman"/>
                <w:b/>
                <w:bCs w:val="0"/>
                <w:color w:val="auto"/>
                <w:sz w:val="24"/>
                <w:szCs w:val="24"/>
                <w:lang w:val="en-US" w:eastAsia="zh-CN"/>
              </w:rPr>
              <w:t>8交通工程</w:t>
            </w:r>
          </w:p>
          <w:p>
            <w:pPr>
              <w:spacing w:line="480" w:lineRule="exact"/>
              <w:ind w:firstLine="482"/>
              <w:rPr>
                <w:rFonts w:hint="default"/>
                <w:b/>
                <w:bCs w:val="0"/>
                <w:color w:val="auto"/>
                <w:sz w:val="24"/>
                <w:szCs w:val="24"/>
                <w:lang w:val="en-US" w:eastAsia="zh-CN"/>
              </w:rPr>
            </w:pPr>
            <w:r>
              <w:rPr>
                <w:rFonts w:hint="eastAsia"/>
                <w:b/>
                <w:bCs w:val="0"/>
                <w:color w:val="auto"/>
                <w:sz w:val="24"/>
                <w:szCs w:val="24"/>
                <w:lang w:val="en-US" w:eastAsia="zh-CN"/>
              </w:rPr>
              <w:t>（1）交通标志</w:t>
            </w:r>
          </w:p>
          <w:p>
            <w:pPr>
              <w:spacing w:line="480" w:lineRule="exact"/>
              <w:ind w:firstLine="482"/>
              <w:rPr>
                <w:rFonts w:hint="eastAsia"/>
                <w:b w:val="0"/>
                <w:bCs/>
                <w:color w:val="auto"/>
                <w:sz w:val="24"/>
                <w:szCs w:val="24"/>
                <w:lang w:val="en-US" w:eastAsia="zh-CN"/>
              </w:rPr>
            </w:pPr>
            <w:r>
              <w:rPr>
                <w:rFonts w:hint="eastAsia"/>
                <w:b w:val="0"/>
                <w:bCs/>
                <w:color w:val="auto"/>
                <w:sz w:val="24"/>
                <w:szCs w:val="24"/>
                <w:lang w:val="en-US" w:eastAsia="zh-CN"/>
              </w:rPr>
              <w:t>项目在主干路全路段设置交叉口预告标志，全线道路设置指示标志、警告标志和禁令标志标志牌。标志牌采用铝合金材质，标志杆采用无缝钢管。标志版面反光膜按《公路交通标志反光膜》（GB/T18833-2012）执行。标注板衬底、文字及图案均采用一级反光膜。标志的支撑形式采用3F悬臂式或单柱式，设计荷载考虑风荷载。</w:t>
            </w:r>
          </w:p>
          <w:p>
            <w:pPr>
              <w:spacing w:line="480" w:lineRule="exact"/>
              <w:ind w:firstLine="482"/>
              <w:rPr>
                <w:rFonts w:hint="default"/>
                <w:b/>
                <w:bCs w:val="0"/>
                <w:color w:val="auto"/>
                <w:sz w:val="24"/>
                <w:szCs w:val="24"/>
                <w:lang w:val="en-US" w:eastAsia="zh-CN"/>
              </w:rPr>
            </w:pPr>
            <w:r>
              <w:rPr>
                <w:rFonts w:hint="eastAsia"/>
                <w:b/>
                <w:bCs w:val="0"/>
                <w:color w:val="auto"/>
                <w:sz w:val="24"/>
                <w:szCs w:val="24"/>
                <w:lang w:val="en-US" w:eastAsia="zh-CN"/>
              </w:rPr>
              <w:t>（2）交通标线</w:t>
            </w:r>
          </w:p>
          <w:p>
            <w:pPr>
              <w:spacing w:line="480" w:lineRule="exact"/>
              <w:ind w:firstLine="482"/>
              <w:rPr>
                <w:rFonts w:hint="eastAsia"/>
                <w:b w:val="0"/>
                <w:bCs/>
                <w:color w:val="auto"/>
                <w:sz w:val="24"/>
                <w:szCs w:val="24"/>
                <w:lang w:val="en-US" w:eastAsia="zh-CN"/>
              </w:rPr>
            </w:pPr>
            <w:r>
              <w:rPr>
                <w:rFonts w:hint="eastAsia"/>
                <w:b w:val="0"/>
                <w:bCs/>
                <w:color w:val="auto"/>
                <w:sz w:val="24"/>
                <w:szCs w:val="24"/>
                <w:lang w:val="en-US" w:eastAsia="zh-CN"/>
              </w:rPr>
              <w:t>道路标线按规范要求需设置双黄线、车行道边缘线、可跨越同向车行道分界线、停止线、导向箭头、人行横道等。标线材料应具有良好的耐磨性、防滑性和辨认性。采用热熔型道路标线漆，标线涂料厚度一般为1.8-2.5mm。</w:t>
            </w:r>
          </w:p>
          <w:p>
            <w:pPr>
              <w:numPr>
                <w:ilvl w:val="0"/>
                <w:numId w:val="0"/>
              </w:numPr>
              <w:spacing w:line="480" w:lineRule="exact"/>
              <w:ind w:firstLine="482" w:firstLineChars="200"/>
              <w:rPr>
                <w:rFonts w:hint="eastAsia"/>
                <w:b/>
                <w:bCs w:val="0"/>
                <w:color w:val="auto"/>
                <w:sz w:val="24"/>
                <w:szCs w:val="24"/>
                <w:lang w:val="en-US" w:eastAsia="zh-CN"/>
              </w:rPr>
            </w:pPr>
            <w:r>
              <w:rPr>
                <w:rFonts w:hint="eastAsia"/>
                <w:b/>
                <w:bCs w:val="0"/>
                <w:color w:val="auto"/>
                <w:sz w:val="24"/>
                <w:szCs w:val="24"/>
                <w:lang w:val="en-US" w:eastAsia="zh-CN"/>
              </w:rPr>
              <w:t>（3）交通安全设施</w:t>
            </w:r>
          </w:p>
          <w:p>
            <w:pPr>
              <w:numPr>
                <w:ilvl w:val="0"/>
                <w:numId w:val="0"/>
              </w:numPr>
              <w:spacing w:line="480" w:lineRule="exact"/>
              <w:ind w:firstLine="480" w:firstLineChars="200"/>
              <w:rPr>
                <w:rFonts w:hint="eastAsia"/>
                <w:b w:val="0"/>
                <w:bCs/>
                <w:color w:val="auto"/>
                <w:sz w:val="24"/>
                <w:szCs w:val="24"/>
                <w:lang w:val="en-US" w:eastAsia="zh-CN"/>
              </w:rPr>
            </w:pPr>
            <w:r>
              <w:rPr>
                <w:rFonts w:hint="eastAsia"/>
                <w:b w:val="0"/>
                <w:bCs/>
                <w:color w:val="auto"/>
                <w:sz w:val="24"/>
                <w:szCs w:val="24"/>
                <w:lang w:val="en-US" w:eastAsia="zh-CN"/>
              </w:rPr>
              <w:t>在桥梁护栏立柱及横杆上黏贴反光膜，在桥下出入口处挡墙侧壁设置轮廓标。</w:t>
            </w:r>
          </w:p>
          <w:p>
            <w:pPr>
              <w:spacing w:line="480" w:lineRule="exact"/>
              <w:ind w:firstLine="482"/>
              <w:rPr>
                <w:rFonts w:hint="default"/>
                <w:b/>
                <w:bCs w:val="0"/>
                <w:color w:val="auto"/>
                <w:sz w:val="24"/>
                <w:szCs w:val="24"/>
                <w:lang w:val="en-US" w:eastAsia="zh-CN"/>
              </w:rPr>
            </w:pPr>
            <w:r>
              <w:rPr>
                <w:rFonts w:hint="eastAsia"/>
                <w:b/>
                <w:bCs w:val="0"/>
                <w:color w:val="auto"/>
                <w:sz w:val="24"/>
                <w:szCs w:val="24"/>
                <w:lang w:val="en-US" w:eastAsia="zh-CN"/>
              </w:rPr>
              <w:t>（4）交通监控</w:t>
            </w:r>
          </w:p>
          <w:p>
            <w:pPr>
              <w:spacing w:line="480" w:lineRule="exact"/>
              <w:ind w:firstLine="482"/>
              <w:rPr>
                <w:rFonts w:hint="eastAsia"/>
                <w:b w:val="0"/>
                <w:bCs/>
                <w:color w:val="auto"/>
                <w:sz w:val="24"/>
                <w:szCs w:val="24"/>
                <w:lang w:val="en-US" w:eastAsia="zh-CN"/>
              </w:rPr>
            </w:pPr>
            <w:r>
              <w:rPr>
                <w:rFonts w:hint="eastAsia"/>
                <w:b w:val="0"/>
                <w:bCs/>
                <w:color w:val="auto"/>
                <w:sz w:val="24"/>
                <w:szCs w:val="24"/>
                <w:lang w:val="en-US" w:eastAsia="zh-CN"/>
              </w:rPr>
              <w:t>本工程应建设方及交通部门要求设置道路监控，人行通道处设置智能监控，采用智能集成灯杆，设置监控，监控主机，信号灯，信号主机，信息发布系统等。于道路禁止停车处设置违停监控，人非车道设置道路监控。</w:t>
            </w:r>
          </w:p>
          <w:p>
            <w:pPr>
              <w:spacing w:line="480" w:lineRule="exact"/>
              <w:ind w:firstLine="480"/>
              <w:rPr>
                <w:rFonts w:hint="default" w:ascii="Times New Roman" w:hAnsi="Times New Roman" w:eastAsia="宋体" w:cs="Times New Roman"/>
                <w:b/>
                <w:bCs w:val="0"/>
                <w:sz w:val="24"/>
                <w:szCs w:val="24"/>
                <w:lang w:val="en-US" w:eastAsia="zh-CN"/>
              </w:rPr>
            </w:pPr>
            <w:r>
              <w:rPr>
                <w:rFonts w:hint="default" w:ascii="Times New Roman" w:hAnsi="Times New Roman" w:cs="Times New Roman"/>
                <w:b/>
                <w:bCs w:val="0"/>
                <w:sz w:val="24"/>
                <w:szCs w:val="24"/>
                <w:lang w:val="en-US" w:eastAsia="zh-CN"/>
              </w:rPr>
              <w:t>2.1.</w:t>
            </w:r>
            <w:r>
              <w:rPr>
                <w:rFonts w:hint="eastAsia" w:cs="Times New Roman"/>
                <w:b/>
                <w:bCs w:val="0"/>
                <w:sz w:val="24"/>
                <w:szCs w:val="24"/>
                <w:lang w:val="en-US" w:eastAsia="zh-CN"/>
              </w:rPr>
              <w:t>9道路附属设施工程</w:t>
            </w:r>
          </w:p>
          <w:p>
            <w:pPr>
              <w:spacing w:line="480" w:lineRule="exact"/>
              <w:ind w:firstLine="482"/>
              <w:rPr>
                <w:rFonts w:hint="default"/>
                <w:b/>
                <w:bCs w:val="0"/>
                <w:sz w:val="24"/>
                <w:szCs w:val="24"/>
                <w:lang w:val="en-US" w:eastAsia="zh-CN"/>
              </w:rPr>
            </w:pPr>
            <w:r>
              <w:rPr>
                <w:rFonts w:hint="eastAsia"/>
                <w:b/>
                <w:bCs w:val="0"/>
                <w:sz w:val="24"/>
                <w:szCs w:val="24"/>
                <w:lang w:val="en-US" w:eastAsia="zh-CN"/>
              </w:rPr>
              <w:t>（1）路缘石、卡边石</w:t>
            </w:r>
          </w:p>
          <w:p>
            <w:pPr>
              <w:spacing w:line="480" w:lineRule="exact"/>
              <w:ind w:firstLine="482"/>
              <w:rPr>
                <w:rFonts w:hint="default"/>
                <w:b w:val="0"/>
                <w:bCs/>
                <w:sz w:val="24"/>
                <w:szCs w:val="24"/>
                <w:lang w:val="en-US" w:eastAsia="zh-CN"/>
              </w:rPr>
            </w:pPr>
            <w:r>
              <w:rPr>
                <w:rFonts w:hint="default"/>
                <w:b w:val="0"/>
                <w:bCs/>
                <w:sz w:val="24"/>
                <w:szCs w:val="24"/>
                <w:lang w:val="en-US" w:eastAsia="zh-CN"/>
              </w:rPr>
              <w:t>路缘石、卡边石均采用花岗岩材质，其规格尺寸为35×15×99.7、15×15×99.7。路缘石及卡边石表面不得有蜂窝露石、脱皮、裂缝现象。两节间采用1：3M7.5水泥砂浆安装后勾缝宽0.4cm，安装路缘石和卡边石在直道上应笔直，弯道上应圆顺，无折角，顶面应平整无错开，不得阻水。其技术指标为：抗压强度不小于 100Mpa,硬度系数大于16，磨光度应大于等于40。</w:t>
            </w:r>
          </w:p>
          <w:p>
            <w:pPr>
              <w:spacing w:line="480" w:lineRule="exact"/>
              <w:ind w:firstLine="482"/>
              <w:rPr>
                <w:rFonts w:hint="default"/>
                <w:b/>
                <w:bCs w:val="0"/>
                <w:sz w:val="24"/>
                <w:szCs w:val="24"/>
                <w:lang w:val="en-US" w:eastAsia="zh-CN"/>
              </w:rPr>
            </w:pPr>
            <w:r>
              <w:rPr>
                <w:rFonts w:hint="eastAsia"/>
                <w:b/>
                <w:bCs w:val="0"/>
                <w:sz w:val="24"/>
                <w:szCs w:val="24"/>
                <w:lang w:val="en-US" w:eastAsia="zh-CN"/>
              </w:rPr>
              <w:t>（2）公交停靠站设计</w:t>
            </w:r>
          </w:p>
          <w:p>
            <w:pPr>
              <w:spacing w:line="480" w:lineRule="exact"/>
              <w:ind w:firstLine="482"/>
              <w:rPr>
                <w:rFonts w:hint="default"/>
                <w:b w:val="0"/>
                <w:bCs/>
                <w:sz w:val="24"/>
                <w:szCs w:val="24"/>
                <w:lang w:val="en-US" w:eastAsia="zh-CN"/>
              </w:rPr>
            </w:pPr>
            <w:r>
              <w:rPr>
                <w:rFonts w:hint="default"/>
                <w:b/>
                <w:bCs w:val="0"/>
                <w:sz w:val="24"/>
                <w:szCs w:val="24"/>
                <w:lang w:val="en-US" w:eastAsia="zh-CN"/>
              </w:rPr>
              <w:t>东外环路：</w:t>
            </w:r>
            <w:r>
              <w:rPr>
                <w:rFonts w:hint="default"/>
                <w:b w:val="0"/>
                <w:bCs/>
                <w:sz w:val="24"/>
                <w:szCs w:val="24"/>
                <w:lang w:val="en-US" w:eastAsia="zh-CN"/>
              </w:rPr>
              <w:t>东外环路分别在起点K0+120（王庄村牌楼）、K1+185（东外环与南外环交叉口）、K1+785（东外环与迎宾路交叉口）、K2+480（公园南）、K2+860（公园北）设置公交停靠站，双向共设置10个公交停靠站，对称设置，为直接式停靠站，站台尺寸为20m×2m。</w:t>
            </w:r>
          </w:p>
          <w:p>
            <w:pPr>
              <w:spacing w:line="480" w:lineRule="exact"/>
              <w:ind w:firstLine="482"/>
              <w:rPr>
                <w:rFonts w:hint="default"/>
                <w:b w:val="0"/>
                <w:bCs/>
                <w:sz w:val="24"/>
                <w:szCs w:val="24"/>
                <w:lang w:val="en-US" w:eastAsia="zh-CN"/>
              </w:rPr>
            </w:pPr>
            <w:r>
              <w:rPr>
                <w:rFonts w:hint="default"/>
                <w:b/>
                <w:bCs w:val="0"/>
                <w:sz w:val="24"/>
                <w:szCs w:val="24"/>
                <w:lang w:val="en-US" w:eastAsia="zh-CN"/>
              </w:rPr>
              <w:t>湖滨大街西延：</w:t>
            </w:r>
            <w:r>
              <w:rPr>
                <w:rFonts w:hint="default"/>
                <w:b w:val="0"/>
                <w:bCs/>
                <w:sz w:val="24"/>
                <w:szCs w:val="24"/>
                <w:lang w:val="en-US" w:eastAsia="zh-CN"/>
              </w:rPr>
              <w:t>湖滨大街西延分别在起点K1+260（三路交叉中央环道处）、K1+500（唐家湾村入口处）、K1+860（湖滨公园入口处）设置公交停靠站，双向共设置6个公交停靠站，对称设置，为直接式停靠站，站台尺寸为20m×2m。</w:t>
            </w:r>
          </w:p>
          <w:p>
            <w:pPr>
              <w:spacing w:line="480" w:lineRule="exact"/>
              <w:ind w:firstLine="482"/>
              <w:rPr>
                <w:rFonts w:hint="default"/>
                <w:b w:val="0"/>
                <w:bCs/>
                <w:sz w:val="24"/>
                <w:szCs w:val="24"/>
                <w:lang w:val="en-US" w:eastAsia="zh-CN"/>
              </w:rPr>
            </w:pPr>
            <w:r>
              <w:rPr>
                <w:rFonts w:hint="default"/>
                <w:b/>
                <w:bCs w:val="0"/>
                <w:sz w:val="24"/>
                <w:szCs w:val="24"/>
                <w:lang w:val="en-US" w:eastAsia="zh-CN"/>
              </w:rPr>
              <w:t>文昌路：</w:t>
            </w:r>
            <w:r>
              <w:rPr>
                <w:rFonts w:hint="default"/>
                <w:b w:val="0"/>
                <w:bCs/>
                <w:sz w:val="24"/>
                <w:szCs w:val="24"/>
                <w:lang w:val="en-US" w:eastAsia="zh-CN"/>
              </w:rPr>
              <w:t>文昌路分别在起点K0+0.000（西富苑小区）、K0+590（湖滨公园入口处）设置公交停靠站，双向共设置4个公交停靠站，对称设置，为港湾式停靠站，站台尺寸为20m×2m。</w:t>
            </w:r>
          </w:p>
          <w:p>
            <w:pPr>
              <w:spacing w:line="480" w:lineRule="exact"/>
              <w:ind w:firstLine="482"/>
              <w:rPr>
                <w:rFonts w:hint="default"/>
                <w:b/>
                <w:bCs w:val="0"/>
                <w:sz w:val="24"/>
                <w:szCs w:val="24"/>
                <w:lang w:val="en-US" w:eastAsia="zh-CN"/>
              </w:rPr>
            </w:pPr>
            <w:r>
              <w:rPr>
                <w:rFonts w:hint="eastAsia"/>
                <w:b/>
                <w:bCs w:val="0"/>
                <w:sz w:val="24"/>
                <w:szCs w:val="24"/>
                <w:lang w:val="en-US" w:eastAsia="zh-CN"/>
              </w:rPr>
              <w:t>（3）无障碍设计</w:t>
            </w:r>
          </w:p>
          <w:p>
            <w:pPr>
              <w:spacing w:line="480" w:lineRule="exact"/>
              <w:ind w:firstLine="482"/>
              <w:rPr>
                <w:rFonts w:hint="eastAsia"/>
                <w:b w:val="0"/>
                <w:bCs/>
                <w:sz w:val="24"/>
                <w:szCs w:val="24"/>
                <w:lang w:val="en-US" w:eastAsia="zh-CN"/>
              </w:rPr>
            </w:pPr>
            <w:r>
              <w:rPr>
                <w:rFonts w:hint="eastAsia"/>
                <w:b w:val="0"/>
                <w:bCs/>
                <w:sz w:val="24"/>
                <w:szCs w:val="24"/>
                <w:lang w:val="en-US" w:eastAsia="zh-CN"/>
              </w:rPr>
              <w:t>为建设城市的无障碍环境，提高人民社会生活质量，确保行动不便者能方便、安全使用城市道路，全线均按规范要求进行无障碍设计。全线在便道上设置条形盲道砖。在盲道起终点及拐弯处铺设圆点形提示盲道砖。在各交叉口进出人行道相应位置，设置缘石坡道，缘石坡道采用单面坡或三面坡缘石坡道。</w:t>
            </w:r>
          </w:p>
          <w:p>
            <w:pPr>
              <w:spacing w:line="480" w:lineRule="exact"/>
              <w:ind w:firstLine="482"/>
              <w:rPr>
                <w:rFonts w:hint="default"/>
                <w:b/>
                <w:color w:val="auto"/>
                <w:sz w:val="24"/>
                <w:szCs w:val="24"/>
                <w:lang w:val="en-US" w:eastAsia="zh-CN"/>
              </w:rPr>
            </w:pPr>
            <w:r>
              <w:rPr>
                <w:rFonts w:hint="eastAsia"/>
                <w:b/>
                <w:color w:val="auto"/>
                <w:sz w:val="24"/>
                <w:szCs w:val="24"/>
                <w:lang w:val="en-US" w:eastAsia="zh-CN"/>
              </w:rPr>
              <w:t>2.2桥涵工程</w:t>
            </w:r>
          </w:p>
          <w:p>
            <w:pPr>
              <w:spacing w:line="480" w:lineRule="exact"/>
              <w:ind w:firstLine="480"/>
              <w:rPr>
                <w:rFonts w:hint="default" w:ascii="Times New Roman" w:hAnsi="Times New Roman" w:cs="Times New Roman"/>
                <w:b w:val="0"/>
                <w:bCs/>
                <w:color w:val="auto"/>
                <w:sz w:val="24"/>
                <w:szCs w:val="24"/>
                <w:lang w:val="en-US" w:eastAsia="zh-CN"/>
              </w:rPr>
            </w:pPr>
            <w:r>
              <w:rPr>
                <w:rFonts w:hint="eastAsia" w:cs="Times New Roman"/>
                <w:b/>
                <w:bCs w:val="0"/>
                <w:color w:val="auto"/>
                <w:sz w:val="24"/>
                <w:szCs w:val="24"/>
                <w:lang w:val="en-US" w:eastAsia="zh-CN"/>
              </w:rPr>
              <w:t>桥梁：</w:t>
            </w:r>
            <w:r>
              <w:rPr>
                <w:rFonts w:hint="default" w:ascii="Times New Roman" w:hAnsi="Times New Roman" w:cs="Times New Roman"/>
                <w:b w:val="0"/>
                <w:bCs/>
                <w:color w:val="auto"/>
                <w:sz w:val="24"/>
                <w:szCs w:val="24"/>
                <w:lang w:val="en-US" w:eastAsia="zh-CN"/>
              </w:rPr>
              <w:t>文昌路桩号K0+945处为河道处，需要在此处建一座桥梁。东外环路在桩号K0+447.251和K1+922.621需跨越河流，该处拟新建桥梁，桥梁中心线与河道右前夹角90度。</w:t>
            </w:r>
          </w:p>
          <w:p>
            <w:pPr>
              <w:spacing w:line="480" w:lineRule="exact"/>
              <w:ind w:firstLine="480"/>
              <w:rPr>
                <w:rFonts w:hint="default" w:ascii="Times New Roman" w:hAnsi="Times New Roman" w:cs="Times New Roman"/>
                <w:b w:val="0"/>
                <w:bCs/>
                <w:color w:val="auto"/>
                <w:sz w:val="24"/>
                <w:szCs w:val="24"/>
                <w:lang w:val="en-US" w:eastAsia="zh-CN"/>
              </w:rPr>
            </w:pPr>
            <w:r>
              <w:rPr>
                <w:rFonts w:hint="eastAsia" w:cs="Times New Roman"/>
                <w:b/>
                <w:bCs w:val="0"/>
                <w:color w:val="auto"/>
                <w:sz w:val="24"/>
                <w:szCs w:val="24"/>
                <w:lang w:val="en-US" w:eastAsia="zh-CN"/>
              </w:rPr>
              <w:t>涵洞：</w:t>
            </w:r>
            <w:r>
              <w:rPr>
                <w:rFonts w:hint="default" w:ascii="Times New Roman" w:hAnsi="Times New Roman" w:cs="Times New Roman"/>
                <w:b w:val="0"/>
                <w:bCs/>
                <w:color w:val="auto"/>
                <w:sz w:val="24"/>
                <w:szCs w:val="24"/>
                <w:lang w:val="en-US" w:eastAsia="zh-CN"/>
              </w:rPr>
              <w:t>现状东外环路 K1+560.000、K1+620.000、K2+239.685处有涵洞三座，需要加长，其中K1+560.000处采用管涵，管涵直径2m，K1+620.000、K2+239.685采用箱涵，箱涵断面宽度净宽4m，侧墙厚0.5m。</w:t>
            </w:r>
          </w:p>
          <w:p>
            <w:pPr>
              <w:spacing w:line="480" w:lineRule="exact"/>
              <w:ind w:firstLine="480"/>
              <w:rPr>
                <w:rFonts w:hint="default" w:ascii="Times New Roman" w:hAnsi="Times New Roman" w:eastAsia="宋体" w:cs="Times New Roman"/>
                <w:b/>
                <w:bCs w:val="0"/>
                <w:color w:val="auto"/>
                <w:sz w:val="24"/>
                <w:szCs w:val="24"/>
                <w:lang w:val="en-US" w:eastAsia="zh-CN"/>
              </w:rPr>
            </w:pPr>
            <w:r>
              <w:rPr>
                <w:rFonts w:hint="default" w:ascii="Times New Roman" w:hAnsi="Times New Roman" w:cs="Times New Roman"/>
                <w:b/>
                <w:bCs w:val="0"/>
                <w:color w:val="auto"/>
                <w:sz w:val="24"/>
                <w:szCs w:val="24"/>
                <w:lang w:val="en-US" w:eastAsia="zh-CN"/>
              </w:rPr>
              <w:t>2.</w:t>
            </w:r>
            <w:r>
              <w:rPr>
                <w:rFonts w:hint="eastAsia" w:cs="Times New Roman"/>
                <w:b/>
                <w:bCs w:val="0"/>
                <w:color w:val="auto"/>
                <w:sz w:val="24"/>
                <w:szCs w:val="24"/>
                <w:lang w:val="en-US" w:eastAsia="zh-CN"/>
              </w:rPr>
              <w:t>2</w:t>
            </w:r>
            <w:r>
              <w:rPr>
                <w:rFonts w:hint="default" w:ascii="Times New Roman" w:hAnsi="Times New Roman" w:cs="Times New Roman"/>
                <w:b/>
                <w:bCs w:val="0"/>
                <w:color w:val="auto"/>
                <w:sz w:val="24"/>
                <w:szCs w:val="24"/>
                <w:lang w:val="en-US" w:eastAsia="zh-CN"/>
              </w:rPr>
              <w:t>.</w:t>
            </w:r>
            <w:r>
              <w:rPr>
                <w:rFonts w:hint="eastAsia" w:cs="Times New Roman"/>
                <w:b/>
                <w:bCs w:val="0"/>
                <w:color w:val="auto"/>
                <w:sz w:val="24"/>
                <w:szCs w:val="24"/>
                <w:lang w:val="en-US" w:eastAsia="zh-CN"/>
              </w:rPr>
              <w:t>1设计标准</w:t>
            </w:r>
          </w:p>
          <w:p>
            <w:pPr>
              <w:spacing w:line="480" w:lineRule="exact"/>
              <w:ind w:firstLine="482"/>
              <w:rPr>
                <w:rFonts w:hint="eastAsia"/>
                <w:b w:val="0"/>
                <w:bCs/>
                <w:color w:val="auto"/>
                <w:sz w:val="24"/>
                <w:szCs w:val="24"/>
                <w:lang w:val="en-US" w:eastAsia="zh-CN"/>
              </w:rPr>
            </w:pPr>
            <w:r>
              <w:rPr>
                <w:rFonts w:hint="eastAsia"/>
                <w:b w:val="0"/>
                <w:bCs/>
                <w:color w:val="auto"/>
                <w:sz w:val="24"/>
                <w:szCs w:val="24"/>
                <w:lang w:val="en-US" w:eastAsia="zh-CN"/>
              </w:rPr>
              <w:t>①道路等级：东外环路城市主干路；文昌路城市支路；</w:t>
            </w:r>
          </w:p>
          <w:p>
            <w:pPr>
              <w:spacing w:line="480" w:lineRule="exact"/>
              <w:ind w:firstLine="482"/>
              <w:rPr>
                <w:rFonts w:hint="eastAsia"/>
                <w:b w:val="0"/>
                <w:bCs/>
                <w:color w:val="auto"/>
                <w:sz w:val="24"/>
                <w:szCs w:val="24"/>
                <w:lang w:val="en-US" w:eastAsia="zh-CN"/>
              </w:rPr>
            </w:pPr>
            <w:r>
              <w:rPr>
                <w:rFonts w:hint="eastAsia"/>
                <w:b w:val="0"/>
                <w:bCs/>
                <w:color w:val="auto"/>
                <w:sz w:val="24"/>
                <w:szCs w:val="24"/>
                <w:lang w:val="en-US" w:eastAsia="zh-CN"/>
              </w:rPr>
              <w:t>②汽车荷载等级：城-A级；</w:t>
            </w:r>
          </w:p>
          <w:p>
            <w:pPr>
              <w:spacing w:line="480" w:lineRule="exact"/>
              <w:ind w:firstLine="482"/>
              <w:rPr>
                <w:rFonts w:hint="eastAsia"/>
                <w:b w:val="0"/>
                <w:bCs/>
                <w:color w:val="auto"/>
                <w:sz w:val="24"/>
                <w:szCs w:val="24"/>
                <w:lang w:val="en-US" w:eastAsia="zh-CN"/>
              </w:rPr>
            </w:pPr>
            <w:r>
              <w:rPr>
                <w:rFonts w:hint="eastAsia"/>
                <w:b w:val="0"/>
                <w:bCs/>
                <w:color w:val="auto"/>
                <w:sz w:val="24"/>
                <w:szCs w:val="24"/>
                <w:lang w:val="en-US" w:eastAsia="zh-CN"/>
              </w:rPr>
              <w:t>③设计车速：东外环路50km/h；文昌路20km/h；</w:t>
            </w:r>
          </w:p>
          <w:p>
            <w:pPr>
              <w:spacing w:line="480" w:lineRule="exact"/>
              <w:ind w:firstLine="482"/>
              <w:rPr>
                <w:rFonts w:hint="eastAsia"/>
                <w:b w:val="0"/>
                <w:bCs/>
                <w:color w:val="auto"/>
                <w:sz w:val="24"/>
                <w:szCs w:val="24"/>
                <w:lang w:val="en-US" w:eastAsia="zh-CN"/>
              </w:rPr>
            </w:pPr>
            <w:r>
              <w:rPr>
                <w:rFonts w:hint="eastAsia"/>
                <w:b w:val="0"/>
                <w:bCs/>
                <w:color w:val="auto"/>
                <w:sz w:val="24"/>
                <w:szCs w:val="24"/>
                <w:lang w:val="en-US" w:eastAsia="zh-CN"/>
              </w:rPr>
              <w:t>④设计车道：东外环路双向六车道；文昌路双向两车道；</w:t>
            </w:r>
          </w:p>
          <w:p>
            <w:pPr>
              <w:spacing w:line="480" w:lineRule="exact"/>
              <w:ind w:firstLine="482"/>
              <w:rPr>
                <w:rFonts w:hint="eastAsia"/>
                <w:b w:val="0"/>
                <w:bCs/>
                <w:color w:val="auto"/>
                <w:sz w:val="24"/>
                <w:szCs w:val="24"/>
                <w:lang w:val="en-US" w:eastAsia="zh-CN"/>
              </w:rPr>
            </w:pPr>
            <w:r>
              <w:rPr>
                <w:rFonts w:hint="eastAsia"/>
                <w:b w:val="0"/>
                <w:bCs/>
                <w:color w:val="auto"/>
                <w:sz w:val="24"/>
                <w:szCs w:val="24"/>
                <w:lang w:val="en-US" w:eastAsia="zh-CN"/>
              </w:rPr>
              <w:t>⑤结构设计基准期：100年，桥梁结构安全等级为一级，结构重要性系数为1.1；涵洞结构安全等级为二级，结构重要性系数为1.0；</w:t>
            </w:r>
          </w:p>
          <w:p>
            <w:pPr>
              <w:spacing w:line="480" w:lineRule="exact"/>
              <w:ind w:firstLine="482"/>
              <w:rPr>
                <w:rFonts w:hint="default"/>
                <w:b w:val="0"/>
                <w:bCs/>
                <w:color w:val="auto"/>
                <w:sz w:val="24"/>
                <w:szCs w:val="24"/>
                <w:lang w:val="en-US" w:eastAsia="zh-CN"/>
              </w:rPr>
            </w:pPr>
            <w:r>
              <w:rPr>
                <w:rFonts w:hint="eastAsia"/>
                <w:b w:val="0"/>
                <w:bCs/>
                <w:color w:val="auto"/>
                <w:sz w:val="24"/>
                <w:szCs w:val="24"/>
                <w:lang w:val="en-US" w:eastAsia="zh-CN"/>
              </w:rPr>
              <w:t>⑥抗震设防等级：地震动峰值加速度0.2g（基本烈度为VIII度）；</w:t>
            </w:r>
          </w:p>
          <w:p>
            <w:pPr>
              <w:spacing w:line="480" w:lineRule="exact"/>
              <w:ind w:firstLine="482"/>
              <w:rPr>
                <w:rFonts w:hint="default"/>
                <w:b w:val="0"/>
                <w:bCs/>
                <w:color w:val="auto"/>
                <w:sz w:val="24"/>
                <w:szCs w:val="24"/>
                <w:lang w:val="en-US" w:eastAsia="zh-CN"/>
              </w:rPr>
            </w:pPr>
            <w:r>
              <w:rPr>
                <w:rFonts w:hint="eastAsia"/>
                <w:b w:val="0"/>
                <w:bCs/>
                <w:color w:val="auto"/>
                <w:sz w:val="24"/>
                <w:szCs w:val="24"/>
                <w:lang w:val="en-US" w:eastAsia="zh-CN"/>
              </w:rPr>
              <w:t>⑦设计洪水频率：1/100。</w:t>
            </w:r>
          </w:p>
          <w:p>
            <w:pPr>
              <w:spacing w:line="480" w:lineRule="exact"/>
              <w:ind w:firstLine="480"/>
              <w:rPr>
                <w:rFonts w:hint="default" w:ascii="Times New Roman" w:hAnsi="Times New Roman" w:eastAsia="宋体" w:cs="Times New Roman"/>
                <w:b/>
                <w:bCs w:val="0"/>
                <w:color w:val="auto"/>
                <w:sz w:val="24"/>
                <w:szCs w:val="24"/>
                <w:lang w:val="en-US" w:eastAsia="zh-CN"/>
              </w:rPr>
            </w:pPr>
            <w:r>
              <w:rPr>
                <w:rFonts w:hint="default" w:ascii="Times New Roman" w:hAnsi="Times New Roman" w:cs="Times New Roman"/>
                <w:b/>
                <w:bCs w:val="0"/>
                <w:color w:val="auto"/>
                <w:sz w:val="24"/>
                <w:szCs w:val="24"/>
                <w:lang w:val="en-US" w:eastAsia="zh-CN"/>
              </w:rPr>
              <w:t>2.</w:t>
            </w:r>
            <w:r>
              <w:rPr>
                <w:rFonts w:hint="eastAsia" w:cs="Times New Roman"/>
                <w:b/>
                <w:bCs w:val="0"/>
                <w:color w:val="auto"/>
                <w:sz w:val="24"/>
                <w:szCs w:val="24"/>
                <w:lang w:val="en-US" w:eastAsia="zh-CN"/>
              </w:rPr>
              <w:t>2</w:t>
            </w:r>
            <w:r>
              <w:rPr>
                <w:rFonts w:hint="default" w:ascii="Times New Roman" w:hAnsi="Times New Roman" w:cs="Times New Roman"/>
                <w:b/>
                <w:bCs w:val="0"/>
                <w:color w:val="auto"/>
                <w:sz w:val="24"/>
                <w:szCs w:val="24"/>
                <w:lang w:val="en-US" w:eastAsia="zh-CN"/>
              </w:rPr>
              <w:t>.</w:t>
            </w:r>
            <w:r>
              <w:rPr>
                <w:rFonts w:hint="eastAsia" w:cs="Times New Roman"/>
                <w:b/>
                <w:bCs w:val="0"/>
                <w:color w:val="auto"/>
                <w:sz w:val="24"/>
                <w:szCs w:val="24"/>
                <w:lang w:val="en-US" w:eastAsia="zh-CN"/>
              </w:rPr>
              <w:t>2设计方案</w:t>
            </w:r>
          </w:p>
          <w:p>
            <w:pPr>
              <w:spacing w:line="480" w:lineRule="exact"/>
              <w:ind w:firstLine="482"/>
              <w:rPr>
                <w:rFonts w:hint="default"/>
                <w:b/>
                <w:bCs w:val="0"/>
                <w:color w:val="auto"/>
                <w:sz w:val="24"/>
                <w:szCs w:val="24"/>
                <w:lang w:val="en-US" w:eastAsia="zh-CN"/>
              </w:rPr>
            </w:pPr>
            <w:r>
              <w:rPr>
                <w:rFonts w:hint="eastAsia"/>
                <w:b/>
                <w:bCs w:val="0"/>
                <w:color w:val="auto"/>
                <w:sz w:val="24"/>
                <w:szCs w:val="24"/>
                <w:lang w:val="en-US" w:eastAsia="zh-CN"/>
              </w:rPr>
              <w:t>（1）桥梁</w:t>
            </w:r>
          </w:p>
          <w:p>
            <w:pPr>
              <w:spacing w:line="480" w:lineRule="exact"/>
              <w:ind w:firstLine="482"/>
              <w:rPr>
                <w:rFonts w:hint="eastAsia"/>
                <w:b w:val="0"/>
                <w:bCs/>
                <w:color w:val="auto"/>
                <w:sz w:val="24"/>
                <w:szCs w:val="24"/>
                <w:lang w:val="en-US" w:eastAsia="zh-CN"/>
              </w:rPr>
            </w:pPr>
            <w:r>
              <w:rPr>
                <w:rFonts w:hint="eastAsia"/>
                <w:b/>
                <w:bCs w:val="0"/>
                <w:color w:val="auto"/>
                <w:sz w:val="24"/>
                <w:szCs w:val="24"/>
                <w:lang w:val="en-US" w:eastAsia="zh-CN"/>
              </w:rPr>
              <w:t>文昌路桥梁：</w:t>
            </w:r>
            <w:r>
              <w:rPr>
                <w:rFonts w:hint="eastAsia"/>
                <w:b w:val="0"/>
                <w:bCs/>
                <w:color w:val="auto"/>
                <w:sz w:val="24"/>
                <w:szCs w:val="24"/>
                <w:lang w:val="en-US" w:eastAsia="zh-CN"/>
              </w:rPr>
              <w:t>文昌路路桩号K0+945处为河道处，需要在此处建一座桥梁。</w:t>
            </w:r>
          </w:p>
          <w:p>
            <w:pPr>
              <w:spacing w:line="480" w:lineRule="exact"/>
              <w:ind w:firstLine="482"/>
              <w:rPr>
                <w:rFonts w:hint="default"/>
                <w:b w:val="0"/>
                <w:bCs/>
                <w:color w:val="auto"/>
                <w:sz w:val="24"/>
                <w:szCs w:val="24"/>
                <w:lang w:val="en-US" w:eastAsia="zh-CN"/>
              </w:rPr>
            </w:pPr>
            <w:r>
              <w:rPr>
                <w:rFonts w:hint="default"/>
                <w:b w:val="0"/>
                <w:bCs/>
                <w:color w:val="auto"/>
                <w:sz w:val="24"/>
                <w:szCs w:val="24"/>
                <w:lang w:val="en-US" w:eastAsia="zh-CN"/>
              </w:rPr>
              <w:t>采用现浇连续钢筋混凝土箱梁，桥梁布跨分为五联：4×20+4×20+4×20+4×20</w:t>
            </w:r>
          </w:p>
          <w:p>
            <w:pPr>
              <w:spacing w:line="480" w:lineRule="exact"/>
              <w:rPr>
                <w:rFonts w:hint="default"/>
                <w:b w:val="0"/>
                <w:bCs/>
                <w:color w:val="auto"/>
                <w:sz w:val="24"/>
                <w:szCs w:val="24"/>
                <w:lang w:val="en-US" w:eastAsia="zh-CN"/>
              </w:rPr>
            </w:pPr>
            <w:r>
              <w:rPr>
                <w:rFonts w:hint="default"/>
                <w:b w:val="0"/>
                <w:bCs/>
                <w:color w:val="auto"/>
                <w:sz w:val="24"/>
                <w:szCs w:val="24"/>
                <w:lang w:val="en-US" w:eastAsia="zh-CN"/>
              </w:rPr>
              <w:t>+5×20=420m。桥梁分两幅设置，桥面布置为2m（人行道）+7.5m（机动车道）+0.5m（防撞护栏）+0.5m(中央分隔带)+0.5m（防撞护栏）+7.5m（机动车道）+2m（人行道）=20.5m。上部结构采用单箱双室现浇钢筋混凝土箱梁，梁高为1.5m，下部结构桥台采用肋板台，基础采用直径1m桩基础，桥墩采用花瓶墩，桥墩采用直径为1.5m的桩基础。</w:t>
            </w:r>
          </w:p>
          <w:p>
            <w:pPr>
              <w:spacing w:line="480" w:lineRule="exact"/>
              <w:ind w:firstLine="482"/>
              <w:rPr>
                <w:rFonts w:hint="default"/>
                <w:b w:val="0"/>
                <w:bCs/>
                <w:color w:val="auto"/>
                <w:sz w:val="24"/>
                <w:szCs w:val="24"/>
                <w:lang w:val="en-US" w:eastAsia="zh-CN"/>
              </w:rPr>
            </w:pPr>
            <w:r>
              <w:rPr>
                <w:rFonts w:hint="eastAsia"/>
                <w:b/>
                <w:bCs w:val="0"/>
                <w:color w:val="auto"/>
                <w:sz w:val="24"/>
                <w:szCs w:val="24"/>
                <w:lang w:val="en-US" w:eastAsia="zh-CN"/>
              </w:rPr>
              <w:t>东外环路桥梁：</w:t>
            </w:r>
          </w:p>
          <w:p>
            <w:pPr>
              <w:spacing w:line="480" w:lineRule="exact"/>
              <w:ind w:firstLine="482"/>
              <w:rPr>
                <w:rFonts w:hint="eastAsia"/>
                <w:b w:val="0"/>
                <w:bCs/>
                <w:color w:val="auto"/>
                <w:sz w:val="24"/>
                <w:szCs w:val="24"/>
                <w:lang w:val="en-US" w:eastAsia="zh-CN"/>
              </w:rPr>
            </w:pPr>
            <w:r>
              <w:rPr>
                <w:rFonts w:hint="eastAsia"/>
                <w:b w:val="0"/>
                <w:bCs/>
                <w:color w:val="auto"/>
                <w:sz w:val="24"/>
                <w:szCs w:val="24"/>
                <w:lang w:val="en-US" w:eastAsia="zh-CN"/>
              </w:rPr>
              <w:t>①既有桥梁技术参数：桥梁跨径总长均为75m，桥梁设计荷载等级城A级，设计速度50km/h。桥梁全宽12m，净宽11.2m，路面两侧各设置一道0.4m宽的护栏。两座桥梁均为单跨25m的装配式预应力混凝土连续箱梁桥，全桥共3跨，桥跨布置为0.4m+11.2m+0.4m，全桥共设置2个双柱墩，2个桥台，32个板式橡胶支座，2道模数式伸缩缝。桥梁上部结构每孔横向分别布置4片箱梁，全桥共计12片箱梁。下部结构均采用钢筋混凝土柱式桥墩、轻型桥台。通过桥梁静动载试验，试验孔承载能力满足城市-A级单向三车道通行荷载等级的要求，桥梁承载力满足城-A荷载等级的要求。</w:t>
            </w:r>
          </w:p>
          <w:p>
            <w:pPr>
              <w:spacing w:line="480" w:lineRule="exact"/>
              <w:ind w:firstLine="482"/>
              <w:rPr>
                <w:rFonts w:hint="eastAsia"/>
                <w:b w:val="0"/>
                <w:bCs/>
                <w:color w:val="auto"/>
                <w:sz w:val="24"/>
                <w:szCs w:val="24"/>
                <w:lang w:val="en-US" w:eastAsia="zh-CN"/>
              </w:rPr>
            </w:pPr>
            <w:r>
              <w:rPr>
                <w:rFonts w:hint="eastAsia"/>
                <w:b w:val="0"/>
                <w:bCs/>
                <w:color w:val="auto"/>
                <w:sz w:val="24"/>
                <w:szCs w:val="24"/>
                <w:lang w:val="en-US" w:eastAsia="zh-CN"/>
              </w:rPr>
              <w:t>②新建桥梁技术参数：东环路桥梁两座，分别在桩号K0+470处上跨掉头匝道，K1+910处上跨滤泗河，桥梁中心线与河道右前夹角90度。</w:t>
            </w:r>
          </w:p>
          <w:p>
            <w:pPr>
              <w:spacing w:line="480" w:lineRule="exact"/>
              <w:ind w:firstLine="482"/>
              <w:rPr>
                <w:rFonts w:hint="default"/>
                <w:b/>
                <w:bCs w:val="0"/>
                <w:color w:val="auto"/>
                <w:sz w:val="24"/>
                <w:szCs w:val="24"/>
                <w:lang w:val="en-US" w:eastAsia="zh-CN"/>
              </w:rPr>
            </w:pPr>
            <w:r>
              <w:rPr>
                <w:rFonts w:hint="default"/>
                <w:b/>
                <w:bCs w:val="0"/>
                <w:color w:val="auto"/>
                <w:sz w:val="24"/>
                <w:szCs w:val="24"/>
                <w:lang w:val="en-US" w:eastAsia="zh-CN"/>
              </w:rPr>
              <w:t>东外环桥梁1（桩号K0+</w:t>
            </w:r>
            <w:r>
              <w:rPr>
                <w:rFonts w:hint="eastAsia"/>
                <w:b/>
                <w:bCs w:val="0"/>
                <w:color w:val="auto"/>
                <w:sz w:val="24"/>
                <w:szCs w:val="24"/>
                <w:lang w:val="en-US" w:eastAsia="zh-CN"/>
              </w:rPr>
              <w:t>470</w:t>
            </w:r>
            <w:r>
              <w:rPr>
                <w:rFonts w:hint="default"/>
                <w:b/>
                <w:bCs w:val="0"/>
                <w:color w:val="auto"/>
                <w:sz w:val="24"/>
                <w:szCs w:val="24"/>
                <w:lang w:val="en-US" w:eastAsia="zh-CN"/>
              </w:rPr>
              <w:t>）：</w:t>
            </w:r>
          </w:p>
          <w:p>
            <w:pPr>
              <w:spacing w:line="480" w:lineRule="exact"/>
              <w:ind w:firstLine="482"/>
              <w:rPr>
                <w:rFonts w:hint="default"/>
                <w:b w:val="0"/>
                <w:bCs/>
                <w:color w:val="auto"/>
                <w:sz w:val="24"/>
                <w:szCs w:val="24"/>
                <w:lang w:val="en-US" w:eastAsia="zh-CN"/>
              </w:rPr>
            </w:pPr>
            <w:r>
              <w:rPr>
                <w:rFonts w:hint="default"/>
                <w:b w:val="0"/>
                <w:bCs/>
                <w:color w:val="auto"/>
                <w:sz w:val="24"/>
                <w:szCs w:val="24"/>
                <w:lang w:val="en-US" w:eastAsia="zh-CN"/>
              </w:rPr>
              <w:t>桥梁采用3×25m装配式预应力混凝土小箱梁桥，下部结构均采用柱式桥墩和肋板式桥台、钻孔灌注桩基础。桥梁总长75m，总宽12m。</w:t>
            </w:r>
          </w:p>
          <w:p>
            <w:pPr>
              <w:spacing w:line="480" w:lineRule="exact"/>
              <w:ind w:firstLine="482"/>
              <w:rPr>
                <w:rFonts w:hint="default"/>
                <w:b/>
                <w:bCs w:val="0"/>
                <w:color w:val="auto"/>
                <w:sz w:val="24"/>
                <w:szCs w:val="24"/>
                <w:lang w:val="en-US" w:eastAsia="zh-CN"/>
              </w:rPr>
            </w:pPr>
            <w:r>
              <w:rPr>
                <w:rFonts w:hint="default"/>
                <w:b/>
                <w:bCs w:val="0"/>
                <w:color w:val="auto"/>
                <w:sz w:val="24"/>
                <w:szCs w:val="24"/>
                <w:lang w:val="en-US" w:eastAsia="zh-CN"/>
              </w:rPr>
              <w:t>东外环桥梁</w:t>
            </w:r>
            <w:r>
              <w:rPr>
                <w:rFonts w:hint="eastAsia"/>
                <w:b/>
                <w:bCs w:val="0"/>
                <w:color w:val="auto"/>
                <w:sz w:val="24"/>
                <w:szCs w:val="24"/>
                <w:lang w:val="en-US" w:eastAsia="zh-CN"/>
              </w:rPr>
              <w:t>2</w:t>
            </w:r>
            <w:r>
              <w:rPr>
                <w:rFonts w:hint="default"/>
                <w:b/>
                <w:bCs w:val="0"/>
                <w:color w:val="auto"/>
                <w:sz w:val="24"/>
                <w:szCs w:val="24"/>
                <w:lang w:val="en-US" w:eastAsia="zh-CN"/>
              </w:rPr>
              <w:t>（桩号K</w:t>
            </w:r>
            <w:r>
              <w:rPr>
                <w:rFonts w:hint="eastAsia"/>
                <w:b/>
                <w:bCs w:val="0"/>
                <w:color w:val="auto"/>
                <w:sz w:val="24"/>
                <w:szCs w:val="24"/>
                <w:lang w:val="en-US" w:eastAsia="zh-CN"/>
              </w:rPr>
              <w:t>1</w:t>
            </w:r>
            <w:r>
              <w:rPr>
                <w:rFonts w:hint="default"/>
                <w:b/>
                <w:bCs w:val="0"/>
                <w:color w:val="auto"/>
                <w:sz w:val="24"/>
                <w:szCs w:val="24"/>
                <w:lang w:val="en-US" w:eastAsia="zh-CN"/>
              </w:rPr>
              <w:t>+</w:t>
            </w:r>
            <w:r>
              <w:rPr>
                <w:rFonts w:hint="eastAsia"/>
                <w:b/>
                <w:bCs w:val="0"/>
                <w:color w:val="auto"/>
                <w:sz w:val="24"/>
                <w:szCs w:val="24"/>
                <w:lang w:val="en-US" w:eastAsia="zh-CN"/>
              </w:rPr>
              <w:t>910</w:t>
            </w:r>
            <w:r>
              <w:rPr>
                <w:rFonts w:hint="default"/>
                <w:b/>
                <w:bCs w:val="0"/>
                <w:color w:val="auto"/>
                <w:sz w:val="24"/>
                <w:szCs w:val="24"/>
                <w:lang w:val="en-US" w:eastAsia="zh-CN"/>
              </w:rPr>
              <w:t>）：</w:t>
            </w:r>
          </w:p>
          <w:p>
            <w:pPr>
              <w:spacing w:line="480" w:lineRule="exact"/>
              <w:ind w:firstLine="482"/>
              <w:rPr>
                <w:rFonts w:hint="default"/>
                <w:b w:val="0"/>
                <w:bCs/>
                <w:color w:val="auto"/>
                <w:sz w:val="24"/>
                <w:szCs w:val="24"/>
                <w:lang w:val="en-US" w:eastAsia="zh-CN"/>
              </w:rPr>
            </w:pPr>
            <w:r>
              <w:rPr>
                <w:rFonts w:hint="default"/>
                <w:b w:val="0"/>
                <w:bCs/>
                <w:color w:val="auto"/>
                <w:sz w:val="24"/>
                <w:szCs w:val="24"/>
                <w:lang w:val="en-US" w:eastAsia="zh-CN"/>
              </w:rPr>
              <w:t>桥梁采用3×25m装配式预应力混凝土小箱梁桥，下部结构均采用柱式桥墩和肋板式桥台、钻孔灌注桩基础。桥梁总长75m，总宽12m</w:t>
            </w:r>
            <w:r>
              <w:rPr>
                <w:rFonts w:hint="eastAsia"/>
                <w:b w:val="0"/>
                <w:bCs/>
                <w:color w:val="auto"/>
                <w:sz w:val="24"/>
                <w:szCs w:val="24"/>
                <w:lang w:val="en-US" w:eastAsia="zh-CN"/>
              </w:rPr>
              <w:t>。</w:t>
            </w:r>
          </w:p>
          <w:p>
            <w:pPr>
              <w:spacing w:line="480" w:lineRule="exact"/>
              <w:ind w:firstLine="482"/>
              <w:rPr>
                <w:rFonts w:hint="default"/>
                <w:b/>
                <w:bCs w:val="0"/>
                <w:color w:val="auto"/>
                <w:sz w:val="24"/>
                <w:szCs w:val="24"/>
                <w:lang w:val="en-US" w:eastAsia="zh-CN"/>
              </w:rPr>
            </w:pPr>
            <w:r>
              <w:rPr>
                <w:rFonts w:hint="eastAsia"/>
                <w:b/>
                <w:bCs w:val="0"/>
                <w:color w:val="auto"/>
                <w:sz w:val="24"/>
                <w:szCs w:val="24"/>
                <w:lang w:val="en-US" w:eastAsia="zh-CN"/>
              </w:rPr>
              <w:t>（2）涵洞</w:t>
            </w:r>
          </w:p>
          <w:p>
            <w:pPr>
              <w:spacing w:line="480" w:lineRule="exact"/>
              <w:ind w:firstLine="482"/>
              <w:rPr>
                <w:rFonts w:hint="eastAsia"/>
                <w:b w:val="0"/>
                <w:bCs/>
                <w:color w:val="auto"/>
                <w:sz w:val="24"/>
                <w:szCs w:val="24"/>
                <w:lang w:val="en-US" w:eastAsia="zh-CN"/>
              </w:rPr>
            </w:pPr>
            <w:r>
              <w:rPr>
                <w:rFonts w:hint="eastAsia"/>
                <w:b w:val="0"/>
                <w:bCs/>
                <w:color w:val="auto"/>
                <w:sz w:val="24"/>
                <w:szCs w:val="24"/>
                <w:lang w:val="en-US" w:eastAsia="zh-CN"/>
              </w:rPr>
              <w:t>上部结构：涵身采用毛石砌筑，毛石强度等级MU50，砂浆强度等级M7.5；盖板采用钢筋混凝土盖板。</w:t>
            </w:r>
          </w:p>
          <w:p>
            <w:pPr>
              <w:spacing w:line="480" w:lineRule="exact"/>
              <w:ind w:firstLine="482"/>
              <w:rPr>
                <w:rFonts w:hint="eastAsia"/>
                <w:b w:val="0"/>
                <w:bCs/>
                <w:color w:val="auto"/>
                <w:sz w:val="24"/>
                <w:szCs w:val="24"/>
                <w:lang w:val="en-US" w:eastAsia="zh-CN"/>
              </w:rPr>
            </w:pPr>
            <w:r>
              <w:rPr>
                <w:rFonts w:hint="eastAsia"/>
                <w:b w:val="0"/>
                <w:bCs/>
                <w:color w:val="auto"/>
                <w:sz w:val="24"/>
                <w:szCs w:val="24"/>
                <w:lang w:val="en-US" w:eastAsia="zh-CN"/>
              </w:rPr>
              <w:t>下部结构：下部结构采用钢筋混凝土条形基础，混凝土强度等级C30，地基承载力不小于380kpa。</w:t>
            </w:r>
          </w:p>
          <w:p>
            <w:pPr>
              <w:spacing w:line="480" w:lineRule="exact"/>
              <w:ind w:firstLine="482"/>
              <w:rPr>
                <w:rFonts w:hint="default"/>
                <w:b/>
                <w:sz w:val="24"/>
                <w:szCs w:val="24"/>
                <w:lang w:val="en-US" w:eastAsia="zh-CN"/>
              </w:rPr>
            </w:pPr>
            <w:r>
              <w:rPr>
                <w:rFonts w:hint="eastAsia"/>
                <w:b/>
                <w:sz w:val="24"/>
                <w:szCs w:val="24"/>
                <w:lang w:val="en-US" w:eastAsia="zh-CN"/>
              </w:rPr>
              <w:t>2.3给水工程</w:t>
            </w:r>
          </w:p>
          <w:p>
            <w:pPr>
              <w:spacing w:line="480" w:lineRule="exact"/>
              <w:ind w:firstLine="480"/>
              <w:rPr>
                <w:rFonts w:hint="default" w:ascii="Times New Roman" w:hAnsi="Times New Roman" w:eastAsia="宋体" w:cs="Times New Roman"/>
                <w:b/>
                <w:bCs w:val="0"/>
                <w:sz w:val="24"/>
                <w:szCs w:val="24"/>
                <w:lang w:val="en-US" w:eastAsia="zh-CN"/>
              </w:rPr>
            </w:pPr>
            <w:r>
              <w:rPr>
                <w:rFonts w:hint="default" w:ascii="Times New Roman" w:hAnsi="Times New Roman" w:cs="Times New Roman"/>
                <w:b/>
                <w:bCs w:val="0"/>
                <w:sz w:val="24"/>
                <w:szCs w:val="24"/>
                <w:lang w:val="en-US" w:eastAsia="zh-CN"/>
              </w:rPr>
              <w:t>2.</w:t>
            </w:r>
            <w:r>
              <w:rPr>
                <w:rFonts w:hint="eastAsia" w:cs="Times New Roman"/>
                <w:b/>
                <w:bCs w:val="0"/>
                <w:sz w:val="24"/>
                <w:szCs w:val="24"/>
                <w:lang w:val="en-US" w:eastAsia="zh-CN"/>
              </w:rPr>
              <w:t>3</w:t>
            </w:r>
            <w:r>
              <w:rPr>
                <w:rFonts w:hint="default" w:ascii="Times New Roman" w:hAnsi="Times New Roman" w:cs="Times New Roman"/>
                <w:b/>
                <w:bCs w:val="0"/>
                <w:sz w:val="24"/>
                <w:szCs w:val="24"/>
                <w:lang w:val="en-US" w:eastAsia="zh-CN"/>
              </w:rPr>
              <w:t>.</w:t>
            </w:r>
            <w:r>
              <w:rPr>
                <w:rFonts w:hint="eastAsia" w:cs="Times New Roman"/>
                <w:b/>
                <w:bCs w:val="0"/>
                <w:sz w:val="24"/>
                <w:szCs w:val="24"/>
                <w:lang w:val="en-US" w:eastAsia="zh-CN"/>
              </w:rPr>
              <w:t>1现状给水管网</w:t>
            </w:r>
          </w:p>
          <w:p>
            <w:pPr>
              <w:spacing w:line="480" w:lineRule="exact"/>
              <w:ind w:firstLine="480"/>
              <w:rPr>
                <w:rFonts w:hint="eastAsia" w:cs="Times New Roman"/>
                <w:b w:val="0"/>
                <w:bCs/>
                <w:sz w:val="24"/>
                <w:szCs w:val="24"/>
                <w:lang w:val="en-US" w:eastAsia="zh-CN"/>
              </w:rPr>
            </w:pPr>
            <w:r>
              <w:rPr>
                <w:rFonts w:hint="eastAsia" w:cs="Times New Roman"/>
                <w:b/>
                <w:bCs w:val="0"/>
                <w:sz w:val="24"/>
                <w:szCs w:val="24"/>
                <w:lang w:val="en-US" w:eastAsia="zh-CN"/>
              </w:rPr>
              <w:t>东外环路：</w:t>
            </w:r>
            <w:r>
              <w:rPr>
                <w:rFonts w:hint="eastAsia" w:cs="Times New Roman"/>
                <w:b w:val="0"/>
                <w:bCs/>
                <w:sz w:val="24"/>
                <w:szCs w:val="24"/>
                <w:lang w:val="en-US" w:eastAsia="zh-CN"/>
              </w:rPr>
              <w:t>东外环为城市现状道路，起点为五台南收费站北侧（王庄村牌楼），由南向北上跨滤泗河，终点接至五黄路（金水泉宾馆）。属于连接高速公路与城市主干路的快速路，现状道路下方无供水管道。</w:t>
            </w:r>
          </w:p>
          <w:p>
            <w:pPr>
              <w:spacing w:line="480" w:lineRule="exact"/>
              <w:ind w:firstLine="480"/>
              <w:rPr>
                <w:rFonts w:hint="eastAsia" w:cs="Times New Roman"/>
                <w:b w:val="0"/>
                <w:bCs/>
                <w:sz w:val="24"/>
                <w:szCs w:val="24"/>
                <w:lang w:val="en-US" w:eastAsia="zh-CN"/>
              </w:rPr>
            </w:pPr>
            <w:r>
              <w:rPr>
                <w:rFonts w:hint="eastAsia" w:cs="Times New Roman"/>
                <w:b/>
                <w:bCs w:val="0"/>
                <w:sz w:val="24"/>
                <w:szCs w:val="24"/>
                <w:lang w:val="en-US" w:eastAsia="zh-CN"/>
              </w:rPr>
              <w:t>湖滨大街：</w:t>
            </w:r>
            <w:r>
              <w:rPr>
                <w:rFonts w:hint="eastAsia" w:cs="Times New Roman"/>
                <w:b w:val="0"/>
                <w:bCs/>
                <w:sz w:val="24"/>
                <w:szCs w:val="24"/>
                <w:lang w:val="en-US" w:eastAsia="zh-CN"/>
              </w:rPr>
              <w:t>湖滨大街位于般若湖北岸，为城市主干路，道路起点为规划文昌路，由西向东，穿越唐家湾村，终点与既有湖滨大道相接。湖滨大街新城路附近有两眼供水井（1#、2#），现状供水管道敷设于新城路和文明路之间。其中，新城路至迎宾北路之间供水管道位于湖滨大街路北，管径为DN300，管材为PE管；迎宾北路至文明路之间在湖滨大街道路两侧各敷设一趟供水管道，管径为DN250，管材为PE管。</w:t>
            </w:r>
          </w:p>
          <w:p>
            <w:pPr>
              <w:spacing w:line="480" w:lineRule="exact"/>
              <w:ind w:firstLine="480"/>
              <w:rPr>
                <w:rFonts w:hint="eastAsia" w:cs="Times New Roman"/>
                <w:b w:val="0"/>
                <w:bCs/>
                <w:sz w:val="24"/>
                <w:szCs w:val="24"/>
                <w:lang w:val="en-US" w:eastAsia="zh-CN"/>
              </w:rPr>
            </w:pPr>
            <w:r>
              <w:rPr>
                <w:rFonts w:hint="eastAsia" w:cs="Times New Roman"/>
                <w:b/>
                <w:bCs w:val="0"/>
                <w:sz w:val="24"/>
                <w:szCs w:val="24"/>
                <w:lang w:val="en-US" w:eastAsia="zh-CN"/>
              </w:rPr>
              <w:t>文昌路：</w:t>
            </w:r>
            <w:r>
              <w:rPr>
                <w:rFonts w:hint="eastAsia" w:cs="Times New Roman"/>
                <w:b w:val="0"/>
                <w:bCs/>
                <w:sz w:val="24"/>
                <w:szCs w:val="24"/>
                <w:lang w:val="en-US" w:eastAsia="zh-CN"/>
              </w:rPr>
              <w:t>文昌路位于般若湖西岸，规划道路南端起点为既有文昌路终点，由南向北沿湖而建，终点至湖滨大街。现状文昌路下无供水管网，既有文昌路西庄村至西米市街南侧敷设有供水管网，其中，北段敷设一趟DN100供水管，管材为球墨铸铁管；南段路西、路东分别敷设一趟DN100供水管，路西管材为球墨铸铁管，路东为PE管。</w:t>
            </w:r>
          </w:p>
          <w:p>
            <w:pPr>
              <w:spacing w:line="480" w:lineRule="exact"/>
              <w:ind w:firstLine="480"/>
              <w:rPr>
                <w:rFonts w:hint="default" w:ascii="Times New Roman" w:hAnsi="Times New Roman" w:eastAsia="宋体" w:cs="Times New Roman"/>
                <w:b/>
                <w:bCs w:val="0"/>
                <w:sz w:val="24"/>
                <w:szCs w:val="24"/>
                <w:lang w:val="en-US" w:eastAsia="zh-CN"/>
              </w:rPr>
            </w:pPr>
            <w:r>
              <w:rPr>
                <w:rFonts w:hint="default" w:ascii="Times New Roman" w:hAnsi="Times New Roman" w:cs="Times New Roman"/>
                <w:b/>
                <w:bCs w:val="0"/>
                <w:sz w:val="24"/>
                <w:szCs w:val="24"/>
                <w:lang w:val="en-US" w:eastAsia="zh-CN"/>
              </w:rPr>
              <w:t>2.</w:t>
            </w:r>
            <w:r>
              <w:rPr>
                <w:rFonts w:hint="eastAsia" w:cs="Times New Roman"/>
                <w:b/>
                <w:bCs w:val="0"/>
                <w:sz w:val="24"/>
                <w:szCs w:val="24"/>
                <w:lang w:val="en-US" w:eastAsia="zh-CN"/>
              </w:rPr>
              <w:t>3</w:t>
            </w:r>
            <w:r>
              <w:rPr>
                <w:rFonts w:hint="default" w:ascii="Times New Roman" w:hAnsi="Times New Roman" w:cs="Times New Roman"/>
                <w:b/>
                <w:bCs w:val="0"/>
                <w:sz w:val="24"/>
                <w:szCs w:val="24"/>
                <w:lang w:val="en-US" w:eastAsia="zh-CN"/>
              </w:rPr>
              <w:t>.</w:t>
            </w:r>
            <w:r>
              <w:rPr>
                <w:rFonts w:hint="eastAsia" w:cs="Times New Roman"/>
                <w:b/>
                <w:bCs w:val="0"/>
                <w:sz w:val="24"/>
                <w:szCs w:val="24"/>
                <w:lang w:val="en-US" w:eastAsia="zh-CN"/>
              </w:rPr>
              <w:t>2给水设计方案</w:t>
            </w:r>
          </w:p>
          <w:p>
            <w:pPr>
              <w:spacing w:line="480" w:lineRule="exact"/>
              <w:ind w:firstLine="482"/>
              <w:rPr>
                <w:rFonts w:hint="default" w:cs="Times New Roman"/>
                <w:b/>
                <w:bCs w:val="0"/>
                <w:sz w:val="24"/>
                <w:szCs w:val="24"/>
                <w:lang w:val="en-US" w:eastAsia="zh-CN"/>
              </w:rPr>
            </w:pPr>
            <w:r>
              <w:rPr>
                <w:rFonts w:hint="eastAsia" w:cs="Times New Roman"/>
                <w:b/>
                <w:bCs w:val="0"/>
                <w:sz w:val="24"/>
                <w:szCs w:val="24"/>
                <w:lang w:val="en-US" w:eastAsia="zh-CN"/>
              </w:rPr>
              <w:t>（1）供水水源</w:t>
            </w:r>
          </w:p>
          <w:p>
            <w:pPr>
              <w:spacing w:line="480" w:lineRule="exact"/>
              <w:ind w:firstLine="482"/>
              <w:rPr>
                <w:rFonts w:hint="eastAsia" w:cs="Times New Roman"/>
                <w:b w:val="0"/>
                <w:bCs/>
                <w:sz w:val="24"/>
                <w:szCs w:val="24"/>
                <w:lang w:val="en-US" w:eastAsia="zh-CN"/>
              </w:rPr>
            </w:pPr>
            <w:r>
              <w:rPr>
                <w:rFonts w:hint="default" w:ascii="Times New Roman" w:hAnsi="Times New Roman" w:cs="Times New Roman"/>
                <w:color w:val="auto"/>
                <w:kern w:val="0"/>
                <w:sz w:val="24"/>
                <w:lang w:val="en-US" w:eastAsia="zh-CN"/>
              </w:rPr>
              <w:t>五台县</w:t>
            </w:r>
            <w:r>
              <w:rPr>
                <w:rFonts w:hint="eastAsia" w:cs="Times New Roman"/>
                <w:color w:val="auto"/>
                <w:kern w:val="0"/>
                <w:sz w:val="24"/>
                <w:lang w:val="en-US" w:eastAsia="zh-CN"/>
              </w:rPr>
              <w:t>县城水源地位于县城西北西庄村一带，故称西庄水源地，有4眼供水井，分布范围约0.25km</w:t>
            </w:r>
            <w:r>
              <w:rPr>
                <w:rFonts w:hint="eastAsia" w:cs="Times New Roman"/>
                <w:color w:val="auto"/>
                <w:kern w:val="0"/>
                <w:sz w:val="24"/>
                <w:vertAlign w:val="superscript"/>
                <w:lang w:val="en-US" w:eastAsia="zh-CN"/>
              </w:rPr>
              <w:t>2</w:t>
            </w:r>
            <w:r>
              <w:rPr>
                <w:rFonts w:hint="eastAsia" w:cs="Times New Roman"/>
                <w:color w:val="auto"/>
                <w:kern w:val="0"/>
                <w:sz w:val="24"/>
                <w:lang w:val="en-US" w:eastAsia="zh-CN"/>
              </w:rPr>
              <w:t>，地势比较平坦，高程1050-1060.5米，西部与文昌山相对220米，北部为唐家湾水库。2009年12月8日山西省人民政府下发的《关于同意县级以上城镇集中式饮用水水源保护区划分方案的批复》（晋政函[2009]149号）文件，对水源地保护区划分结果进行了批复：</w:t>
            </w:r>
            <w:r>
              <w:rPr>
                <w:rFonts w:hint="default" w:ascii="Times New Roman" w:hAnsi="Times New Roman" w:cs="Times New Roman"/>
                <w:color w:val="auto"/>
                <w:kern w:val="0"/>
                <w:sz w:val="24"/>
                <w:lang w:val="en-US" w:eastAsia="zh-CN"/>
              </w:rPr>
              <w:t>五台县</w:t>
            </w:r>
            <w:r>
              <w:rPr>
                <w:rFonts w:hint="eastAsia" w:cs="Times New Roman"/>
                <w:color w:val="auto"/>
                <w:kern w:val="0"/>
                <w:sz w:val="24"/>
                <w:lang w:val="en-US" w:eastAsia="zh-CN"/>
              </w:rPr>
              <w:t>县城西庄水源地一级保护区范围：以Y1、Y2、Y3、Y4水源井半径为250m的圆外接多边形的边界形成的多边形区域；不设二级保护区和准保护区。</w:t>
            </w:r>
          </w:p>
          <w:p>
            <w:pPr>
              <w:spacing w:line="480" w:lineRule="exact"/>
              <w:ind w:firstLine="482"/>
              <w:rPr>
                <w:rFonts w:hint="default" w:cs="Times New Roman"/>
                <w:b/>
                <w:bCs w:val="0"/>
                <w:sz w:val="24"/>
                <w:szCs w:val="24"/>
                <w:lang w:val="en-US" w:eastAsia="zh-CN"/>
              </w:rPr>
            </w:pPr>
            <w:r>
              <w:rPr>
                <w:rFonts w:hint="eastAsia" w:cs="Times New Roman"/>
                <w:b/>
                <w:bCs w:val="0"/>
                <w:sz w:val="24"/>
                <w:szCs w:val="24"/>
                <w:lang w:val="en-US" w:eastAsia="zh-CN"/>
              </w:rPr>
              <w:t>（2）平面布置</w:t>
            </w:r>
          </w:p>
          <w:p>
            <w:pPr>
              <w:spacing w:line="480" w:lineRule="exact"/>
              <w:ind w:firstLine="482"/>
              <w:rPr>
                <w:rFonts w:hint="eastAsia" w:cs="Times New Roman"/>
                <w:b w:val="0"/>
                <w:bCs/>
                <w:sz w:val="24"/>
                <w:szCs w:val="24"/>
                <w:lang w:val="en-US" w:eastAsia="zh-CN"/>
              </w:rPr>
            </w:pPr>
            <w:r>
              <w:rPr>
                <w:rFonts w:hint="eastAsia" w:cs="Times New Roman"/>
                <w:b w:val="0"/>
                <w:bCs/>
                <w:sz w:val="24"/>
                <w:szCs w:val="24"/>
                <w:lang w:val="en-US" w:eastAsia="zh-CN"/>
              </w:rPr>
              <w:t>据现状需求及相关规划，本工程实施后道路全线均敷设给水管线。</w:t>
            </w:r>
          </w:p>
          <w:p>
            <w:pPr>
              <w:spacing w:line="480" w:lineRule="exact"/>
              <w:ind w:firstLine="482"/>
              <w:rPr>
                <w:rFonts w:hint="eastAsia" w:cs="Times New Roman"/>
                <w:b w:val="0"/>
                <w:bCs/>
                <w:sz w:val="24"/>
                <w:szCs w:val="24"/>
                <w:lang w:val="en-US" w:eastAsia="zh-CN"/>
              </w:rPr>
            </w:pPr>
            <w:r>
              <w:rPr>
                <w:rFonts w:hint="eastAsia" w:cs="Times New Roman"/>
                <w:b w:val="0"/>
                <w:bCs/>
                <w:sz w:val="24"/>
                <w:szCs w:val="24"/>
                <w:lang w:val="en-US" w:eastAsia="zh-CN"/>
              </w:rPr>
              <w:t>在东外环路中心线以东22.0米处，规划一趟DN300mm的生活给水管线；在湖滨大道西延中心线以北24.0米处，规划一趟DN300mm的生活给水管线；在文昌路中心线以东10.0米处，规划一趟DN300mm的生活给水管线。</w:t>
            </w:r>
          </w:p>
          <w:p>
            <w:pPr>
              <w:spacing w:line="480" w:lineRule="exact"/>
              <w:ind w:firstLine="482"/>
              <w:rPr>
                <w:rFonts w:hint="eastAsia" w:cs="Times New Roman"/>
                <w:b w:val="0"/>
                <w:bCs/>
                <w:sz w:val="24"/>
                <w:szCs w:val="24"/>
                <w:lang w:val="en-US" w:eastAsia="zh-CN"/>
              </w:rPr>
            </w:pPr>
            <w:r>
              <w:rPr>
                <w:rFonts w:hint="eastAsia" w:cs="Times New Roman"/>
                <w:b w:val="0"/>
                <w:bCs/>
                <w:sz w:val="24"/>
                <w:szCs w:val="24"/>
                <w:lang w:val="en-US" w:eastAsia="zh-CN"/>
              </w:rPr>
              <w:t>在规划地块附近设支管及闸门井，以便以后各地块给水水支管衔接；在沿线每隔一段距离布置闸门井，同时兼有管道检修排空功能；在管道高点设排气阀及排气井；在管道低点设排泥井。在市政给水环状管网上设室外地下式消火栓，火灾时供城市消防车吸水，向着火点加压供水灭火。</w:t>
            </w:r>
          </w:p>
          <w:p>
            <w:pPr>
              <w:spacing w:line="480" w:lineRule="exact"/>
              <w:ind w:firstLine="482"/>
              <w:rPr>
                <w:rFonts w:hint="default" w:cs="Times New Roman"/>
                <w:b/>
                <w:bCs w:val="0"/>
                <w:sz w:val="24"/>
                <w:szCs w:val="24"/>
                <w:lang w:val="en-US" w:eastAsia="zh-CN"/>
              </w:rPr>
            </w:pPr>
            <w:r>
              <w:rPr>
                <w:rFonts w:hint="eastAsia" w:cs="Times New Roman"/>
                <w:b/>
                <w:bCs w:val="0"/>
                <w:sz w:val="24"/>
                <w:szCs w:val="24"/>
                <w:lang w:val="en-US" w:eastAsia="zh-CN"/>
              </w:rPr>
              <w:t>（2）给水工程结构</w:t>
            </w:r>
          </w:p>
          <w:p>
            <w:pPr>
              <w:spacing w:line="480" w:lineRule="exact"/>
              <w:ind w:firstLine="482"/>
              <w:rPr>
                <w:rFonts w:hint="default" w:cs="Times New Roman"/>
                <w:b w:val="0"/>
                <w:bCs/>
                <w:sz w:val="24"/>
                <w:szCs w:val="24"/>
                <w:lang w:val="en-US" w:eastAsia="zh-CN"/>
              </w:rPr>
            </w:pPr>
            <w:r>
              <w:rPr>
                <w:rFonts w:hint="eastAsia" w:cs="Times New Roman"/>
                <w:b w:val="0"/>
                <w:bCs/>
                <w:sz w:val="24"/>
                <w:szCs w:val="24"/>
                <w:lang w:val="en-US" w:eastAsia="zh-CN"/>
              </w:rPr>
              <w:t>①管材及接口：管道采用给水用埋地PE钢丝网骨架复合给水管，公称压力1.6MPa，管道采用电熔或热熔连接，管道与阀门连接采用法兰连接。</w:t>
            </w:r>
          </w:p>
          <w:p>
            <w:pPr>
              <w:spacing w:line="480" w:lineRule="exact"/>
              <w:ind w:firstLine="482"/>
              <w:rPr>
                <w:rFonts w:hint="default" w:cs="Times New Roman"/>
                <w:b w:val="0"/>
                <w:bCs/>
                <w:sz w:val="24"/>
                <w:szCs w:val="24"/>
                <w:lang w:val="en-US" w:eastAsia="zh-CN"/>
              </w:rPr>
            </w:pPr>
            <w:r>
              <w:rPr>
                <w:rFonts w:hint="eastAsia" w:cs="Times New Roman"/>
                <w:b w:val="0"/>
                <w:bCs/>
                <w:sz w:val="24"/>
                <w:szCs w:val="24"/>
                <w:lang w:val="en-US" w:eastAsia="zh-CN"/>
              </w:rPr>
              <w:t>②管道基础：湖滨大街西延及文昌路给水管管基采用15cm厚中粗砂，基底换填30cm厚3:7灰土。东外环路给水管管基采用15cm厚中粗砂。</w:t>
            </w:r>
          </w:p>
          <w:p>
            <w:pPr>
              <w:spacing w:line="480" w:lineRule="exact"/>
              <w:ind w:firstLine="482"/>
              <w:rPr>
                <w:rFonts w:hint="default" w:cs="Times New Roman"/>
                <w:b w:val="0"/>
                <w:bCs/>
                <w:sz w:val="24"/>
                <w:szCs w:val="24"/>
                <w:lang w:val="en-US" w:eastAsia="zh-CN"/>
              </w:rPr>
            </w:pPr>
            <w:r>
              <w:rPr>
                <w:rFonts w:hint="eastAsia" w:cs="Times New Roman"/>
                <w:b w:val="0"/>
                <w:bCs/>
                <w:sz w:val="24"/>
                <w:szCs w:val="24"/>
                <w:lang w:val="en-US" w:eastAsia="zh-CN"/>
              </w:rPr>
              <w:t>③沟槽回填：管道胸腔两侧及管顶以上50cm范围内回填中、粗砂，其余部分采用素土回填至路面结构层以下。回填时压实度要求严格按《给水排水管道工程施工及验收规范》（GB50268-2008）执行。</w:t>
            </w:r>
          </w:p>
          <w:p>
            <w:pPr>
              <w:spacing w:line="480" w:lineRule="exact"/>
              <w:ind w:firstLine="482"/>
              <w:rPr>
                <w:rFonts w:hint="eastAsia" w:cs="Times New Roman"/>
                <w:b w:val="0"/>
                <w:bCs/>
                <w:sz w:val="24"/>
                <w:szCs w:val="24"/>
                <w:lang w:val="en-US" w:eastAsia="zh-CN"/>
              </w:rPr>
            </w:pPr>
            <w:r>
              <w:rPr>
                <w:rFonts w:hint="eastAsia" w:cs="Times New Roman"/>
                <w:b w:val="0"/>
                <w:bCs/>
                <w:sz w:val="24"/>
                <w:szCs w:val="24"/>
                <w:lang w:val="en-US" w:eastAsia="zh-CN"/>
              </w:rPr>
              <w:t>④管网附件及附属构筑物：本工程管网附件主要包括室外消火栓、排气阀、排泥井及必要的阀门井。湖滨大街西延及文昌路室外消火栓采用地下式消火栓干线安装，井径D=1500。消火栓井底铺30cm厚3:7灰土。所有井下加铺30cm厚3:7灰土。东外环路室外消火栓采用地下式消火栓干线安装，井径D=1500。井盖、座采用防盗重型球墨铸铁井盖、座。路面范围内的检查井，从检查井底至路面结构层底采用砂砾回填，路面结构层范围采用C15混凝土，回填宽度井周围80cm。</w:t>
            </w:r>
          </w:p>
          <w:p>
            <w:pPr>
              <w:spacing w:line="480" w:lineRule="exact"/>
              <w:ind w:firstLine="482"/>
              <w:rPr>
                <w:rFonts w:hint="default" w:cs="Times New Roman"/>
                <w:b w:val="0"/>
                <w:bCs/>
                <w:sz w:val="24"/>
                <w:szCs w:val="24"/>
                <w:lang w:val="en-US" w:eastAsia="zh-CN"/>
              </w:rPr>
            </w:pPr>
            <w:r>
              <w:rPr>
                <w:rFonts w:hint="eastAsia" w:cs="Times New Roman"/>
                <w:b w:val="0"/>
                <w:bCs/>
                <w:sz w:val="24"/>
                <w:szCs w:val="24"/>
                <w:lang w:val="en-US" w:eastAsia="zh-CN"/>
              </w:rPr>
              <w:t>本项目给水工程主要设备材料见下表。</w:t>
            </w:r>
          </w:p>
          <w:p>
            <w:pPr>
              <w:pStyle w:val="27"/>
              <w:keepNext w:val="0"/>
              <w:keepLines w:val="0"/>
              <w:pageBreakBefore w:val="0"/>
              <w:widowControl w:val="0"/>
              <w:kinsoku/>
              <w:wordWrap/>
              <w:overflowPunct/>
              <w:topLinePunct w:val="0"/>
              <w:autoSpaceDE/>
              <w:autoSpaceDN/>
              <w:bidi w:val="0"/>
              <w:adjustRightInd/>
              <w:snapToGrid/>
              <w:spacing w:before="0" w:after="0" w:afterAutospacing="0" w:line="480" w:lineRule="atLeast"/>
              <w:textAlignment w:val="auto"/>
              <w:rPr>
                <w:rFonts w:hint="default" w:ascii="黑体" w:hAnsi="黑体" w:eastAsia="黑体"/>
                <w:sz w:val="24"/>
                <w:szCs w:val="24"/>
                <w:lang w:val="en-US" w:eastAsia="zh-CN"/>
              </w:rPr>
            </w:pPr>
            <w:r>
              <w:rPr>
                <w:rFonts w:hint="eastAsia" w:ascii="黑体" w:hAnsi="黑体" w:eastAsia="黑体"/>
                <w:sz w:val="24"/>
                <w:szCs w:val="24"/>
                <w:lang w:val="en-US" w:eastAsia="zh-CN"/>
              </w:rPr>
              <w:t>表2-3  给水工程主要设备材料一览表</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2"/>
              <w:gridCol w:w="634"/>
              <w:gridCol w:w="442"/>
              <w:gridCol w:w="2711"/>
              <w:gridCol w:w="1560"/>
              <w:gridCol w:w="620"/>
              <w:gridCol w:w="640"/>
              <w:gridCol w:w="13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系统</w:t>
                  </w:r>
                </w:p>
              </w:tc>
              <w:tc>
                <w:tcPr>
                  <w:tcW w:w="63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路名</w:t>
                  </w:r>
                </w:p>
              </w:tc>
              <w:tc>
                <w:tcPr>
                  <w:tcW w:w="44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序号</w:t>
                  </w:r>
                </w:p>
              </w:tc>
              <w:tc>
                <w:tcPr>
                  <w:tcW w:w="271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名称</w:t>
                  </w:r>
                </w:p>
              </w:tc>
              <w:tc>
                <w:tcPr>
                  <w:tcW w:w="156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规格(mm)</w:t>
                  </w:r>
                </w:p>
              </w:tc>
              <w:tc>
                <w:tcPr>
                  <w:tcW w:w="6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单位</w:t>
                  </w:r>
                </w:p>
              </w:tc>
              <w:tc>
                <w:tcPr>
                  <w:tcW w:w="64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数量</w:t>
                  </w:r>
                </w:p>
              </w:tc>
              <w:tc>
                <w:tcPr>
                  <w:tcW w:w="137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给</w:t>
                  </w:r>
                </w:p>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水</w:t>
                  </w:r>
                </w:p>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管</w:t>
                  </w:r>
                </w:p>
              </w:tc>
              <w:tc>
                <w:tcPr>
                  <w:tcW w:w="634"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东外环路</w:t>
                  </w:r>
                </w:p>
              </w:tc>
              <w:tc>
                <w:tcPr>
                  <w:tcW w:w="44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271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PE钢丝网骨架复合给水管</w:t>
                  </w:r>
                </w:p>
              </w:tc>
              <w:tc>
                <w:tcPr>
                  <w:tcW w:w="156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dn315</w:t>
                  </w:r>
                </w:p>
              </w:tc>
              <w:tc>
                <w:tcPr>
                  <w:tcW w:w="6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米</w:t>
                  </w:r>
                </w:p>
              </w:tc>
              <w:tc>
                <w:tcPr>
                  <w:tcW w:w="64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lang w:val="en-US"/>
                    </w:rPr>
                  </w:pPr>
                  <w:r>
                    <w:rPr>
                      <w:rFonts w:hint="default" w:ascii="Times New Roman" w:hAnsi="Times New Roman" w:eastAsia="宋体" w:cs="Times New Roman"/>
                      <w:i w:val="0"/>
                      <w:iCs w:val="0"/>
                      <w:color w:val="000000"/>
                      <w:kern w:val="0"/>
                      <w:sz w:val="21"/>
                      <w:szCs w:val="21"/>
                      <w:u w:val="none"/>
                      <w:lang w:val="en-US" w:eastAsia="zh-CN" w:bidi="ar"/>
                    </w:rPr>
                    <w:t>953</w:t>
                  </w:r>
                </w:p>
              </w:tc>
              <w:tc>
                <w:tcPr>
                  <w:tcW w:w="137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复合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34"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44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271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PE钢丝网骨架复合给水管</w:t>
                  </w:r>
                </w:p>
              </w:tc>
              <w:tc>
                <w:tcPr>
                  <w:tcW w:w="156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lang w:val="en-US"/>
                    </w:rPr>
                  </w:pPr>
                  <w:r>
                    <w:rPr>
                      <w:rFonts w:hint="default" w:ascii="Times New Roman" w:hAnsi="Times New Roman" w:eastAsia="宋体" w:cs="Times New Roman"/>
                      <w:i w:val="0"/>
                      <w:iCs w:val="0"/>
                      <w:color w:val="000000"/>
                      <w:kern w:val="0"/>
                      <w:sz w:val="21"/>
                      <w:szCs w:val="21"/>
                      <w:u w:val="none"/>
                      <w:lang w:val="en-US" w:eastAsia="zh-CN" w:bidi="ar"/>
                    </w:rPr>
                    <w:t>dn200</w:t>
                  </w:r>
                </w:p>
              </w:tc>
              <w:tc>
                <w:tcPr>
                  <w:tcW w:w="6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米</w:t>
                  </w:r>
                </w:p>
              </w:tc>
              <w:tc>
                <w:tcPr>
                  <w:tcW w:w="64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lang w:val="en-US"/>
                    </w:rPr>
                  </w:pPr>
                  <w:r>
                    <w:rPr>
                      <w:rFonts w:hint="default" w:ascii="Times New Roman" w:hAnsi="Times New Roman" w:eastAsia="宋体" w:cs="Times New Roman"/>
                      <w:i w:val="0"/>
                      <w:iCs w:val="0"/>
                      <w:color w:val="000000"/>
                      <w:kern w:val="0"/>
                      <w:sz w:val="21"/>
                      <w:szCs w:val="21"/>
                      <w:u w:val="none"/>
                      <w:lang w:val="en-US" w:eastAsia="zh-CN" w:bidi="ar"/>
                    </w:rPr>
                    <w:t>40</w:t>
                  </w:r>
                </w:p>
              </w:tc>
              <w:tc>
                <w:tcPr>
                  <w:tcW w:w="137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lang w:val="en-US" w:eastAsia="zh-CN"/>
                    </w:rPr>
                    <w:t>复合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34"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44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271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消火栓</w:t>
                  </w:r>
                </w:p>
              </w:tc>
              <w:tc>
                <w:tcPr>
                  <w:tcW w:w="156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SA100/65-1.0</w:t>
                  </w:r>
                </w:p>
              </w:tc>
              <w:tc>
                <w:tcPr>
                  <w:tcW w:w="6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个</w:t>
                  </w:r>
                </w:p>
              </w:tc>
              <w:tc>
                <w:tcPr>
                  <w:tcW w:w="64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1379"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kern w:val="2"/>
                      <w:sz w:val="21"/>
                      <w:szCs w:val="21"/>
                      <w:u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34"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44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w:t>
                  </w:r>
                </w:p>
              </w:tc>
              <w:tc>
                <w:tcPr>
                  <w:tcW w:w="271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消火栓井</w:t>
                  </w:r>
                </w:p>
              </w:tc>
              <w:tc>
                <w:tcPr>
                  <w:tcW w:w="156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φ1500</w:t>
                  </w:r>
                </w:p>
              </w:tc>
              <w:tc>
                <w:tcPr>
                  <w:tcW w:w="6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座</w:t>
                  </w:r>
                </w:p>
              </w:tc>
              <w:tc>
                <w:tcPr>
                  <w:tcW w:w="64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137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钢筋混凝土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34"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44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271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阀门井</w:t>
                  </w:r>
                </w:p>
              </w:tc>
              <w:tc>
                <w:tcPr>
                  <w:tcW w:w="156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1300x1300</w:t>
                  </w:r>
                </w:p>
              </w:tc>
              <w:tc>
                <w:tcPr>
                  <w:tcW w:w="6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座</w:t>
                  </w:r>
                </w:p>
              </w:tc>
              <w:tc>
                <w:tcPr>
                  <w:tcW w:w="64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6</w:t>
                  </w:r>
                </w:p>
              </w:tc>
              <w:tc>
                <w:tcPr>
                  <w:tcW w:w="137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钢筋混凝土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34"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44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w:t>
                  </w:r>
                </w:p>
              </w:tc>
              <w:tc>
                <w:tcPr>
                  <w:tcW w:w="271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排泥井</w:t>
                  </w:r>
                </w:p>
              </w:tc>
              <w:tc>
                <w:tcPr>
                  <w:tcW w:w="156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lang w:val="en-US"/>
                    </w:rPr>
                  </w:pPr>
                </w:p>
              </w:tc>
              <w:tc>
                <w:tcPr>
                  <w:tcW w:w="6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座</w:t>
                  </w:r>
                </w:p>
              </w:tc>
              <w:tc>
                <w:tcPr>
                  <w:tcW w:w="64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lang w:val="en-US"/>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37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钢筋混凝土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34"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44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w:t>
                  </w:r>
                </w:p>
              </w:tc>
              <w:tc>
                <w:tcPr>
                  <w:tcW w:w="271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排气井</w:t>
                  </w:r>
                </w:p>
              </w:tc>
              <w:tc>
                <w:tcPr>
                  <w:tcW w:w="156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rPr>
                  </w:pPr>
                </w:p>
              </w:tc>
              <w:tc>
                <w:tcPr>
                  <w:tcW w:w="6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座</w:t>
                  </w:r>
                </w:p>
              </w:tc>
              <w:tc>
                <w:tcPr>
                  <w:tcW w:w="64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137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钢筋混凝土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34"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湖滨大街西延</w:t>
                  </w:r>
                </w:p>
              </w:tc>
              <w:tc>
                <w:tcPr>
                  <w:tcW w:w="44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271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PE钢丝网骨架复合给水管</w:t>
                  </w:r>
                </w:p>
              </w:tc>
              <w:tc>
                <w:tcPr>
                  <w:tcW w:w="156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dn315</w:t>
                  </w:r>
                </w:p>
              </w:tc>
              <w:tc>
                <w:tcPr>
                  <w:tcW w:w="6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米</w:t>
                  </w:r>
                </w:p>
              </w:tc>
              <w:tc>
                <w:tcPr>
                  <w:tcW w:w="64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724</w:t>
                  </w:r>
                </w:p>
              </w:tc>
              <w:tc>
                <w:tcPr>
                  <w:tcW w:w="137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sz w:val="21"/>
                      <w:szCs w:val="21"/>
                      <w:u w:val="none"/>
                      <w:lang w:val="en-US" w:eastAsia="zh-CN"/>
                    </w:rPr>
                    <w:t>复合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34"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44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271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PE钢丝网骨架复合给水管</w:t>
                  </w:r>
                </w:p>
              </w:tc>
              <w:tc>
                <w:tcPr>
                  <w:tcW w:w="156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dn200</w:t>
                  </w:r>
                </w:p>
              </w:tc>
              <w:tc>
                <w:tcPr>
                  <w:tcW w:w="6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米</w:t>
                  </w:r>
                </w:p>
              </w:tc>
              <w:tc>
                <w:tcPr>
                  <w:tcW w:w="64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20</w:t>
                  </w:r>
                </w:p>
              </w:tc>
              <w:tc>
                <w:tcPr>
                  <w:tcW w:w="137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sz w:val="21"/>
                      <w:szCs w:val="21"/>
                      <w:u w:val="none"/>
                      <w:lang w:val="en-US" w:eastAsia="zh-CN"/>
                    </w:rPr>
                    <w:t>复合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34"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44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271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消火栓</w:t>
                  </w:r>
                </w:p>
              </w:tc>
              <w:tc>
                <w:tcPr>
                  <w:tcW w:w="156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SA100/65-1.0</w:t>
                  </w:r>
                </w:p>
              </w:tc>
              <w:tc>
                <w:tcPr>
                  <w:tcW w:w="6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个</w:t>
                  </w:r>
                </w:p>
              </w:tc>
              <w:tc>
                <w:tcPr>
                  <w:tcW w:w="64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7</w:t>
                  </w:r>
                </w:p>
              </w:tc>
              <w:tc>
                <w:tcPr>
                  <w:tcW w:w="1379"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kern w:val="2"/>
                      <w:sz w:val="21"/>
                      <w:szCs w:val="21"/>
                      <w:u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34"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44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4</w:t>
                  </w:r>
                </w:p>
              </w:tc>
              <w:tc>
                <w:tcPr>
                  <w:tcW w:w="271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消火栓井</w:t>
                  </w:r>
                </w:p>
              </w:tc>
              <w:tc>
                <w:tcPr>
                  <w:tcW w:w="156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φ1500</w:t>
                  </w:r>
                </w:p>
              </w:tc>
              <w:tc>
                <w:tcPr>
                  <w:tcW w:w="6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座</w:t>
                  </w:r>
                </w:p>
              </w:tc>
              <w:tc>
                <w:tcPr>
                  <w:tcW w:w="64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7</w:t>
                  </w:r>
                </w:p>
              </w:tc>
              <w:tc>
                <w:tcPr>
                  <w:tcW w:w="137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钢筋混凝土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34"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44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271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阀门井</w:t>
                  </w:r>
                </w:p>
              </w:tc>
              <w:tc>
                <w:tcPr>
                  <w:tcW w:w="156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1800x1800</w:t>
                  </w:r>
                </w:p>
              </w:tc>
              <w:tc>
                <w:tcPr>
                  <w:tcW w:w="6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座</w:t>
                  </w:r>
                </w:p>
              </w:tc>
              <w:tc>
                <w:tcPr>
                  <w:tcW w:w="64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4</w:t>
                  </w:r>
                </w:p>
              </w:tc>
              <w:tc>
                <w:tcPr>
                  <w:tcW w:w="137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钢筋混凝土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34"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44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6</w:t>
                  </w:r>
                </w:p>
              </w:tc>
              <w:tc>
                <w:tcPr>
                  <w:tcW w:w="271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sz w:val="21"/>
                      <w:szCs w:val="21"/>
                      <w:u w:val="none"/>
                      <w:lang w:val="en-US" w:eastAsia="zh-CN"/>
                    </w:rPr>
                    <w:t>排泥井</w:t>
                  </w:r>
                </w:p>
              </w:tc>
              <w:tc>
                <w:tcPr>
                  <w:tcW w:w="156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p>
              </w:tc>
              <w:tc>
                <w:tcPr>
                  <w:tcW w:w="6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座</w:t>
                  </w:r>
                </w:p>
              </w:tc>
              <w:tc>
                <w:tcPr>
                  <w:tcW w:w="64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137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钢筋混凝土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34"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44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7</w:t>
                  </w:r>
                </w:p>
              </w:tc>
              <w:tc>
                <w:tcPr>
                  <w:tcW w:w="271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排气井</w:t>
                  </w:r>
                </w:p>
              </w:tc>
              <w:tc>
                <w:tcPr>
                  <w:tcW w:w="156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p>
              </w:tc>
              <w:tc>
                <w:tcPr>
                  <w:tcW w:w="6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座</w:t>
                  </w:r>
                </w:p>
              </w:tc>
              <w:tc>
                <w:tcPr>
                  <w:tcW w:w="64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37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钢筋混凝土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34"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文昌路</w:t>
                  </w:r>
                </w:p>
              </w:tc>
              <w:tc>
                <w:tcPr>
                  <w:tcW w:w="44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271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PE钢丝网骨架复合给水管</w:t>
                  </w:r>
                </w:p>
              </w:tc>
              <w:tc>
                <w:tcPr>
                  <w:tcW w:w="156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dn315</w:t>
                  </w:r>
                </w:p>
              </w:tc>
              <w:tc>
                <w:tcPr>
                  <w:tcW w:w="6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米</w:t>
                  </w:r>
                </w:p>
              </w:tc>
              <w:tc>
                <w:tcPr>
                  <w:tcW w:w="64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1198</w:t>
                  </w:r>
                </w:p>
              </w:tc>
              <w:tc>
                <w:tcPr>
                  <w:tcW w:w="137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sz w:val="21"/>
                      <w:szCs w:val="21"/>
                      <w:u w:val="none"/>
                      <w:lang w:val="en-US" w:eastAsia="zh-CN"/>
                    </w:rPr>
                    <w:t>复合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dxa"/>
                  <w:vMerge w:val="continue"/>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34" w:type="dxa"/>
                  <w:vMerge w:val="continue"/>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442"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2711"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消火栓</w:t>
                  </w:r>
                </w:p>
              </w:tc>
              <w:tc>
                <w:tcPr>
                  <w:tcW w:w="1560"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SA100/65-1.0</w:t>
                  </w:r>
                </w:p>
              </w:tc>
              <w:tc>
                <w:tcPr>
                  <w:tcW w:w="620"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个</w:t>
                  </w:r>
                </w:p>
              </w:tc>
              <w:tc>
                <w:tcPr>
                  <w:tcW w:w="640"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12</w:t>
                  </w:r>
                </w:p>
              </w:tc>
              <w:tc>
                <w:tcPr>
                  <w:tcW w:w="1379" w:type="dxa"/>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kern w:val="2"/>
                      <w:sz w:val="21"/>
                      <w:szCs w:val="21"/>
                      <w:u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dxa"/>
                  <w:vMerge w:val="continue"/>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34" w:type="dxa"/>
                  <w:vMerge w:val="continue"/>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442"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2711"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消火栓井</w:t>
                  </w:r>
                </w:p>
              </w:tc>
              <w:tc>
                <w:tcPr>
                  <w:tcW w:w="1560"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φ1500</w:t>
                  </w:r>
                </w:p>
              </w:tc>
              <w:tc>
                <w:tcPr>
                  <w:tcW w:w="620"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座</w:t>
                  </w:r>
                </w:p>
              </w:tc>
              <w:tc>
                <w:tcPr>
                  <w:tcW w:w="640"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12</w:t>
                  </w:r>
                </w:p>
              </w:tc>
              <w:tc>
                <w:tcPr>
                  <w:tcW w:w="1379"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钢筋混凝土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dxa"/>
                  <w:vMerge w:val="continue"/>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34" w:type="dxa"/>
                  <w:vMerge w:val="continue"/>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442"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4</w:t>
                  </w:r>
                </w:p>
              </w:tc>
              <w:tc>
                <w:tcPr>
                  <w:tcW w:w="2711"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阀门井</w:t>
                  </w:r>
                </w:p>
              </w:tc>
              <w:tc>
                <w:tcPr>
                  <w:tcW w:w="1560"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1300x1300</w:t>
                  </w:r>
                </w:p>
              </w:tc>
              <w:tc>
                <w:tcPr>
                  <w:tcW w:w="620"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座</w:t>
                  </w:r>
                </w:p>
              </w:tc>
              <w:tc>
                <w:tcPr>
                  <w:tcW w:w="640"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1379"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钢筋混凝土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dxa"/>
                  <w:vMerge w:val="continue"/>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34" w:type="dxa"/>
                  <w:vMerge w:val="continue"/>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442"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2711"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sz w:val="21"/>
                      <w:szCs w:val="21"/>
                      <w:u w:val="none"/>
                      <w:lang w:val="en-US" w:eastAsia="zh-CN"/>
                    </w:rPr>
                    <w:t>排泥井</w:t>
                  </w:r>
                </w:p>
              </w:tc>
              <w:tc>
                <w:tcPr>
                  <w:tcW w:w="1560"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p>
              </w:tc>
              <w:tc>
                <w:tcPr>
                  <w:tcW w:w="620"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座</w:t>
                  </w:r>
                </w:p>
              </w:tc>
              <w:tc>
                <w:tcPr>
                  <w:tcW w:w="640"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379"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钢筋混凝土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dxa"/>
                  <w:vMerge w:val="continue"/>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34" w:type="dxa"/>
                  <w:vMerge w:val="continue"/>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442"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6</w:t>
                  </w:r>
                </w:p>
              </w:tc>
              <w:tc>
                <w:tcPr>
                  <w:tcW w:w="2711"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排气井</w:t>
                  </w:r>
                </w:p>
              </w:tc>
              <w:tc>
                <w:tcPr>
                  <w:tcW w:w="1560"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p>
              </w:tc>
              <w:tc>
                <w:tcPr>
                  <w:tcW w:w="620"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座</w:t>
                  </w:r>
                </w:p>
              </w:tc>
              <w:tc>
                <w:tcPr>
                  <w:tcW w:w="640"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379"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钢筋混凝土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dxa"/>
                  <w:vMerge w:val="continue"/>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34" w:type="dxa"/>
                  <w:vMerge w:val="continue"/>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442"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7</w:t>
                  </w:r>
                </w:p>
              </w:tc>
              <w:tc>
                <w:tcPr>
                  <w:tcW w:w="2711"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2"/>
                      <w:sz w:val="21"/>
                      <w:szCs w:val="21"/>
                      <w:u w:val="none"/>
                      <w:lang w:val="en-US" w:eastAsia="zh-CN" w:bidi="ar-SA"/>
                    </w:rPr>
                    <w:t>球墨铸铁管</w:t>
                  </w:r>
                </w:p>
              </w:tc>
              <w:tc>
                <w:tcPr>
                  <w:tcW w:w="1560"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2"/>
                      <w:sz w:val="21"/>
                      <w:szCs w:val="21"/>
                      <w:u w:val="none"/>
                      <w:lang w:val="en-US" w:eastAsia="zh-CN" w:bidi="ar-SA"/>
                    </w:rPr>
                    <w:t>DN1200</w:t>
                  </w:r>
                </w:p>
              </w:tc>
              <w:tc>
                <w:tcPr>
                  <w:tcW w:w="620"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2"/>
                      <w:sz w:val="21"/>
                      <w:szCs w:val="21"/>
                      <w:u w:val="none"/>
                      <w:lang w:val="en-US" w:eastAsia="zh-CN" w:bidi="ar-SA"/>
                    </w:rPr>
                    <w:t>米</w:t>
                  </w:r>
                </w:p>
              </w:tc>
              <w:tc>
                <w:tcPr>
                  <w:tcW w:w="640"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2"/>
                      <w:sz w:val="21"/>
                      <w:szCs w:val="21"/>
                      <w:u w:val="none"/>
                      <w:lang w:val="en-US" w:eastAsia="zh-CN" w:bidi="ar-SA"/>
                    </w:rPr>
                    <w:t>135</w:t>
                  </w:r>
                </w:p>
              </w:tc>
              <w:tc>
                <w:tcPr>
                  <w:tcW w:w="1379"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p>
              </w:tc>
            </w:tr>
          </w:tbl>
          <w:p>
            <w:pPr>
              <w:spacing w:line="480" w:lineRule="exact"/>
              <w:ind w:firstLine="482"/>
              <w:rPr>
                <w:rFonts w:hint="default"/>
                <w:b/>
                <w:sz w:val="24"/>
                <w:szCs w:val="24"/>
                <w:lang w:val="en-US" w:eastAsia="zh-CN"/>
              </w:rPr>
            </w:pPr>
            <w:r>
              <w:rPr>
                <w:rFonts w:hint="eastAsia"/>
                <w:b/>
                <w:sz w:val="24"/>
                <w:szCs w:val="24"/>
                <w:lang w:val="en-US" w:eastAsia="zh-CN"/>
              </w:rPr>
              <w:t>2.4再生水工程</w:t>
            </w:r>
          </w:p>
          <w:p>
            <w:pPr>
              <w:spacing w:line="480" w:lineRule="exact"/>
              <w:ind w:firstLine="480"/>
              <w:rPr>
                <w:rFonts w:hint="default" w:ascii="Times New Roman" w:hAnsi="Times New Roman" w:eastAsia="宋体" w:cs="Times New Roman"/>
                <w:b/>
                <w:bCs w:val="0"/>
                <w:sz w:val="24"/>
                <w:szCs w:val="24"/>
                <w:lang w:val="en-US" w:eastAsia="zh-CN"/>
              </w:rPr>
            </w:pPr>
            <w:r>
              <w:rPr>
                <w:rFonts w:hint="default" w:ascii="Times New Roman" w:hAnsi="Times New Roman" w:cs="Times New Roman"/>
                <w:b/>
                <w:bCs w:val="0"/>
                <w:sz w:val="24"/>
                <w:szCs w:val="24"/>
                <w:lang w:val="en-US" w:eastAsia="zh-CN"/>
              </w:rPr>
              <w:t>2.</w:t>
            </w:r>
            <w:r>
              <w:rPr>
                <w:rFonts w:hint="eastAsia" w:cs="Times New Roman"/>
                <w:b/>
                <w:bCs w:val="0"/>
                <w:sz w:val="24"/>
                <w:szCs w:val="24"/>
                <w:lang w:val="en-US" w:eastAsia="zh-CN"/>
              </w:rPr>
              <w:t>4</w:t>
            </w:r>
            <w:r>
              <w:rPr>
                <w:rFonts w:hint="default" w:ascii="Times New Roman" w:hAnsi="Times New Roman" w:cs="Times New Roman"/>
                <w:b/>
                <w:bCs w:val="0"/>
                <w:sz w:val="24"/>
                <w:szCs w:val="24"/>
                <w:lang w:val="en-US" w:eastAsia="zh-CN"/>
              </w:rPr>
              <w:t>.</w:t>
            </w:r>
            <w:r>
              <w:rPr>
                <w:rFonts w:hint="eastAsia" w:cs="Times New Roman"/>
                <w:b/>
                <w:bCs w:val="0"/>
                <w:sz w:val="24"/>
                <w:szCs w:val="24"/>
                <w:lang w:val="en-US" w:eastAsia="zh-CN"/>
              </w:rPr>
              <w:t>1再生水水源</w:t>
            </w:r>
          </w:p>
          <w:p>
            <w:pPr>
              <w:spacing w:line="480" w:lineRule="exact"/>
              <w:ind w:firstLine="482"/>
              <w:rPr>
                <w:rFonts w:hint="eastAsia" w:cs="Times New Roman"/>
                <w:b w:val="0"/>
                <w:bCs/>
                <w:sz w:val="24"/>
                <w:szCs w:val="24"/>
                <w:lang w:val="en-US" w:eastAsia="zh-CN"/>
              </w:rPr>
            </w:pPr>
            <w:r>
              <w:rPr>
                <w:rFonts w:hint="eastAsia" w:cs="Times New Roman"/>
                <w:b w:val="0"/>
                <w:bCs/>
                <w:sz w:val="24"/>
                <w:szCs w:val="24"/>
                <w:lang w:val="en-US" w:eastAsia="zh-CN"/>
              </w:rPr>
              <w:t>五台县污水处理厂扩容提标改造工程2019年5月由五台县人民政府第302次常务会议决定，总投资7212.96万元，占地面积35亩。提标扩容改造新增日处理规模1万吨，总日处理规模达到2.5万吨。出水水质化学需氧量、氨氮、总磷达到地表水V类标准，其它水质指标执行一级A标准。同时污水厂区内建设有再生水管道，通过车辆输送再生水用户点进行使用。主要用于景观及市政杂用水，多余部分排入滤泗河</w:t>
            </w:r>
          </w:p>
          <w:p>
            <w:pPr>
              <w:spacing w:line="480" w:lineRule="exact"/>
              <w:ind w:firstLine="480"/>
              <w:rPr>
                <w:rFonts w:hint="default" w:ascii="Times New Roman" w:hAnsi="Times New Roman" w:eastAsia="宋体" w:cs="Times New Roman"/>
                <w:b/>
                <w:bCs w:val="0"/>
                <w:sz w:val="24"/>
                <w:szCs w:val="24"/>
                <w:lang w:val="en-US" w:eastAsia="zh-CN"/>
              </w:rPr>
            </w:pPr>
            <w:r>
              <w:rPr>
                <w:rFonts w:hint="default" w:ascii="Times New Roman" w:hAnsi="Times New Roman" w:cs="Times New Roman"/>
                <w:b/>
                <w:bCs w:val="0"/>
                <w:sz w:val="24"/>
                <w:szCs w:val="24"/>
                <w:lang w:val="en-US" w:eastAsia="zh-CN"/>
              </w:rPr>
              <w:t>2.</w:t>
            </w:r>
            <w:r>
              <w:rPr>
                <w:rFonts w:hint="eastAsia" w:cs="Times New Roman"/>
                <w:b/>
                <w:bCs w:val="0"/>
                <w:sz w:val="24"/>
                <w:szCs w:val="24"/>
                <w:lang w:val="en-US" w:eastAsia="zh-CN"/>
              </w:rPr>
              <w:t>4</w:t>
            </w:r>
            <w:r>
              <w:rPr>
                <w:rFonts w:hint="default" w:ascii="Times New Roman" w:hAnsi="Times New Roman" w:cs="Times New Roman"/>
                <w:b/>
                <w:bCs w:val="0"/>
                <w:sz w:val="24"/>
                <w:szCs w:val="24"/>
                <w:lang w:val="en-US" w:eastAsia="zh-CN"/>
              </w:rPr>
              <w:t>.</w:t>
            </w:r>
            <w:r>
              <w:rPr>
                <w:rFonts w:hint="eastAsia" w:cs="Times New Roman"/>
                <w:b/>
                <w:bCs w:val="0"/>
                <w:sz w:val="24"/>
                <w:szCs w:val="24"/>
                <w:lang w:val="en-US" w:eastAsia="zh-CN"/>
              </w:rPr>
              <w:t>2再生水管线设计方案</w:t>
            </w:r>
          </w:p>
          <w:p>
            <w:pPr>
              <w:spacing w:line="480" w:lineRule="exact"/>
              <w:ind w:firstLine="482"/>
              <w:rPr>
                <w:rFonts w:hint="default" w:cs="Times New Roman"/>
                <w:b/>
                <w:bCs w:val="0"/>
                <w:sz w:val="24"/>
                <w:szCs w:val="24"/>
                <w:lang w:val="en-US" w:eastAsia="zh-CN"/>
              </w:rPr>
            </w:pPr>
            <w:r>
              <w:rPr>
                <w:rFonts w:hint="eastAsia" w:cs="Times New Roman"/>
                <w:b/>
                <w:bCs w:val="0"/>
                <w:sz w:val="24"/>
                <w:szCs w:val="24"/>
                <w:lang w:val="en-US" w:eastAsia="zh-CN"/>
              </w:rPr>
              <w:t>（1）平面布置</w:t>
            </w:r>
          </w:p>
          <w:p>
            <w:pPr>
              <w:spacing w:line="480" w:lineRule="exact"/>
              <w:ind w:firstLine="482"/>
              <w:rPr>
                <w:rFonts w:hint="eastAsia" w:cs="Times New Roman"/>
                <w:b w:val="0"/>
                <w:bCs/>
                <w:sz w:val="24"/>
                <w:szCs w:val="24"/>
                <w:lang w:val="en-US" w:eastAsia="zh-CN"/>
              </w:rPr>
            </w:pPr>
            <w:r>
              <w:rPr>
                <w:rFonts w:hint="eastAsia" w:cs="Times New Roman"/>
                <w:b w:val="0"/>
                <w:bCs/>
                <w:sz w:val="24"/>
                <w:szCs w:val="24"/>
                <w:lang w:val="en-US" w:eastAsia="zh-CN"/>
              </w:rPr>
              <w:t>据现状需求及相关规划，本工程实施后道路全线均敷设再生水管线。</w:t>
            </w:r>
          </w:p>
          <w:p>
            <w:pPr>
              <w:spacing w:line="480" w:lineRule="exact"/>
              <w:ind w:firstLine="482"/>
              <w:rPr>
                <w:rFonts w:hint="eastAsia" w:cs="Times New Roman"/>
                <w:b w:val="0"/>
                <w:bCs/>
                <w:sz w:val="24"/>
                <w:szCs w:val="24"/>
                <w:lang w:val="en-US" w:eastAsia="zh-CN"/>
              </w:rPr>
            </w:pPr>
            <w:r>
              <w:rPr>
                <w:rFonts w:hint="eastAsia" w:cs="Times New Roman"/>
                <w:b w:val="0"/>
                <w:bCs/>
                <w:sz w:val="24"/>
                <w:szCs w:val="24"/>
                <w:lang w:val="en-US" w:eastAsia="zh-CN"/>
              </w:rPr>
              <w:t>东外环路拟建再生水给水管道敷设于五黄路至污水厂路段，管径为dn400，管长为1000m，设计管线布置在道路西侧，距离道路中心线为18.0m，取水栓布置间距约为200m；湖滨大街西延拟建再生水管道敷设于路南，管线总长约为770m，管径为dn200。设计管线距离道路中心线为24.0m，服务范围为路南绿化及河道补水，取水栓布置间距约为100m。文昌路拟建再生水管道敷设于路西，管线总长约为1230m，管径为dn160，设计管线距离机动车道道路中心线为10.5m，服务范围为路西绿化及河道补水，取水栓布置间距约为200m。</w:t>
            </w:r>
          </w:p>
          <w:p>
            <w:pPr>
              <w:spacing w:line="480" w:lineRule="exact"/>
              <w:ind w:firstLine="482"/>
              <w:rPr>
                <w:rFonts w:hint="default" w:cs="Times New Roman"/>
                <w:b/>
                <w:bCs w:val="0"/>
                <w:sz w:val="24"/>
                <w:szCs w:val="24"/>
                <w:lang w:val="en-US" w:eastAsia="zh-CN"/>
              </w:rPr>
            </w:pPr>
            <w:r>
              <w:rPr>
                <w:rFonts w:hint="eastAsia" w:cs="Times New Roman"/>
                <w:b/>
                <w:bCs w:val="0"/>
                <w:sz w:val="24"/>
                <w:szCs w:val="24"/>
                <w:lang w:val="en-US" w:eastAsia="zh-CN"/>
              </w:rPr>
              <w:t>（2）再生水管线工程结构</w:t>
            </w:r>
          </w:p>
          <w:p>
            <w:pPr>
              <w:spacing w:line="480" w:lineRule="exact"/>
              <w:ind w:firstLine="482"/>
              <w:rPr>
                <w:rFonts w:hint="eastAsia" w:cs="Times New Roman"/>
                <w:b w:val="0"/>
                <w:bCs/>
                <w:sz w:val="24"/>
                <w:szCs w:val="24"/>
                <w:lang w:val="en-US" w:eastAsia="zh-CN"/>
              </w:rPr>
            </w:pPr>
            <w:r>
              <w:rPr>
                <w:rFonts w:hint="eastAsia" w:cs="Times New Roman"/>
                <w:b w:val="0"/>
                <w:bCs/>
                <w:sz w:val="24"/>
                <w:szCs w:val="24"/>
                <w:lang w:val="en-US" w:eastAsia="zh-CN"/>
              </w:rPr>
              <w:t>①管材及接口：再生水管道采用给水用埋地聚乙烯（PE100）管材，公称压力1.6MPa，管道采用电熔或热熔连接，管道与阀门连接采用法兰连接。</w:t>
            </w:r>
          </w:p>
          <w:p>
            <w:pPr>
              <w:spacing w:line="480" w:lineRule="exact"/>
              <w:ind w:firstLine="482"/>
              <w:rPr>
                <w:rFonts w:hint="eastAsia" w:cs="Times New Roman"/>
                <w:b w:val="0"/>
                <w:bCs/>
                <w:sz w:val="24"/>
                <w:szCs w:val="24"/>
                <w:lang w:val="en-US" w:eastAsia="zh-CN"/>
              </w:rPr>
            </w:pPr>
            <w:r>
              <w:rPr>
                <w:rFonts w:hint="eastAsia" w:cs="Times New Roman"/>
                <w:b w:val="0"/>
                <w:bCs/>
                <w:sz w:val="24"/>
                <w:szCs w:val="24"/>
                <w:lang w:val="en-US" w:eastAsia="zh-CN"/>
              </w:rPr>
              <w:t>②管道基础：湖滨大街西延及文昌路再生水管管基采用15cm厚中粗砂，基底换填30cm厚3:7灰土。东外环路再生水管管基采用15cm厚中粗砂。</w:t>
            </w:r>
          </w:p>
          <w:p>
            <w:pPr>
              <w:spacing w:line="480" w:lineRule="exact"/>
              <w:ind w:firstLine="482"/>
              <w:rPr>
                <w:rFonts w:hint="eastAsia" w:cs="Times New Roman"/>
                <w:b w:val="0"/>
                <w:bCs/>
                <w:sz w:val="24"/>
                <w:szCs w:val="24"/>
                <w:lang w:val="en-US" w:eastAsia="zh-CN"/>
              </w:rPr>
            </w:pPr>
            <w:r>
              <w:rPr>
                <w:rFonts w:hint="eastAsia" w:cs="Times New Roman"/>
                <w:b w:val="0"/>
                <w:bCs/>
                <w:sz w:val="24"/>
                <w:szCs w:val="24"/>
                <w:lang w:val="en-US" w:eastAsia="zh-CN"/>
              </w:rPr>
              <w:t>③沟槽回填：管道胸腔两侧及管顶以上50cm范围内回填中、粗砂，其余部分采用素土回填至路面结构层以下。回填时压实度要求严格按《给水排水管道工程施工及验收规范》（GB50268-2008）执行。</w:t>
            </w:r>
          </w:p>
          <w:p>
            <w:pPr>
              <w:spacing w:line="480" w:lineRule="exact"/>
              <w:ind w:firstLine="482"/>
              <w:rPr>
                <w:rFonts w:hint="eastAsia" w:cs="Times New Roman"/>
                <w:b w:val="0"/>
                <w:bCs/>
                <w:sz w:val="24"/>
                <w:szCs w:val="24"/>
                <w:lang w:val="en-US" w:eastAsia="zh-CN"/>
              </w:rPr>
            </w:pPr>
            <w:r>
              <w:rPr>
                <w:rFonts w:hint="eastAsia" w:cs="Times New Roman"/>
                <w:b w:val="0"/>
                <w:bCs/>
                <w:sz w:val="24"/>
                <w:szCs w:val="24"/>
                <w:lang w:val="en-US" w:eastAsia="zh-CN"/>
              </w:rPr>
              <w:t>④管网附件及附属构筑物：本工程管网附件主要包括室外消火栓、排气阀、排泥井及必要的阀门井。井盖、座采用防盗重型球墨铸铁井盖、座。路面范围内的检查井，从检查井底至路面结构层底采用砂砾回填，路面结构层范围采用C15混凝土，回填宽度井周围80cm。</w:t>
            </w:r>
          </w:p>
          <w:p>
            <w:pPr>
              <w:spacing w:line="480" w:lineRule="exact"/>
              <w:ind w:firstLine="482"/>
              <w:rPr>
                <w:rFonts w:hint="default" w:cs="Times New Roman"/>
                <w:b w:val="0"/>
                <w:bCs/>
                <w:sz w:val="24"/>
                <w:szCs w:val="24"/>
                <w:lang w:val="en-US" w:eastAsia="zh-CN"/>
              </w:rPr>
            </w:pPr>
            <w:r>
              <w:rPr>
                <w:rFonts w:hint="eastAsia" w:cs="Times New Roman"/>
                <w:b w:val="0"/>
                <w:bCs/>
                <w:sz w:val="24"/>
                <w:szCs w:val="24"/>
                <w:lang w:val="en-US" w:eastAsia="zh-CN"/>
              </w:rPr>
              <w:t>本项目再生水管线工程主要设备材料见下表。</w:t>
            </w:r>
          </w:p>
          <w:p>
            <w:pPr>
              <w:pStyle w:val="27"/>
              <w:keepNext w:val="0"/>
              <w:keepLines w:val="0"/>
              <w:pageBreakBefore w:val="0"/>
              <w:widowControl w:val="0"/>
              <w:kinsoku/>
              <w:wordWrap/>
              <w:overflowPunct/>
              <w:topLinePunct w:val="0"/>
              <w:autoSpaceDE/>
              <w:autoSpaceDN/>
              <w:bidi w:val="0"/>
              <w:adjustRightInd/>
              <w:snapToGrid/>
              <w:spacing w:before="0" w:after="0" w:afterAutospacing="0" w:line="480" w:lineRule="atLeast"/>
              <w:textAlignment w:val="auto"/>
              <w:rPr>
                <w:rFonts w:hint="default" w:ascii="黑体" w:hAnsi="黑体" w:eastAsia="黑体"/>
                <w:sz w:val="24"/>
                <w:szCs w:val="24"/>
                <w:lang w:val="en-US" w:eastAsia="zh-CN"/>
              </w:rPr>
            </w:pPr>
            <w:r>
              <w:rPr>
                <w:rFonts w:hint="eastAsia" w:ascii="黑体" w:hAnsi="黑体" w:eastAsia="黑体"/>
                <w:sz w:val="24"/>
                <w:szCs w:val="24"/>
                <w:lang w:val="en-US" w:eastAsia="zh-CN"/>
              </w:rPr>
              <w:t>表2-4  再生水管线工程主要设备材料一览表</w:t>
            </w: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9"/>
              <w:gridCol w:w="736"/>
              <w:gridCol w:w="679"/>
              <w:gridCol w:w="1820"/>
              <w:gridCol w:w="1592"/>
              <w:gridCol w:w="679"/>
              <w:gridCol w:w="680"/>
              <w:gridCol w:w="13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2" w:type="pct"/>
                  <w:tcBorders>
                    <w:tl2br w:val="nil"/>
                    <w:tr2bl w:val="nil"/>
                  </w:tcBorders>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系统</w:t>
                  </w:r>
                </w:p>
              </w:tc>
              <w:tc>
                <w:tcPr>
                  <w:tcW w:w="442" w:type="pct"/>
                  <w:tcBorders>
                    <w:tl2br w:val="nil"/>
                    <w:tr2bl w:val="nil"/>
                  </w:tcBorders>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路名</w:t>
                  </w:r>
                </w:p>
              </w:tc>
              <w:tc>
                <w:tcPr>
                  <w:tcW w:w="408" w:type="pct"/>
                  <w:tcBorders>
                    <w:tl2br w:val="nil"/>
                    <w:tr2bl w:val="nil"/>
                  </w:tcBorders>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序号</w:t>
                  </w:r>
                </w:p>
              </w:tc>
              <w:tc>
                <w:tcPr>
                  <w:tcW w:w="1093"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名称</w:t>
                  </w:r>
                </w:p>
              </w:tc>
              <w:tc>
                <w:tcPr>
                  <w:tcW w:w="95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规格(mm)</w:t>
                  </w:r>
                </w:p>
              </w:tc>
              <w:tc>
                <w:tcPr>
                  <w:tcW w:w="408" w:type="pct"/>
                  <w:tcBorders>
                    <w:tl2br w:val="nil"/>
                    <w:tr2bl w:val="nil"/>
                  </w:tcBorders>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单位</w:t>
                  </w:r>
                </w:p>
              </w:tc>
              <w:tc>
                <w:tcPr>
                  <w:tcW w:w="408" w:type="pct"/>
                  <w:tcBorders>
                    <w:tl2br w:val="nil"/>
                    <w:tr2bl w:val="nil"/>
                  </w:tcBorders>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数量</w:t>
                  </w:r>
                </w:p>
              </w:tc>
              <w:tc>
                <w:tcPr>
                  <w:tcW w:w="819"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2" w:type="pct"/>
                  <w:vMerge w:val="restart"/>
                  <w:tcBorders>
                    <w:tl2br w:val="nil"/>
                    <w:tr2bl w:val="nil"/>
                  </w:tcBorders>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再</w:t>
                  </w:r>
                </w:p>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生</w:t>
                  </w:r>
                </w:p>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水</w:t>
                  </w:r>
                </w:p>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管</w:t>
                  </w:r>
                </w:p>
              </w:tc>
              <w:tc>
                <w:tcPr>
                  <w:tcW w:w="442" w:type="pct"/>
                  <w:vMerge w:val="restart"/>
                  <w:tcBorders>
                    <w:tl2br w:val="nil"/>
                    <w:tr2bl w:val="nil"/>
                  </w:tcBorders>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东外环路</w:t>
                  </w:r>
                </w:p>
              </w:tc>
              <w:tc>
                <w:tcPr>
                  <w:tcW w:w="408" w:type="pct"/>
                  <w:tcBorders>
                    <w:tl2br w:val="nil"/>
                    <w:tr2bl w:val="nil"/>
                  </w:tcBorders>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093" w:type="pct"/>
                  <w:tcBorders>
                    <w:tl2br w:val="nil"/>
                    <w:tr2bl w:val="nil"/>
                  </w:tcBorders>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聚乙烯PE100管</w:t>
                  </w:r>
                </w:p>
              </w:tc>
              <w:tc>
                <w:tcPr>
                  <w:tcW w:w="95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lang w:val="en-US"/>
                    </w:rPr>
                  </w:pPr>
                  <w:r>
                    <w:rPr>
                      <w:rFonts w:hint="default" w:ascii="Times New Roman" w:hAnsi="Times New Roman" w:eastAsia="宋体" w:cs="Times New Roman"/>
                      <w:i w:val="0"/>
                      <w:iCs w:val="0"/>
                      <w:color w:val="000000"/>
                      <w:kern w:val="0"/>
                      <w:sz w:val="21"/>
                      <w:szCs w:val="21"/>
                      <w:u w:val="none"/>
                      <w:lang w:val="en-US" w:eastAsia="zh-CN" w:bidi="ar"/>
                    </w:rPr>
                    <w:t>Dn400</w:t>
                  </w:r>
                </w:p>
              </w:tc>
              <w:tc>
                <w:tcPr>
                  <w:tcW w:w="40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米</w:t>
                  </w:r>
                </w:p>
              </w:tc>
              <w:tc>
                <w:tcPr>
                  <w:tcW w:w="40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lang w:val="en-US"/>
                    </w:rPr>
                  </w:pPr>
                  <w:r>
                    <w:rPr>
                      <w:rFonts w:hint="default" w:ascii="Times New Roman" w:hAnsi="Times New Roman" w:eastAsia="宋体" w:cs="Times New Roman"/>
                      <w:i w:val="0"/>
                      <w:iCs w:val="0"/>
                      <w:color w:val="000000"/>
                      <w:kern w:val="0"/>
                      <w:sz w:val="21"/>
                      <w:szCs w:val="21"/>
                      <w:u w:val="none"/>
                      <w:lang w:val="en-US" w:eastAsia="zh-CN" w:bidi="ar"/>
                    </w:rPr>
                    <w:t>980</w:t>
                  </w:r>
                </w:p>
              </w:tc>
              <w:tc>
                <w:tcPr>
                  <w:tcW w:w="819"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塑料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2" w:type="pct"/>
                  <w:vMerge w:val="continue"/>
                  <w:tcBorders>
                    <w:tl2br w:val="nil"/>
                    <w:tr2bl w:val="nil"/>
                  </w:tcBorders>
                  <w:noWrap w:val="0"/>
                  <w:vAlign w:val="center"/>
                </w:tcPr>
                <w:p>
                  <w:pPr>
                    <w:jc w:val="center"/>
                    <w:rPr>
                      <w:rFonts w:hint="default" w:ascii="Times New Roman" w:hAnsi="Times New Roman" w:eastAsia="宋体" w:cs="Times New Roman"/>
                      <w:i w:val="0"/>
                      <w:iCs w:val="0"/>
                      <w:color w:val="000000"/>
                      <w:sz w:val="21"/>
                      <w:szCs w:val="21"/>
                      <w:u w:val="none"/>
                    </w:rPr>
                  </w:pPr>
                </w:p>
              </w:tc>
              <w:tc>
                <w:tcPr>
                  <w:tcW w:w="442" w:type="pct"/>
                  <w:vMerge w:val="continue"/>
                  <w:tcBorders>
                    <w:tl2br w:val="nil"/>
                    <w:tr2bl w:val="nil"/>
                  </w:tcBorders>
                  <w:noWrap w:val="0"/>
                  <w:vAlign w:val="center"/>
                </w:tcPr>
                <w:p>
                  <w:pPr>
                    <w:jc w:val="center"/>
                    <w:rPr>
                      <w:rFonts w:hint="default" w:ascii="Times New Roman" w:hAnsi="Times New Roman" w:eastAsia="宋体" w:cs="Times New Roman"/>
                      <w:i w:val="0"/>
                      <w:iCs w:val="0"/>
                      <w:color w:val="000000"/>
                      <w:sz w:val="21"/>
                      <w:szCs w:val="21"/>
                      <w:u w:val="none"/>
                    </w:rPr>
                  </w:pPr>
                </w:p>
              </w:tc>
              <w:tc>
                <w:tcPr>
                  <w:tcW w:w="408" w:type="pct"/>
                  <w:tcBorders>
                    <w:tl2br w:val="nil"/>
                    <w:tr2bl w:val="nil"/>
                  </w:tcBorders>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1093"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阀门井</w:t>
                  </w:r>
                </w:p>
              </w:tc>
              <w:tc>
                <w:tcPr>
                  <w:tcW w:w="95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1400x1800</w:t>
                  </w:r>
                </w:p>
              </w:tc>
              <w:tc>
                <w:tcPr>
                  <w:tcW w:w="40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座</w:t>
                  </w:r>
                </w:p>
              </w:tc>
              <w:tc>
                <w:tcPr>
                  <w:tcW w:w="40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6</w:t>
                  </w:r>
                </w:p>
              </w:tc>
              <w:tc>
                <w:tcPr>
                  <w:tcW w:w="819"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钢筋混凝土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2" w:type="pct"/>
                  <w:vMerge w:val="continue"/>
                  <w:tcBorders>
                    <w:tl2br w:val="nil"/>
                    <w:tr2bl w:val="nil"/>
                  </w:tcBorders>
                  <w:noWrap w:val="0"/>
                  <w:vAlign w:val="center"/>
                </w:tcPr>
                <w:p>
                  <w:pPr>
                    <w:jc w:val="center"/>
                    <w:rPr>
                      <w:rFonts w:hint="default" w:ascii="Times New Roman" w:hAnsi="Times New Roman" w:eastAsia="宋体" w:cs="Times New Roman"/>
                      <w:i w:val="0"/>
                      <w:iCs w:val="0"/>
                      <w:color w:val="000000"/>
                      <w:sz w:val="21"/>
                      <w:szCs w:val="21"/>
                      <w:u w:val="none"/>
                    </w:rPr>
                  </w:pPr>
                </w:p>
              </w:tc>
              <w:tc>
                <w:tcPr>
                  <w:tcW w:w="442" w:type="pct"/>
                  <w:vMerge w:val="continue"/>
                  <w:tcBorders>
                    <w:tl2br w:val="nil"/>
                    <w:tr2bl w:val="nil"/>
                  </w:tcBorders>
                  <w:noWrap w:val="0"/>
                  <w:vAlign w:val="center"/>
                </w:tcPr>
                <w:p>
                  <w:pPr>
                    <w:jc w:val="center"/>
                    <w:rPr>
                      <w:rFonts w:hint="default" w:ascii="Times New Roman" w:hAnsi="Times New Roman" w:eastAsia="宋体" w:cs="Times New Roman"/>
                      <w:i w:val="0"/>
                      <w:iCs w:val="0"/>
                      <w:color w:val="000000"/>
                      <w:sz w:val="21"/>
                      <w:szCs w:val="21"/>
                      <w:u w:val="none"/>
                    </w:rPr>
                  </w:pPr>
                </w:p>
              </w:tc>
              <w:tc>
                <w:tcPr>
                  <w:tcW w:w="408" w:type="pct"/>
                  <w:tcBorders>
                    <w:tl2br w:val="nil"/>
                    <w:tr2bl w:val="nil"/>
                  </w:tcBorders>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3</w:t>
                  </w:r>
                </w:p>
              </w:tc>
              <w:tc>
                <w:tcPr>
                  <w:tcW w:w="1093"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排泥井</w:t>
                  </w:r>
                </w:p>
              </w:tc>
              <w:tc>
                <w:tcPr>
                  <w:tcW w:w="95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lang w:val="en-US"/>
                    </w:rPr>
                  </w:pPr>
                </w:p>
              </w:tc>
              <w:tc>
                <w:tcPr>
                  <w:tcW w:w="40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座</w:t>
                  </w:r>
                </w:p>
              </w:tc>
              <w:tc>
                <w:tcPr>
                  <w:tcW w:w="40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lang w:val="en-US"/>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819"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钢筋混凝土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2" w:type="pct"/>
                  <w:vMerge w:val="continue"/>
                  <w:tcBorders>
                    <w:tl2br w:val="nil"/>
                    <w:tr2bl w:val="nil"/>
                  </w:tcBorders>
                  <w:noWrap w:val="0"/>
                  <w:vAlign w:val="center"/>
                </w:tcPr>
                <w:p>
                  <w:pPr>
                    <w:jc w:val="center"/>
                    <w:rPr>
                      <w:rFonts w:hint="default" w:ascii="Times New Roman" w:hAnsi="Times New Roman" w:eastAsia="宋体" w:cs="Times New Roman"/>
                      <w:i w:val="0"/>
                      <w:iCs w:val="0"/>
                      <w:color w:val="000000"/>
                      <w:sz w:val="21"/>
                      <w:szCs w:val="21"/>
                      <w:u w:val="none"/>
                    </w:rPr>
                  </w:pPr>
                </w:p>
              </w:tc>
              <w:tc>
                <w:tcPr>
                  <w:tcW w:w="442" w:type="pct"/>
                  <w:vMerge w:val="continue"/>
                  <w:tcBorders>
                    <w:tl2br w:val="nil"/>
                    <w:tr2bl w:val="nil"/>
                  </w:tcBorders>
                  <w:noWrap w:val="0"/>
                  <w:vAlign w:val="center"/>
                </w:tcPr>
                <w:p>
                  <w:pPr>
                    <w:jc w:val="center"/>
                    <w:rPr>
                      <w:rFonts w:hint="default" w:ascii="Times New Roman" w:hAnsi="Times New Roman" w:eastAsia="宋体" w:cs="Times New Roman"/>
                      <w:i w:val="0"/>
                      <w:iCs w:val="0"/>
                      <w:color w:val="000000"/>
                      <w:sz w:val="21"/>
                      <w:szCs w:val="21"/>
                      <w:u w:val="none"/>
                    </w:rPr>
                  </w:pPr>
                </w:p>
              </w:tc>
              <w:tc>
                <w:tcPr>
                  <w:tcW w:w="408" w:type="pct"/>
                  <w:tcBorders>
                    <w:tl2br w:val="nil"/>
                    <w:tr2bl w:val="nil"/>
                  </w:tcBorders>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4</w:t>
                  </w:r>
                </w:p>
              </w:tc>
              <w:tc>
                <w:tcPr>
                  <w:tcW w:w="1093"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排气井</w:t>
                  </w:r>
                </w:p>
              </w:tc>
              <w:tc>
                <w:tcPr>
                  <w:tcW w:w="95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p>
              </w:tc>
              <w:tc>
                <w:tcPr>
                  <w:tcW w:w="40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座</w:t>
                  </w:r>
                </w:p>
              </w:tc>
              <w:tc>
                <w:tcPr>
                  <w:tcW w:w="40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819"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钢筋混凝土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2" w:type="pct"/>
                  <w:vMerge w:val="continue"/>
                  <w:tcBorders>
                    <w:tl2br w:val="nil"/>
                    <w:tr2bl w:val="nil"/>
                  </w:tcBorders>
                  <w:noWrap w:val="0"/>
                  <w:vAlign w:val="center"/>
                </w:tcPr>
                <w:p>
                  <w:pPr>
                    <w:jc w:val="center"/>
                    <w:rPr>
                      <w:rFonts w:hint="default" w:ascii="Times New Roman" w:hAnsi="Times New Roman" w:eastAsia="宋体" w:cs="Times New Roman"/>
                      <w:i w:val="0"/>
                      <w:iCs w:val="0"/>
                      <w:color w:val="000000"/>
                      <w:sz w:val="21"/>
                      <w:szCs w:val="21"/>
                      <w:u w:val="none"/>
                    </w:rPr>
                  </w:pPr>
                </w:p>
              </w:tc>
              <w:tc>
                <w:tcPr>
                  <w:tcW w:w="442" w:type="pct"/>
                  <w:vMerge w:val="restart"/>
                  <w:tcBorders>
                    <w:tl2br w:val="nil"/>
                    <w:tr2bl w:val="nil"/>
                  </w:tcBorders>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湖滨大街西延</w:t>
                  </w:r>
                </w:p>
              </w:tc>
              <w:tc>
                <w:tcPr>
                  <w:tcW w:w="408" w:type="pct"/>
                  <w:tcBorders>
                    <w:tl2br w:val="nil"/>
                    <w:tr2bl w:val="nil"/>
                  </w:tcBorders>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093" w:type="pct"/>
                  <w:tcBorders>
                    <w:tl2br w:val="nil"/>
                    <w:tr2bl w:val="nil"/>
                  </w:tcBorders>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聚乙烯PE100管</w:t>
                  </w:r>
                </w:p>
              </w:tc>
              <w:tc>
                <w:tcPr>
                  <w:tcW w:w="95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dn200</w:t>
                  </w:r>
                </w:p>
              </w:tc>
              <w:tc>
                <w:tcPr>
                  <w:tcW w:w="40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米</w:t>
                  </w:r>
                </w:p>
              </w:tc>
              <w:tc>
                <w:tcPr>
                  <w:tcW w:w="40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770</w:t>
                  </w:r>
                </w:p>
              </w:tc>
              <w:tc>
                <w:tcPr>
                  <w:tcW w:w="819"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塑料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2" w:type="pct"/>
                  <w:vMerge w:val="continue"/>
                  <w:tcBorders>
                    <w:tl2br w:val="nil"/>
                    <w:tr2bl w:val="nil"/>
                  </w:tcBorders>
                  <w:noWrap w:val="0"/>
                  <w:vAlign w:val="center"/>
                </w:tcPr>
                <w:p>
                  <w:pPr>
                    <w:jc w:val="center"/>
                    <w:rPr>
                      <w:rFonts w:hint="default" w:ascii="Times New Roman" w:hAnsi="Times New Roman" w:eastAsia="宋体" w:cs="Times New Roman"/>
                      <w:i w:val="0"/>
                      <w:iCs w:val="0"/>
                      <w:color w:val="000000"/>
                      <w:sz w:val="21"/>
                      <w:szCs w:val="21"/>
                      <w:u w:val="none"/>
                    </w:rPr>
                  </w:pPr>
                </w:p>
              </w:tc>
              <w:tc>
                <w:tcPr>
                  <w:tcW w:w="442" w:type="pct"/>
                  <w:vMerge w:val="continue"/>
                  <w:tcBorders>
                    <w:tl2br w:val="nil"/>
                    <w:tr2bl w:val="nil"/>
                  </w:tcBorders>
                  <w:noWrap w:val="0"/>
                  <w:vAlign w:val="center"/>
                </w:tcPr>
                <w:p>
                  <w:pPr>
                    <w:jc w:val="center"/>
                    <w:rPr>
                      <w:rFonts w:hint="default" w:ascii="Times New Roman" w:hAnsi="Times New Roman" w:eastAsia="宋体" w:cs="Times New Roman"/>
                      <w:i w:val="0"/>
                      <w:iCs w:val="0"/>
                      <w:color w:val="000000"/>
                      <w:sz w:val="21"/>
                      <w:szCs w:val="21"/>
                      <w:u w:val="none"/>
                    </w:rPr>
                  </w:pPr>
                </w:p>
              </w:tc>
              <w:tc>
                <w:tcPr>
                  <w:tcW w:w="408" w:type="pct"/>
                  <w:tcBorders>
                    <w:tl2br w:val="nil"/>
                    <w:tr2bl w:val="nil"/>
                  </w:tcBorders>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1093"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阀门井</w:t>
                  </w:r>
                </w:p>
              </w:tc>
              <w:tc>
                <w:tcPr>
                  <w:tcW w:w="95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1800x1800</w:t>
                  </w:r>
                </w:p>
              </w:tc>
              <w:tc>
                <w:tcPr>
                  <w:tcW w:w="40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座</w:t>
                  </w:r>
                </w:p>
              </w:tc>
              <w:tc>
                <w:tcPr>
                  <w:tcW w:w="40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8</w:t>
                  </w:r>
                </w:p>
              </w:tc>
              <w:tc>
                <w:tcPr>
                  <w:tcW w:w="819"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钢筋混凝土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2" w:type="pct"/>
                  <w:vMerge w:val="continue"/>
                  <w:tcBorders>
                    <w:tl2br w:val="nil"/>
                    <w:tr2bl w:val="nil"/>
                  </w:tcBorders>
                  <w:noWrap w:val="0"/>
                  <w:vAlign w:val="center"/>
                </w:tcPr>
                <w:p>
                  <w:pPr>
                    <w:jc w:val="center"/>
                    <w:rPr>
                      <w:rFonts w:hint="default" w:ascii="Times New Roman" w:hAnsi="Times New Roman" w:eastAsia="宋体" w:cs="Times New Roman"/>
                      <w:i w:val="0"/>
                      <w:iCs w:val="0"/>
                      <w:color w:val="000000"/>
                      <w:sz w:val="21"/>
                      <w:szCs w:val="21"/>
                      <w:u w:val="none"/>
                    </w:rPr>
                  </w:pPr>
                </w:p>
              </w:tc>
              <w:tc>
                <w:tcPr>
                  <w:tcW w:w="442" w:type="pct"/>
                  <w:vMerge w:val="continue"/>
                  <w:tcBorders>
                    <w:tl2br w:val="nil"/>
                    <w:tr2bl w:val="nil"/>
                  </w:tcBorders>
                  <w:noWrap w:val="0"/>
                  <w:vAlign w:val="center"/>
                </w:tcPr>
                <w:p>
                  <w:pPr>
                    <w:jc w:val="center"/>
                    <w:rPr>
                      <w:rFonts w:hint="default" w:ascii="Times New Roman" w:hAnsi="Times New Roman" w:eastAsia="宋体" w:cs="Times New Roman"/>
                      <w:i w:val="0"/>
                      <w:iCs w:val="0"/>
                      <w:color w:val="000000"/>
                      <w:sz w:val="21"/>
                      <w:szCs w:val="21"/>
                      <w:u w:val="none"/>
                    </w:rPr>
                  </w:pPr>
                </w:p>
              </w:tc>
              <w:tc>
                <w:tcPr>
                  <w:tcW w:w="408" w:type="pct"/>
                  <w:tcBorders>
                    <w:tl2br w:val="nil"/>
                    <w:tr2bl w:val="nil"/>
                  </w:tcBorders>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1093"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sz w:val="21"/>
                      <w:szCs w:val="21"/>
                      <w:u w:val="none"/>
                      <w:lang w:val="en-US" w:eastAsia="zh-CN"/>
                    </w:rPr>
                    <w:t>排泥井</w:t>
                  </w:r>
                </w:p>
              </w:tc>
              <w:tc>
                <w:tcPr>
                  <w:tcW w:w="95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p>
              </w:tc>
              <w:tc>
                <w:tcPr>
                  <w:tcW w:w="40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座</w:t>
                  </w:r>
                </w:p>
              </w:tc>
              <w:tc>
                <w:tcPr>
                  <w:tcW w:w="40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819"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钢筋混凝土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2" w:type="pct"/>
                  <w:vMerge w:val="continue"/>
                  <w:tcBorders>
                    <w:tl2br w:val="nil"/>
                    <w:tr2bl w:val="nil"/>
                  </w:tcBorders>
                  <w:noWrap w:val="0"/>
                  <w:vAlign w:val="center"/>
                </w:tcPr>
                <w:p>
                  <w:pPr>
                    <w:jc w:val="center"/>
                    <w:rPr>
                      <w:rFonts w:hint="default" w:ascii="Times New Roman" w:hAnsi="Times New Roman" w:eastAsia="宋体" w:cs="Times New Roman"/>
                      <w:i w:val="0"/>
                      <w:iCs w:val="0"/>
                      <w:color w:val="000000"/>
                      <w:sz w:val="21"/>
                      <w:szCs w:val="21"/>
                      <w:u w:val="none"/>
                    </w:rPr>
                  </w:pPr>
                </w:p>
              </w:tc>
              <w:tc>
                <w:tcPr>
                  <w:tcW w:w="442" w:type="pct"/>
                  <w:vMerge w:val="continue"/>
                  <w:tcBorders>
                    <w:tl2br w:val="nil"/>
                    <w:tr2bl w:val="nil"/>
                  </w:tcBorders>
                  <w:noWrap w:val="0"/>
                  <w:vAlign w:val="center"/>
                </w:tcPr>
                <w:p>
                  <w:pPr>
                    <w:jc w:val="center"/>
                    <w:rPr>
                      <w:rFonts w:hint="default" w:ascii="Times New Roman" w:hAnsi="Times New Roman" w:eastAsia="宋体" w:cs="Times New Roman"/>
                      <w:i w:val="0"/>
                      <w:iCs w:val="0"/>
                      <w:color w:val="000000"/>
                      <w:sz w:val="21"/>
                      <w:szCs w:val="21"/>
                      <w:u w:val="none"/>
                    </w:rPr>
                  </w:pPr>
                </w:p>
              </w:tc>
              <w:tc>
                <w:tcPr>
                  <w:tcW w:w="408" w:type="pct"/>
                  <w:tcBorders>
                    <w:tl2br w:val="nil"/>
                    <w:tr2bl w:val="nil"/>
                  </w:tcBorders>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4</w:t>
                  </w:r>
                </w:p>
              </w:tc>
              <w:tc>
                <w:tcPr>
                  <w:tcW w:w="1093"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排气井</w:t>
                  </w:r>
                </w:p>
              </w:tc>
              <w:tc>
                <w:tcPr>
                  <w:tcW w:w="95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p>
              </w:tc>
              <w:tc>
                <w:tcPr>
                  <w:tcW w:w="40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座</w:t>
                  </w:r>
                </w:p>
              </w:tc>
              <w:tc>
                <w:tcPr>
                  <w:tcW w:w="40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819"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钢筋混凝土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2" w:type="pct"/>
                  <w:vMerge w:val="continue"/>
                  <w:tcBorders>
                    <w:tl2br w:val="nil"/>
                    <w:tr2bl w:val="nil"/>
                  </w:tcBorders>
                  <w:noWrap w:val="0"/>
                  <w:vAlign w:val="center"/>
                </w:tcPr>
                <w:p>
                  <w:pPr>
                    <w:jc w:val="center"/>
                    <w:rPr>
                      <w:rFonts w:hint="default" w:ascii="Times New Roman" w:hAnsi="Times New Roman" w:eastAsia="宋体" w:cs="Times New Roman"/>
                      <w:i w:val="0"/>
                      <w:iCs w:val="0"/>
                      <w:color w:val="000000"/>
                      <w:sz w:val="21"/>
                      <w:szCs w:val="21"/>
                      <w:u w:val="none"/>
                    </w:rPr>
                  </w:pPr>
                </w:p>
              </w:tc>
              <w:tc>
                <w:tcPr>
                  <w:tcW w:w="442" w:type="pct"/>
                  <w:vMerge w:val="restart"/>
                  <w:tcBorders>
                    <w:tl2br w:val="nil"/>
                    <w:tr2bl w:val="nil"/>
                  </w:tcBorders>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文昌路</w:t>
                  </w:r>
                </w:p>
              </w:tc>
              <w:tc>
                <w:tcPr>
                  <w:tcW w:w="408" w:type="pct"/>
                  <w:tcBorders>
                    <w:tl2br w:val="nil"/>
                    <w:tr2bl w:val="nil"/>
                  </w:tcBorders>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093" w:type="pct"/>
                  <w:tcBorders>
                    <w:tl2br w:val="nil"/>
                    <w:tr2bl w:val="nil"/>
                  </w:tcBorders>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聚乙烯PE100管</w:t>
                  </w:r>
                </w:p>
              </w:tc>
              <w:tc>
                <w:tcPr>
                  <w:tcW w:w="95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dn160</w:t>
                  </w:r>
                </w:p>
              </w:tc>
              <w:tc>
                <w:tcPr>
                  <w:tcW w:w="40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米</w:t>
                  </w:r>
                </w:p>
              </w:tc>
              <w:tc>
                <w:tcPr>
                  <w:tcW w:w="40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1230</w:t>
                  </w:r>
                </w:p>
              </w:tc>
              <w:tc>
                <w:tcPr>
                  <w:tcW w:w="819"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塑料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2" w:type="pct"/>
                  <w:vMerge w:val="continue"/>
                  <w:noWrap w:val="0"/>
                  <w:vAlign w:val="center"/>
                </w:tcPr>
                <w:p>
                  <w:pPr>
                    <w:jc w:val="center"/>
                    <w:rPr>
                      <w:rFonts w:hint="default" w:ascii="Times New Roman" w:hAnsi="Times New Roman" w:eastAsia="宋体" w:cs="Times New Roman"/>
                      <w:i w:val="0"/>
                      <w:iCs w:val="0"/>
                      <w:color w:val="000000"/>
                      <w:sz w:val="21"/>
                      <w:szCs w:val="21"/>
                      <w:u w:val="none"/>
                    </w:rPr>
                  </w:pPr>
                </w:p>
              </w:tc>
              <w:tc>
                <w:tcPr>
                  <w:tcW w:w="442" w:type="pct"/>
                  <w:vMerge w:val="continue"/>
                  <w:noWrap w:val="0"/>
                  <w:vAlign w:val="center"/>
                </w:tcPr>
                <w:p>
                  <w:pPr>
                    <w:jc w:val="center"/>
                    <w:rPr>
                      <w:rFonts w:hint="default" w:ascii="Times New Roman" w:hAnsi="Times New Roman" w:eastAsia="宋体" w:cs="Times New Roman"/>
                      <w:i w:val="0"/>
                      <w:iCs w:val="0"/>
                      <w:color w:val="000000"/>
                      <w:sz w:val="21"/>
                      <w:szCs w:val="21"/>
                      <w:u w:val="none"/>
                    </w:rPr>
                  </w:pPr>
                </w:p>
              </w:tc>
              <w:tc>
                <w:tcPr>
                  <w:tcW w:w="408" w:type="pct"/>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1093"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阀门井</w:t>
                  </w:r>
                </w:p>
              </w:tc>
              <w:tc>
                <w:tcPr>
                  <w:tcW w:w="956"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1400x1400</w:t>
                  </w:r>
                </w:p>
              </w:tc>
              <w:tc>
                <w:tcPr>
                  <w:tcW w:w="408"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座</w:t>
                  </w:r>
                </w:p>
              </w:tc>
              <w:tc>
                <w:tcPr>
                  <w:tcW w:w="408"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819"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钢筋混凝土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2" w:type="pct"/>
                  <w:vMerge w:val="continue"/>
                  <w:noWrap w:val="0"/>
                  <w:vAlign w:val="center"/>
                </w:tcPr>
                <w:p>
                  <w:pPr>
                    <w:jc w:val="center"/>
                    <w:rPr>
                      <w:rFonts w:hint="default" w:ascii="Times New Roman" w:hAnsi="Times New Roman" w:eastAsia="宋体" w:cs="Times New Roman"/>
                      <w:i w:val="0"/>
                      <w:iCs w:val="0"/>
                      <w:color w:val="000000"/>
                      <w:sz w:val="21"/>
                      <w:szCs w:val="21"/>
                      <w:u w:val="none"/>
                    </w:rPr>
                  </w:pPr>
                </w:p>
              </w:tc>
              <w:tc>
                <w:tcPr>
                  <w:tcW w:w="442" w:type="pct"/>
                  <w:vMerge w:val="continue"/>
                  <w:noWrap w:val="0"/>
                  <w:vAlign w:val="center"/>
                </w:tcPr>
                <w:p>
                  <w:pPr>
                    <w:jc w:val="center"/>
                    <w:rPr>
                      <w:rFonts w:hint="default" w:ascii="Times New Roman" w:hAnsi="Times New Roman" w:eastAsia="宋体" w:cs="Times New Roman"/>
                      <w:i w:val="0"/>
                      <w:iCs w:val="0"/>
                      <w:color w:val="000000"/>
                      <w:sz w:val="21"/>
                      <w:szCs w:val="21"/>
                      <w:u w:val="none"/>
                    </w:rPr>
                  </w:pPr>
                </w:p>
              </w:tc>
              <w:tc>
                <w:tcPr>
                  <w:tcW w:w="408" w:type="pct"/>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1093"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sz w:val="21"/>
                      <w:szCs w:val="21"/>
                      <w:u w:val="none"/>
                      <w:lang w:val="en-US" w:eastAsia="zh-CN"/>
                    </w:rPr>
                    <w:t>排泥井</w:t>
                  </w:r>
                </w:p>
              </w:tc>
              <w:tc>
                <w:tcPr>
                  <w:tcW w:w="956"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p>
              </w:tc>
              <w:tc>
                <w:tcPr>
                  <w:tcW w:w="408"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座</w:t>
                  </w:r>
                </w:p>
              </w:tc>
              <w:tc>
                <w:tcPr>
                  <w:tcW w:w="408"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819"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钢筋混凝土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2" w:type="pct"/>
                  <w:vMerge w:val="continue"/>
                  <w:noWrap w:val="0"/>
                  <w:vAlign w:val="center"/>
                </w:tcPr>
                <w:p>
                  <w:pPr>
                    <w:jc w:val="center"/>
                    <w:rPr>
                      <w:rFonts w:hint="default" w:ascii="Times New Roman" w:hAnsi="Times New Roman" w:eastAsia="宋体" w:cs="Times New Roman"/>
                      <w:i w:val="0"/>
                      <w:iCs w:val="0"/>
                      <w:color w:val="000000"/>
                      <w:sz w:val="21"/>
                      <w:szCs w:val="21"/>
                      <w:u w:val="none"/>
                    </w:rPr>
                  </w:pPr>
                </w:p>
              </w:tc>
              <w:tc>
                <w:tcPr>
                  <w:tcW w:w="442" w:type="pct"/>
                  <w:vMerge w:val="continue"/>
                  <w:noWrap w:val="0"/>
                  <w:vAlign w:val="center"/>
                </w:tcPr>
                <w:p>
                  <w:pPr>
                    <w:jc w:val="center"/>
                    <w:rPr>
                      <w:rFonts w:hint="default" w:ascii="Times New Roman" w:hAnsi="Times New Roman" w:eastAsia="宋体" w:cs="Times New Roman"/>
                      <w:i w:val="0"/>
                      <w:iCs w:val="0"/>
                      <w:color w:val="000000"/>
                      <w:sz w:val="21"/>
                      <w:szCs w:val="21"/>
                      <w:u w:val="none"/>
                    </w:rPr>
                  </w:pPr>
                </w:p>
              </w:tc>
              <w:tc>
                <w:tcPr>
                  <w:tcW w:w="408" w:type="pct"/>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4</w:t>
                  </w:r>
                </w:p>
              </w:tc>
              <w:tc>
                <w:tcPr>
                  <w:tcW w:w="1093"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排气井</w:t>
                  </w:r>
                </w:p>
              </w:tc>
              <w:tc>
                <w:tcPr>
                  <w:tcW w:w="956"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p>
              </w:tc>
              <w:tc>
                <w:tcPr>
                  <w:tcW w:w="408"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座</w:t>
                  </w:r>
                </w:p>
              </w:tc>
              <w:tc>
                <w:tcPr>
                  <w:tcW w:w="408"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819"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钢筋混凝土</w:t>
                  </w:r>
                </w:p>
              </w:tc>
            </w:tr>
          </w:tbl>
          <w:p>
            <w:pPr>
              <w:spacing w:line="480" w:lineRule="exact"/>
              <w:ind w:firstLine="482"/>
              <w:rPr>
                <w:rFonts w:hint="default"/>
                <w:b/>
                <w:sz w:val="24"/>
                <w:szCs w:val="24"/>
                <w:lang w:val="en-US" w:eastAsia="zh-CN"/>
              </w:rPr>
            </w:pPr>
            <w:r>
              <w:rPr>
                <w:rFonts w:hint="eastAsia"/>
                <w:b/>
                <w:sz w:val="24"/>
                <w:szCs w:val="24"/>
                <w:lang w:val="en-US" w:eastAsia="zh-CN"/>
              </w:rPr>
              <w:t>2.5排水工程</w:t>
            </w:r>
          </w:p>
          <w:p>
            <w:pPr>
              <w:spacing w:line="480" w:lineRule="exact"/>
              <w:ind w:firstLine="480"/>
              <w:rPr>
                <w:rFonts w:hint="default" w:ascii="Times New Roman" w:hAnsi="Times New Roman" w:eastAsia="宋体" w:cs="Times New Roman"/>
                <w:b/>
                <w:bCs w:val="0"/>
                <w:sz w:val="24"/>
                <w:szCs w:val="24"/>
                <w:lang w:val="en-US" w:eastAsia="zh-CN"/>
              </w:rPr>
            </w:pPr>
            <w:r>
              <w:rPr>
                <w:rFonts w:hint="default" w:ascii="Times New Roman" w:hAnsi="Times New Roman" w:cs="Times New Roman"/>
                <w:b/>
                <w:bCs w:val="0"/>
                <w:sz w:val="24"/>
                <w:szCs w:val="24"/>
                <w:lang w:val="en-US" w:eastAsia="zh-CN"/>
              </w:rPr>
              <w:t>2.</w:t>
            </w:r>
            <w:r>
              <w:rPr>
                <w:rFonts w:hint="eastAsia" w:cs="Times New Roman"/>
                <w:b/>
                <w:bCs w:val="0"/>
                <w:sz w:val="24"/>
                <w:szCs w:val="24"/>
                <w:lang w:val="en-US" w:eastAsia="zh-CN"/>
              </w:rPr>
              <w:t>5</w:t>
            </w:r>
            <w:r>
              <w:rPr>
                <w:rFonts w:hint="default" w:ascii="Times New Roman" w:hAnsi="Times New Roman" w:cs="Times New Roman"/>
                <w:b/>
                <w:bCs w:val="0"/>
                <w:sz w:val="24"/>
                <w:szCs w:val="24"/>
                <w:lang w:val="en-US" w:eastAsia="zh-CN"/>
              </w:rPr>
              <w:t>.</w:t>
            </w:r>
            <w:r>
              <w:rPr>
                <w:rFonts w:hint="eastAsia" w:cs="Times New Roman"/>
                <w:b/>
                <w:bCs w:val="0"/>
                <w:sz w:val="24"/>
                <w:szCs w:val="24"/>
                <w:lang w:val="en-US" w:eastAsia="zh-CN"/>
              </w:rPr>
              <w:t>1排水现状</w:t>
            </w:r>
          </w:p>
          <w:p>
            <w:pPr>
              <w:spacing w:line="480" w:lineRule="exact"/>
              <w:ind w:firstLine="480"/>
              <w:rPr>
                <w:rFonts w:hint="default" w:cs="Times New Roman"/>
                <w:b/>
                <w:bCs w:val="0"/>
                <w:sz w:val="24"/>
                <w:szCs w:val="24"/>
                <w:lang w:val="en-US" w:eastAsia="zh-CN"/>
              </w:rPr>
            </w:pPr>
            <w:r>
              <w:rPr>
                <w:rFonts w:hint="eastAsia" w:cs="Times New Roman"/>
                <w:b/>
                <w:bCs w:val="0"/>
                <w:sz w:val="24"/>
                <w:szCs w:val="24"/>
                <w:lang w:val="en-US" w:eastAsia="zh-CN"/>
              </w:rPr>
              <w:t>（1）污水厂概况</w:t>
            </w:r>
          </w:p>
          <w:p>
            <w:pPr>
              <w:spacing w:line="480" w:lineRule="exact"/>
              <w:ind w:firstLine="480"/>
              <w:rPr>
                <w:rFonts w:hint="eastAsia" w:cs="Times New Roman"/>
                <w:b w:val="0"/>
                <w:bCs/>
                <w:sz w:val="24"/>
                <w:szCs w:val="24"/>
                <w:lang w:val="en-US" w:eastAsia="zh-CN"/>
              </w:rPr>
            </w:pPr>
            <w:r>
              <w:rPr>
                <w:rFonts w:hint="eastAsia" w:cs="Times New Roman"/>
                <w:b w:val="0"/>
                <w:bCs/>
                <w:sz w:val="24"/>
                <w:szCs w:val="24"/>
                <w:lang w:val="en-US" w:eastAsia="zh-CN"/>
              </w:rPr>
              <w:t>五台县污水处理厂扩容提标改造工程2019年5月由五台县人民政府第302次常务会议决定，同意实施，总投资7212.96 万元，总占地面积35亩。提标扩容改造新增处理规模1.0万m</w:t>
            </w:r>
            <w:r>
              <w:rPr>
                <w:rFonts w:hint="eastAsia" w:cs="Times New Roman"/>
                <w:b w:val="0"/>
                <w:bCs/>
                <w:sz w:val="24"/>
                <w:szCs w:val="24"/>
                <w:vertAlign w:val="superscript"/>
                <w:lang w:val="en-US" w:eastAsia="zh-CN"/>
              </w:rPr>
              <w:t>3</w:t>
            </w:r>
            <w:r>
              <w:rPr>
                <w:rFonts w:hint="eastAsia" w:cs="Times New Roman"/>
                <w:b w:val="0"/>
                <w:bCs/>
                <w:sz w:val="24"/>
                <w:szCs w:val="24"/>
                <w:lang w:val="en-US" w:eastAsia="zh-CN"/>
              </w:rPr>
              <w:t>/d，处理规模达到2.5万m</w:t>
            </w:r>
            <w:r>
              <w:rPr>
                <w:rFonts w:hint="eastAsia" w:cs="Times New Roman"/>
                <w:b w:val="0"/>
                <w:bCs/>
                <w:sz w:val="24"/>
                <w:szCs w:val="24"/>
                <w:vertAlign w:val="superscript"/>
                <w:lang w:val="en-US" w:eastAsia="zh-CN"/>
              </w:rPr>
              <w:t>3</w:t>
            </w:r>
            <w:r>
              <w:rPr>
                <w:rFonts w:hint="eastAsia" w:cs="Times New Roman"/>
                <w:b w:val="0"/>
                <w:bCs/>
                <w:sz w:val="24"/>
                <w:szCs w:val="24"/>
                <w:lang w:val="en-US" w:eastAsia="zh-CN"/>
              </w:rPr>
              <w:t>/d。</w:t>
            </w:r>
          </w:p>
          <w:p>
            <w:pPr>
              <w:spacing w:line="480" w:lineRule="exact"/>
              <w:ind w:firstLine="480"/>
              <w:rPr>
                <w:rFonts w:hint="eastAsia" w:cs="Times New Roman"/>
                <w:b w:val="0"/>
                <w:bCs/>
                <w:sz w:val="24"/>
                <w:szCs w:val="24"/>
                <w:lang w:val="en-US" w:eastAsia="zh-CN"/>
              </w:rPr>
            </w:pPr>
            <w:r>
              <w:rPr>
                <w:rFonts w:hint="eastAsia" w:cs="Times New Roman"/>
                <w:b w:val="0"/>
                <w:bCs/>
                <w:sz w:val="24"/>
                <w:szCs w:val="24"/>
                <w:lang w:val="en-US" w:eastAsia="zh-CN"/>
              </w:rPr>
              <w:t>污水处理工艺采用复合A/A/O+微絮凝过滤工艺，出水水质化学需氧量、氨氮、总磷达到地表水V类标准，其他指标达到《城镇污水处理厂污染物排放标准》（GB18918-2002）中的一级A标准。</w:t>
            </w:r>
          </w:p>
          <w:p>
            <w:pPr>
              <w:spacing w:line="480" w:lineRule="exact"/>
              <w:ind w:firstLine="480"/>
              <w:rPr>
                <w:rFonts w:hint="default" w:cs="Times New Roman"/>
                <w:b/>
                <w:bCs w:val="0"/>
                <w:sz w:val="24"/>
                <w:szCs w:val="24"/>
                <w:lang w:val="en-US" w:eastAsia="zh-CN"/>
              </w:rPr>
            </w:pPr>
            <w:r>
              <w:rPr>
                <w:rFonts w:hint="eastAsia" w:cs="Times New Roman"/>
                <w:b/>
                <w:bCs w:val="0"/>
                <w:sz w:val="24"/>
                <w:szCs w:val="24"/>
                <w:lang w:val="en-US" w:eastAsia="zh-CN"/>
              </w:rPr>
              <w:t>（2）现状污水管网</w:t>
            </w:r>
          </w:p>
          <w:p>
            <w:pPr>
              <w:spacing w:line="480" w:lineRule="exact"/>
              <w:ind w:firstLine="480"/>
              <w:rPr>
                <w:rFonts w:hint="eastAsia" w:cs="Times New Roman"/>
                <w:b/>
                <w:bCs w:val="0"/>
                <w:sz w:val="24"/>
                <w:szCs w:val="24"/>
                <w:lang w:val="en-US" w:eastAsia="zh-CN"/>
              </w:rPr>
            </w:pPr>
            <w:r>
              <w:rPr>
                <w:rFonts w:hint="eastAsia" w:cs="Times New Roman"/>
                <w:b/>
                <w:bCs w:val="0"/>
                <w:sz w:val="24"/>
                <w:szCs w:val="24"/>
                <w:lang w:val="en-US" w:eastAsia="zh-CN"/>
              </w:rPr>
              <w:t>东外环路：</w:t>
            </w:r>
            <w:r>
              <w:rPr>
                <w:rFonts w:hint="eastAsia" w:cs="Times New Roman"/>
                <w:b w:val="0"/>
                <w:bCs/>
                <w:sz w:val="24"/>
                <w:szCs w:val="24"/>
                <w:lang w:val="en-US" w:eastAsia="zh-CN"/>
              </w:rPr>
              <w:t>东外环为城市现状道路，起点为五台南收费站北侧（王庄村牌楼），由南向北上跨滤泗河，终点接至五黄路（金水泉宾馆）。属于连接高速公路与城市主干路的快速路，现状道路下方无排水管道。</w:t>
            </w:r>
          </w:p>
          <w:p>
            <w:pPr>
              <w:spacing w:line="480" w:lineRule="exact"/>
              <w:ind w:firstLine="480"/>
              <w:rPr>
                <w:rFonts w:hint="eastAsia" w:cs="Times New Roman"/>
                <w:b w:val="0"/>
                <w:bCs/>
                <w:sz w:val="24"/>
                <w:szCs w:val="24"/>
                <w:lang w:val="en-US" w:eastAsia="zh-CN"/>
              </w:rPr>
            </w:pPr>
            <w:r>
              <w:rPr>
                <w:rFonts w:hint="eastAsia" w:cs="Times New Roman"/>
                <w:b/>
                <w:bCs w:val="0"/>
                <w:sz w:val="24"/>
                <w:szCs w:val="24"/>
                <w:lang w:val="en-US" w:eastAsia="zh-CN"/>
              </w:rPr>
              <w:t>湖滨大街：</w:t>
            </w:r>
            <w:r>
              <w:rPr>
                <w:rFonts w:hint="eastAsia" w:cs="Times New Roman"/>
                <w:b w:val="0"/>
                <w:bCs/>
                <w:sz w:val="24"/>
                <w:szCs w:val="24"/>
                <w:lang w:val="en-US" w:eastAsia="zh-CN"/>
              </w:rPr>
              <w:t>湖滨大街位于般若湖北岸，为城市主干路，道路起点为规划文昌路，由西向东，穿越唐家湾村，终点与既有湖滨大道相接。既有湖滨大道敷设有现状污水和雨水管道，湖滨大街（新城路-迎宾北路）污水管道位于路北，管径为D500~800，自西向东最终汇入迎宾路污水管道；雨水管道位于道路中心，管径为D1000~1500，自西向东最终向南汇入般若湖。湖滨大街（迎宾北路-文明路）污水管道敷设于道路两侧，管径为D400~600，自东向西汇入迎宾路排水管道；雨水管道敷设于道路两侧，管径为D500~600，自东向西汇入迎宾路排水管道。</w:t>
            </w:r>
          </w:p>
          <w:p>
            <w:pPr>
              <w:spacing w:line="480" w:lineRule="exact"/>
              <w:ind w:firstLine="480"/>
              <w:rPr>
                <w:rFonts w:hint="eastAsia" w:cs="Times New Roman"/>
                <w:b w:val="0"/>
                <w:bCs/>
                <w:sz w:val="24"/>
                <w:szCs w:val="24"/>
                <w:lang w:val="en-US" w:eastAsia="zh-CN"/>
              </w:rPr>
            </w:pPr>
            <w:r>
              <w:rPr>
                <w:rFonts w:hint="eastAsia" w:cs="Times New Roman"/>
                <w:b/>
                <w:bCs w:val="0"/>
                <w:sz w:val="24"/>
                <w:szCs w:val="24"/>
                <w:lang w:val="en-US" w:eastAsia="zh-CN"/>
              </w:rPr>
              <w:t>文昌路：</w:t>
            </w:r>
            <w:r>
              <w:rPr>
                <w:rFonts w:hint="eastAsia" w:cs="Times New Roman"/>
                <w:b w:val="0"/>
                <w:bCs/>
                <w:sz w:val="24"/>
                <w:szCs w:val="24"/>
                <w:lang w:val="en-US" w:eastAsia="zh-CN"/>
              </w:rPr>
              <w:t>文昌路位于般若湖西岸，为城市支路，规划道路南端起点为既有文昌路终点，由南向北沿湖而建，终点至湖滨大街。拟建文昌路为新建道路，无供水管网；既有文昌路向前街以北路段敷设有雨水管道，管径为D300~600，自南向北排入般若湖；既有文昌路向前街以南路段敷设有雨污河流管涵，尺寸为1800×1000，自北向南敷设。</w:t>
            </w:r>
          </w:p>
          <w:p>
            <w:pPr>
              <w:spacing w:line="480" w:lineRule="exact"/>
              <w:ind w:firstLine="480"/>
              <w:rPr>
                <w:rFonts w:hint="default" w:ascii="Times New Roman" w:hAnsi="Times New Roman" w:eastAsia="宋体" w:cs="Times New Roman"/>
                <w:b/>
                <w:bCs w:val="0"/>
                <w:sz w:val="24"/>
                <w:szCs w:val="24"/>
                <w:lang w:val="en-US" w:eastAsia="zh-CN"/>
              </w:rPr>
            </w:pPr>
            <w:r>
              <w:rPr>
                <w:rFonts w:hint="default" w:ascii="Times New Roman" w:hAnsi="Times New Roman" w:cs="Times New Roman"/>
                <w:b/>
                <w:bCs w:val="0"/>
                <w:sz w:val="24"/>
                <w:szCs w:val="24"/>
                <w:lang w:val="en-US" w:eastAsia="zh-CN"/>
              </w:rPr>
              <w:t>2.</w:t>
            </w:r>
            <w:r>
              <w:rPr>
                <w:rFonts w:hint="eastAsia" w:cs="Times New Roman"/>
                <w:b/>
                <w:bCs w:val="0"/>
                <w:sz w:val="24"/>
                <w:szCs w:val="24"/>
                <w:lang w:val="en-US" w:eastAsia="zh-CN"/>
              </w:rPr>
              <w:t>5</w:t>
            </w:r>
            <w:r>
              <w:rPr>
                <w:rFonts w:hint="default" w:ascii="Times New Roman" w:hAnsi="Times New Roman" w:cs="Times New Roman"/>
                <w:b/>
                <w:bCs w:val="0"/>
                <w:sz w:val="24"/>
                <w:szCs w:val="24"/>
                <w:lang w:val="en-US" w:eastAsia="zh-CN"/>
              </w:rPr>
              <w:t>.</w:t>
            </w:r>
            <w:r>
              <w:rPr>
                <w:rFonts w:hint="eastAsia" w:cs="Times New Roman"/>
                <w:b/>
                <w:bCs w:val="0"/>
                <w:sz w:val="24"/>
                <w:szCs w:val="24"/>
                <w:lang w:val="en-US" w:eastAsia="zh-CN"/>
              </w:rPr>
              <w:t>2排水设计方案</w:t>
            </w:r>
          </w:p>
          <w:p>
            <w:pPr>
              <w:spacing w:line="480" w:lineRule="exact"/>
              <w:ind w:firstLine="480"/>
              <w:rPr>
                <w:rFonts w:hint="default" w:cs="Times New Roman"/>
                <w:b w:val="0"/>
                <w:bCs/>
                <w:sz w:val="24"/>
                <w:szCs w:val="24"/>
                <w:lang w:val="en-US" w:eastAsia="zh-CN"/>
              </w:rPr>
            </w:pPr>
            <w:r>
              <w:rPr>
                <w:rFonts w:hint="eastAsia" w:cs="Times New Roman"/>
                <w:b w:val="0"/>
                <w:bCs/>
                <w:sz w:val="24"/>
                <w:szCs w:val="24"/>
                <w:lang w:val="en-US" w:eastAsia="zh-CN"/>
              </w:rPr>
              <w:t>采用雨污分流制。</w:t>
            </w:r>
          </w:p>
          <w:p>
            <w:pPr>
              <w:spacing w:line="480" w:lineRule="exact"/>
              <w:ind w:firstLine="482"/>
              <w:rPr>
                <w:rFonts w:hint="default"/>
                <w:b/>
                <w:bCs w:val="0"/>
                <w:sz w:val="24"/>
                <w:szCs w:val="24"/>
                <w:lang w:val="en-US" w:eastAsia="zh-CN"/>
              </w:rPr>
            </w:pPr>
            <w:r>
              <w:rPr>
                <w:rFonts w:hint="eastAsia"/>
                <w:b/>
                <w:bCs w:val="0"/>
                <w:sz w:val="24"/>
                <w:szCs w:val="24"/>
                <w:lang w:val="en-US" w:eastAsia="zh-CN"/>
              </w:rPr>
              <w:t>（1）污水工程</w:t>
            </w:r>
          </w:p>
          <w:p>
            <w:pPr>
              <w:spacing w:line="480" w:lineRule="exact"/>
              <w:ind w:firstLine="482"/>
              <w:rPr>
                <w:rFonts w:hint="default"/>
                <w:b/>
                <w:bCs w:val="0"/>
                <w:sz w:val="24"/>
                <w:szCs w:val="24"/>
                <w:lang w:val="en-US" w:eastAsia="zh-CN"/>
              </w:rPr>
            </w:pPr>
            <w:r>
              <w:rPr>
                <w:rFonts w:hint="eastAsia"/>
                <w:b/>
                <w:bCs w:val="0"/>
                <w:sz w:val="24"/>
                <w:szCs w:val="24"/>
                <w:lang w:val="en-US" w:eastAsia="zh-CN"/>
              </w:rPr>
              <w:t>①污水工程设计</w:t>
            </w:r>
          </w:p>
          <w:p>
            <w:pPr>
              <w:spacing w:line="480" w:lineRule="exact"/>
              <w:ind w:firstLine="482"/>
              <w:rPr>
                <w:rFonts w:hint="eastAsia" w:cs="Times New Roman"/>
                <w:b w:val="0"/>
                <w:bCs/>
                <w:sz w:val="24"/>
                <w:szCs w:val="24"/>
                <w:lang w:val="en-US" w:eastAsia="zh-CN"/>
              </w:rPr>
            </w:pPr>
            <w:r>
              <w:rPr>
                <w:rFonts w:hint="eastAsia" w:cs="Times New Roman"/>
                <w:b/>
                <w:bCs w:val="0"/>
                <w:sz w:val="24"/>
                <w:szCs w:val="24"/>
                <w:lang w:val="en-US" w:eastAsia="zh-CN"/>
              </w:rPr>
              <w:t>东外环路：</w:t>
            </w:r>
            <w:r>
              <w:rPr>
                <w:rFonts w:hint="eastAsia" w:cs="Times New Roman"/>
                <w:b w:val="0"/>
                <w:bCs/>
                <w:sz w:val="24"/>
                <w:szCs w:val="24"/>
                <w:lang w:val="en-US" w:eastAsia="zh-CN"/>
              </w:rPr>
              <w:t>东外环为城市现状道路，起点为五台南收费站北侧（王庄村牌楼），由南向北上跨滤泗河，终点接至五黄路（金水泉宾馆）。根据《五台县县城城南控制性详细规划》，东外环两侧建筑主要集中在滤泗河以北，因此本次设计污水管道仅敷设在东外环滤泗河以北，污水管道沿线收集道路两侧用户污水，无转输流量。新建东外环污水管道以污水厂东北侧进水管处为最低点，北段管线自北向南、南段管线自南向北敷设，最终汇入污水主干管。服务区域面积约37.56hm</w:t>
            </w:r>
            <w:r>
              <w:rPr>
                <w:rFonts w:hint="eastAsia" w:cs="Times New Roman"/>
                <w:b w:val="0"/>
                <w:bCs/>
                <w:sz w:val="24"/>
                <w:szCs w:val="24"/>
                <w:vertAlign w:val="superscript"/>
                <w:lang w:val="en-US" w:eastAsia="zh-CN"/>
              </w:rPr>
              <w:t>2</w:t>
            </w:r>
            <w:r>
              <w:rPr>
                <w:rFonts w:hint="eastAsia" w:cs="Times New Roman"/>
                <w:b w:val="0"/>
                <w:bCs/>
                <w:sz w:val="24"/>
                <w:szCs w:val="24"/>
                <w:lang w:val="en-US" w:eastAsia="zh-CN"/>
              </w:rPr>
              <w:t>，根据总体规划城区人口密度为1.0万人/km</w:t>
            </w:r>
            <w:r>
              <w:rPr>
                <w:rFonts w:hint="eastAsia" w:cs="Times New Roman"/>
                <w:b w:val="0"/>
                <w:bCs/>
                <w:sz w:val="24"/>
                <w:szCs w:val="24"/>
                <w:vertAlign w:val="superscript"/>
                <w:lang w:val="en-US" w:eastAsia="zh-CN"/>
              </w:rPr>
              <w:t>2</w:t>
            </w:r>
            <w:r>
              <w:rPr>
                <w:rFonts w:hint="eastAsia" w:cs="Times New Roman"/>
                <w:b w:val="0"/>
                <w:bCs/>
                <w:sz w:val="24"/>
                <w:szCs w:val="24"/>
                <w:lang w:val="en-US" w:eastAsia="zh-CN"/>
              </w:rPr>
              <w:t>，总服务人口约3756人，设计污水量为11.74L/s。北段坡度为5‰，南段坡度为3‰，经计算，污水管道管径为De300，充满度0.35，流速为0.60m/s。</w:t>
            </w:r>
          </w:p>
          <w:p>
            <w:pPr>
              <w:spacing w:line="480" w:lineRule="exact"/>
              <w:ind w:firstLine="482"/>
              <w:rPr>
                <w:rFonts w:hint="eastAsia" w:cs="Times New Roman"/>
                <w:b w:val="0"/>
                <w:bCs/>
                <w:sz w:val="24"/>
                <w:szCs w:val="24"/>
                <w:lang w:val="en-US" w:eastAsia="zh-CN"/>
              </w:rPr>
            </w:pPr>
            <w:r>
              <w:rPr>
                <w:rFonts w:hint="eastAsia" w:cs="Times New Roman"/>
                <w:b/>
                <w:bCs w:val="0"/>
                <w:sz w:val="24"/>
                <w:szCs w:val="24"/>
                <w:lang w:val="en-US" w:eastAsia="zh-CN"/>
              </w:rPr>
              <w:t>湖滨大街：</w:t>
            </w:r>
            <w:r>
              <w:rPr>
                <w:rFonts w:hint="eastAsia" w:cs="Times New Roman"/>
                <w:b w:val="0"/>
                <w:bCs/>
                <w:sz w:val="24"/>
                <w:szCs w:val="24"/>
                <w:lang w:val="en-US" w:eastAsia="zh-CN"/>
              </w:rPr>
              <w:t>湖滨大街西延为城市主干路，道路起点为规划文昌路，由西向东，穿越唐家湾村，终点与既有湖滨大道相接。根据《城北新区控规》和道路等级要求，拟建项目污水管道为主干管，除承当道路沿线用户产生污水外，还需要转输城北新区西部用户生活污水。新建湖滨大街西延西端为服务区域最低点，污水管线自东向西敷设，最终汇入新建污水泵站。服务区域面积约201.72hm2，根据总体规划城区人口密度为1.0万人/km2，总服务人口约20172人，设计污水量为53.70L/s。管道最小坡度为3‰，经计算，污水管道管径为De400，充满度0.50，流速为0.84m/s。</w:t>
            </w:r>
          </w:p>
          <w:p>
            <w:pPr>
              <w:spacing w:line="480" w:lineRule="exact"/>
              <w:ind w:firstLine="482"/>
              <w:rPr>
                <w:rFonts w:hint="eastAsia"/>
                <w:b w:val="0"/>
                <w:bCs/>
                <w:color w:val="0000FF"/>
                <w:sz w:val="24"/>
                <w:szCs w:val="24"/>
                <w:lang w:val="en-US" w:eastAsia="zh-CN"/>
              </w:rPr>
            </w:pPr>
            <w:r>
              <w:rPr>
                <w:rFonts w:hint="eastAsia" w:cs="Times New Roman"/>
                <w:b w:val="0"/>
                <w:bCs/>
                <w:sz w:val="24"/>
                <w:szCs w:val="24"/>
                <w:lang w:val="en-US" w:eastAsia="zh-CN"/>
              </w:rPr>
              <w:t>新建湖滨大街西端为周边道路最低点，湖滨大街西延以北区域收集的污水需通过污水泵站提升排放至既有湖滨大街现状D500污水管道。设计在文昌路与湖滨大街西延交叉路口北侧建设一体化污水提升泵站1座，最高时污水流量为53.7L/s，压力管道管径DN300，管长1300m，扬程为30m。压力管道采用PE管道，管道压力等级为1.0Mpa。</w:t>
            </w:r>
          </w:p>
          <w:p>
            <w:pPr>
              <w:spacing w:line="480" w:lineRule="exact"/>
              <w:ind w:firstLine="482"/>
              <w:rPr>
                <w:rFonts w:hint="eastAsia"/>
                <w:b w:val="0"/>
                <w:bCs/>
                <w:sz w:val="24"/>
                <w:szCs w:val="24"/>
                <w:lang w:val="en-US" w:eastAsia="zh-CN"/>
              </w:rPr>
            </w:pPr>
            <w:r>
              <w:rPr>
                <w:rFonts w:hint="eastAsia" w:cs="Times New Roman"/>
                <w:b/>
                <w:bCs w:val="0"/>
                <w:sz w:val="24"/>
                <w:szCs w:val="24"/>
                <w:lang w:val="en-US" w:eastAsia="zh-CN"/>
              </w:rPr>
              <w:t>文昌路：</w:t>
            </w:r>
            <w:r>
              <w:rPr>
                <w:rFonts w:hint="eastAsia" w:cs="Times New Roman"/>
                <w:b w:val="0"/>
                <w:bCs/>
                <w:sz w:val="24"/>
                <w:szCs w:val="24"/>
                <w:lang w:val="en-US" w:eastAsia="zh-CN"/>
              </w:rPr>
              <w:t>根据《总规》和《控规》，拟建文昌路西侧为绿地，东侧为般若湖，均无用水和排污单位，文昌路不建设污水管网。</w:t>
            </w:r>
          </w:p>
          <w:p>
            <w:pPr>
              <w:spacing w:line="480" w:lineRule="exact"/>
              <w:ind w:firstLine="482"/>
              <w:rPr>
                <w:rFonts w:hint="default"/>
                <w:b/>
                <w:bCs w:val="0"/>
                <w:sz w:val="24"/>
                <w:szCs w:val="24"/>
                <w:lang w:val="en-US" w:eastAsia="zh-CN"/>
              </w:rPr>
            </w:pPr>
            <w:r>
              <w:rPr>
                <w:rFonts w:hint="eastAsia"/>
                <w:b/>
                <w:bCs w:val="0"/>
                <w:sz w:val="24"/>
                <w:szCs w:val="24"/>
                <w:lang w:val="en-US" w:eastAsia="zh-CN"/>
              </w:rPr>
              <w:t>②污水管线布置</w:t>
            </w:r>
          </w:p>
          <w:p>
            <w:pPr>
              <w:spacing w:line="480" w:lineRule="exact"/>
              <w:ind w:firstLine="482"/>
              <w:rPr>
                <w:rFonts w:hint="eastAsia" w:cs="Times New Roman"/>
                <w:b w:val="0"/>
                <w:bCs/>
                <w:sz w:val="24"/>
                <w:szCs w:val="24"/>
                <w:lang w:val="en-US" w:eastAsia="zh-CN"/>
              </w:rPr>
            </w:pPr>
            <w:r>
              <w:rPr>
                <w:rFonts w:hint="eastAsia" w:cs="Times New Roman"/>
                <w:b/>
                <w:bCs w:val="0"/>
                <w:sz w:val="24"/>
                <w:szCs w:val="24"/>
                <w:lang w:val="en-US" w:eastAsia="zh-CN"/>
              </w:rPr>
              <w:t>东外环路：</w:t>
            </w:r>
            <w:r>
              <w:rPr>
                <w:rFonts w:hint="eastAsia" w:cs="Times New Roman"/>
                <w:b w:val="0"/>
                <w:bCs/>
                <w:sz w:val="24"/>
                <w:szCs w:val="24"/>
                <w:lang w:val="en-US" w:eastAsia="zh-CN"/>
              </w:rPr>
              <w:t>拟建污水管道主要服务于路东区域，污水管道布置在道路东侧，距离道路中心线为20.0m，管径为De300。</w:t>
            </w:r>
          </w:p>
          <w:p>
            <w:pPr>
              <w:spacing w:line="480" w:lineRule="exact"/>
              <w:ind w:firstLine="482"/>
              <w:rPr>
                <w:rFonts w:hint="eastAsia" w:cs="Times New Roman"/>
                <w:b w:val="0"/>
                <w:bCs/>
                <w:sz w:val="24"/>
                <w:szCs w:val="24"/>
                <w:lang w:val="en-US" w:eastAsia="zh-CN"/>
              </w:rPr>
            </w:pPr>
            <w:r>
              <w:rPr>
                <w:rFonts w:hint="eastAsia" w:cs="Times New Roman"/>
                <w:b/>
                <w:bCs w:val="0"/>
                <w:sz w:val="24"/>
                <w:szCs w:val="24"/>
                <w:lang w:val="en-US" w:eastAsia="zh-CN"/>
              </w:rPr>
              <w:t>湖滨大街：</w:t>
            </w:r>
            <w:r>
              <w:rPr>
                <w:rFonts w:hint="eastAsia" w:cs="Times New Roman"/>
                <w:b w:val="0"/>
                <w:bCs/>
                <w:sz w:val="24"/>
                <w:szCs w:val="24"/>
                <w:lang w:val="en-US" w:eastAsia="zh-CN"/>
              </w:rPr>
              <w:t>拟建污水管道主要服务于路北区域，污水管道布置在道路北侧，距离道路中心线为22.65m，管径为De400。拟建污水提升压力管道布置在道路南侧，距离道路中心线为19.0m，管径为DN300。</w:t>
            </w:r>
          </w:p>
          <w:p>
            <w:pPr>
              <w:spacing w:line="480" w:lineRule="exact"/>
              <w:ind w:firstLine="482"/>
              <w:rPr>
                <w:rFonts w:hint="default"/>
                <w:b w:val="0"/>
                <w:bCs/>
                <w:sz w:val="24"/>
                <w:szCs w:val="24"/>
                <w:lang w:val="en-US" w:eastAsia="zh-CN"/>
              </w:rPr>
            </w:pPr>
            <w:r>
              <w:rPr>
                <w:rFonts w:hint="eastAsia" w:cs="Times New Roman"/>
                <w:b/>
                <w:bCs w:val="0"/>
                <w:sz w:val="24"/>
                <w:szCs w:val="24"/>
                <w:lang w:val="en-US" w:eastAsia="zh-CN"/>
              </w:rPr>
              <w:t>文昌路：</w:t>
            </w:r>
            <w:r>
              <w:rPr>
                <w:rFonts w:hint="eastAsia" w:cs="Times New Roman"/>
                <w:b w:val="0"/>
                <w:bCs/>
                <w:sz w:val="24"/>
                <w:szCs w:val="24"/>
                <w:lang w:val="en-US" w:eastAsia="zh-CN"/>
              </w:rPr>
              <w:t>无污水管线。</w:t>
            </w:r>
          </w:p>
          <w:p>
            <w:pPr>
              <w:spacing w:line="480" w:lineRule="exact"/>
              <w:ind w:firstLine="482"/>
              <w:rPr>
                <w:rFonts w:hint="default"/>
                <w:b/>
                <w:bCs w:val="0"/>
                <w:sz w:val="24"/>
                <w:szCs w:val="24"/>
                <w:lang w:val="en-US" w:eastAsia="zh-CN"/>
              </w:rPr>
            </w:pPr>
            <w:r>
              <w:rPr>
                <w:rFonts w:hint="eastAsia"/>
                <w:b/>
                <w:bCs w:val="0"/>
                <w:sz w:val="24"/>
                <w:szCs w:val="24"/>
                <w:lang w:val="en-US" w:eastAsia="zh-CN"/>
              </w:rPr>
              <w:t>（3）雨水工程</w:t>
            </w:r>
          </w:p>
          <w:p>
            <w:pPr>
              <w:spacing w:line="480" w:lineRule="exact"/>
              <w:ind w:firstLine="482"/>
              <w:rPr>
                <w:rFonts w:hint="default"/>
                <w:b/>
                <w:bCs w:val="0"/>
                <w:sz w:val="24"/>
                <w:szCs w:val="24"/>
                <w:lang w:val="en-US" w:eastAsia="zh-CN"/>
              </w:rPr>
            </w:pPr>
            <w:r>
              <w:rPr>
                <w:rFonts w:hint="eastAsia"/>
                <w:b/>
                <w:bCs w:val="0"/>
                <w:sz w:val="24"/>
                <w:szCs w:val="24"/>
                <w:lang w:val="en-US" w:eastAsia="zh-CN"/>
              </w:rPr>
              <w:t>①雨水流量计算</w:t>
            </w:r>
          </w:p>
          <w:p>
            <w:pPr>
              <w:spacing w:line="480" w:lineRule="exact"/>
              <w:ind w:firstLine="482"/>
              <w:rPr>
                <w:rFonts w:hint="eastAsia" w:cs="Times New Roman"/>
                <w:b w:val="0"/>
                <w:bCs/>
                <w:sz w:val="24"/>
                <w:szCs w:val="24"/>
                <w:lang w:val="en-US" w:eastAsia="zh-CN"/>
              </w:rPr>
            </w:pPr>
            <w:r>
              <w:rPr>
                <w:rFonts w:hint="eastAsia" w:cs="Times New Roman"/>
                <w:b/>
                <w:bCs w:val="0"/>
                <w:sz w:val="24"/>
                <w:szCs w:val="24"/>
                <w:lang w:val="en-US" w:eastAsia="zh-CN"/>
              </w:rPr>
              <w:t>东外环路：</w:t>
            </w:r>
            <w:r>
              <w:rPr>
                <w:rFonts w:hint="eastAsia" w:cs="Times New Roman"/>
                <w:b w:val="0"/>
                <w:bCs/>
                <w:sz w:val="24"/>
                <w:szCs w:val="24"/>
                <w:lang w:val="en-US" w:eastAsia="zh-CN"/>
              </w:rPr>
              <w:t>东外环为城市现状道路，起点为五台南收费站北侧（王庄村牌楼），由南向北上跨滤泗河，终点接至五黄路（金水泉宾馆）。东外环滤泗河以南设置道路排水边沟，本可研雨水管道只考虑滤泗河以北部分。东外环西侧为滤泗河，设计在道路两侧自北向南敷设雨水管道，分段就近向西排入滤泗河。</w:t>
            </w:r>
          </w:p>
          <w:p>
            <w:pPr>
              <w:spacing w:line="480" w:lineRule="exact"/>
              <w:ind w:firstLine="482"/>
              <w:rPr>
                <w:rFonts w:hint="eastAsia" w:cs="Times New Roman"/>
                <w:b w:val="0"/>
                <w:bCs/>
                <w:sz w:val="24"/>
                <w:szCs w:val="24"/>
                <w:lang w:val="en-US" w:eastAsia="zh-CN"/>
              </w:rPr>
            </w:pPr>
            <w:r>
              <w:rPr>
                <w:rFonts w:hint="eastAsia" w:cs="Times New Roman"/>
                <w:b w:val="0"/>
                <w:bCs/>
                <w:sz w:val="24"/>
                <w:szCs w:val="24"/>
                <w:lang w:val="en-US" w:eastAsia="zh-CN"/>
              </w:rPr>
              <w:t>新建东外环雨水管道总汇水面积为36.15hm</w:t>
            </w:r>
            <w:r>
              <w:rPr>
                <w:rFonts w:hint="eastAsia" w:cs="Times New Roman"/>
                <w:b w:val="0"/>
                <w:bCs/>
                <w:sz w:val="24"/>
                <w:szCs w:val="24"/>
                <w:vertAlign w:val="superscript"/>
                <w:lang w:val="en-US" w:eastAsia="zh-CN"/>
              </w:rPr>
              <w:t>2</w:t>
            </w:r>
            <w:r>
              <w:rPr>
                <w:rFonts w:hint="eastAsia" w:cs="Times New Roman"/>
                <w:b w:val="0"/>
                <w:bCs/>
                <w:sz w:val="24"/>
                <w:szCs w:val="24"/>
                <w:lang w:val="en-US" w:eastAsia="zh-CN"/>
              </w:rPr>
              <w:t>，分三段敷设雨水管道就近接入般若湖，经计算，每段雨水管道服务范围约12.05hm</w:t>
            </w:r>
            <w:r>
              <w:rPr>
                <w:rFonts w:hint="eastAsia" w:cs="Times New Roman"/>
                <w:b w:val="0"/>
                <w:bCs/>
                <w:sz w:val="24"/>
                <w:szCs w:val="24"/>
                <w:vertAlign w:val="superscript"/>
                <w:lang w:val="en-US" w:eastAsia="zh-CN"/>
              </w:rPr>
              <w:t>2</w:t>
            </w:r>
            <w:r>
              <w:rPr>
                <w:rFonts w:hint="eastAsia" w:cs="Times New Roman"/>
                <w:b w:val="0"/>
                <w:bCs/>
                <w:sz w:val="24"/>
                <w:szCs w:val="24"/>
                <w:lang w:val="en-US" w:eastAsia="zh-CN"/>
              </w:rPr>
              <w:t>，雨水流量为1585L/s，管道坡度6‰，管径为D700~D1200，管道流速为1.86~2.36m/s。</w:t>
            </w:r>
          </w:p>
          <w:p>
            <w:pPr>
              <w:spacing w:line="480" w:lineRule="exact"/>
              <w:ind w:firstLine="482"/>
              <w:rPr>
                <w:rFonts w:hint="eastAsia"/>
                <w:b w:val="0"/>
                <w:bCs/>
                <w:color w:val="0000FF"/>
                <w:sz w:val="24"/>
                <w:szCs w:val="24"/>
                <w:lang w:val="en-US" w:eastAsia="zh-CN"/>
              </w:rPr>
            </w:pPr>
            <w:r>
              <w:rPr>
                <w:rFonts w:hint="eastAsia" w:cs="Times New Roman"/>
                <w:b/>
                <w:bCs w:val="0"/>
                <w:sz w:val="24"/>
                <w:szCs w:val="24"/>
                <w:lang w:val="en-US" w:eastAsia="zh-CN"/>
              </w:rPr>
              <w:t>湖滨大街西延：</w:t>
            </w:r>
            <w:r>
              <w:rPr>
                <w:rFonts w:hint="eastAsia" w:cs="Times New Roman"/>
                <w:b w:val="0"/>
                <w:bCs/>
                <w:sz w:val="24"/>
                <w:szCs w:val="24"/>
                <w:lang w:val="en-US" w:eastAsia="zh-CN"/>
              </w:rPr>
              <w:t>湖滨大街西延为城市主干路，道路起点为规划文昌路，由西向东，穿越唐家湾村，终点与既有湖滨大道相接。整体地形东高西低、北高南低，新建雨水管道负责收集湖滨大街以北、泰康路以南区域汇流雨水。雨水管道总汇水面积为35.69hm</w:t>
            </w:r>
            <w:r>
              <w:rPr>
                <w:rFonts w:hint="eastAsia" w:cs="Times New Roman"/>
                <w:b w:val="0"/>
                <w:bCs/>
                <w:sz w:val="24"/>
                <w:szCs w:val="24"/>
                <w:vertAlign w:val="superscript"/>
                <w:lang w:val="en-US" w:eastAsia="zh-CN"/>
              </w:rPr>
              <w:t>2</w:t>
            </w:r>
            <w:r>
              <w:rPr>
                <w:rFonts w:hint="eastAsia" w:cs="Times New Roman"/>
                <w:b w:val="0"/>
                <w:bCs/>
                <w:sz w:val="24"/>
                <w:szCs w:val="24"/>
                <w:lang w:val="en-US" w:eastAsia="zh-CN"/>
              </w:rPr>
              <w:t>，分两段敷设雨水管道就近接入般若湖，经计算，两段雨水管道服务范围分别为：11.90hm</w:t>
            </w:r>
            <w:r>
              <w:rPr>
                <w:rFonts w:hint="eastAsia" w:cs="Times New Roman"/>
                <w:b w:val="0"/>
                <w:bCs/>
                <w:sz w:val="24"/>
                <w:szCs w:val="24"/>
                <w:vertAlign w:val="superscript"/>
                <w:lang w:val="en-US" w:eastAsia="zh-CN"/>
              </w:rPr>
              <w:t>2</w:t>
            </w:r>
            <w:r>
              <w:rPr>
                <w:rFonts w:hint="eastAsia" w:cs="Times New Roman"/>
                <w:b w:val="0"/>
                <w:bCs/>
                <w:sz w:val="24"/>
                <w:szCs w:val="24"/>
                <w:lang w:val="en-US" w:eastAsia="zh-CN"/>
              </w:rPr>
              <w:t>和23.79hm</w:t>
            </w:r>
            <w:r>
              <w:rPr>
                <w:rFonts w:hint="eastAsia" w:cs="Times New Roman"/>
                <w:b w:val="0"/>
                <w:bCs/>
                <w:sz w:val="24"/>
                <w:szCs w:val="24"/>
                <w:vertAlign w:val="superscript"/>
                <w:lang w:val="en-US" w:eastAsia="zh-CN"/>
              </w:rPr>
              <w:t>2</w:t>
            </w:r>
            <w:r>
              <w:rPr>
                <w:rFonts w:hint="eastAsia" w:cs="Times New Roman"/>
                <w:b w:val="0"/>
                <w:bCs/>
                <w:sz w:val="24"/>
                <w:szCs w:val="24"/>
                <w:lang w:val="en-US" w:eastAsia="zh-CN"/>
              </w:rPr>
              <w:t>，对应雨水流量为1498.81L/s、3543.1L/s，管道坡度8‰、8.7‰，管径为D600~D800、D800~D1200，管道流速为3.059~4.01m/s。</w:t>
            </w:r>
          </w:p>
          <w:p>
            <w:pPr>
              <w:spacing w:line="480" w:lineRule="exact"/>
              <w:ind w:firstLine="482"/>
              <w:rPr>
                <w:rFonts w:hint="eastAsia"/>
                <w:b w:val="0"/>
                <w:bCs/>
                <w:sz w:val="24"/>
                <w:szCs w:val="24"/>
                <w:lang w:val="en-US" w:eastAsia="zh-CN"/>
              </w:rPr>
            </w:pPr>
            <w:r>
              <w:rPr>
                <w:rFonts w:hint="eastAsia" w:cs="Times New Roman"/>
                <w:b/>
                <w:bCs w:val="0"/>
                <w:sz w:val="24"/>
                <w:szCs w:val="24"/>
                <w:lang w:val="en-US" w:eastAsia="zh-CN"/>
              </w:rPr>
              <w:t>文昌路：</w:t>
            </w:r>
            <w:r>
              <w:rPr>
                <w:rFonts w:hint="eastAsia" w:cs="Times New Roman"/>
                <w:b w:val="0"/>
                <w:bCs/>
                <w:sz w:val="24"/>
                <w:szCs w:val="24"/>
                <w:lang w:val="en-US" w:eastAsia="zh-CN"/>
              </w:rPr>
              <w:t>根据《总规》和《控规》，拟建文昌路西侧为绿地，东侧为般若湖。文昌路西侧新建道路边沟排水系统主要收集西侧山体和道路中心线以西路面汇流雨水，分段排入湖河。道路中心线以东汇流雨水通过雨水口汇集至雨水管，分段向东排入般若湖。经计算，总汇水面积为26.30hm</w:t>
            </w:r>
            <w:r>
              <w:rPr>
                <w:rFonts w:hint="eastAsia" w:cs="Times New Roman"/>
                <w:b w:val="0"/>
                <w:bCs/>
                <w:sz w:val="24"/>
                <w:szCs w:val="24"/>
                <w:vertAlign w:val="superscript"/>
                <w:lang w:val="en-US" w:eastAsia="zh-CN"/>
              </w:rPr>
              <w:t>2</w:t>
            </w:r>
            <w:r>
              <w:rPr>
                <w:rFonts w:hint="eastAsia" w:cs="Times New Roman"/>
                <w:b w:val="0"/>
                <w:bCs/>
                <w:sz w:val="24"/>
                <w:szCs w:val="24"/>
                <w:lang w:val="en-US" w:eastAsia="zh-CN"/>
              </w:rPr>
              <w:t>，分三段就近通过雨水管道排入般若湖。</w:t>
            </w:r>
          </w:p>
          <w:p>
            <w:pPr>
              <w:spacing w:line="480" w:lineRule="exact"/>
              <w:ind w:firstLine="482"/>
              <w:rPr>
                <w:rFonts w:hint="default"/>
                <w:b/>
                <w:bCs w:val="0"/>
                <w:sz w:val="24"/>
                <w:szCs w:val="24"/>
                <w:lang w:val="en-US" w:eastAsia="zh-CN"/>
              </w:rPr>
            </w:pPr>
            <w:r>
              <w:rPr>
                <w:rFonts w:hint="eastAsia"/>
                <w:b/>
                <w:bCs w:val="0"/>
                <w:sz w:val="24"/>
                <w:szCs w:val="24"/>
                <w:lang w:val="en-US" w:eastAsia="zh-CN"/>
              </w:rPr>
              <w:t>②雨水管线布置</w:t>
            </w:r>
          </w:p>
          <w:p>
            <w:pPr>
              <w:spacing w:line="480" w:lineRule="exact"/>
              <w:ind w:firstLine="482"/>
              <w:rPr>
                <w:rFonts w:hint="eastAsia"/>
                <w:b w:val="0"/>
                <w:bCs/>
                <w:sz w:val="24"/>
                <w:szCs w:val="24"/>
                <w:lang w:val="en-US" w:eastAsia="zh-CN"/>
              </w:rPr>
            </w:pPr>
            <w:r>
              <w:rPr>
                <w:rFonts w:hint="eastAsia"/>
                <w:b/>
                <w:bCs w:val="0"/>
                <w:sz w:val="24"/>
                <w:szCs w:val="24"/>
                <w:lang w:val="en-US" w:eastAsia="zh-CN"/>
              </w:rPr>
              <w:t>东外环路：</w:t>
            </w:r>
            <w:r>
              <w:rPr>
                <w:rFonts w:hint="eastAsia"/>
                <w:b w:val="0"/>
                <w:bCs/>
                <w:sz w:val="24"/>
                <w:szCs w:val="24"/>
                <w:lang w:val="en-US" w:eastAsia="zh-CN"/>
              </w:rPr>
              <w:t>拟建雨水管道主要服务于路东区域，雨水管道布置在道路东侧距离中心线12.5m处，管径为D700-1200。</w:t>
            </w:r>
          </w:p>
          <w:p>
            <w:pPr>
              <w:spacing w:line="480" w:lineRule="exact"/>
              <w:ind w:firstLine="482"/>
              <w:rPr>
                <w:rFonts w:hint="eastAsia"/>
                <w:b w:val="0"/>
                <w:bCs/>
                <w:sz w:val="24"/>
                <w:szCs w:val="24"/>
                <w:lang w:val="en-US" w:eastAsia="zh-CN"/>
              </w:rPr>
            </w:pPr>
            <w:r>
              <w:rPr>
                <w:rFonts w:hint="eastAsia"/>
                <w:b/>
                <w:bCs w:val="0"/>
                <w:sz w:val="24"/>
                <w:szCs w:val="24"/>
                <w:lang w:val="en-US" w:eastAsia="zh-CN"/>
              </w:rPr>
              <w:t>湖滨大街西延：</w:t>
            </w:r>
            <w:r>
              <w:rPr>
                <w:rFonts w:hint="eastAsia"/>
                <w:b w:val="0"/>
                <w:bCs/>
                <w:sz w:val="24"/>
                <w:szCs w:val="24"/>
                <w:lang w:val="en-US" w:eastAsia="zh-CN"/>
              </w:rPr>
              <w:t>拟建雨水管道主要服务于路北区域，雨水管道布置在道路北侧距离中心线13.0m处，管径为D600-1200。</w:t>
            </w:r>
          </w:p>
          <w:p>
            <w:pPr>
              <w:spacing w:line="480" w:lineRule="exact"/>
              <w:ind w:firstLine="482"/>
              <w:rPr>
                <w:rFonts w:hint="eastAsia"/>
                <w:b w:val="0"/>
                <w:bCs/>
                <w:sz w:val="24"/>
                <w:szCs w:val="24"/>
                <w:lang w:val="en-US" w:eastAsia="zh-CN"/>
              </w:rPr>
            </w:pPr>
            <w:r>
              <w:rPr>
                <w:rFonts w:hint="eastAsia"/>
                <w:b/>
                <w:bCs w:val="0"/>
                <w:sz w:val="24"/>
                <w:szCs w:val="24"/>
                <w:lang w:val="en-US" w:eastAsia="zh-CN"/>
              </w:rPr>
              <w:t>文昌路：</w:t>
            </w:r>
            <w:r>
              <w:rPr>
                <w:rFonts w:hint="eastAsia"/>
                <w:b w:val="0"/>
                <w:bCs/>
                <w:sz w:val="24"/>
                <w:szCs w:val="24"/>
                <w:lang w:val="en-US" w:eastAsia="zh-CN"/>
              </w:rPr>
              <w:t>拟建文昌路边沟和雨水管道主要服务于道路西侧山体雨水和路面雨水，雨水管道布置在道路车行道中心线处，管径为D600-800。</w:t>
            </w:r>
          </w:p>
          <w:p>
            <w:pPr>
              <w:spacing w:line="480" w:lineRule="exact"/>
              <w:ind w:firstLine="482"/>
              <w:rPr>
                <w:rFonts w:hint="default"/>
                <w:b/>
                <w:bCs w:val="0"/>
                <w:sz w:val="24"/>
                <w:szCs w:val="24"/>
                <w:lang w:val="en-US" w:eastAsia="zh-CN"/>
              </w:rPr>
            </w:pPr>
            <w:r>
              <w:rPr>
                <w:rFonts w:hint="eastAsia"/>
                <w:b/>
                <w:bCs w:val="0"/>
                <w:sz w:val="24"/>
                <w:szCs w:val="24"/>
                <w:lang w:val="en-US" w:eastAsia="zh-CN"/>
              </w:rPr>
              <w:t>（4）管材选择</w:t>
            </w:r>
          </w:p>
          <w:p>
            <w:pPr>
              <w:spacing w:line="480" w:lineRule="exact"/>
              <w:ind w:firstLine="482"/>
              <w:rPr>
                <w:rFonts w:hint="eastAsia"/>
                <w:b w:val="0"/>
                <w:bCs/>
                <w:sz w:val="24"/>
                <w:szCs w:val="24"/>
                <w:lang w:val="en-US" w:eastAsia="zh-CN"/>
              </w:rPr>
            </w:pPr>
            <w:r>
              <w:rPr>
                <w:rFonts w:hint="eastAsia"/>
                <w:b w:val="0"/>
                <w:bCs/>
                <w:sz w:val="24"/>
                <w:szCs w:val="24"/>
                <w:lang w:val="en-US" w:eastAsia="zh-CN"/>
              </w:rPr>
              <w:t>结合五台县城的实际情况，推荐污水管道选用HDPE钢带双壁波纹管，雨水管道选用Ⅱ级钢筋混凝土管。</w:t>
            </w:r>
          </w:p>
          <w:p>
            <w:pPr>
              <w:spacing w:line="480" w:lineRule="exact"/>
              <w:ind w:firstLine="482"/>
              <w:rPr>
                <w:rFonts w:hint="default"/>
                <w:b/>
                <w:bCs w:val="0"/>
                <w:sz w:val="24"/>
                <w:szCs w:val="24"/>
                <w:lang w:val="en-US" w:eastAsia="zh-CN"/>
              </w:rPr>
            </w:pPr>
            <w:r>
              <w:rPr>
                <w:rFonts w:hint="eastAsia"/>
                <w:b/>
                <w:bCs w:val="0"/>
                <w:sz w:val="24"/>
                <w:szCs w:val="24"/>
                <w:lang w:val="en-US" w:eastAsia="zh-CN"/>
              </w:rPr>
              <w:t>（5）管道敷设</w:t>
            </w:r>
          </w:p>
          <w:p>
            <w:pPr>
              <w:spacing w:line="480" w:lineRule="exact"/>
              <w:ind w:firstLine="482"/>
              <w:rPr>
                <w:rFonts w:hint="eastAsia"/>
                <w:b w:val="0"/>
                <w:bCs/>
                <w:sz w:val="24"/>
                <w:szCs w:val="24"/>
                <w:lang w:val="en-US" w:eastAsia="zh-CN"/>
              </w:rPr>
            </w:pPr>
            <w:r>
              <w:rPr>
                <w:rFonts w:hint="eastAsia"/>
                <w:b w:val="0"/>
                <w:bCs/>
                <w:sz w:val="24"/>
                <w:szCs w:val="24"/>
                <w:lang w:val="en-US" w:eastAsia="zh-CN"/>
              </w:rPr>
              <w:t>①排水管道：</w:t>
            </w:r>
          </w:p>
          <w:p>
            <w:pPr>
              <w:spacing w:line="480" w:lineRule="exact"/>
              <w:ind w:firstLine="482"/>
              <w:rPr>
                <w:rFonts w:hint="default"/>
                <w:b w:val="0"/>
                <w:bCs/>
                <w:sz w:val="24"/>
                <w:szCs w:val="24"/>
                <w:lang w:val="en-US" w:eastAsia="zh-CN"/>
              </w:rPr>
            </w:pPr>
            <w:r>
              <w:rPr>
                <w:rFonts w:hint="eastAsia"/>
                <w:b w:val="0"/>
                <w:bCs/>
                <w:sz w:val="24"/>
                <w:szCs w:val="24"/>
                <w:lang w:val="en-US" w:eastAsia="zh-CN"/>
              </w:rPr>
              <w:t>污水管道采用HDPE双壁波纹管（SN12.0），管道基础自下而上采用150mm厚土垫层，300mm厚3：7灰土，100mm厚中粗砂，120°中粗砂基础；接口采用承插接口，橡胶圈密封，管基支撑角2α加30°（150°）管底掖角部位必须用中粗砂回填密实，与管壁紧密接触，不得用土或其他材料回填。</w:t>
            </w:r>
          </w:p>
          <w:p>
            <w:pPr>
              <w:spacing w:line="480" w:lineRule="exact"/>
              <w:ind w:firstLine="482"/>
              <w:rPr>
                <w:rFonts w:hint="eastAsia"/>
                <w:b w:val="0"/>
                <w:bCs/>
                <w:sz w:val="24"/>
                <w:szCs w:val="24"/>
                <w:lang w:val="en-US" w:eastAsia="zh-CN"/>
              </w:rPr>
            </w:pPr>
            <w:r>
              <w:rPr>
                <w:rFonts w:hint="eastAsia"/>
                <w:b w:val="0"/>
                <w:bCs/>
                <w:sz w:val="24"/>
                <w:szCs w:val="24"/>
                <w:lang w:val="en-US" w:eastAsia="zh-CN"/>
              </w:rPr>
              <w:t>雨水管道采用Ⅱ级钢筋混凝土管，管道基础采用120°C20混凝土基础，管道基础自下而上做法为150mm厚土垫层，300mm厚3：7灰土，100~150mmC20素混凝土垫层，120°C20素混凝土基础。管道接口为承插式橡胶圈接口。</w:t>
            </w:r>
          </w:p>
          <w:p>
            <w:pPr>
              <w:spacing w:line="480" w:lineRule="exact"/>
              <w:ind w:firstLine="482"/>
              <w:rPr>
                <w:rFonts w:hint="eastAsia"/>
                <w:b w:val="0"/>
                <w:bCs/>
                <w:sz w:val="24"/>
                <w:szCs w:val="24"/>
                <w:lang w:val="en-US" w:eastAsia="zh-CN"/>
              </w:rPr>
            </w:pPr>
            <w:r>
              <w:rPr>
                <w:rFonts w:hint="eastAsia"/>
                <w:b w:val="0"/>
                <w:bCs/>
                <w:sz w:val="24"/>
                <w:szCs w:val="24"/>
                <w:lang w:val="en-US" w:eastAsia="zh-CN"/>
              </w:rPr>
              <w:t>②附属设施：</w:t>
            </w:r>
          </w:p>
          <w:p>
            <w:pPr>
              <w:spacing w:line="480" w:lineRule="exact"/>
              <w:ind w:firstLine="482"/>
              <w:rPr>
                <w:rFonts w:hint="eastAsia"/>
                <w:b w:val="0"/>
                <w:bCs/>
                <w:sz w:val="24"/>
                <w:szCs w:val="24"/>
                <w:lang w:val="en-US" w:eastAsia="zh-CN"/>
              </w:rPr>
            </w:pPr>
            <w:r>
              <w:rPr>
                <w:rFonts w:hint="eastAsia"/>
                <w:b w:val="0"/>
                <w:bCs/>
                <w:sz w:val="24"/>
                <w:szCs w:val="24"/>
                <w:lang w:val="en-US" w:eastAsia="zh-CN"/>
              </w:rPr>
              <w:t>污水检查井采用700×700矩形钢筋混凝土排水检查井，柔性管与检查井连接时采用柔性连接方式。检查井基础自下而上采用300mm厚土垫层，300mm厚3：7灰土垫层，100mm厚C15混凝土垫层。</w:t>
            </w:r>
          </w:p>
          <w:p>
            <w:pPr>
              <w:spacing w:line="480" w:lineRule="exact"/>
              <w:ind w:firstLine="482"/>
              <w:rPr>
                <w:rFonts w:hint="eastAsia"/>
                <w:b w:val="0"/>
                <w:bCs/>
                <w:sz w:val="24"/>
                <w:szCs w:val="24"/>
                <w:lang w:val="en-US" w:eastAsia="zh-CN"/>
              </w:rPr>
            </w:pPr>
            <w:r>
              <w:rPr>
                <w:rFonts w:hint="eastAsia"/>
                <w:b w:val="0"/>
                <w:bCs/>
                <w:sz w:val="24"/>
                <w:szCs w:val="24"/>
                <w:lang w:val="en-US" w:eastAsia="zh-CN"/>
              </w:rPr>
              <w:t>管径D500~600雨水检查井采用1000×1000矩形钢筋混凝土检查井，D700~800mm雨水检查井采用1100×1100矩形钢筋混凝土检查井，D900mm雨水检查井采用1200×1100矩形钢筋混凝土检查井，D1000雨水检查井采用1300×1100mm钢筋混凝土矩形检查井。检查井基础自下而上采用300mm厚土垫层，300mm厚3：7灰土垫层，100mm厚C15混凝土垫层。</w:t>
            </w:r>
          </w:p>
          <w:p>
            <w:pPr>
              <w:spacing w:line="480" w:lineRule="exact"/>
              <w:ind w:firstLine="482"/>
              <w:rPr>
                <w:rFonts w:hint="eastAsia"/>
                <w:b w:val="0"/>
                <w:bCs/>
                <w:sz w:val="24"/>
                <w:szCs w:val="24"/>
                <w:lang w:val="en-US" w:eastAsia="zh-CN"/>
              </w:rPr>
            </w:pPr>
            <w:r>
              <w:rPr>
                <w:rFonts w:hint="eastAsia"/>
                <w:b w:val="0"/>
                <w:bCs/>
                <w:sz w:val="24"/>
                <w:szCs w:val="24"/>
                <w:lang w:val="en-US" w:eastAsia="zh-CN"/>
              </w:rPr>
              <w:t>检查井井盖及支座采用Φ700重型防盗型球墨铸铁井盖及支座，井座应防震、防响，密合度好，所有排水检查井井盖下安装防坠网。</w:t>
            </w:r>
          </w:p>
          <w:p>
            <w:pPr>
              <w:spacing w:line="480" w:lineRule="exact"/>
              <w:ind w:firstLine="482"/>
              <w:rPr>
                <w:rFonts w:hint="default"/>
                <w:b/>
                <w:bCs w:val="0"/>
                <w:sz w:val="24"/>
                <w:szCs w:val="24"/>
                <w:lang w:val="en-US" w:eastAsia="zh-CN"/>
              </w:rPr>
            </w:pPr>
            <w:r>
              <w:rPr>
                <w:rFonts w:hint="eastAsia"/>
                <w:b/>
                <w:bCs w:val="0"/>
                <w:sz w:val="24"/>
                <w:szCs w:val="24"/>
                <w:lang w:val="en-US" w:eastAsia="zh-CN"/>
              </w:rPr>
              <w:t>（6）管道埋深</w:t>
            </w:r>
          </w:p>
          <w:p>
            <w:pPr>
              <w:spacing w:line="480" w:lineRule="exact"/>
              <w:ind w:firstLine="482"/>
              <w:rPr>
                <w:rFonts w:hint="eastAsia"/>
                <w:b w:val="0"/>
                <w:bCs/>
                <w:sz w:val="24"/>
                <w:szCs w:val="24"/>
                <w:lang w:val="en-US" w:eastAsia="zh-CN"/>
              </w:rPr>
            </w:pPr>
            <w:r>
              <w:rPr>
                <w:rFonts w:hint="eastAsia"/>
                <w:b w:val="0"/>
                <w:bCs/>
                <w:sz w:val="24"/>
                <w:szCs w:val="24"/>
                <w:lang w:val="en-US" w:eastAsia="zh-CN"/>
              </w:rPr>
              <w:t>排水管道采用直埋敷设，五台县最大冻土深度为1.23m，根据地面荷载、管道衔接的要求，污水管道覆土厚度控制在2.5m，雨水管道覆土厚度控制在1.5m。</w:t>
            </w:r>
          </w:p>
          <w:p>
            <w:pPr>
              <w:spacing w:line="480" w:lineRule="exact"/>
              <w:ind w:firstLine="482"/>
              <w:rPr>
                <w:rFonts w:hint="default" w:cs="Times New Roman"/>
                <w:b w:val="0"/>
                <w:bCs/>
                <w:sz w:val="24"/>
                <w:szCs w:val="24"/>
                <w:lang w:val="en-US" w:eastAsia="zh-CN"/>
              </w:rPr>
            </w:pPr>
            <w:r>
              <w:rPr>
                <w:rFonts w:hint="eastAsia" w:cs="Times New Roman"/>
                <w:b w:val="0"/>
                <w:bCs/>
                <w:sz w:val="24"/>
                <w:szCs w:val="24"/>
                <w:lang w:val="en-US" w:eastAsia="zh-CN"/>
              </w:rPr>
              <w:t>本项目排水工程主要设备材料见下表。</w:t>
            </w:r>
          </w:p>
          <w:p>
            <w:pPr>
              <w:pStyle w:val="27"/>
              <w:keepNext w:val="0"/>
              <w:keepLines w:val="0"/>
              <w:pageBreakBefore w:val="0"/>
              <w:widowControl w:val="0"/>
              <w:kinsoku/>
              <w:wordWrap/>
              <w:overflowPunct/>
              <w:topLinePunct w:val="0"/>
              <w:autoSpaceDE/>
              <w:autoSpaceDN/>
              <w:bidi w:val="0"/>
              <w:adjustRightInd/>
              <w:snapToGrid/>
              <w:spacing w:before="0" w:after="0" w:afterAutospacing="0" w:line="480" w:lineRule="atLeast"/>
              <w:textAlignment w:val="auto"/>
              <w:rPr>
                <w:rFonts w:hint="default" w:ascii="黑体" w:hAnsi="黑体" w:eastAsia="黑体"/>
                <w:sz w:val="24"/>
                <w:szCs w:val="24"/>
                <w:lang w:val="en-US" w:eastAsia="zh-CN"/>
              </w:rPr>
            </w:pPr>
            <w:r>
              <w:rPr>
                <w:rFonts w:hint="eastAsia" w:ascii="黑体" w:hAnsi="黑体" w:eastAsia="黑体"/>
                <w:sz w:val="24"/>
                <w:szCs w:val="24"/>
                <w:lang w:val="en-US" w:eastAsia="zh-CN"/>
              </w:rPr>
              <w:t>表2-5  排水工程主要设备材料一览表</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4"/>
              <w:gridCol w:w="665"/>
              <w:gridCol w:w="620"/>
              <w:gridCol w:w="2250"/>
              <w:gridCol w:w="1600"/>
              <w:gridCol w:w="650"/>
              <w:gridCol w:w="650"/>
              <w:gridCol w:w="13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系统</w:t>
                  </w:r>
                </w:p>
              </w:tc>
              <w:tc>
                <w:tcPr>
                  <w:tcW w:w="66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路名</w:t>
                  </w:r>
                </w:p>
              </w:tc>
              <w:tc>
                <w:tcPr>
                  <w:tcW w:w="6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序号</w:t>
                  </w:r>
                </w:p>
              </w:tc>
              <w:tc>
                <w:tcPr>
                  <w:tcW w:w="22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名称</w:t>
                  </w:r>
                </w:p>
              </w:tc>
              <w:tc>
                <w:tcPr>
                  <w:tcW w:w="160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规格(mm)</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单位</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数量</w:t>
                  </w:r>
                </w:p>
              </w:tc>
              <w:tc>
                <w:tcPr>
                  <w:tcW w:w="130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雨</w:t>
                  </w:r>
                </w:p>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水</w:t>
                  </w:r>
                </w:p>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管</w:t>
                  </w:r>
                </w:p>
              </w:tc>
              <w:tc>
                <w:tcPr>
                  <w:tcW w:w="665"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东外环路</w:t>
                  </w:r>
                </w:p>
              </w:tc>
              <w:tc>
                <w:tcPr>
                  <w:tcW w:w="6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22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lang w:val="en-US"/>
                    </w:rPr>
                  </w:pPr>
                  <w:r>
                    <w:rPr>
                      <w:rFonts w:hint="default" w:ascii="Times New Roman" w:hAnsi="Times New Roman" w:eastAsia="宋体" w:cs="Times New Roman"/>
                      <w:i w:val="0"/>
                      <w:iCs w:val="0"/>
                      <w:color w:val="000000"/>
                      <w:kern w:val="0"/>
                      <w:sz w:val="21"/>
                      <w:szCs w:val="21"/>
                      <w:u w:val="none"/>
                      <w:lang w:val="en-US" w:eastAsia="zh-CN" w:bidi="ar"/>
                    </w:rPr>
                    <w:t>II级钢筋混凝土管</w:t>
                  </w:r>
                </w:p>
              </w:tc>
              <w:tc>
                <w:tcPr>
                  <w:tcW w:w="160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lang w:val="en-US"/>
                    </w:rPr>
                  </w:pPr>
                  <w:r>
                    <w:rPr>
                      <w:rFonts w:hint="default" w:ascii="Times New Roman" w:hAnsi="Times New Roman" w:eastAsia="宋体" w:cs="Times New Roman"/>
                      <w:i w:val="0"/>
                      <w:iCs w:val="0"/>
                      <w:color w:val="000000"/>
                      <w:kern w:val="0"/>
                      <w:sz w:val="21"/>
                      <w:szCs w:val="21"/>
                      <w:u w:val="none"/>
                      <w:lang w:val="en-US" w:eastAsia="zh-CN" w:bidi="ar"/>
                    </w:rPr>
                    <w:t>DN300</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米</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lang w:val="en-US"/>
                    </w:rPr>
                  </w:pPr>
                  <w:r>
                    <w:rPr>
                      <w:rFonts w:hint="default" w:ascii="Times New Roman" w:hAnsi="Times New Roman" w:eastAsia="宋体" w:cs="Times New Roman"/>
                      <w:i w:val="0"/>
                      <w:iCs w:val="0"/>
                      <w:color w:val="000000"/>
                      <w:kern w:val="0"/>
                      <w:sz w:val="21"/>
                      <w:szCs w:val="21"/>
                      <w:u w:val="none"/>
                      <w:lang w:val="en-US" w:eastAsia="zh-CN" w:bidi="ar"/>
                    </w:rPr>
                    <w:t>683</w:t>
                  </w:r>
                </w:p>
              </w:tc>
              <w:tc>
                <w:tcPr>
                  <w:tcW w:w="130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钢筋混凝土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65"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22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II级钢筋混凝土管</w:t>
                  </w:r>
                </w:p>
              </w:tc>
              <w:tc>
                <w:tcPr>
                  <w:tcW w:w="160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DN700</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米</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347</w:t>
                  </w:r>
                </w:p>
              </w:tc>
              <w:tc>
                <w:tcPr>
                  <w:tcW w:w="130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钢筋混凝土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65"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3</w:t>
                  </w:r>
                </w:p>
              </w:tc>
              <w:tc>
                <w:tcPr>
                  <w:tcW w:w="22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II级钢筋混凝土管</w:t>
                  </w:r>
                </w:p>
              </w:tc>
              <w:tc>
                <w:tcPr>
                  <w:tcW w:w="160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lang w:val="en-US"/>
                    </w:rPr>
                  </w:pPr>
                  <w:r>
                    <w:rPr>
                      <w:rFonts w:hint="default" w:ascii="Times New Roman" w:hAnsi="Times New Roman" w:eastAsia="宋体" w:cs="Times New Roman"/>
                      <w:i w:val="0"/>
                      <w:iCs w:val="0"/>
                      <w:color w:val="000000"/>
                      <w:kern w:val="0"/>
                      <w:sz w:val="21"/>
                      <w:szCs w:val="21"/>
                      <w:u w:val="none"/>
                      <w:lang w:val="en-US" w:eastAsia="zh-CN" w:bidi="ar"/>
                    </w:rPr>
                    <w:t>DN1000</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米</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lang w:val="en-US"/>
                    </w:rPr>
                  </w:pPr>
                  <w:r>
                    <w:rPr>
                      <w:rFonts w:hint="default" w:ascii="Times New Roman" w:hAnsi="Times New Roman" w:eastAsia="宋体" w:cs="Times New Roman"/>
                      <w:i w:val="0"/>
                      <w:iCs w:val="0"/>
                      <w:color w:val="000000"/>
                      <w:kern w:val="0"/>
                      <w:sz w:val="21"/>
                      <w:szCs w:val="21"/>
                      <w:u w:val="none"/>
                      <w:lang w:val="en-US" w:eastAsia="zh-CN" w:bidi="ar"/>
                    </w:rPr>
                    <w:t>541</w:t>
                  </w:r>
                </w:p>
              </w:tc>
              <w:tc>
                <w:tcPr>
                  <w:tcW w:w="130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钢筋混凝土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65"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4</w:t>
                  </w:r>
                </w:p>
              </w:tc>
              <w:tc>
                <w:tcPr>
                  <w:tcW w:w="22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II级钢筋混凝土管</w:t>
                  </w:r>
                </w:p>
              </w:tc>
              <w:tc>
                <w:tcPr>
                  <w:tcW w:w="160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DN1100</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米</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lang w:val="en-US"/>
                    </w:rPr>
                  </w:pPr>
                  <w:r>
                    <w:rPr>
                      <w:rFonts w:hint="default" w:ascii="Times New Roman" w:hAnsi="Times New Roman" w:eastAsia="宋体" w:cs="Times New Roman"/>
                      <w:i w:val="0"/>
                      <w:iCs w:val="0"/>
                      <w:color w:val="000000"/>
                      <w:kern w:val="0"/>
                      <w:sz w:val="21"/>
                      <w:szCs w:val="21"/>
                      <w:u w:val="none"/>
                      <w:lang w:val="en-US" w:eastAsia="zh-CN" w:bidi="ar"/>
                    </w:rPr>
                    <w:t>96</w:t>
                  </w:r>
                </w:p>
              </w:tc>
              <w:tc>
                <w:tcPr>
                  <w:tcW w:w="130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钢筋混凝土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65"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5</w:t>
                  </w:r>
                </w:p>
              </w:tc>
              <w:tc>
                <w:tcPr>
                  <w:tcW w:w="22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II级钢筋混凝土管</w:t>
                  </w:r>
                </w:p>
              </w:tc>
              <w:tc>
                <w:tcPr>
                  <w:tcW w:w="160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DN1200</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米</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136</w:t>
                  </w:r>
                </w:p>
              </w:tc>
              <w:tc>
                <w:tcPr>
                  <w:tcW w:w="130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钢筋混凝土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65"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6</w:t>
                  </w:r>
                </w:p>
              </w:tc>
              <w:tc>
                <w:tcPr>
                  <w:tcW w:w="22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单篦偏沟式雨水口</w:t>
                  </w:r>
                </w:p>
              </w:tc>
              <w:tc>
                <w:tcPr>
                  <w:tcW w:w="160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680×380</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个</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38</w:t>
                  </w:r>
                </w:p>
              </w:tc>
              <w:tc>
                <w:tcPr>
                  <w:tcW w:w="130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混凝土模块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65"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7</w:t>
                  </w:r>
                </w:p>
              </w:tc>
              <w:tc>
                <w:tcPr>
                  <w:tcW w:w="22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检查井</w:t>
                  </w:r>
                </w:p>
              </w:tc>
              <w:tc>
                <w:tcPr>
                  <w:tcW w:w="160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Φ1250</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座</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7</w:t>
                  </w:r>
                </w:p>
              </w:tc>
              <w:tc>
                <w:tcPr>
                  <w:tcW w:w="130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65"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8</w:t>
                  </w:r>
                </w:p>
              </w:tc>
              <w:tc>
                <w:tcPr>
                  <w:tcW w:w="22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检查井</w:t>
                  </w:r>
                </w:p>
              </w:tc>
              <w:tc>
                <w:tcPr>
                  <w:tcW w:w="160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sz w:val="21"/>
                      <w:szCs w:val="21"/>
                      <w:u w:val="none"/>
                      <w:lang w:val="en-US" w:eastAsia="zh-CN"/>
                    </w:rPr>
                    <w:t>Φ1500</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座</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12</w:t>
                  </w:r>
                </w:p>
              </w:tc>
              <w:tc>
                <w:tcPr>
                  <w:tcW w:w="130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65"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9</w:t>
                  </w:r>
                </w:p>
              </w:tc>
              <w:tc>
                <w:tcPr>
                  <w:tcW w:w="22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检查井</w:t>
                  </w:r>
                </w:p>
              </w:tc>
              <w:tc>
                <w:tcPr>
                  <w:tcW w:w="160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1400×1100</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座</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130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65"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10</w:t>
                  </w:r>
                </w:p>
              </w:tc>
              <w:tc>
                <w:tcPr>
                  <w:tcW w:w="22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检查井</w:t>
                  </w:r>
                </w:p>
              </w:tc>
              <w:tc>
                <w:tcPr>
                  <w:tcW w:w="160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lang w:val="en-US" w:eastAsia="zh-CN"/>
                    </w:rPr>
                    <w:t>1800×1100</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座</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130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65"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11</w:t>
                  </w:r>
                </w:p>
              </w:tc>
              <w:tc>
                <w:tcPr>
                  <w:tcW w:w="22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检查井</w:t>
                  </w:r>
                </w:p>
              </w:tc>
              <w:tc>
                <w:tcPr>
                  <w:tcW w:w="160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lang w:val="en-US"/>
                    </w:rPr>
                  </w:pPr>
                  <w:r>
                    <w:rPr>
                      <w:rFonts w:hint="default" w:ascii="Times New Roman" w:hAnsi="Times New Roman" w:eastAsia="宋体" w:cs="Times New Roman"/>
                      <w:i w:val="0"/>
                      <w:iCs w:val="0"/>
                      <w:color w:val="000000"/>
                      <w:sz w:val="21"/>
                      <w:szCs w:val="21"/>
                      <w:u w:val="none"/>
                      <w:lang w:val="en-US" w:eastAsia="zh-CN"/>
                    </w:rPr>
                    <w:t>2630×2630</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座</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30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65"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12</w:t>
                  </w:r>
                </w:p>
              </w:tc>
              <w:tc>
                <w:tcPr>
                  <w:tcW w:w="22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双篦偏沟式雨水口</w:t>
                  </w:r>
                </w:p>
              </w:tc>
              <w:tc>
                <w:tcPr>
                  <w:tcW w:w="160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sz w:val="21"/>
                      <w:szCs w:val="21"/>
                      <w:u w:val="none"/>
                      <w:lang w:val="en-US" w:eastAsia="zh-CN"/>
                    </w:rPr>
                    <w:t>655×380</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个</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40</w:t>
                  </w:r>
                </w:p>
              </w:tc>
              <w:tc>
                <w:tcPr>
                  <w:tcW w:w="130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混凝土模块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65"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湖滨大街西延</w:t>
                  </w:r>
                </w:p>
              </w:tc>
              <w:tc>
                <w:tcPr>
                  <w:tcW w:w="6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22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II级钢筋混凝土管</w:t>
                  </w:r>
                </w:p>
              </w:tc>
              <w:tc>
                <w:tcPr>
                  <w:tcW w:w="160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DN300</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米</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410</w:t>
                  </w:r>
                </w:p>
              </w:tc>
              <w:tc>
                <w:tcPr>
                  <w:tcW w:w="130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钢筋混凝土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65"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22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II级钢筋混凝土管</w:t>
                  </w:r>
                </w:p>
              </w:tc>
              <w:tc>
                <w:tcPr>
                  <w:tcW w:w="160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DN600</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米</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150</w:t>
                  </w:r>
                </w:p>
              </w:tc>
              <w:tc>
                <w:tcPr>
                  <w:tcW w:w="130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钢筋混凝土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65"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sz w:val="21"/>
                      <w:szCs w:val="21"/>
                      <w:u w:val="none"/>
                      <w:lang w:val="en-US" w:eastAsia="zh-CN"/>
                    </w:rPr>
                    <w:t>3</w:t>
                  </w:r>
                </w:p>
              </w:tc>
              <w:tc>
                <w:tcPr>
                  <w:tcW w:w="22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II级钢筋混凝土管</w:t>
                  </w:r>
                </w:p>
              </w:tc>
              <w:tc>
                <w:tcPr>
                  <w:tcW w:w="160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DN800</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米</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555</w:t>
                  </w:r>
                </w:p>
              </w:tc>
              <w:tc>
                <w:tcPr>
                  <w:tcW w:w="130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钢筋混凝土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65"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sz w:val="21"/>
                      <w:szCs w:val="21"/>
                      <w:u w:val="none"/>
                      <w:lang w:val="en-US" w:eastAsia="zh-CN"/>
                    </w:rPr>
                    <w:t>4</w:t>
                  </w:r>
                </w:p>
              </w:tc>
              <w:tc>
                <w:tcPr>
                  <w:tcW w:w="22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II级钢筋混凝土管</w:t>
                  </w:r>
                </w:p>
              </w:tc>
              <w:tc>
                <w:tcPr>
                  <w:tcW w:w="160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DN1200</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米</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96</w:t>
                  </w:r>
                </w:p>
              </w:tc>
              <w:tc>
                <w:tcPr>
                  <w:tcW w:w="130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钢筋混凝土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65"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sz w:val="21"/>
                      <w:szCs w:val="21"/>
                      <w:u w:val="none"/>
                      <w:lang w:val="en-US" w:eastAsia="zh-CN"/>
                    </w:rPr>
                    <w:t>5</w:t>
                  </w:r>
                </w:p>
              </w:tc>
              <w:tc>
                <w:tcPr>
                  <w:tcW w:w="22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单篦偏沟式雨水口</w:t>
                  </w:r>
                </w:p>
              </w:tc>
              <w:tc>
                <w:tcPr>
                  <w:tcW w:w="160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sz w:val="21"/>
                      <w:szCs w:val="21"/>
                      <w:u w:val="none"/>
                      <w:lang w:val="en-US" w:eastAsia="zh-CN"/>
                    </w:rPr>
                    <w:t>680×380</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个</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24</w:t>
                  </w:r>
                </w:p>
              </w:tc>
              <w:tc>
                <w:tcPr>
                  <w:tcW w:w="130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混凝土模块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65"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sz w:val="21"/>
                      <w:szCs w:val="21"/>
                      <w:u w:val="none"/>
                      <w:lang w:val="en-US" w:eastAsia="zh-CN"/>
                    </w:rPr>
                    <w:t>6</w:t>
                  </w:r>
                </w:p>
              </w:tc>
              <w:tc>
                <w:tcPr>
                  <w:tcW w:w="22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检查井</w:t>
                  </w:r>
                </w:p>
              </w:tc>
              <w:tc>
                <w:tcPr>
                  <w:tcW w:w="160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sz w:val="21"/>
                      <w:szCs w:val="21"/>
                      <w:u w:val="none"/>
                      <w:lang w:val="en-US" w:eastAsia="zh-CN"/>
                    </w:rPr>
                    <w:t>1000×1000</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座</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130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65"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sz w:val="21"/>
                      <w:szCs w:val="21"/>
                      <w:u w:val="none"/>
                      <w:lang w:val="en-US" w:eastAsia="zh-CN"/>
                    </w:rPr>
                    <w:t>7</w:t>
                  </w:r>
                </w:p>
              </w:tc>
              <w:tc>
                <w:tcPr>
                  <w:tcW w:w="22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检查井</w:t>
                  </w:r>
                </w:p>
              </w:tc>
              <w:tc>
                <w:tcPr>
                  <w:tcW w:w="160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sz w:val="21"/>
                      <w:szCs w:val="21"/>
                      <w:u w:val="none"/>
                      <w:lang w:val="en-US" w:eastAsia="zh-CN"/>
                    </w:rPr>
                    <w:t>1100×1100</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座</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13</w:t>
                  </w:r>
                </w:p>
              </w:tc>
              <w:tc>
                <w:tcPr>
                  <w:tcW w:w="130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65"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8</w:t>
                  </w:r>
                </w:p>
              </w:tc>
              <w:tc>
                <w:tcPr>
                  <w:tcW w:w="22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双篦偏沟式雨水口</w:t>
                  </w:r>
                </w:p>
              </w:tc>
              <w:tc>
                <w:tcPr>
                  <w:tcW w:w="160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sz w:val="21"/>
                      <w:szCs w:val="21"/>
                      <w:u w:val="none"/>
                      <w:lang w:val="en-US" w:eastAsia="zh-CN"/>
                    </w:rPr>
                    <w:t>655×380</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个</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26</w:t>
                  </w:r>
                </w:p>
              </w:tc>
              <w:tc>
                <w:tcPr>
                  <w:tcW w:w="130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混凝土模块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65"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文昌路</w:t>
                  </w:r>
                </w:p>
              </w:tc>
              <w:tc>
                <w:tcPr>
                  <w:tcW w:w="6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22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II级钢筋混凝土管</w:t>
                  </w:r>
                </w:p>
              </w:tc>
              <w:tc>
                <w:tcPr>
                  <w:tcW w:w="160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DN300</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米</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120</w:t>
                  </w:r>
                </w:p>
              </w:tc>
              <w:tc>
                <w:tcPr>
                  <w:tcW w:w="130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钢筋混凝土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65" w:type="dxa"/>
                  <w:vMerge w:val="continue"/>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20"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2250"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II级钢筋混凝土管</w:t>
                  </w:r>
                </w:p>
              </w:tc>
              <w:tc>
                <w:tcPr>
                  <w:tcW w:w="1600"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DN600</w:t>
                  </w:r>
                </w:p>
              </w:tc>
              <w:tc>
                <w:tcPr>
                  <w:tcW w:w="650"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米</w:t>
                  </w:r>
                </w:p>
              </w:tc>
              <w:tc>
                <w:tcPr>
                  <w:tcW w:w="650"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465</w:t>
                  </w:r>
                </w:p>
              </w:tc>
              <w:tc>
                <w:tcPr>
                  <w:tcW w:w="1309"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钢筋混凝土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65" w:type="dxa"/>
                  <w:vMerge w:val="continue"/>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20"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2250"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II级钢筋混凝土管</w:t>
                  </w:r>
                </w:p>
              </w:tc>
              <w:tc>
                <w:tcPr>
                  <w:tcW w:w="1600"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DN800</w:t>
                  </w:r>
                </w:p>
              </w:tc>
              <w:tc>
                <w:tcPr>
                  <w:tcW w:w="650"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米</w:t>
                  </w:r>
                </w:p>
              </w:tc>
              <w:tc>
                <w:tcPr>
                  <w:tcW w:w="650"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230</w:t>
                  </w:r>
                </w:p>
              </w:tc>
              <w:tc>
                <w:tcPr>
                  <w:tcW w:w="1309"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钢筋混凝土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65" w:type="dxa"/>
                  <w:vMerge w:val="continue"/>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20"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4</w:t>
                  </w:r>
                </w:p>
              </w:tc>
              <w:tc>
                <w:tcPr>
                  <w:tcW w:w="2250"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II级钢筋混凝土管</w:t>
                  </w:r>
                </w:p>
              </w:tc>
              <w:tc>
                <w:tcPr>
                  <w:tcW w:w="1600"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DN1000</w:t>
                  </w:r>
                </w:p>
              </w:tc>
              <w:tc>
                <w:tcPr>
                  <w:tcW w:w="650"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米</w:t>
                  </w:r>
                </w:p>
              </w:tc>
              <w:tc>
                <w:tcPr>
                  <w:tcW w:w="650"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60</w:t>
                  </w:r>
                </w:p>
              </w:tc>
              <w:tc>
                <w:tcPr>
                  <w:tcW w:w="1309"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钢筋混凝土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65" w:type="dxa"/>
                  <w:vMerge w:val="continue"/>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20"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2250"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单篦偏沟式雨水口</w:t>
                  </w:r>
                </w:p>
              </w:tc>
              <w:tc>
                <w:tcPr>
                  <w:tcW w:w="1600"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sz w:val="21"/>
                      <w:szCs w:val="21"/>
                      <w:u w:val="none"/>
                      <w:lang w:val="en-US" w:eastAsia="zh-CN"/>
                    </w:rPr>
                    <w:t>680×380</w:t>
                  </w:r>
                </w:p>
              </w:tc>
              <w:tc>
                <w:tcPr>
                  <w:tcW w:w="650"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个</w:t>
                  </w:r>
                </w:p>
              </w:tc>
              <w:tc>
                <w:tcPr>
                  <w:tcW w:w="650"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15</w:t>
                  </w:r>
                </w:p>
              </w:tc>
              <w:tc>
                <w:tcPr>
                  <w:tcW w:w="1309"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混凝土模块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65" w:type="dxa"/>
                  <w:vMerge w:val="continue"/>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20"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6</w:t>
                  </w:r>
                </w:p>
              </w:tc>
              <w:tc>
                <w:tcPr>
                  <w:tcW w:w="2250"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检查井</w:t>
                  </w:r>
                </w:p>
              </w:tc>
              <w:tc>
                <w:tcPr>
                  <w:tcW w:w="1600"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sz w:val="21"/>
                      <w:szCs w:val="21"/>
                      <w:u w:val="none"/>
                      <w:lang w:val="en-US" w:eastAsia="zh-CN"/>
                    </w:rPr>
                    <w:t>1000×1000</w:t>
                  </w:r>
                </w:p>
              </w:tc>
              <w:tc>
                <w:tcPr>
                  <w:tcW w:w="650"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座</w:t>
                  </w:r>
                </w:p>
              </w:tc>
              <w:tc>
                <w:tcPr>
                  <w:tcW w:w="650"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10</w:t>
                  </w:r>
                </w:p>
              </w:tc>
              <w:tc>
                <w:tcPr>
                  <w:tcW w:w="1309"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65" w:type="dxa"/>
                  <w:vMerge w:val="continue"/>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20"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7</w:t>
                  </w:r>
                </w:p>
              </w:tc>
              <w:tc>
                <w:tcPr>
                  <w:tcW w:w="2250"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检查井</w:t>
                  </w:r>
                </w:p>
              </w:tc>
              <w:tc>
                <w:tcPr>
                  <w:tcW w:w="1600"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sz w:val="21"/>
                      <w:szCs w:val="21"/>
                      <w:u w:val="none"/>
                      <w:lang w:val="en-US" w:eastAsia="zh-CN"/>
                    </w:rPr>
                    <w:t>1100×1100</w:t>
                  </w:r>
                </w:p>
              </w:tc>
              <w:tc>
                <w:tcPr>
                  <w:tcW w:w="650"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座</w:t>
                  </w:r>
                </w:p>
              </w:tc>
              <w:tc>
                <w:tcPr>
                  <w:tcW w:w="650"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w:t>
                  </w:r>
                </w:p>
              </w:tc>
              <w:tc>
                <w:tcPr>
                  <w:tcW w:w="1309"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65" w:type="dxa"/>
                  <w:vMerge w:val="continue"/>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20" w:type="dxa"/>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w:t>
                  </w:r>
                </w:p>
              </w:tc>
              <w:tc>
                <w:tcPr>
                  <w:tcW w:w="2250"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检查井</w:t>
                  </w:r>
                </w:p>
              </w:tc>
              <w:tc>
                <w:tcPr>
                  <w:tcW w:w="1600"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sz w:val="21"/>
                      <w:szCs w:val="21"/>
                      <w:u w:val="none"/>
                      <w:lang w:val="en-US" w:eastAsia="zh-CN"/>
                    </w:rPr>
                    <w:t>1300×1100</w:t>
                  </w:r>
                </w:p>
              </w:tc>
              <w:tc>
                <w:tcPr>
                  <w:tcW w:w="650"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座</w:t>
                  </w:r>
                </w:p>
              </w:tc>
              <w:tc>
                <w:tcPr>
                  <w:tcW w:w="650"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1309"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污</w:t>
                  </w:r>
                </w:p>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水</w:t>
                  </w:r>
                </w:p>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管</w:t>
                  </w:r>
                </w:p>
              </w:tc>
              <w:tc>
                <w:tcPr>
                  <w:tcW w:w="665"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东外环路</w:t>
                  </w:r>
                </w:p>
              </w:tc>
              <w:tc>
                <w:tcPr>
                  <w:tcW w:w="6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22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lang w:val="en-US"/>
                    </w:rPr>
                  </w:pPr>
                  <w:r>
                    <w:rPr>
                      <w:rFonts w:hint="default" w:ascii="Times New Roman" w:hAnsi="Times New Roman" w:eastAsia="宋体" w:cs="Times New Roman"/>
                      <w:i w:val="0"/>
                      <w:iCs w:val="0"/>
                      <w:color w:val="000000"/>
                      <w:kern w:val="0"/>
                      <w:sz w:val="21"/>
                      <w:szCs w:val="21"/>
                      <w:u w:val="none"/>
                      <w:lang w:val="en-US" w:eastAsia="zh-CN" w:bidi="ar"/>
                    </w:rPr>
                    <w:t>HDPE双壁波纹管</w:t>
                  </w:r>
                </w:p>
              </w:tc>
              <w:tc>
                <w:tcPr>
                  <w:tcW w:w="160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lang w:val="en-US"/>
                    </w:rPr>
                  </w:pPr>
                  <w:r>
                    <w:rPr>
                      <w:rFonts w:hint="default" w:ascii="Times New Roman" w:hAnsi="Times New Roman" w:eastAsia="宋体" w:cs="Times New Roman"/>
                      <w:i w:val="0"/>
                      <w:iCs w:val="0"/>
                      <w:color w:val="000000"/>
                      <w:kern w:val="0"/>
                      <w:sz w:val="21"/>
                      <w:szCs w:val="21"/>
                      <w:u w:val="none"/>
                      <w:lang w:val="en-US" w:eastAsia="zh-CN" w:bidi="ar"/>
                    </w:rPr>
                    <w:t>DN400</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米</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lang w:val="en-US"/>
                    </w:rPr>
                  </w:pPr>
                  <w:r>
                    <w:rPr>
                      <w:rFonts w:hint="default" w:ascii="Times New Roman" w:hAnsi="Times New Roman" w:eastAsia="宋体" w:cs="Times New Roman"/>
                      <w:i w:val="0"/>
                      <w:iCs w:val="0"/>
                      <w:color w:val="000000"/>
                      <w:kern w:val="0"/>
                      <w:sz w:val="21"/>
                      <w:szCs w:val="21"/>
                      <w:u w:val="none"/>
                      <w:lang w:val="en-US" w:eastAsia="zh-CN" w:bidi="ar"/>
                    </w:rPr>
                    <w:t>1178</w:t>
                  </w:r>
                </w:p>
              </w:tc>
              <w:tc>
                <w:tcPr>
                  <w:tcW w:w="130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钢筋混凝土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65"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22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检查井</w:t>
                  </w:r>
                </w:p>
              </w:tc>
              <w:tc>
                <w:tcPr>
                  <w:tcW w:w="160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Φ1000</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座</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39</w:t>
                  </w:r>
                </w:p>
              </w:tc>
              <w:tc>
                <w:tcPr>
                  <w:tcW w:w="130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钢筋混凝土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65"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湖滨大街西延</w:t>
                  </w:r>
                </w:p>
              </w:tc>
              <w:tc>
                <w:tcPr>
                  <w:tcW w:w="6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22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HDPE双壁波纹</w:t>
                  </w:r>
                </w:p>
              </w:tc>
              <w:tc>
                <w:tcPr>
                  <w:tcW w:w="160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DN400</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米</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765</w:t>
                  </w:r>
                </w:p>
              </w:tc>
              <w:tc>
                <w:tcPr>
                  <w:tcW w:w="130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钢筋混凝土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65"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22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聚乙烯PE100管</w:t>
                  </w:r>
                </w:p>
              </w:tc>
              <w:tc>
                <w:tcPr>
                  <w:tcW w:w="160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2"/>
                      <w:sz w:val="21"/>
                      <w:szCs w:val="21"/>
                      <w:u w:val="none"/>
                      <w:lang w:val="en-US" w:eastAsia="zh-CN" w:bidi="ar-SA"/>
                    </w:rPr>
                    <w:t>dn315</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米</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820</w:t>
                  </w:r>
                </w:p>
              </w:tc>
              <w:tc>
                <w:tcPr>
                  <w:tcW w:w="130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钢筋混凝土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65"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6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sz w:val="21"/>
                      <w:szCs w:val="21"/>
                      <w:u w:val="none"/>
                      <w:lang w:val="en-US" w:eastAsia="zh-CN"/>
                    </w:rPr>
                    <w:t>3</w:t>
                  </w:r>
                </w:p>
              </w:tc>
              <w:tc>
                <w:tcPr>
                  <w:tcW w:w="22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检查井</w:t>
                  </w:r>
                </w:p>
              </w:tc>
              <w:tc>
                <w:tcPr>
                  <w:tcW w:w="160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700×700</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座</w:t>
                  </w:r>
                </w:p>
              </w:tc>
              <w:tc>
                <w:tcPr>
                  <w:tcW w:w="6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28</w:t>
                  </w:r>
                </w:p>
              </w:tc>
              <w:tc>
                <w:tcPr>
                  <w:tcW w:w="130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钢筋混凝土</w:t>
                  </w:r>
                </w:p>
              </w:tc>
            </w:tr>
          </w:tbl>
          <w:p>
            <w:pPr>
              <w:spacing w:line="480" w:lineRule="exact"/>
              <w:ind w:firstLine="482"/>
              <w:rPr>
                <w:rFonts w:hint="default"/>
                <w:b/>
                <w:sz w:val="24"/>
                <w:szCs w:val="24"/>
                <w:lang w:val="en-US" w:eastAsia="zh-CN"/>
              </w:rPr>
            </w:pPr>
            <w:r>
              <w:rPr>
                <w:rFonts w:hint="eastAsia"/>
                <w:b/>
                <w:sz w:val="24"/>
                <w:szCs w:val="24"/>
                <w:lang w:val="en-US" w:eastAsia="zh-CN"/>
              </w:rPr>
              <w:t>2.6电力工程</w:t>
            </w:r>
          </w:p>
          <w:p>
            <w:pPr>
              <w:spacing w:line="480" w:lineRule="exact"/>
              <w:ind w:firstLine="480"/>
              <w:rPr>
                <w:rFonts w:hint="default" w:ascii="Times New Roman" w:hAnsi="Times New Roman" w:eastAsia="宋体" w:cs="Times New Roman"/>
                <w:b/>
                <w:bCs w:val="0"/>
                <w:sz w:val="24"/>
                <w:szCs w:val="24"/>
                <w:lang w:val="en-US" w:eastAsia="zh-CN"/>
              </w:rPr>
            </w:pPr>
            <w:r>
              <w:rPr>
                <w:rFonts w:hint="default" w:ascii="Times New Roman" w:hAnsi="Times New Roman" w:cs="Times New Roman"/>
                <w:b/>
                <w:bCs w:val="0"/>
                <w:sz w:val="24"/>
                <w:szCs w:val="24"/>
                <w:lang w:val="en-US" w:eastAsia="zh-CN"/>
              </w:rPr>
              <w:t>2.</w:t>
            </w:r>
            <w:r>
              <w:rPr>
                <w:rFonts w:hint="eastAsia" w:cs="Times New Roman"/>
                <w:b/>
                <w:bCs w:val="0"/>
                <w:sz w:val="24"/>
                <w:szCs w:val="24"/>
                <w:lang w:val="en-US" w:eastAsia="zh-CN"/>
              </w:rPr>
              <w:t>6</w:t>
            </w:r>
            <w:r>
              <w:rPr>
                <w:rFonts w:hint="default" w:ascii="Times New Roman" w:hAnsi="Times New Roman" w:cs="Times New Roman"/>
                <w:b/>
                <w:bCs w:val="0"/>
                <w:sz w:val="24"/>
                <w:szCs w:val="24"/>
                <w:lang w:val="en-US" w:eastAsia="zh-CN"/>
              </w:rPr>
              <w:t>.</w:t>
            </w:r>
            <w:r>
              <w:rPr>
                <w:rFonts w:hint="eastAsia" w:cs="Times New Roman"/>
                <w:b/>
                <w:bCs w:val="0"/>
                <w:sz w:val="24"/>
                <w:szCs w:val="24"/>
                <w:lang w:val="en-US" w:eastAsia="zh-CN"/>
              </w:rPr>
              <w:t>1电源</w:t>
            </w:r>
          </w:p>
          <w:p>
            <w:pPr>
              <w:spacing w:line="480" w:lineRule="exact"/>
              <w:ind w:firstLine="482"/>
              <w:rPr>
                <w:rFonts w:hint="eastAsia"/>
                <w:b w:val="0"/>
                <w:bCs/>
                <w:sz w:val="24"/>
                <w:szCs w:val="24"/>
                <w:lang w:val="en-US" w:eastAsia="zh-CN"/>
              </w:rPr>
            </w:pPr>
            <w:r>
              <w:rPr>
                <w:rFonts w:hint="eastAsia"/>
                <w:b w:val="0"/>
                <w:bCs/>
                <w:sz w:val="24"/>
                <w:szCs w:val="24"/>
                <w:lang w:val="en-US" w:eastAsia="zh-CN"/>
              </w:rPr>
              <w:t>本次范围内10kV电源线路引自中心城区及其附近的变电站。</w:t>
            </w:r>
          </w:p>
          <w:p>
            <w:pPr>
              <w:spacing w:line="480" w:lineRule="exact"/>
              <w:ind w:firstLine="480"/>
              <w:rPr>
                <w:rFonts w:hint="default" w:ascii="Times New Roman" w:hAnsi="Times New Roman" w:eastAsia="宋体" w:cs="Times New Roman"/>
                <w:b/>
                <w:bCs w:val="0"/>
                <w:sz w:val="24"/>
                <w:szCs w:val="24"/>
                <w:lang w:val="en-US" w:eastAsia="zh-CN"/>
              </w:rPr>
            </w:pPr>
            <w:r>
              <w:rPr>
                <w:rFonts w:hint="default" w:ascii="Times New Roman" w:hAnsi="Times New Roman" w:cs="Times New Roman"/>
                <w:b/>
                <w:bCs w:val="0"/>
                <w:sz w:val="24"/>
                <w:szCs w:val="24"/>
                <w:lang w:val="en-US" w:eastAsia="zh-CN"/>
              </w:rPr>
              <w:t>2.</w:t>
            </w:r>
            <w:r>
              <w:rPr>
                <w:rFonts w:hint="eastAsia" w:cs="Times New Roman"/>
                <w:b/>
                <w:bCs w:val="0"/>
                <w:sz w:val="24"/>
                <w:szCs w:val="24"/>
                <w:lang w:val="en-US" w:eastAsia="zh-CN"/>
              </w:rPr>
              <w:t>6</w:t>
            </w:r>
            <w:r>
              <w:rPr>
                <w:rFonts w:hint="default" w:ascii="Times New Roman" w:hAnsi="Times New Roman" w:cs="Times New Roman"/>
                <w:b/>
                <w:bCs w:val="0"/>
                <w:sz w:val="24"/>
                <w:szCs w:val="24"/>
                <w:lang w:val="en-US" w:eastAsia="zh-CN"/>
              </w:rPr>
              <w:t>.</w:t>
            </w:r>
            <w:r>
              <w:rPr>
                <w:rFonts w:hint="eastAsia" w:cs="Times New Roman"/>
                <w:b/>
                <w:bCs w:val="0"/>
                <w:sz w:val="24"/>
                <w:szCs w:val="24"/>
                <w:lang w:val="en-US" w:eastAsia="zh-CN"/>
              </w:rPr>
              <w:t>2电力管线设计</w:t>
            </w:r>
          </w:p>
          <w:p>
            <w:pPr>
              <w:spacing w:line="480" w:lineRule="exact"/>
              <w:ind w:firstLine="482"/>
              <w:rPr>
                <w:rFonts w:hint="eastAsia"/>
                <w:b w:val="0"/>
                <w:bCs/>
                <w:sz w:val="24"/>
                <w:szCs w:val="24"/>
                <w:lang w:val="en-US" w:eastAsia="zh-CN"/>
              </w:rPr>
            </w:pPr>
            <w:r>
              <w:rPr>
                <w:rFonts w:hint="eastAsia"/>
                <w:b w:val="0"/>
                <w:bCs/>
                <w:sz w:val="24"/>
                <w:szCs w:val="24"/>
                <w:lang w:val="en-US" w:eastAsia="zh-CN"/>
              </w:rPr>
              <w:t>电力管线与其它管线及建（构）筑物之间的最小水平净距应符合《城市工程管线综合规划规范》。保护管顶距地大于1.5米，尽量埋设在人行道下和绿化带下。电缆排管的排水坡度采用顺道路坡度，纵向排水坡度不宜小于0.2%，标高以路面设计高程为准。</w:t>
            </w:r>
          </w:p>
          <w:p>
            <w:pPr>
              <w:spacing w:line="480" w:lineRule="exact"/>
              <w:ind w:firstLine="482"/>
              <w:rPr>
                <w:rFonts w:hint="eastAsia"/>
                <w:b w:val="0"/>
                <w:bCs/>
                <w:sz w:val="24"/>
                <w:szCs w:val="24"/>
                <w:lang w:val="en-US" w:eastAsia="zh-CN"/>
              </w:rPr>
            </w:pPr>
            <w:r>
              <w:rPr>
                <w:rFonts w:hint="eastAsia"/>
                <w:b w:val="0"/>
                <w:bCs/>
                <w:sz w:val="24"/>
                <w:szCs w:val="24"/>
                <w:lang w:val="en-US" w:eastAsia="zh-CN"/>
              </w:rPr>
              <w:t>东外环路、湖滨大道西延电力电缆管线设置16孔MPP-200/13电缆保护管，主线横向过路处设置8孔DN200热涂塑钢管，主线与相交道路纵向过路设置16孔DN200热涂塑钢管。文昌路电力电缆管线设置9孔MPP-200/13电缆保护管，主线横向过路处设置4孔DN200热涂塑钢管，主线与相交道路纵向过路设置9孔DN200热涂塑钢管。本项目箱变、分支箱、环网柜设备就近接入电力管线。</w:t>
            </w:r>
          </w:p>
          <w:p>
            <w:pPr>
              <w:spacing w:line="480" w:lineRule="exact"/>
              <w:ind w:firstLine="480"/>
              <w:rPr>
                <w:rFonts w:hint="default" w:ascii="Times New Roman" w:hAnsi="Times New Roman" w:eastAsia="宋体" w:cs="Times New Roman"/>
                <w:b/>
                <w:bCs w:val="0"/>
                <w:sz w:val="24"/>
                <w:szCs w:val="24"/>
                <w:lang w:val="en-US" w:eastAsia="zh-CN"/>
              </w:rPr>
            </w:pPr>
            <w:r>
              <w:rPr>
                <w:rFonts w:hint="default" w:ascii="Times New Roman" w:hAnsi="Times New Roman" w:cs="Times New Roman"/>
                <w:b/>
                <w:bCs w:val="0"/>
                <w:sz w:val="24"/>
                <w:szCs w:val="24"/>
                <w:lang w:val="en-US" w:eastAsia="zh-CN"/>
              </w:rPr>
              <w:t>2.</w:t>
            </w:r>
            <w:r>
              <w:rPr>
                <w:rFonts w:hint="eastAsia" w:cs="Times New Roman"/>
                <w:b/>
                <w:bCs w:val="0"/>
                <w:sz w:val="24"/>
                <w:szCs w:val="24"/>
                <w:lang w:val="en-US" w:eastAsia="zh-CN"/>
              </w:rPr>
              <w:t>6</w:t>
            </w:r>
            <w:r>
              <w:rPr>
                <w:rFonts w:hint="default" w:ascii="Times New Roman" w:hAnsi="Times New Roman" w:cs="Times New Roman"/>
                <w:b/>
                <w:bCs w:val="0"/>
                <w:sz w:val="24"/>
                <w:szCs w:val="24"/>
                <w:lang w:val="en-US" w:eastAsia="zh-CN"/>
              </w:rPr>
              <w:t>.</w:t>
            </w:r>
            <w:r>
              <w:rPr>
                <w:rFonts w:hint="eastAsia" w:cs="Times New Roman"/>
                <w:b/>
                <w:bCs w:val="0"/>
                <w:sz w:val="24"/>
                <w:szCs w:val="24"/>
                <w:lang w:val="en-US" w:eastAsia="zh-CN"/>
              </w:rPr>
              <w:t>3电缆井</w:t>
            </w:r>
          </w:p>
          <w:p>
            <w:pPr>
              <w:spacing w:line="480" w:lineRule="exact"/>
              <w:ind w:firstLine="482"/>
              <w:rPr>
                <w:rFonts w:hint="eastAsia"/>
                <w:b w:val="0"/>
                <w:bCs/>
                <w:sz w:val="24"/>
                <w:szCs w:val="24"/>
                <w:lang w:val="en-US" w:eastAsia="zh-CN"/>
              </w:rPr>
            </w:pPr>
            <w:r>
              <w:rPr>
                <w:rFonts w:hint="eastAsia"/>
                <w:b w:val="0"/>
                <w:bCs/>
                <w:sz w:val="24"/>
                <w:szCs w:val="24"/>
                <w:lang w:val="en-US" w:eastAsia="zh-CN"/>
              </w:rPr>
              <w:t>电力电缆人孔间隔距离为50~80M，在敷设方式变化处，过路管道路两侧及拐角处、入户处等位置设置，采用混凝土电缆井。</w:t>
            </w:r>
          </w:p>
          <w:p>
            <w:pPr>
              <w:spacing w:line="480" w:lineRule="exact"/>
              <w:ind w:firstLine="480"/>
              <w:rPr>
                <w:rFonts w:hint="default" w:ascii="Times New Roman" w:hAnsi="Times New Roman" w:eastAsia="宋体" w:cs="Times New Roman"/>
                <w:b/>
                <w:bCs w:val="0"/>
                <w:sz w:val="24"/>
                <w:szCs w:val="24"/>
                <w:lang w:val="en-US" w:eastAsia="zh-CN"/>
              </w:rPr>
            </w:pPr>
            <w:r>
              <w:rPr>
                <w:rFonts w:hint="default" w:ascii="Times New Roman" w:hAnsi="Times New Roman" w:cs="Times New Roman"/>
                <w:b/>
                <w:bCs w:val="0"/>
                <w:sz w:val="24"/>
                <w:szCs w:val="24"/>
                <w:lang w:val="en-US" w:eastAsia="zh-CN"/>
              </w:rPr>
              <w:t>2.</w:t>
            </w:r>
            <w:r>
              <w:rPr>
                <w:rFonts w:hint="eastAsia" w:cs="Times New Roman"/>
                <w:b/>
                <w:bCs w:val="0"/>
                <w:sz w:val="24"/>
                <w:szCs w:val="24"/>
                <w:lang w:val="en-US" w:eastAsia="zh-CN"/>
              </w:rPr>
              <w:t>6</w:t>
            </w:r>
            <w:r>
              <w:rPr>
                <w:rFonts w:hint="default" w:ascii="Times New Roman" w:hAnsi="Times New Roman" w:cs="Times New Roman"/>
                <w:b/>
                <w:bCs w:val="0"/>
                <w:sz w:val="24"/>
                <w:szCs w:val="24"/>
                <w:lang w:val="en-US" w:eastAsia="zh-CN"/>
              </w:rPr>
              <w:t>.</w:t>
            </w:r>
            <w:r>
              <w:rPr>
                <w:rFonts w:hint="eastAsia" w:cs="Times New Roman"/>
                <w:b/>
                <w:bCs w:val="0"/>
                <w:sz w:val="24"/>
                <w:szCs w:val="24"/>
                <w:lang w:val="en-US" w:eastAsia="zh-CN"/>
              </w:rPr>
              <w:t>4接地保护</w:t>
            </w:r>
          </w:p>
          <w:p>
            <w:pPr>
              <w:spacing w:line="480" w:lineRule="exact"/>
              <w:ind w:firstLine="482"/>
              <w:rPr>
                <w:rFonts w:hint="eastAsia"/>
                <w:b w:val="0"/>
                <w:bCs/>
                <w:sz w:val="24"/>
                <w:szCs w:val="24"/>
                <w:lang w:val="en-US" w:eastAsia="zh-CN"/>
              </w:rPr>
            </w:pPr>
            <w:r>
              <w:rPr>
                <w:rFonts w:hint="eastAsia"/>
                <w:b w:val="0"/>
                <w:bCs/>
                <w:sz w:val="24"/>
                <w:szCs w:val="24"/>
                <w:lang w:val="en-US" w:eastAsia="zh-CN"/>
              </w:rPr>
              <w:t>电缆保护管两侧埋设接地扁钢，接地扁钢采用-60*6热镀锌扁钢。电缆检查井处设置接地装置。接地母线采用-60×6热镀锌扁钢。接地电阻不大于4欧姆，接地阻值需符合当地供电部门关于电力工程接地阻值相关要求。</w:t>
            </w:r>
          </w:p>
          <w:p>
            <w:pPr>
              <w:spacing w:line="480" w:lineRule="exact"/>
              <w:ind w:firstLine="482"/>
              <w:rPr>
                <w:rFonts w:hint="default"/>
                <w:b/>
                <w:sz w:val="24"/>
                <w:szCs w:val="24"/>
                <w:lang w:val="en-US" w:eastAsia="zh-CN"/>
              </w:rPr>
            </w:pPr>
            <w:r>
              <w:rPr>
                <w:rFonts w:hint="eastAsia"/>
                <w:b/>
                <w:sz w:val="24"/>
                <w:szCs w:val="24"/>
                <w:lang w:val="en-US" w:eastAsia="zh-CN"/>
              </w:rPr>
              <w:t>2.7通信工程</w:t>
            </w:r>
          </w:p>
          <w:p>
            <w:pPr>
              <w:spacing w:line="480" w:lineRule="exact"/>
              <w:ind w:firstLine="480"/>
              <w:rPr>
                <w:rFonts w:hint="default" w:ascii="Times New Roman" w:hAnsi="Times New Roman" w:eastAsia="宋体" w:cs="Times New Roman"/>
                <w:b/>
                <w:bCs w:val="0"/>
                <w:sz w:val="24"/>
                <w:szCs w:val="24"/>
                <w:lang w:val="en-US" w:eastAsia="zh-CN"/>
              </w:rPr>
            </w:pPr>
            <w:r>
              <w:rPr>
                <w:rFonts w:hint="default" w:ascii="Times New Roman" w:hAnsi="Times New Roman" w:cs="Times New Roman"/>
                <w:b/>
                <w:bCs w:val="0"/>
                <w:sz w:val="24"/>
                <w:szCs w:val="24"/>
                <w:lang w:val="en-US" w:eastAsia="zh-CN"/>
              </w:rPr>
              <w:t>2.</w:t>
            </w:r>
            <w:r>
              <w:rPr>
                <w:rFonts w:hint="eastAsia" w:cs="Times New Roman"/>
                <w:b/>
                <w:bCs w:val="0"/>
                <w:sz w:val="24"/>
                <w:szCs w:val="24"/>
                <w:lang w:val="en-US" w:eastAsia="zh-CN"/>
              </w:rPr>
              <w:t>7</w:t>
            </w:r>
            <w:r>
              <w:rPr>
                <w:rFonts w:hint="default" w:ascii="Times New Roman" w:hAnsi="Times New Roman" w:cs="Times New Roman"/>
                <w:b/>
                <w:bCs w:val="0"/>
                <w:sz w:val="24"/>
                <w:szCs w:val="24"/>
                <w:lang w:val="en-US" w:eastAsia="zh-CN"/>
              </w:rPr>
              <w:t>.</w:t>
            </w:r>
            <w:r>
              <w:rPr>
                <w:rFonts w:hint="eastAsia" w:cs="Times New Roman"/>
                <w:b/>
                <w:bCs w:val="0"/>
                <w:sz w:val="24"/>
                <w:szCs w:val="24"/>
                <w:lang w:val="en-US" w:eastAsia="zh-CN"/>
              </w:rPr>
              <w:t>1通信管线设计</w:t>
            </w:r>
          </w:p>
          <w:p>
            <w:pPr>
              <w:spacing w:line="480" w:lineRule="exact"/>
              <w:ind w:firstLine="482"/>
              <w:rPr>
                <w:rFonts w:hint="eastAsia"/>
                <w:b w:val="0"/>
                <w:bCs/>
                <w:sz w:val="24"/>
                <w:szCs w:val="24"/>
                <w:lang w:val="en-US" w:eastAsia="zh-CN"/>
              </w:rPr>
            </w:pPr>
            <w:r>
              <w:rPr>
                <w:rFonts w:hint="eastAsia"/>
                <w:b w:val="0"/>
                <w:bCs/>
                <w:sz w:val="24"/>
                <w:szCs w:val="24"/>
                <w:lang w:val="en-US" w:eastAsia="zh-CN"/>
              </w:rPr>
              <w:t>本工程主要是为电信、电话和电视线缆预留排管。通信管线与其它管线及建（构）筑物之间的最小水平净距应符合《城市工程管线综合规划规范》。保护管顶距地大于1m，机动车道处管道用混凝土包封。所有设计管道坡度均大于2.5‰。</w:t>
            </w:r>
          </w:p>
          <w:p>
            <w:pPr>
              <w:spacing w:line="480" w:lineRule="exact"/>
              <w:ind w:firstLine="482"/>
              <w:rPr>
                <w:rFonts w:hint="eastAsia"/>
                <w:b w:val="0"/>
                <w:bCs/>
                <w:sz w:val="24"/>
                <w:szCs w:val="24"/>
                <w:lang w:val="en-US" w:eastAsia="zh-CN"/>
              </w:rPr>
            </w:pPr>
            <w:r>
              <w:rPr>
                <w:rFonts w:hint="eastAsia"/>
                <w:b w:val="0"/>
                <w:bCs/>
                <w:sz w:val="24"/>
                <w:szCs w:val="24"/>
                <w:lang w:val="en-US" w:eastAsia="zh-CN"/>
              </w:rPr>
              <w:t>东外环路、湖滨大道西延道路通信管道采用12孔，过路处管线为6根DN100涂塑钢管。文昌路道路通信管道采用9孔，过路处管线为4根DN100涂塑钢管。</w:t>
            </w:r>
          </w:p>
          <w:p>
            <w:pPr>
              <w:spacing w:line="480" w:lineRule="exact"/>
              <w:ind w:firstLine="480"/>
              <w:rPr>
                <w:rFonts w:hint="default" w:ascii="Times New Roman" w:hAnsi="Times New Roman" w:eastAsia="宋体" w:cs="Times New Roman"/>
                <w:b/>
                <w:bCs w:val="0"/>
                <w:sz w:val="24"/>
                <w:szCs w:val="24"/>
                <w:lang w:val="en-US" w:eastAsia="zh-CN"/>
              </w:rPr>
            </w:pPr>
            <w:r>
              <w:rPr>
                <w:rFonts w:hint="default" w:ascii="Times New Roman" w:hAnsi="Times New Roman" w:cs="Times New Roman"/>
                <w:b/>
                <w:bCs w:val="0"/>
                <w:sz w:val="24"/>
                <w:szCs w:val="24"/>
                <w:lang w:val="en-US" w:eastAsia="zh-CN"/>
              </w:rPr>
              <w:t>2.</w:t>
            </w:r>
            <w:r>
              <w:rPr>
                <w:rFonts w:hint="eastAsia" w:cs="Times New Roman"/>
                <w:b/>
                <w:bCs w:val="0"/>
                <w:sz w:val="24"/>
                <w:szCs w:val="24"/>
                <w:lang w:val="en-US" w:eastAsia="zh-CN"/>
              </w:rPr>
              <w:t>7</w:t>
            </w:r>
            <w:r>
              <w:rPr>
                <w:rFonts w:hint="default" w:ascii="Times New Roman" w:hAnsi="Times New Roman" w:cs="Times New Roman"/>
                <w:b/>
                <w:bCs w:val="0"/>
                <w:sz w:val="24"/>
                <w:szCs w:val="24"/>
                <w:lang w:val="en-US" w:eastAsia="zh-CN"/>
              </w:rPr>
              <w:t>.</w:t>
            </w:r>
            <w:r>
              <w:rPr>
                <w:rFonts w:hint="eastAsia" w:cs="Times New Roman"/>
                <w:b/>
                <w:bCs w:val="0"/>
                <w:sz w:val="24"/>
                <w:szCs w:val="24"/>
                <w:lang w:val="en-US" w:eastAsia="zh-CN"/>
              </w:rPr>
              <w:t>2检查井</w:t>
            </w:r>
          </w:p>
          <w:p>
            <w:pPr>
              <w:spacing w:line="480" w:lineRule="exact"/>
              <w:ind w:firstLine="482"/>
              <w:rPr>
                <w:rFonts w:hint="eastAsia"/>
                <w:b w:val="0"/>
                <w:bCs/>
                <w:sz w:val="24"/>
                <w:szCs w:val="24"/>
                <w:lang w:val="en-US" w:eastAsia="zh-CN"/>
              </w:rPr>
            </w:pPr>
            <w:r>
              <w:rPr>
                <w:rFonts w:hint="eastAsia"/>
                <w:b w:val="0"/>
                <w:bCs/>
                <w:sz w:val="24"/>
                <w:szCs w:val="24"/>
                <w:lang w:val="en-US" w:eastAsia="zh-CN"/>
              </w:rPr>
              <w:t>通信电缆人孔，设置间距为70m左右，在敷设方式变化处，过路管道路两侧及拐角处、入户处等位置设置，采用砖砌检查井。</w:t>
            </w:r>
          </w:p>
          <w:p>
            <w:pPr>
              <w:spacing w:line="480" w:lineRule="exact"/>
              <w:ind w:firstLine="482"/>
              <w:rPr>
                <w:rFonts w:hint="default"/>
                <w:b/>
                <w:sz w:val="24"/>
                <w:szCs w:val="24"/>
                <w:lang w:val="en-US" w:eastAsia="zh-CN"/>
              </w:rPr>
            </w:pPr>
            <w:r>
              <w:rPr>
                <w:rFonts w:hint="eastAsia"/>
                <w:b/>
                <w:sz w:val="24"/>
                <w:szCs w:val="24"/>
                <w:lang w:val="en-US" w:eastAsia="zh-CN"/>
              </w:rPr>
              <w:t>2.8照明工程</w:t>
            </w:r>
          </w:p>
          <w:p>
            <w:pPr>
              <w:spacing w:line="480" w:lineRule="exact"/>
              <w:ind w:firstLine="480"/>
              <w:rPr>
                <w:rFonts w:hint="default" w:ascii="Times New Roman" w:hAnsi="Times New Roman" w:eastAsia="宋体" w:cs="Times New Roman"/>
                <w:b/>
                <w:bCs w:val="0"/>
                <w:sz w:val="24"/>
                <w:szCs w:val="24"/>
                <w:lang w:val="en-US" w:eastAsia="zh-CN"/>
              </w:rPr>
            </w:pPr>
            <w:r>
              <w:rPr>
                <w:rFonts w:hint="default" w:ascii="Times New Roman" w:hAnsi="Times New Roman" w:cs="Times New Roman"/>
                <w:b/>
                <w:bCs w:val="0"/>
                <w:sz w:val="24"/>
                <w:szCs w:val="24"/>
                <w:lang w:val="en-US" w:eastAsia="zh-CN"/>
              </w:rPr>
              <w:t>2.</w:t>
            </w:r>
            <w:r>
              <w:rPr>
                <w:rFonts w:hint="eastAsia" w:cs="Times New Roman"/>
                <w:b/>
                <w:bCs w:val="0"/>
                <w:sz w:val="24"/>
                <w:szCs w:val="24"/>
                <w:lang w:val="en-US" w:eastAsia="zh-CN"/>
              </w:rPr>
              <w:t>8</w:t>
            </w:r>
            <w:r>
              <w:rPr>
                <w:rFonts w:hint="default" w:ascii="Times New Roman" w:hAnsi="Times New Roman" w:cs="Times New Roman"/>
                <w:b/>
                <w:bCs w:val="0"/>
                <w:sz w:val="24"/>
                <w:szCs w:val="24"/>
                <w:lang w:val="en-US" w:eastAsia="zh-CN"/>
              </w:rPr>
              <w:t>.</w:t>
            </w:r>
            <w:r>
              <w:rPr>
                <w:rFonts w:hint="eastAsia" w:cs="Times New Roman"/>
                <w:b/>
                <w:bCs w:val="0"/>
                <w:sz w:val="24"/>
                <w:szCs w:val="24"/>
                <w:lang w:val="en-US" w:eastAsia="zh-CN"/>
              </w:rPr>
              <w:t>1供电电源</w:t>
            </w:r>
          </w:p>
          <w:p>
            <w:pPr>
              <w:spacing w:line="480" w:lineRule="exact"/>
              <w:ind w:firstLine="482"/>
              <w:rPr>
                <w:rFonts w:hint="eastAsia"/>
                <w:b w:val="0"/>
                <w:bCs/>
                <w:sz w:val="24"/>
                <w:szCs w:val="24"/>
                <w:lang w:val="en-US" w:eastAsia="zh-CN"/>
              </w:rPr>
            </w:pPr>
            <w:r>
              <w:rPr>
                <w:rFonts w:hint="eastAsia"/>
                <w:b w:val="0"/>
                <w:bCs/>
                <w:sz w:val="24"/>
                <w:szCs w:val="24"/>
                <w:lang w:val="en-US" w:eastAsia="zh-CN"/>
              </w:rPr>
              <w:t>本工程东外环路、湖滨大道西延、文昌路设道路照明专用箱变，从就近的环网柜引来10kV电源，沿道路电力排管敷设，供电半径750米。箱变、配电箱安装在绿地内。本项目在总进线处设置计量，电度表由供电部门安装。</w:t>
            </w:r>
          </w:p>
          <w:p>
            <w:pPr>
              <w:spacing w:line="480" w:lineRule="exact"/>
              <w:ind w:firstLine="480"/>
              <w:rPr>
                <w:rFonts w:hint="default" w:ascii="Times New Roman" w:hAnsi="Times New Roman" w:eastAsia="宋体" w:cs="Times New Roman"/>
                <w:b/>
                <w:bCs w:val="0"/>
                <w:sz w:val="24"/>
                <w:szCs w:val="24"/>
                <w:lang w:val="en-US" w:eastAsia="zh-CN"/>
              </w:rPr>
            </w:pPr>
            <w:r>
              <w:rPr>
                <w:rFonts w:hint="default" w:ascii="Times New Roman" w:hAnsi="Times New Roman" w:cs="Times New Roman"/>
                <w:b/>
                <w:bCs w:val="0"/>
                <w:sz w:val="24"/>
                <w:szCs w:val="24"/>
                <w:lang w:val="en-US" w:eastAsia="zh-CN"/>
              </w:rPr>
              <w:t>2.</w:t>
            </w:r>
            <w:r>
              <w:rPr>
                <w:rFonts w:hint="eastAsia" w:cs="Times New Roman"/>
                <w:b/>
                <w:bCs w:val="0"/>
                <w:sz w:val="24"/>
                <w:szCs w:val="24"/>
                <w:lang w:val="en-US" w:eastAsia="zh-CN"/>
              </w:rPr>
              <w:t>8</w:t>
            </w:r>
            <w:r>
              <w:rPr>
                <w:rFonts w:hint="default" w:ascii="Times New Roman" w:hAnsi="Times New Roman" w:cs="Times New Roman"/>
                <w:b/>
                <w:bCs w:val="0"/>
                <w:sz w:val="24"/>
                <w:szCs w:val="24"/>
                <w:lang w:val="en-US" w:eastAsia="zh-CN"/>
              </w:rPr>
              <w:t>.</w:t>
            </w:r>
            <w:r>
              <w:rPr>
                <w:rFonts w:hint="eastAsia" w:cs="Times New Roman"/>
                <w:b/>
                <w:bCs w:val="0"/>
                <w:sz w:val="24"/>
                <w:szCs w:val="24"/>
                <w:lang w:val="en-US" w:eastAsia="zh-CN"/>
              </w:rPr>
              <w:t>2用电负荷类别及电压等级</w:t>
            </w:r>
          </w:p>
          <w:p>
            <w:pPr>
              <w:spacing w:line="480" w:lineRule="exact"/>
              <w:ind w:firstLine="482"/>
              <w:rPr>
                <w:rFonts w:hint="eastAsia"/>
                <w:b w:val="0"/>
                <w:bCs/>
                <w:sz w:val="24"/>
                <w:szCs w:val="24"/>
                <w:lang w:val="en-US" w:eastAsia="zh-CN"/>
              </w:rPr>
            </w:pPr>
            <w:r>
              <w:rPr>
                <w:rFonts w:hint="eastAsia"/>
                <w:b w:val="0"/>
                <w:bCs/>
                <w:sz w:val="24"/>
                <w:szCs w:val="24"/>
                <w:lang w:val="en-US" w:eastAsia="zh-CN"/>
              </w:rPr>
              <w:t>根据该照明工程用电性质，属三级负荷。电压等级：高压10kV、低压为380/220V。</w:t>
            </w:r>
          </w:p>
          <w:p>
            <w:pPr>
              <w:spacing w:line="480" w:lineRule="exact"/>
              <w:ind w:firstLine="482"/>
              <w:rPr>
                <w:rFonts w:hint="default"/>
                <w:b w:val="0"/>
                <w:bCs/>
                <w:sz w:val="24"/>
                <w:szCs w:val="24"/>
                <w:lang w:val="en-US" w:eastAsia="zh-CN"/>
              </w:rPr>
            </w:pPr>
            <w:r>
              <w:rPr>
                <w:rFonts w:hint="eastAsia"/>
                <w:b w:val="0"/>
                <w:bCs/>
                <w:sz w:val="24"/>
                <w:szCs w:val="24"/>
                <w:lang w:val="en-US" w:eastAsia="zh-CN"/>
              </w:rPr>
              <w:t>本工程用电负荷见下表。</w:t>
            </w:r>
          </w:p>
          <w:p>
            <w:pPr>
              <w:pStyle w:val="27"/>
              <w:spacing w:before="0" w:after="0" w:afterAutospacing="0" w:line="480" w:lineRule="atLeast"/>
              <w:rPr>
                <w:rFonts w:hint="eastAsia" w:ascii="黑体" w:hAnsi="黑体" w:eastAsia="黑体"/>
                <w:sz w:val="24"/>
                <w:szCs w:val="24"/>
                <w:lang w:val="en-US" w:eastAsia="zh-CN"/>
              </w:rPr>
            </w:pPr>
            <w:r>
              <w:rPr>
                <w:rFonts w:hint="eastAsia" w:ascii="黑体" w:hAnsi="黑体" w:eastAsia="黑体"/>
                <w:sz w:val="24"/>
                <w:szCs w:val="24"/>
                <w:lang w:val="en-US" w:eastAsia="zh-CN"/>
              </w:rPr>
              <w:t>表2-6  用电负荷计算表</w:t>
            </w:r>
          </w:p>
          <w:tbl>
            <w:tblPr>
              <w:tblStyle w:val="21"/>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91"/>
              <w:gridCol w:w="1120"/>
              <w:gridCol w:w="1099"/>
              <w:gridCol w:w="917"/>
              <w:gridCol w:w="1239"/>
              <w:gridCol w:w="889"/>
              <w:gridCol w:w="684"/>
              <w:gridCol w:w="757"/>
              <w:gridCol w:w="113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295" w:type="pct"/>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序号</w:t>
                  </w:r>
                </w:p>
              </w:tc>
              <w:tc>
                <w:tcPr>
                  <w:tcW w:w="672" w:type="pct"/>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道路名称</w:t>
                  </w:r>
                </w:p>
              </w:tc>
              <w:tc>
                <w:tcPr>
                  <w:tcW w:w="659" w:type="pct"/>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道路长度（m）</w:t>
                  </w:r>
                </w:p>
              </w:tc>
              <w:tc>
                <w:tcPr>
                  <w:tcW w:w="550" w:type="pct"/>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道路宽度（m）</w:t>
                  </w:r>
                </w:p>
              </w:tc>
              <w:tc>
                <w:tcPr>
                  <w:tcW w:w="743" w:type="pct"/>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灯具规格</w:t>
                  </w:r>
                </w:p>
              </w:tc>
              <w:tc>
                <w:tcPr>
                  <w:tcW w:w="533" w:type="pct"/>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灯具数量（套）</w:t>
                  </w:r>
                </w:p>
              </w:tc>
              <w:tc>
                <w:tcPr>
                  <w:tcW w:w="410" w:type="pct"/>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需用系数</w:t>
                  </w:r>
                </w:p>
              </w:tc>
              <w:tc>
                <w:tcPr>
                  <w:tcW w:w="454" w:type="pct"/>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COSF</w:t>
                  </w:r>
                </w:p>
              </w:tc>
              <w:tc>
                <w:tcPr>
                  <w:tcW w:w="679" w:type="pct"/>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计 算 负 荷(KW)</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295" w:type="pct"/>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000000"/>
                      <w:sz w:val="21"/>
                      <w:szCs w:val="21"/>
                      <w:highlight w:val="none"/>
                      <w:u w:val="none"/>
                    </w:rPr>
                  </w:pPr>
                </w:p>
              </w:tc>
              <w:tc>
                <w:tcPr>
                  <w:tcW w:w="672" w:type="pct"/>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000000"/>
                      <w:sz w:val="21"/>
                      <w:szCs w:val="21"/>
                      <w:highlight w:val="none"/>
                      <w:u w:val="none"/>
                    </w:rPr>
                  </w:pPr>
                </w:p>
              </w:tc>
              <w:tc>
                <w:tcPr>
                  <w:tcW w:w="659" w:type="pct"/>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000000"/>
                      <w:sz w:val="21"/>
                      <w:szCs w:val="21"/>
                      <w:highlight w:val="none"/>
                      <w:u w:val="none"/>
                    </w:rPr>
                  </w:pPr>
                </w:p>
              </w:tc>
              <w:tc>
                <w:tcPr>
                  <w:tcW w:w="550" w:type="pct"/>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000000"/>
                      <w:sz w:val="21"/>
                      <w:szCs w:val="21"/>
                      <w:highlight w:val="none"/>
                      <w:u w:val="none"/>
                    </w:rPr>
                  </w:pPr>
                </w:p>
              </w:tc>
              <w:tc>
                <w:tcPr>
                  <w:tcW w:w="743" w:type="pct"/>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000000"/>
                      <w:sz w:val="21"/>
                      <w:szCs w:val="21"/>
                      <w:highlight w:val="none"/>
                      <w:u w:val="none"/>
                    </w:rPr>
                  </w:pPr>
                </w:p>
              </w:tc>
              <w:tc>
                <w:tcPr>
                  <w:tcW w:w="533" w:type="pct"/>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000000"/>
                      <w:sz w:val="21"/>
                      <w:szCs w:val="21"/>
                      <w:highlight w:val="none"/>
                      <w:u w:val="none"/>
                    </w:rPr>
                  </w:pPr>
                </w:p>
              </w:tc>
              <w:tc>
                <w:tcPr>
                  <w:tcW w:w="410" w:type="pct"/>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000000"/>
                      <w:sz w:val="21"/>
                      <w:szCs w:val="21"/>
                      <w:highlight w:val="none"/>
                      <w:u w:val="none"/>
                    </w:rPr>
                  </w:pPr>
                </w:p>
              </w:tc>
              <w:tc>
                <w:tcPr>
                  <w:tcW w:w="454" w:type="pct"/>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000000"/>
                      <w:sz w:val="21"/>
                      <w:szCs w:val="21"/>
                      <w:highlight w:val="none"/>
                      <w:u w:val="none"/>
                    </w:rPr>
                  </w:pPr>
                </w:p>
              </w:tc>
              <w:tc>
                <w:tcPr>
                  <w:tcW w:w="679" w:type="pct"/>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000000"/>
                      <w:sz w:val="21"/>
                      <w:szCs w:val="21"/>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295"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w:t>
                  </w:r>
                </w:p>
              </w:tc>
              <w:tc>
                <w:tcPr>
                  <w:tcW w:w="67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东外环路（北段）</w:t>
                  </w:r>
                </w:p>
              </w:tc>
              <w:tc>
                <w:tcPr>
                  <w:tcW w:w="659"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925</w:t>
                  </w:r>
                </w:p>
              </w:tc>
              <w:tc>
                <w:tcPr>
                  <w:tcW w:w="550"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36</w:t>
                  </w:r>
                </w:p>
              </w:tc>
              <w:tc>
                <w:tcPr>
                  <w:tcW w:w="743"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12m  150W+100W</w:t>
                  </w:r>
                </w:p>
              </w:tc>
              <w:tc>
                <w:tcPr>
                  <w:tcW w:w="533"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64</w:t>
                  </w:r>
                </w:p>
              </w:tc>
              <w:tc>
                <w:tcPr>
                  <w:tcW w:w="410"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w:t>
                  </w:r>
                </w:p>
              </w:tc>
              <w:tc>
                <w:tcPr>
                  <w:tcW w:w="454"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0.92</w:t>
                  </w:r>
                </w:p>
              </w:tc>
              <w:tc>
                <w:tcPr>
                  <w:tcW w:w="679"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295"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2</w:t>
                  </w:r>
                </w:p>
              </w:tc>
              <w:tc>
                <w:tcPr>
                  <w:tcW w:w="67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东外环路</w:t>
                  </w:r>
                </w:p>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（南段）</w:t>
                  </w:r>
                </w:p>
              </w:tc>
              <w:tc>
                <w:tcPr>
                  <w:tcW w:w="659"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2029.32</w:t>
                  </w:r>
                </w:p>
              </w:tc>
              <w:tc>
                <w:tcPr>
                  <w:tcW w:w="550"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36</w:t>
                  </w:r>
                </w:p>
              </w:tc>
              <w:tc>
                <w:tcPr>
                  <w:tcW w:w="743"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12m  150W+150W</w:t>
                  </w:r>
                </w:p>
              </w:tc>
              <w:tc>
                <w:tcPr>
                  <w:tcW w:w="533"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54</w:t>
                  </w:r>
                </w:p>
              </w:tc>
              <w:tc>
                <w:tcPr>
                  <w:tcW w:w="410"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w:t>
                  </w:r>
                </w:p>
              </w:tc>
              <w:tc>
                <w:tcPr>
                  <w:tcW w:w="454"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0.92</w:t>
                  </w:r>
                </w:p>
              </w:tc>
              <w:tc>
                <w:tcPr>
                  <w:tcW w:w="679"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16.2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295"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3</w:t>
                  </w:r>
                </w:p>
              </w:tc>
              <w:tc>
                <w:tcPr>
                  <w:tcW w:w="67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湖滨大道西延</w:t>
                  </w:r>
                </w:p>
              </w:tc>
              <w:tc>
                <w:tcPr>
                  <w:tcW w:w="659"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1151.586</w:t>
                  </w:r>
                </w:p>
              </w:tc>
              <w:tc>
                <w:tcPr>
                  <w:tcW w:w="550"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50</w:t>
                  </w:r>
                </w:p>
              </w:tc>
              <w:tc>
                <w:tcPr>
                  <w:tcW w:w="743"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12m  150W+100W</w:t>
                  </w:r>
                </w:p>
              </w:tc>
              <w:tc>
                <w:tcPr>
                  <w:tcW w:w="533"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70</w:t>
                  </w:r>
                </w:p>
              </w:tc>
              <w:tc>
                <w:tcPr>
                  <w:tcW w:w="410"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w:t>
                  </w:r>
                </w:p>
              </w:tc>
              <w:tc>
                <w:tcPr>
                  <w:tcW w:w="454"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0.92</w:t>
                  </w:r>
                </w:p>
              </w:tc>
              <w:tc>
                <w:tcPr>
                  <w:tcW w:w="679"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17.5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295"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4</w:t>
                  </w:r>
                </w:p>
              </w:tc>
              <w:tc>
                <w:tcPr>
                  <w:tcW w:w="67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文昌路</w:t>
                  </w:r>
                </w:p>
              </w:tc>
              <w:tc>
                <w:tcPr>
                  <w:tcW w:w="659"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1240.634</w:t>
                  </w:r>
                </w:p>
              </w:tc>
              <w:tc>
                <w:tcPr>
                  <w:tcW w:w="550"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22</w:t>
                  </w:r>
                </w:p>
              </w:tc>
              <w:tc>
                <w:tcPr>
                  <w:tcW w:w="743"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9m  100W</w:t>
                  </w:r>
                </w:p>
              </w:tc>
              <w:tc>
                <w:tcPr>
                  <w:tcW w:w="533"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98</w:t>
                  </w:r>
                </w:p>
              </w:tc>
              <w:tc>
                <w:tcPr>
                  <w:tcW w:w="410"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w:t>
                  </w:r>
                </w:p>
              </w:tc>
              <w:tc>
                <w:tcPr>
                  <w:tcW w:w="454"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0.92</w:t>
                  </w:r>
                </w:p>
              </w:tc>
              <w:tc>
                <w:tcPr>
                  <w:tcW w:w="679"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9.8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295"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6</w:t>
                  </w:r>
                </w:p>
              </w:tc>
              <w:tc>
                <w:tcPr>
                  <w:tcW w:w="67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合计</w:t>
                  </w:r>
                </w:p>
              </w:tc>
              <w:tc>
                <w:tcPr>
                  <w:tcW w:w="659"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000000"/>
                      <w:sz w:val="21"/>
                      <w:szCs w:val="21"/>
                      <w:highlight w:val="none"/>
                      <w:u w:val="none"/>
                    </w:rPr>
                  </w:pPr>
                </w:p>
              </w:tc>
              <w:tc>
                <w:tcPr>
                  <w:tcW w:w="550"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000000"/>
                      <w:sz w:val="21"/>
                      <w:szCs w:val="21"/>
                      <w:highlight w:val="none"/>
                      <w:u w:val="none"/>
                    </w:rPr>
                  </w:pPr>
                </w:p>
              </w:tc>
              <w:tc>
                <w:tcPr>
                  <w:tcW w:w="74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000000"/>
                      <w:sz w:val="21"/>
                      <w:szCs w:val="21"/>
                      <w:highlight w:val="none"/>
                      <w:u w:val="none"/>
                    </w:rPr>
                  </w:pPr>
                </w:p>
              </w:tc>
              <w:tc>
                <w:tcPr>
                  <w:tcW w:w="53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000000"/>
                      <w:sz w:val="21"/>
                      <w:szCs w:val="21"/>
                      <w:highlight w:val="none"/>
                      <w:u w:val="none"/>
                    </w:rPr>
                  </w:pPr>
                </w:p>
              </w:tc>
              <w:tc>
                <w:tcPr>
                  <w:tcW w:w="410"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000000"/>
                      <w:sz w:val="21"/>
                      <w:szCs w:val="21"/>
                      <w:highlight w:val="none"/>
                      <w:u w:val="none"/>
                    </w:rPr>
                  </w:pPr>
                </w:p>
              </w:tc>
              <w:tc>
                <w:tcPr>
                  <w:tcW w:w="454"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eastAsia="宋体" w:cs="Times New Roman"/>
                      <w:i w:val="0"/>
                      <w:iCs w:val="0"/>
                      <w:color w:val="000000"/>
                      <w:sz w:val="21"/>
                      <w:szCs w:val="21"/>
                      <w:highlight w:val="none"/>
                      <w:u w:val="none"/>
                    </w:rPr>
                  </w:pPr>
                </w:p>
              </w:tc>
              <w:tc>
                <w:tcPr>
                  <w:tcW w:w="679"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lang w:val="en-US"/>
                    </w:rPr>
                  </w:pPr>
                  <w:r>
                    <w:rPr>
                      <w:rFonts w:hint="default" w:ascii="Times New Roman" w:hAnsi="Times New Roman" w:eastAsia="宋体" w:cs="Times New Roman"/>
                      <w:i w:val="0"/>
                      <w:iCs w:val="0"/>
                      <w:color w:val="000000"/>
                      <w:kern w:val="0"/>
                      <w:sz w:val="21"/>
                      <w:szCs w:val="21"/>
                      <w:highlight w:val="none"/>
                      <w:u w:val="none"/>
                      <w:lang w:val="en-US" w:eastAsia="zh-CN" w:bidi="ar"/>
                    </w:rPr>
                    <w:t>59.5</w:t>
                  </w:r>
                </w:p>
              </w:tc>
            </w:tr>
          </w:tbl>
          <w:p>
            <w:pPr>
              <w:spacing w:line="480" w:lineRule="exact"/>
              <w:ind w:firstLine="480"/>
              <w:rPr>
                <w:rFonts w:hint="default" w:ascii="Times New Roman" w:hAnsi="Times New Roman" w:eastAsia="宋体" w:cs="Times New Roman"/>
                <w:b/>
                <w:bCs w:val="0"/>
                <w:sz w:val="24"/>
                <w:szCs w:val="24"/>
                <w:lang w:val="en-US" w:eastAsia="zh-CN"/>
              </w:rPr>
            </w:pPr>
            <w:r>
              <w:rPr>
                <w:rFonts w:hint="default" w:ascii="Times New Roman" w:hAnsi="Times New Roman" w:cs="Times New Roman"/>
                <w:b/>
                <w:bCs w:val="0"/>
                <w:sz w:val="24"/>
                <w:szCs w:val="24"/>
                <w:lang w:val="en-US" w:eastAsia="zh-CN"/>
              </w:rPr>
              <w:t>2.</w:t>
            </w:r>
            <w:r>
              <w:rPr>
                <w:rFonts w:hint="eastAsia" w:cs="Times New Roman"/>
                <w:b/>
                <w:bCs w:val="0"/>
                <w:sz w:val="24"/>
                <w:szCs w:val="24"/>
                <w:lang w:val="en-US" w:eastAsia="zh-CN"/>
              </w:rPr>
              <w:t>8</w:t>
            </w:r>
            <w:r>
              <w:rPr>
                <w:rFonts w:hint="default" w:ascii="Times New Roman" w:hAnsi="Times New Roman" w:cs="Times New Roman"/>
                <w:b/>
                <w:bCs w:val="0"/>
                <w:sz w:val="24"/>
                <w:szCs w:val="24"/>
                <w:lang w:val="en-US" w:eastAsia="zh-CN"/>
              </w:rPr>
              <w:t>.</w:t>
            </w:r>
            <w:r>
              <w:rPr>
                <w:rFonts w:hint="eastAsia" w:cs="Times New Roman"/>
                <w:b/>
                <w:bCs w:val="0"/>
                <w:sz w:val="24"/>
                <w:szCs w:val="24"/>
                <w:lang w:val="en-US" w:eastAsia="zh-CN"/>
              </w:rPr>
              <w:t>3供配电系统</w:t>
            </w:r>
          </w:p>
          <w:p>
            <w:pPr>
              <w:spacing w:line="480" w:lineRule="exact"/>
              <w:ind w:firstLine="482"/>
              <w:rPr>
                <w:rFonts w:hint="eastAsia"/>
                <w:b w:val="0"/>
                <w:bCs/>
                <w:sz w:val="24"/>
                <w:szCs w:val="24"/>
                <w:lang w:val="en-US" w:eastAsia="zh-CN"/>
              </w:rPr>
            </w:pPr>
            <w:r>
              <w:rPr>
                <w:rFonts w:hint="eastAsia"/>
                <w:b w:val="0"/>
                <w:bCs/>
                <w:sz w:val="24"/>
                <w:szCs w:val="24"/>
                <w:lang w:val="en-US" w:eastAsia="zh-CN"/>
              </w:rPr>
              <w:t>①东外环路、湖滨大道西延、文昌路设置照明专用箱变，由箱变引380V/220V供电线路供道路照明用电。</w:t>
            </w:r>
          </w:p>
          <w:p>
            <w:pPr>
              <w:spacing w:line="480" w:lineRule="exact"/>
              <w:ind w:firstLine="482"/>
              <w:rPr>
                <w:rFonts w:hint="default"/>
                <w:b w:val="0"/>
                <w:bCs/>
                <w:sz w:val="24"/>
                <w:szCs w:val="24"/>
                <w:lang w:val="en-US" w:eastAsia="zh-CN"/>
              </w:rPr>
            </w:pPr>
            <w:r>
              <w:rPr>
                <w:rFonts w:hint="eastAsia"/>
                <w:b w:val="0"/>
                <w:bCs/>
                <w:sz w:val="24"/>
                <w:szCs w:val="24"/>
                <w:lang w:val="en-US" w:eastAsia="zh-CN"/>
              </w:rPr>
              <w:t>②箱变、配电箱设置：东外环路全长2954.32m，设置2座照明专用箱变；湖滨大道西延道路全长1151.586m，设置1座照明专用箱变；文昌路全长1240.63m，设置1座照明专用箱变。</w:t>
            </w:r>
          </w:p>
          <w:p>
            <w:pPr>
              <w:spacing w:line="480" w:lineRule="exact"/>
              <w:ind w:firstLine="480"/>
              <w:rPr>
                <w:rFonts w:hint="default" w:ascii="Times New Roman" w:hAnsi="Times New Roman" w:eastAsia="宋体" w:cs="Times New Roman"/>
                <w:b/>
                <w:bCs w:val="0"/>
                <w:sz w:val="24"/>
                <w:szCs w:val="24"/>
                <w:lang w:val="en-US" w:eastAsia="zh-CN"/>
              </w:rPr>
            </w:pPr>
            <w:r>
              <w:rPr>
                <w:rFonts w:hint="default" w:ascii="Times New Roman" w:hAnsi="Times New Roman" w:cs="Times New Roman"/>
                <w:b/>
                <w:bCs w:val="0"/>
                <w:sz w:val="24"/>
                <w:szCs w:val="24"/>
                <w:lang w:val="en-US" w:eastAsia="zh-CN"/>
              </w:rPr>
              <w:t>2.</w:t>
            </w:r>
            <w:r>
              <w:rPr>
                <w:rFonts w:hint="eastAsia" w:cs="Times New Roman"/>
                <w:b/>
                <w:bCs w:val="0"/>
                <w:sz w:val="24"/>
                <w:szCs w:val="24"/>
                <w:lang w:val="en-US" w:eastAsia="zh-CN"/>
              </w:rPr>
              <w:t>8</w:t>
            </w:r>
            <w:r>
              <w:rPr>
                <w:rFonts w:hint="default" w:ascii="Times New Roman" w:hAnsi="Times New Roman" w:cs="Times New Roman"/>
                <w:b/>
                <w:bCs w:val="0"/>
                <w:sz w:val="24"/>
                <w:szCs w:val="24"/>
                <w:lang w:val="en-US" w:eastAsia="zh-CN"/>
              </w:rPr>
              <w:t>.</w:t>
            </w:r>
            <w:r>
              <w:rPr>
                <w:rFonts w:hint="eastAsia" w:cs="Times New Roman"/>
                <w:b/>
                <w:bCs w:val="0"/>
                <w:sz w:val="24"/>
                <w:szCs w:val="24"/>
                <w:lang w:val="en-US" w:eastAsia="zh-CN"/>
              </w:rPr>
              <w:t>4线路敷设</w:t>
            </w:r>
          </w:p>
          <w:p>
            <w:pPr>
              <w:spacing w:line="480" w:lineRule="exact"/>
              <w:ind w:firstLine="482"/>
              <w:rPr>
                <w:rFonts w:hint="eastAsia"/>
                <w:b w:val="0"/>
                <w:bCs/>
                <w:sz w:val="24"/>
                <w:szCs w:val="24"/>
                <w:lang w:val="en-US" w:eastAsia="zh-CN"/>
              </w:rPr>
            </w:pPr>
            <w:r>
              <w:rPr>
                <w:rFonts w:hint="eastAsia"/>
                <w:b w:val="0"/>
                <w:bCs/>
                <w:sz w:val="24"/>
                <w:szCs w:val="24"/>
                <w:lang w:val="en-US" w:eastAsia="zh-CN"/>
              </w:rPr>
              <w:t>10KV线路采用YJV-10kV电缆沿市政电力排管敷设。路灯照明线路选用YJV-1kV电缆穿SC80热镀锌管埋地敷设，供电方式为380/220V三相五线制，过道路时穿SC100热镀锌钢管保护。道路照明线路敷设时，同沟敷设监控、交警信号保护管，与照明线路保护管同规格。</w:t>
            </w:r>
          </w:p>
          <w:p>
            <w:pPr>
              <w:spacing w:line="480" w:lineRule="exact"/>
              <w:ind w:firstLine="480"/>
              <w:rPr>
                <w:rFonts w:hint="default" w:ascii="Times New Roman" w:hAnsi="Times New Roman" w:eastAsia="宋体" w:cs="Times New Roman"/>
                <w:b/>
                <w:bCs w:val="0"/>
                <w:sz w:val="24"/>
                <w:szCs w:val="24"/>
                <w:lang w:val="en-US" w:eastAsia="zh-CN"/>
              </w:rPr>
            </w:pPr>
            <w:r>
              <w:rPr>
                <w:rFonts w:hint="default" w:ascii="Times New Roman" w:hAnsi="Times New Roman" w:cs="Times New Roman"/>
                <w:b/>
                <w:bCs w:val="0"/>
                <w:sz w:val="24"/>
                <w:szCs w:val="24"/>
                <w:lang w:val="en-US" w:eastAsia="zh-CN"/>
              </w:rPr>
              <w:t>2.</w:t>
            </w:r>
            <w:r>
              <w:rPr>
                <w:rFonts w:hint="eastAsia" w:cs="Times New Roman"/>
                <w:b/>
                <w:bCs w:val="0"/>
                <w:sz w:val="24"/>
                <w:szCs w:val="24"/>
                <w:lang w:val="en-US" w:eastAsia="zh-CN"/>
              </w:rPr>
              <w:t>8</w:t>
            </w:r>
            <w:r>
              <w:rPr>
                <w:rFonts w:hint="default" w:ascii="Times New Roman" w:hAnsi="Times New Roman" w:cs="Times New Roman"/>
                <w:b/>
                <w:bCs w:val="0"/>
                <w:sz w:val="24"/>
                <w:szCs w:val="24"/>
                <w:lang w:val="en-US" w:eastAsia="zh-CN"/>
              </w:rPr>
              <w:t>.</w:t>
            </w:r>
            <w:r>
              <w:rPr>
                <w:rFonts w:hint="eastAsia" w:cs="Times New Roman"/>
                <w:b/>
                <w:bCs w:val="0"/>
                <w:sz w:val="24"/>
                <w:szCs w:val="24"/>
                <w:lang w:val="en-US" w:eastAsia="zh-CN"/>
              </w:rPr>
              <w:t>5照明光源</w:t>
            </w:r>
          </w:p>
          <w:p>
            <w:pPr>
              <w:spacing w:line="480" w:lineRule="exact"/>
              <w:ind w:firstLine="482"/>
              <w:rPr>
                <w:rFonts w:hint="eastAsia"/>
                <w:b w:val="0"/>
                <w:bCs/>
                <w:sz w:val="24"/>
                <w:szCs w:val="24"/>
                <w:lang w:val="en-US" w:eastAsia="zh-CN"/>
              </w:rPr>
            </w:pPr>
            <w:r>
              <w:rPr>
                <w:rFonts w:hint="eastAsia"/>
                <w:b w:val="0"/>
                <w:bCs/>
                <w:sz w:val="24"/>
                <w:szCs w:val="24"/>
                <w:lang w:val="en-US" w:eastAsia="zh-CN"/>
              </w:rPr>
              <w:t>LED灯是用高亮度白色发光二极管作为发光源，相比传统的高压钠灯光效高，可以减少二氧化碳排放量。所以根据本项目的实际情况推荐采用LED灯。</w:t>
            </w:r>
          </w:p>
          <w:p>
            <w:pPr>
              <w:spacing w:line="480" w:lineRule="exact"/>
              <w:ind w:firstLine="480"/>
              <w:rPr>
                <w:rFonts w:hint="default" w:ascii="Times New Roman" w:hAnsi="Times New Roman" w:eastAsia="宋体" w:cs="Times New Roman"/>
                <w:b/>
                <w:bCs w:val="0"/>
                <w:sz w:val="24"/>
                <w:szCs w:val="24"/>
                <w:lang w:val="en-US" w:eastAsia="zh-CN"/>
              </w:rPr>
            </w:pPr>
            <w:r>
              <w:rPr>
                <w:rFonts w:hint="default" w:ascii="Times New Roman" w:hAnsi="Times New Roman" w:cs="Times New Roman"/>
                <w:b/>
                <w:bCs w:val="0"/>
                <w:sz w:val="24"/>
                <w:szCs w:val="24"/>
                <w:lang w:val="en-US" w:eastAsia="zh-CN"/>
              </w:rPr>
              <w:t>2.</w:t>
            </w:r>
            <w:r>
              <w:rPr>
                <w:rFonts w:hint="eastAsia" w:cs="Times New Roman"/>
                <w:b/>
                <w:bCs w:val="0"/>
                <w:sz w:val="24"/>
                <w:szCs w:val="24"/>
                <w:lang w:val="en-US" w:eastAsia="zh-CN"/>
              </w:rPr>
              <w:t>8</w:t>
            </w:r>
            <w:r>
              <w:rPr>
                <w:rFonts w:hint="default" w:ascii="Times New Roman" w:hAnsi="Times New Roman" w:cs="Times New Roman"/>
                <w:b/>
                <w:bCs w:val="0"/>
                <w:sz w:val="24"/>
                <w:szCs w:val="24"/>
                <w:lang w:val="en-US" w:eastAsia="zh-CN"/>
              </w:rPr>
              <w:t>.</w:t>
            </w:r>
            <w:r>
              <w:rPr>
                <w:rFonts w:hint="eastAsia" w:cs="Times New Roman"/>
                <w:b/>
                <w:bCs w:val="0"/>
                <w:sz w:val="24"/>
                <w:szCs w:val="24"/>
                <w:lang w:val="en-US" w:eastAsia="zh-CN"/>
              </w:rPr>
              <w:t>6照明灯具及布灯方式</w:t>
            </w:r>
          </w:p>
          <w:p>
            <w:pPr>
              <w:spacing w:line="480" w:lineRule="exact"/>
              <w:ind w:firstLine="482"/>
              <w:rPr>
                <w:rFonts w:hint="default"/>
                <w:b w:val="0"/>
                <w:bCs/>
                <w:sz w:val="24"/>
                <w:szCs w:val="24"/>
                <w:lang w:val="en-US" w:eastAsia="zh-CN"/>
              </w:rPr>
            </w:pPr>
            <w:r>
              <w:rPr>
                <w:rFonts w:hint="eastAsia"/>
                <w:b w:val="0"/>
                <w:bCs/>
                <w:sz w:val="24"/>
                <w:szCs w:val="24"/>
                <w:lang w:val="en-US" w:eastAsia="zh-CN"/>
              </w:rPr>
              <w:t>①主干路东外环路、湖滨大道西延、文昌路平均照度设计为20LX，功率密度值为0.7W/m</w:t>
            </w:r>
            <w:r>
              <w:rPr>
                <w:rFonts w:hint="eastAsia"/>
                <w:b w:val="0"/>
                <w:bCs/>
                <w:sz w:val="24"/>
                <w:szCs w:val="24"/>
                <w:vertAlign w:val="superscript"/>
                <w:lang w:val="en-US" w:eastAsia="zh-CN"/>
              </w:rPr>
              <w:t>2</w:t>
            </w:r>
            <w:r>
              <w:rPr>
                <w:rFonts w:hint="eastAsia"/>
                <w:b w:val="0"/>
                <w:bCs/>
                <w:sz w:val="24"/>
                <w:szCs w:val="24"/>
                <w:lang w:val="en-US" w:eastAsia="zh-CN"/>
              </w:rPr>
              <w:t>。</w:t>
            </w:r>
          </w:p>
          <w:p>
            <w:pPr>
              <w:spacing w:line="480" w:lineRule="exact"/>
              <w:ind w:firstLine="482"/>
              <w:rPr>
                <w:rFonts w:hint="default"/>
                <w:b w:val="0"/>
                <w:bCs/>
                <w:sz w:val="24"/>
                <w:szCs w:val="24"/>
                <w:lang w:val="en-US" w:eastAsia="zh-CN"/>
              </w:rPr>
            </w:pPr>
            <w:r>
              <w:rPr>
                <w:rFonts w:hint="eastAsia"/>
                <w:b w:val="0"/>
                <w:bCs/>
                <w:sz w:val="24"/>
                <w:szCs w:val="24"/>
                <w:lang w:val="en-US" w:eastAsia="zh-CN"/>
              </w:rPr>
              <w:t>②照明布置：东外环路（北段）、湖滨大道西延采用双侧对称布灯方式，路灯安装于绿化带内，距侧石0.75米，道路灯为双臂路灯，灯杆高度为12米，机动车道灯头功率：150W，非机动车道灯头功率100W，灯杆间距约35米；东外环路（南段）采用中心对称布灯方式，路灯安装于道路中分绿化带内中心线，道路灯为双臂路灯，灯杆高度为12米，灯头功率：150W，灯杆间距约35米。文昌路采用双侧对称布灯方式，路灯安装于绿化带内，距侧石0.75米，道路灯为单臂路灯，灯杆高度为9米，机动车道灯头功率：100W，灯杆间距约30米；交叉口、出入口等复杂路段适当加强照明亮度。</w:t>
            </w:r>
          </w:p>
          <w:p>
            <w:pPr>
              <w:spacing w:line="480" w:lineRule="exact"/>
              <w:ind w:firstLine="480"/>
              <w:rPr>
                <w:rFonts w:hint="default" w:ascii="Times New Roman" w:hAnsi="Times New Roman" w:eastAsia="宋体" w:cs="Times New Roman"/>
                <w:b/>
                <w:bCs w:val="0"/>
                <w:sz w:val="24"/>
                <w:szCs w:val="24"/>
                <w:lang w:val="en-US" w:eastAsia="zh-CN"/>
              </w:rPr>
            </w:pPr>
            <w:r>
              <w:rPr>
                <w:rFonts w:hint="default" w:ascii="Times New Roman" w:hAnsi="Times New Roman" w:cs="Times New Roman"/>
                <w:b/>
                <w:bCs w:val="0"/>
                <w:sz w:val="24"/>
                <w:szCs w:val="24"/>
                <w:lang w:val="en-US" w:eastAsia="zh-CN"/>
              </w:rPr>
              <w:t>2.</w:t>
            </w:r>
            <w:r>
              <w:rPr>
                <w:rFonts w:hint="eastAsia" w:cs="Times New Roman"/>
                <w:b/>
                <w:bCs w:val="0"/>
                <w:sz w:val="24"/>
                <w:szCs w:val="24"/>
                <w:lang w:val="en-US" w:eastAsia="zh-CN"/>
              </w:rPr>
              <w:t>8</w:t>
            </w:r>
            <w:r>
              <w:rPr>
                <w:rFonts w:hint="default" w:ascii="Times New Roman" w:hAnsi="Times New Roman" w:cs="Times New Roman"/>
                <w:b/>
                <w:bCs w:val="0"/>
                <w:sz w:val="24"/>
                <w:szCs w:val="24"/>
                <w:lang w:val="en-US" w:eastAsia="zh-CN"/>
              </w:rPr>
              <w:t>.</w:t>
            </w:r>
            <w:r>
              <w:rPr>
                <w:rFonts w:hint="eastAsia" w:cs="Times New Roman"/>
                <w:b/>
                <w:bCs w:val="0"/>
                <w:sz w:val="24"/>
                <w:szCs w:val="24"/>
                <w:lang w:val="en-US" w:eastAsia="zh-CN"/>
              </w:rPr>
              <w:t>7照明控制</w:t>
            </w:r>
          </w:p>
          <w:p>
            <w:pPr>
              <w:spacing w:line="480" w:lineRule="exact"/>
              <w:ind w:firstLine="482"/>
              <w:rPr>
                <w:rFonts w:hint="eastAsia"/>
                <w:b w:val="0"/>
                <w:bCs/>
                <w:sz w:val="24"/>
                <w:szCs w:val="24"/>
                <w:lang w:val="en-US" w:eastAsia="zh-CN"/>
              </w:rPr>
            </w:pPr>
            <w:r>
              <w:rPr>
                <w:rFonts w:hint="eastAsia"/>
                <w:b w:val="0"/>
                <w:bCs/>
                <w:sz w:val="24"/>
                <w:szCs w:val="24"/>
                <w:lang w:val="en-US" w:eastAsia="zh-CN"/>
              </w:rPr>
              <w:t>采用光电时钟自动、手动控制，每台箱变或配电箱内设一套光电、时钟自动手动控制盘，光控器根据自然光的强弱自动控制路灯的开闭，也可手动控制或自动减光控制。箱变内同时要预留远控开关，可以实现上级对路灯照明的管理和整个城市照明系统的联网控制。</w:t>
            </w:r>
          </w:p>
          <w:p>
            <w:pPr>
              <w:spacing w:line="480" w:lineRule="exact"/>
              <w:ind w:firstLine="480"/>
              <w:rPr>
                <w:rFonts w:hint="default" w:ascii="Times New Roman" w:hAnsi="Times New Roman" w:eastAsia="宋体" w:cs="Times New Roman"/>
                <w:b/>
                <w:bCs w:val="0"/>
                <w:sz w:val="24"/>
                <w:szCs w:val="24"/>
                <w:lang w:val="en-US" w:eastAsia="zh-CN"/>
              </w:rPr>
            </w:pPr>
            <w:r>
              <w:rPr>
                <w:rFonts w:hint="default" w:ascii="Times New Roman" w:hAnsi="Times New Roman" w:cs="Times New Roman"/>
                <w:b/>
                <w:bCs w:val="0"/>
                <w:sz w:val="24"/>
                <w:szCs w:val="24"/>
                <w:lang w:val="en-US" w:eastAsia="zh-CN"/>
              </w:rPr>
              <w:t>2.</w:t>
            </w:r>
            <w:r>
              <w:rPr>
                <w:rFonts w:hint="eastAsia" w:cs="Times New Roman"/>
                <w:b/>
                <w:bCs w:val="0"/>
                <w:sz w:val="24"/>
                <w:szCs w:val="24"/>
                <w:lang w:val="en-US" w:eastAsia="zh-CN"/>
              </w:rPr>
              <w:t>8</w:t>
            </w:r>
            <w:r>
              <w:rPr>
                <w:rFonts w:hint="default" w:ascii="Times New Roman" w:hAnsi="Times New Roman" w:cs="Times New Roman"/>
                <w:b/>
                <w:bCs w:val="0"/>
                <w:sz w:val="24"/>
                <w:szCs w:val="24"/>
                <w:lang w:val="en-US" w:eastAsia="zh-CN"/>
              </w:rPr>
              <w:t>.</w:t>
            </w:r>
            <w:r>
              <w:rPr>
                <w:rFonts w:hint="eastAsia" w:cs="Times New Roman"/>
                <w:b/>
                <w:bCs w:val="0"/>
                <w:sz w:val="24"/>
                <w:szCs w:val="24"/>
                <w:lang w:val="en-US" w:eastAsia="zh-CN"/>
              </w:rPr>
              <w:t>8接地保护</w:t>
            </w:r>
          </w:p>
          <w:p>
            <w:pPr>
              <w:spacing w:line="480" w:lineRule="exact"/>
              <w:ind w:firstLine="482"/>
              <w:rPr>
                <w:rFonts w:hint="eastAsia"/>
                <w:b w:val="0"/>
                <w:bCs/>
                <w:sz w:val="24"/>
                <w:szCs w:val="24"/>
                <w:lang w:val="en-US" w:eastAsia="zh-CN"/>
              </w:rPr>
            </w:pPr>
            <w:r>
              <w:rPr>
                <w:rFonts w:hint="eastAsia"/>
                <w:b w:val="0"/>
                <w:bCs/>
                <w:sz w:val="24"/>
                <w:szCs w:val="24"/>
                <w:lang w:val="en-US" w:eastAsia="zh-CN"/>
              </w:rPr>
              <w:t>本项目接地方式采用TN-S制，箱变处安装接地装置。每灯采用一组镀锌角钢接地极做重复接地，全线采用专用PE线做接地连接线，所有用电设备外壳、灯杆、暗敷钢管均与接地装置可靠连接，形成统一接地网。接地电阻不大于4欧姆。</w:t>
            </w:r>
          </w:p>
          <w:p>
            <w:pPr>
              <w:spacing w:line="480" w:lineRule="exact"/>
              <w:ind w:firstLine="482"/>
              <w:rPr>
                <w:rFonts w:hint="default"/>
                <w:b/>
                <w:sz w:val="24"/>
                <w:szCs w:val="24"/>
                <w:lang w:val="en-US" w:eastAsia="zh-CN"/>
              </w:rPr>
            </w:pPr>
            <w:r>
              <w:rPr>
                <w:rFonts w:hint="eastAsia"/>
                <w:b/>
                <w:sz w:val="24"/>
                <w:szCs w:val="24"/>
                <w:lang w:val="en-US" w:eastAsia="zh-CN"/>
              </w:rPr>
              <w:t>2.9供热工程</w:t>
            </w:r>
          </w:p>
          <w:p>
            <w:pPr>
              <w:spacing w:line="480" w:lineRule="exact"/>
              <w:ind w:firstLine="480"/>
              <w:rPr>
                <w:rFonts w:hint="default" w:ascii="Times New Roman" w:hAnsi="Times New Roman" w:cs="Times New Roman"/>
                <w:b w:val="0"/>
                <w:bCs/>
                <w:sz w:val="24"/>
                <w:szCs w:val="24"/>
                <w:lang w:val="en-US" w:eastAsia="zh-CN"/>
              </w:rPr>
            </w:pPr>
            <w:r>
              <w:rPr>
                <w:rFonts w:hint="default" w:ascii="Times New Roman" w:hAnsi="Times New Roman" w:cs="Times New Roman"/>
                <w:b w:val="0"/>
                <w:bCs/>
                <w:sz w:val="24"/>
                <w:szCs w:val="24"/>
                <w:lang w:val="en-US" w:eastAsia="zh-CN"/>
              </w:rPr>
              <w:t>五台县湖滨大街西延等三条道路管网建设项目中湖滨大街西延及东外环路拟建设供热一次管网及附属设施。湖滨大街西延主管径为DN350，东外环路主管径为DN500。供热一次网设计压力1.6MPa，设计温度120°C/60°C。湖滨大街西延设计起点为文昌路，设计终点与湖滨大道相接，全长约800米。东外环路设计起点为道路桩号K2+000处，设计终点至五黄路，全长约900m。</w:t>
            </w:r>
          </w:p>
          <w:p>
            <w:pPr>
              <w:spacing w:line="480" w:lineRule="exact"/>
              <w:ind w:firstLine="480"/>
              <w:rPr>
                <w:rFonts w:hint="default" w:ascii="Times New Roman" w:hAnsi="Times New Roman" w:eastAsia="宋体" w:cs="Times New Roman"/>
                <w:b/>
                <w:bCs w:val="0"/>
                <w:sz w:val="24"/>
                <w:szCs w:val="24"/>
                <w:lang w:val="en-US" w:eastAsia="zh-CN"/>
              </w:rPr>
            </w:pPr>
            <w:r>
              <w:rPr>
                <w:rFonts w:hint="default" w:ascii="Times New Roman" w:hAnsi="Times New Roman" w:cs="Times New Roman"/>
                <w:b/>
                <w:bCs w:val="0"/>
                <w:sz w:val="24"/>
                <w:szCs w:val="24"/>
                <w:lang w:val="en-US" w:eastAsia="zh-CN"/>
              </w:rPr>
              <w:t>2.</w:t>
            </w:r>
            <w:r>
              <w:rPr>
                <w:rFonts w:hint="eastAsia" w:cs="Times New Roman"/>
                <w:b/>
                <w:bCs w:val="0"/>
                <w:sz w:val="24"/>
                <w:szCs w:val="24"/>
                <w:lang w:val="en-US" w:eastAsia="zh-CN"/>
              </w:rPr>
              <w:t>9</w:t>
            </w:r>
            <w:r>
              <w:rPr>
                <w:rFonts w:hint="default" w:ascii="Times New Roman" w:hAnsi="Times New Roman" w:cs="Times New Roman"/>
                <w:b/>
                <w:bCs w:val="0"/>
                <w:sz w:val="24"/>
                <w:szCs w:val="24"/>
                <w:lang w:val="en-US" w:eastAsia="zh-CN"/>
              </w:rPr>
              <w:t>.</w:t>
            </w:r>
            <w:r>
              <w:rPr>
                <w:rFonts w:hint="eastAsia" w:cs="Times New Roman"/>
                <w:b/>
                <w:bCs w:val="0"/>
                <w:sz w:val="24"/>
                <w:szCs w:val="24"/>
                <w:lang w:val="en-US" w:eastAsia="zh-CN"/>
              </w:rPr>
              <w:t>1</w:t>
            </w:r>
            <w:bookmarkStart w:id="2" w:name="_Toc16673"/>
            <w:r>
              <w:rPr>
                <w:rFonts w:hint="eastAsia" w:cs="Times New Roman"/>
                <w:b/>
                <w:bCs w:val="0"/>
                <w:sz w:val="24"/>
                <w:szCs w:val="24"/>
                <w:lang w:val="en-US" w:eastAsia="zh-CN"/>
              </w:rPr>
              <w:t>供热管线平面布置、竖向设计及设计参数</w:t>
            </w:r>
            <w:bookmarkEnd w:id="2"/>
          </w:p>
          <w:p>
            <w:pPr>
              <w:spacing w:line="480" w:lineRule="exact"/>
              <w:ind w:firstLine="482"/>
              <w:rPr>
                <w:rFonts w:hint="eastAsia"/>
                <w:b w:val="0"/>
                <w:bCs/>
                <w:sz w:val="24"/>
                <w:szCs w:val="24"/>
                <w:lang w:val="en-US" w:eastAsia="zh-CN"/>
              </w:rPr>
            </w:pPr>
            <w:r>
              <w:rPr>
                <w:rFonts w:hint="eastAsia"/>
                <w:b w:val="0"/>
                <w:bCs/>
                <w:sz w:val="24"/>
                <w:szCs w:val="24"/>
                <w:lang w:val="en-US" w:eastAsia="zh-CN"/>
              </w:rPr>
              <w:t>在湖滨大街西延道路中心线以北18.0米处，规划一趟DN350的供热管线，设计起点为文昌路，设计终点与湖滨大道相接，全长约800米；在东外环路道路中心线以东17.0米处，规划一趟DN500的供热管线，设计起点为道路桩号K2+000处，设计终点至五黄路，全长约900m。</w:t>
            </w:r>
          </w:p>
          <w:p>
            <w:pPr>
              <w:spacing w:line="480" w:lineRule="exact"/>
              <w:ind w:firstLine="482"/>
              <w:rPr>
                <w:rFonts w:hint="eastAsia"/>
                <w:b w:val="0"/>
                <w:bCs/>
                <w:sz w:val="24"/>
                <w:szCs w:val="24"/>
                <w:lang w:val="en-US" w:eastAsia="zh-CN"/>
              </w:rPr>
            </w:pPr>
            <w:r>
              <w:rPr>
                <w:rFonts w:hint="eastAsia"/>
                <w:b w:val="0"/>
                <w:bCs/>
                <w:sz w:val="24"/>
                <w:szCs w:val="24"/>
                <w:lang w:val="en-US" w:eastAsia="zh-CN"/>
              </w:rPr>
              <w:t>在适当位置道路两侧间隔布置闸门井，以便周边地块换热站使用，同时兼有管道检修排空功能。管道在市政路交叉口处设置阀门井，在管道高点设排气阀及排气井、管道低点设泄水井、弯头及非自然锚固段设置混凝土固定敦及套筒补偿器。湖滨大街西延供热管道作为区域支干线，供热能力为55-84万㎡，设计比摩阻为V=30-70Pa/m。东外环路供热管道作为区域主干线，供热能力为135-210万㎡，设计比摩阻为V=30-70Pa/m。</w:t>
            </w:r>
          </w:p>
          <w:p>
            <w:pPr>
              <w:spacing w:line="480" w:lineRule="exact"/>
              <w:ind w:firstLine="480"/>
              <w:rPr>
                <w:rFonts w:hint="default" w:ascii="Times New Roman" w:hAnsi="Times New Roman" w:eastAsia="宋体" w:cs="Times New Roman"/>
                <w:b/>
                <w:bCs w:val="0"/>
                <w:sz w:val="24"/>
                <w:szCs w:val="24"/>
                <w:lang w:val="en-US" w:eastAsia="zh-CN"/>
              </w:rPr>
            </w:pPr>
            <w:r>
              <w:rPr>
                <w:rFonts w:hint="default" w:ascii="Times New Roman" w:hAnsi="Times New Roman" w:cs="Times New Roman"/>
                <w:b/>
                <w:bCs w:val="0"/>
                <w:sz w:val="24"/>
                <w:szCs w:val="24"/>
                <w:lang w:val="en-US" w:eastAsia="zh-CN"/>
              </w:rPr>
              <w:t>2.</w:t>
            </w:r>
            <w:r>
              <w:rPr>
                <w:rFonts w:hint="eastAsia" w:cs="Times New Roman"/>
                <w:b/>
                <w:bCs w:val="0"/>
                <w:sz w:val="24"/>
                <w:szCs w:val="24"/>
                <w:lang w:val="en-US" w:eastAsia="zh-CN"/>
              </w:rPr>
              <w:t>9</w:t>
            </w:r>
            <w:r>
              <w:rPr>
                <w:rFonts w:hint="default" w:ascii="Times New Roman" w:hAnsi="Times New Roman" w:cs="Times New Roman"/>
                <w:b/>
                <w:bCs w:val="0"/>
                <w:sz w:val="24"/>
                <w:szCs w:val="24"/>
                <w:lang w:val="en-US" w:eastAsia="zh-CN"/>
              </w:rPr>
              <w:t>.</w:t>
            </w:r>
            <w:r>
              <w:rPr>
                <w:rFonts w:hint="eastAsia" w:cs="Times New Roman"/>
                <w:b/>
                <w:bCs w:val="0"/>
                <w:sz w:val="24"/>
                <w:szCs w:val="24"/>
                <w:lang w:val="en-US" w:eastAsia="zh-CN"/>
              </w:rPr>
              <w:t>2工程结构</w:t>
            </w:r>
          </w:p>
          <w:p>
            <w:pPr>
              <w:spacing w:line="480" w:lineRule="exact"/>
              <w:ind w:firstLine="482"/>
              <w:rPr>
                <w:rFonts w:hint="eastAsia"/>
                <w:b/>
                <w:bCs w:val="0"/>
                <w:sz w:val="24"/>
                <w:szCs w:val="24"/>
                <w:lang w:val="en-US" w:eastAsia="zh-CN"/>
              </w:rPr>
            </w:pPr>
            <w:r>
              <w:rPr>
                <w:rFonts w:hint="eastAsia"/>
                <w:b/>
                <w:bCs w:val="0"/>
                <w:sz w:val="24"/>
                <w:szCs w:val="24"/>
                <w:lang w:val="en-US" w:eastAsia="zh-CN"/>
              </w:rPr>
              <w:t>（1）管道材料及管件</w:t>
            </w:r>
          </w:p>
          <w:p>
            <w:pPr>
              <w:spacing w:line="480" w:lineRule="exact"/>
              <w:ind w:firstLine="482"/>
              <w:rPr>
                <w:rFonts w:hint="eastAsia"/>
                <w:b w:val="0"/>
                <w:bCs/>
                <w:sz w:val="24"/>
                <w:szCs w:val="24"/>
                <w:lang w:val="en-US" w:eastAsia="zh-CN"/>
              </w:rPr>
            </w:pPr>
            <w:r>
              <w:rPr>
                <w:rFonts w:hint="eastAsia"/>
                <w:b w:val="0"/>
                <w:bCs/>
                <w:sz w:val="24"/>
                <w:szCs w:val="24"/>
                <w:lang w:val="en-US" w:eastAsia="zh-CN"/>
              </w:rPr>
              <w:t>本工程供热管道工作管采用螺旋焊缝钢管,材质Q235B,执行标准GB/T 9711-2011。供水管道保温材料采用改性硬质聚氨酯泡沫塑料(耐温120°),回水管道保温材料采用硬质聚氨酯泡沫塑料(PUR),全线供水和回水管道外护层采用高密度聚乙烯保护壳。</w:t>
            </w:r>
          </w:p>
          <w:p>
            <w:pPr>
              <w:spacing w:line="480" w:lineRule="exact"/>
              <w:ind w:firstLine="482"/>
              <w:rPr>
                <w:rFonts w:hint="eastAsia"/>
                <w:b/>
                <w:bCs w:val="0"/>
                <w:sz w:val="24"/>
                <w:szCs w:val="24"/>
                <w:lang w:val="en-US" w:eastAsia="zh-CN"/>
              </w:rPr>
            </w:pPr>
            <w:r>
              <w:rPr>
                <w:rFonts w:hint="eastAsia"/>
                <w:b/>
                <w:bCs w:val="0"/>
                <w:sz w:val="24"/>
                <w:szCs w:val="24"/>
                <w:lang w:val="en-US" w:eastAsia="zh-CN"/>
              </w:rPr>
              <w:t>（2）管道连接</w:t>
            </w:r>
          </w:p>
          <w:p>
            <w:pPr>
              <w:spacing w:line="480" w:lineRule="exact"/>
              <w:ind w:firstLine="482"/>
              <w:rPr>
                <w:rFonts w:hint="eastAsia"/>
                <w:b w:val="0"/>
                <w:bCs/>
                <w:sz w:val="24"/>
                <w:szCs w:val="24"/>
                <w:lang w:val="en-US" w:eastAsia="zh-CN"/>
              </w:rPr>
            </w:pPr>
            <w:r>
              <w:rPr>
                <w:rFonts w:hint="eastAsia"/>
                <w:b w:val="0"/>
                <w:bCs/>
                <w:sz w:val="24"/>
                <w:szCs w:val="24"/>
                <w:lang w:val="en-US" w:eastAsia="zh-CN"/>
              </w:rPr>
              <w:t>工艺管道除与法兰连接设备采用法兰连接外（配对法兰、垫片及紧固件由设备生产厂配套供应）,其余均采用焊接连接。</w:t>
            </w:r>
          </w:p>
          <w:p>
            <w:pPr>
              <w:spacing w:line="480" w:lineRule="exact"/>
              <w:ind w:firstLine="482"/>
              <w:rPr>
                <w:rFonts w:hint="eastAsia"/>
                <w:b/>
                <w:bCs w:val="0"/>
                <w:sz w:val="24"/>
                <w:szCs w:val="24"/>
                <w:lang w:val="en-US" w:eastAsia="zh-CN"/>
              </w:rPr>
            </w:pPr>
            <w:r>
              <w:rPr>
                <w:rFonts w:hint="eastAsia"/>
                <w:b/>
                <w:bCs w:val="0"/>
                <w:sz w:val="24"/>
                <w:szCs w:val="24"/>
                <w:lang w:val="en-US" w:eastAsia="zh-CN"/>
              </w:rPr>
              <w:t>（3）管道敷设</w:t>
            </w:r>
          </w:p>
          <w:p>
            <w:pPr>
              <w:spacing w:line="480" w:lineRule="exact"/>
              <w:ind w:firstLine="482"/>
              <w:rPr>
                <w:rFonts w:hint="eastAsia"/>
                <w:b w:val="0"/>
                <w:bCs/>
                <w:sz w:val="24"/>
                <w:szCs w:val="24"/>
                <w:lang w:val="en-US" w:eastAsia="zh-CN"/>
              </w:rPr>
            </w:pPr>
            <w:r>
              <w:rPr>
                <w:rFonts w:hint="eastAsia"/>
                <w:b w:val="0"/>
                <w:bCs/>
                <w:sz w:val="24"/>
                <w:szCs w:val="24"/>
                <w:lang w:val="en-US" w:eastAsia="zh-CN"/>
              </w:rPr>
              <w:t>工艺管道采用无补偿直埋冷安装敷设，施工采用开挖敷设方式。</w:t>
            </w:r>
          </w:p>
          <w:p>
            <w:pPr>
              <w:spacing w:line="480" w:lineRule="exact"/>
              <w:ind w:firstLine="482"/>
              <w:rPr>
                <w:rFonts w:hint="eastAsia"/>
                <w:b w:val="0"/>
                <w:bCs/>
                <w:sz w:val="24"/>
                <w:szCs w:val="24"/>
                <w:lang w:val="en-US" w:eastAsia="zh-CN"/>
              </w:rPr>
            </w:pPr>
            <w:r>
              <w:rPr>
                <w:rFonts w:hint="eastAsia"/>
                <w:b w:val="0"/>
                <w:bCs/>
                <w:sz w:val="24"/>
                <w:szCs w:val="24"/>
                <w:lang w:val="en-US" w:eastAsia="zh-CN"/>
              </w:rPr>
              <w:t>工艺管道管顶覆土深度不小于1.3m。由于敷设距离较长，地形变化较大，其地形标高可能有误差，管道埋深可根据管线情况适当调整，但直埋管道覆土深度一般应按设计图纸进行施工，以防止在管道内产生过大的应力或引起管道纵向失稳。对于过路口处不满足最小覆土深度要求时,应与设计单位联系解决。</w:t>
            </w:r>
          </w:p>
          <w:p>
            <w:pPr>
              <w:spacing w:line="480" w:lineRule="exact"/>
              <w:ind w:firstLine="482"/>
              <w:rPr>
                <w:rFonts w:hint="eastAsia"/>
                <w:b/>
                <w:bCs w:val="0"/>
                <w:sz w:val="24"/>
                <w:szCs w:val="24"/>
                <w:lang w:val="en-US" w:eastAsia="zh-CN"/>
              </w:rPr>
            </w:pPr>
            <w:r>
              <w:rPr>
                <w:rFonts w:hint="eastAsia"/>
                <w:b/>
                <w:bCs w:val="0"/>
                <w:sz w:val="24"/>
                <w:szCs w:val="24"/>
                <w:lang w:val="en-US" w:eastAsia="zh-CN"/>
              </w:rPr>
              <w:t>（4）管道焊接</w:t>
            </w:r>
          </w:p>
          <w:p>
            <w:pPr>
              <w:spacing w:line="480" w:lineRule="exact"/>
              <w:ind w:firstLine="482"/>
              <w:rPr>
                <w:rFonts w:hint="eastAsia"/>
                <w:b w:val="0"/>
                <w:bCs/>
                <w:sz w:val="24"/>
                <w:szCs w:val="24"/>
                <w:lang w:val="en-US" w:eastAsia="zh-CN"/>
              </w:rPr>
            </w:pPr>
            <w:r>
              <w:rPr>
                <w:rFonts w:hint="eastAsia"/>
                <w:b w:val="0"/>
                <w:bCs/>
                <w:sz w:val="24"/>
                <w:szCs w:val="24"/>
                <w:lang w:val="en-US" w:eastAsia="zh-CN"/>
              </w:rPr>
              <w:t>钢管采用电弧焊接,焊条型号应根据母材型号选择，Q235钢采用J426(E4316)焊条、焊条规格,焊条电流及焊接层，接对口型式按 GB50236-2011《现场设备、工业管道焊接工程施工规范》执行。</w:t>
            </w:r>
          </w:p>
          <w:p>
            <w:pPr>
              <w:spacing w:line="480" w:lineRule="exact"/>
              <w:ind w:firstLine="482"/>
              <w:rPr>
                <w:rFonts w:hint="eastAsia"/>
                <w:b/>
                <w:bCs w:val="0"/>
                <w:sz w:val="24"/>
                <w:szCs w:val="24"/>
                <w:lang w:val="en-US" w:eastAsia="zh-CN"/>
              </w:rPr>
            </w:pPr>
            <w:r>
              <w:rPr>
                <w:rFonts w:hint="eastAsia"/>
                <w:b/>
                <w:bCs w:val="0"/>
                <w:sz w:val="24"/>
                <w:szCs w:val="24"/>
                <w:lang w:val="en-US" w:eastAsia="zh-CN"/>
              </w:rPr>
              <w:t>（5）管道压力试验、清洗</w:t>
            </w:r>
          </w:p>
          <w:p>
            <w:pPr>
              <w:spacing w:line="480" w:lineRule="exact"/>
              <w:ind w:firstLine="482"/>
              <w:rPr>
                <w:rFonts w:hint="eastAsia"/>
                <w:b w:val="0"/>
                <w:bCs/>
                <w:sz w:val="24"/>
                <w:szCs w:val="24"/>
                <w:lang w:val="en-US" w:eastAsia="zh-CN"/>
              </w:rPr>
            </w:pPr>
            <w:r>
              <w:rPr>
                <w:rFonts w:hint="eastAsia"/>
                <w:b w:val="0"/>
                <w:bCs/>
                <w:sz w:val="24"/>
                <w:szCs w:val="24"/>
                <w:lang w:val="en-US" w:eastAsia="zh-CN"/>
              </w:rPr>
              <w:t>管道安装完毕,焊接质量外观和无损检验合格后,进行压力试验、清洗。管道压力试验、清洗按照《城镇 供热管网工程施工及验收规范》CJJ 28-2014第8章的要求进行。管道强度试验的试验介质采用洁净水。清洗方法采用人工清洗。</w:t>
            </w:r>
          </w:p>
          <w:p>
            <w:pPr>
              <w:spacing w:line="480" w:lineRule="exact"/>
              <w:ind w:firstLine="482"/>
              <w:rPr>
                <w:rFonts w:hint="default"/>
                <w:b w:val="0"/>
                <w:bCs/>
                <w:sz w:val="24"/>
                <w:szCs w:val="24"/>
                <w:lang w:val="en-US" w:eastAsia="zh-CN"/>
              </w:rPr>
            </w:pPr>
            <w:r>
              <w:rPr>
                <w:rFonts w:hint="eastAsia"/>
                <w:b w:val="0"/>
                <w:bCs/>
                <w:sz w:val="24"/>
                <w:szCs w:val="24"/>
                <w:lang w:val="en-US" w:eastAsia="zh-CN"/>
              </w:rPr>
              <w:t>供热工程主要设备材料见下表。</w:t>
            </w:r>
          </w:p>
          <w:p>
            <w:pPr>
              <w:pStyle w:val="27"/>
              <w:spacing w:before="0" w:after="0" w:afterAutospacing="0" w:line="480" w:lineRule="atLeast"/>
              <w:rPr>
                <w:rFonts w:hint="default" w:ascii="黑体" w:hAnsi="黑体" w:eastAsia="黑体"/>
                <w:sz w:val="24"/>
                <w:szCs w:val="24"/>
                <w:lang w:val="en-US" w:eastAsia="zh-CN"/>
              </w:rPr>
            </w:pPr>
            <w:r>
              <w:rPr>
                <w:rFonts w:hint="eastAsia" w:ascii="黑体" w:hAnsi="黑体" w:eastAsia="黑体"/>
                <w:sz w:val="24"/>
                <w:szCs w:val="24"/>
                <w:lang w:val="en-US" w:eastAsia="zh-CN"/>
              </w:rPr>
              <w:t>表2-7  供热工程主要设备材料一览表</w:t>
            </w:r>
          </w:p>
          <w:tbl>
            <w:tblPr>
              <w:tblStyle w:val="21"/>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6"/>
              <w:gridCol w:w="626"/>
              <w:gridCol w:w="578"/>
              <w:gridCol w:w="1691"/>
              <w:gridCol w:w="1216"/>
              <w:gridCol w:w="578"/>
              <w:gridCol w:w="578"/>
              <w:gridCol w:w="23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系统</w:t>
                  </w:r>
                </w:p>
              </w:tc>
              <w:tc>
                <w:tcPr>
                  <w:tcW w:w="37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路名</w:t>
                  </w: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序号</w:t>
                  </w:r>
                </w:p>
              </w:tc>
              <w:tc>
                <w:tcPr>
                  <w:tcW w:w="101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名称</w:t>
                  </w:r>
                </w:p>
              </w:tc>
              <w:tc>
                <w:tcPr>
                  <w:tcW w:w="73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规格(mm)</w:t>
                  </w: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单位</w:t>
                  </w: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数量</w:t>
                  </w:r>
                </w:p>
              </w:tc>
              <w:tc>
                <w:tcPr>
                  <w:tcW w:w="14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4"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热</w:t>
                  </w:r>
                </w:p>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力</w:t>
                  </w:r>
                </w:p>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工</w:t>
                  </w:r>
                </w:p>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程</w:t>
                  </w:r>
                </w:p>
              </w:tc>
              <w:tc>
                <w:tcPr>
                  <w:tcW w:w="376"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东外环路</w:t>
                  </w: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01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lang w:val="en-US"/>
                    </w:rPr>
                  </w:pPr>
                  <w:r>
                    <w:rPr>
                      <w:rFonts w:hint="default" w:ascii="Times New Roman" w:hAnsi="Times New Roman" w:eastAsia="宋体" w:cs="Times New Roman"/>
                      <w:i w:val="0"/>
                      <w:iCs w:val="0"/>
                      <w:color w:val="000000"/>
                      <w:kern w:val="0"/>
                      <w:sz w:val="21"/>
                      <w:szCs w:val="21"/>
                      <w:u w:val="none"/>
                      <w:lang w:val="en-US" w:eastAsia="zh-CN" w:bidi="ar"/>
                    </w:rPr>
                    <w:t>成品保温管</w:t>
                  </w:r>
                </w:p>
              </w:tc>
              <w:tc>
                <w:tcPr>
                  <w:tcW w:w="73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lang w:val="en-US"/>
                    </w:rPr>
                  </w:pPr>
                  <w:r>
                    <w:rPr>
                      <w:rFonts w:hint="default" w:ascii="Times New Roman" w:hAnsi="Times New Roman" w:eastAsia="宋体" w:cs="Times New Roman"/>
                      <w:i w:val="0"/>
                      <w:iCs w:val="0"/>
                      <w:color w:val="000000"/>
                      <w:kern w:val="0"/>
                      <w:sz w:val="21"/>
                      <w:szCs w:val="21"/>
                      <w:u w:val="none"/>
                      <w:lang w:val="en-US" w:eastAsia="zh-CN" w:bidi="ar"/>
                    </w:rPr>
                    <w:t>Φ529×7.0</w:t>
                  </w: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米</w:t>
                  </w: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lang w:val="en-US"/>
                    </w:rPr>
                  </w:pPr>
                  <w:r>
                    <w:rPr>
                      <w:rFonts w:hint="default" w:ascii="Times New Roman" w:hAnsi="Times New Roman" w:eastAsia="宋体" w:cs="Times New Roman"/>
                      <w:i w:val="0"/>
                      <w:iCs w:val="0"/>
                      <w:color w:val="000000"/>
                      <w:kern w:val="0"/>
                      <w:sz w:val="21"/>
                      <w:szCs w:val="21"/>
                      <w:u w:val="none"/>
                      <w:lang w:val="en-US" w:eastAsia="zh-CN" w:bidi="ar"/>
                    </w:rPr>
                    <w:t>2156</w:t>
                  </w:r>
                </w:p>
              </w:tc>
              <w:tc>
                <w:tcPr>
                  <w:tcW w:w="14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lang w:val="en-US"/>
                    </w:rPr>
                  </w:pPr>
                  <w:r>
                    <w:rPr>
                      <w:rFonts w:hint="default" w:ascii="Times New Roman" w:hAnsi="Times New Roman" w:eastAsia="宋体" w:cs="Times New Roman"/>
                      <w:i w:val="0"/>
                      <w:iCs w:val="0"/>
                      <w:color w:val="000000"/>
                      <w:kern w:val="0"/>
                      <w:sz w:val="21"/>
                      <w:szCs w:val="21"/>
                      <w:u w:val="none"/>
                      <w:lang w:val="en-US" w:eastAsia="zh-CN" w:bidi="ar"/>
                    </w:rPr>
                    <w:t>GB/T29047-2012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4"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376"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101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成品保温管</w:t>
                  </w:r>
                </w:p>
              </w:tc>
              <w:tc>
                <w:tcPr>
                  <w:tcW w:w="73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Φ219×6.0</w:t>
                  </w: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米</w:t>
                  </w: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14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GB/T29047-2012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4"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376"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3</w:t>
                  </w:r>
                </w:p>
              </w:tc>
              <w:tc>
                <w:tcPr>
                  <w:tcW w:w="101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成品保温弯头</w:t>
                  </w:r>
                </w:p>
              </w:tc>
              <w:tc>
                <w:tcPr>
                  <w:tcW w:w="73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lang w:val="en-US"/>
                    </w:rPr>
                  </w:pPr>
                  <w:r>
                    <w:rPr>
                      <w:rFonts w:hint="default" w:ascii="Times New Roman" w:hAnsi="Times New Roman" w:eastAsia="宋体" w:cs="Times New Roman"/>
                      <w:i w:val="0"/>
                      <w:iCs w:val="0"/>
                      <w:color w:val="000000"/>
                      <w:kern w:val="0"/>
                      <w:sz w:val="21"/>
                      <w:szCs w:val="21"/>
                      <w:u w:val="none"/>
                      <w:lang w:val="en-US" w:eastAsia="zh-CN" w:bidi="ar"/>
                    </w:rPr>
                    <w:t>DN500</w:t>
                  </w: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个</w:t>
                  </w: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10</w:t>
                  </w:r>
                </w:p>
              </w:tc>
              <w:tc>
                <w:tcPr>
                  <w:tcW w:w="14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GB/T29047-2012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4"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376"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4</w:t>
                  </w:r>
                </w:p>
              </w:tc>
              <w:tc>
                <w:tcPr>
                  <w:tcW w:w="101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成品保温弯头</w:t>
                  </w:r>
                </w:p>
              </w:tc>
              <w:tc>
                <w:tcPr>
                  <w:tcW w:w="73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DN200</w:t>
                  </w: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lang w:val="en-US" w:eastAsia="zh-CN"/>
                    </w:rPr>
                    <w:t>个</w:t>
                  </w: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lang w:val="en-US" w:eastAsia="zh-CN"/>
                    </w:rPr>
                    <w:t>20</w:t>
                  </w:r>
                </w:p>
              </w:tc>
              <w:tc>
                <w:tcPr>
                  <w:tcW w:w="14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GB/T29047-2012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4"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376"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5</w:t>
                  </w:r>
                </w:p>
              </w:tc>
              <w:tc>
                <w:tcPr>
                  <w:tcW w:w="101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阀门检查井</w:t>
                  </w:r>
                </w:p>
              </w:tc>
              <w:tc>
                <w:tcPr>
                  <w:tcW w:w="73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DN500</w:t>
                  </w: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套</w:t>
                  </w: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14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12N6-P3/4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4"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376"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6</w:t>
                  </w:r>
                </w:p>
              </w:tc>
              <w:tc>
                <w:tcPr>
                  <w:tcW w:w="101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阀门检查井</w:t>
                  </w:r>
                </w:p>
              </w:tc>
              <w:tc>
                <w:tcPr>
                  <w:tcW w:w="73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sz w:val="21"/>
                      <w:szCs w:val="21"/>
                      <w:u w:val="none"/>
                      <w:lang w:val="en-US" w:eastAsia="zh-CN"/>
                    </w:rPr>
                    <w:t>DN200</w:t>
                  </w: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套</w:t>
                  </w: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14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12N6-P3/4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4"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376"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7</w:t>
                  </w:r>
                </w:p>
              </w:tc>
              <w:tc>
                <w:tcPr>
                  <w:tcW w:w="101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阀门</w:t>
                  </w:r>
                </w:p>
              </w:tc>
              <w:tc>
                <w:tcPr>
                  <w:tcW w:w="73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DN500</w:t>
                  </w: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个</w:t>
                  </w: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w:t>
                  </w:r>
                </w:p>
              </w:tc>
              <w:tc>
                <w:tcPr>
                  <w:tcW w:w="14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4"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376"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8</w:t>
                  </w:r>
                </w:p>
              </w:tc>
              <w:tc>
                <w:tcPr>
                  <w:tcW w:w="101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阀门</w:t>
                  </w:r>
                </w:p>
              </w:tc>
              <w:tc>
                <w:tcPr>
                  <w:tcW w:w="73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sz w:val="21"/>
                      <w:szCs w:val="21"/>
                      <w:u w:val="none"/>
                      <w:lang w:val="en-US" w:eastAsia="zh-CN"/>
                    </w:rPr>
                    <w:t>DN200</w:t>
                  </w: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个</w:t>
                  </w: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10</w:t>
                  </w:r>
                </w:p>
              </w:tc>
              <w:tc>
                <w:tcPr>
                  <w:tcW w:w="14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4"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376"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9</w:t>
                  </w:r>
                </w:p>
              </w:tc>
              <w:tc>
                <w:tcPr>
                  <w:tcW w:w="101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套筒补偿器</w:t>
                  </w:r>
                </w:p>
              </w:tc>
              <w:tc>
                <w:tcPr>
                  <w:tcW w:w="73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DN500</w:t>
                  </w: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个</w:t>
                  </w: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w:t>
                  </w:r>
                </w:p>
              </w:tc>
              <w:tc>
                <w:tcPr>
                  <w:tcW w:w="14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17R410-P107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4"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376"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10</w:t>
                  </w:r>
                </w:p>
              </w:tc>
              <w:tc>
                <w:tcPr>
                  <w:tcW w:w="101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套筒补偿器井</w:t>
                  </w:r>
                </w:p>
              </w:tc>
              <w:tc>
                <w:tcPr>
                  <w:tcW w:w="73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DN500</w:t>
                  </w: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座</w:t>
                  </w: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14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2800×3800×3000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4"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376"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湖滨大街西延</w:t>
                  </w: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01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成品保温管</w:t>
                  </w:r>
                </w:p>
              </w:tc>
              <w:tc>
                <w:tcPr>
                  <w:tcW w:w="73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Φ377×7.0</w:t>
                  </w: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米</w:t>
                  </w: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1596</w:t>
                  </w:r>
                </w:p>
              </w:tc>
              <w:tc>
                <w:tcPr>
                  <w:tcW w:w="14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GB/T29047-2012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4"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376"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101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成品保温管</w:t>
                  </w:r>
                </w:p>
              </w:tc>
              <w:tc>
                <w:tcPr>
                  <w:tcW w:w="73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Φ219×6.0</w:t>
                  </w: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米</w:t>
                  </w: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100</w:t>
                  </w:r>
                </w:p>
              </w:tc>
              <w:tc>
                <w:tcPr>
                  <w:tcW w:w="14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GB/T29047-2012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4"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376"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101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成品保温弯头</w:t>
                  </w:r>
                </w:p>
              </w:tc>
              <w:tc>
                <w:tcPr>
                  <w:tcW w:w="73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DN350</w:t>
                  </w: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sz w:val="21"/>
                      <w:szCs w:val="21"/>
                      <w:u w:val="none"/>
                      <w:lang w:val="en-US" w:eastAsia="zh-CN"/>
                    </w:rPr>
                    <w:t>个</w:t>
                  </w: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sz w:val="21"/>
                      <w:szCs w:val="21"/>
                      <w:u w:val="none"/>
                      <w:lang w:val="en-US" w:eastAsia="zh-CN"/>
                    </w:rPr>
                    <w:t>8</w:t>
                  </w:r>
                </w:p>
              </w:tc>
              <w:tc>
                <w:tcPr>
                  <w:tcW w:w="14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GB/T29047-2012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4"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376"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4</w:t>
                  </w:r>
                </w:p>
              </w:tc>
              <w:tc>
                <w:tcPr>
                  <w:tcW w:w="101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成品保温弯头</w:t>
                  </w:r>
                </w:p>
              </w:tc>
              <w:tc>
                <w:tcPr>
                  <w:tcW w:w="73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DN200</w:t>
                  </w: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sz w:val="21"/>
                      <w:szCs w:val="21"/>
                      <w:u w:val="none"/>
                      <w:lang w:val="en-US" w:eastAsia="zh-CN"/>
                    </w:rPr>
                    <w:t>个</w:t>
                  </w: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2"/>
                      <w:sz w:val="21"/>
                      <w:szCs w:val="21"/>
                      <w:u w:val="none"/>
                      <w:lang w:val="en-US" w:eastAsia="zh-CN" w:bidi="ar-SA"/>
                    </w:rPr>
                    <w:t>16</w:t>
                  </w:r>
                </w:p>
              </w:tc>
              <w:tc>
                <w:tcPr>
                  <w:tcW w:w="14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GB/T29047-2012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4"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376"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101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阀门检查井</w:t>
                  </w:r>
                </w:p>
              </w:tc>
              <w:tc>
                <w:tcPr>
                  <w:tcW w:w="73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sz w:val="21"/>
                      <w:szCs w:val="21"/>
                      <w:u w:val="none"/>
                      <w:lang w:val="en-US" w:eastAsia="zh-CN"/>
                    </w:rPr>
                    <w:t>DN350</w:t>
                  </w: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套</w:t>
                  </w: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14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12N6-P3/4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4"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376"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6</w:t>
                  </w:r>
                </w:p>
              </w:tc>
              <w:tc>
                <w:tcPr>
                  <w:tcW w:w="101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阀门检查井</w:t>
                  </w:r>
                </w:p>
              </w:tc>
              <w:tc>
                <w:tcPr>
                  <w:tcW w:w="73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sz w:val="21"/>
                      <w:szCs w:val="21"/>
                      <w:u w:val="none"/>
                      <w:lang w:val="en-US" w:eastAsia="zh-CN"/>
                    </w:rPr>
                    <w:t>DN200</w:t>
                  </w: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套</w:t>
                  </w: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w:t>
                  </w:r>
                </w:p>
              </w:tc>
              <w:tc>
                <w:tcPr>
                  <w:tcW w:w="14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12N6-P3/4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4"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376"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7</w:t>
                  </w:r>
                </w:p>
              </w:tc>
              <w:tc>
                <w:tcPr>
                  <w:tcW w:w="101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阀门</w:t>
                  </w:r>
                </w:p>
              </w:tc>
              <w:tc>
                <w:tcPr>
                  <w:tcW w:w="73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sz w:val="21"/>
                      <w:szCs w:val="21"/>
                      <w:u w:val="none"/>
                      <w:lang w:val="en-US" w:eastAsia="zh-CN"/>
                    </w:rPr>
                    <w:t>DN350</w:t>
                  </w: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个</w:t>
                  </w: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w:t>
                  </w:r>
                </w:p>
              </w:tc>
              <w:tc>
                <w:tcPr>
                  <w:tcW w:w="14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4"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376"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w:t>
                  </w:r>
                </w:p>
              </w:tc>
              <w:tc>
                <w:tcPr>
                  <w:tcW w:w="101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阀门</w:t>
                  </w:r>
                </w:p>
              </w:tc>
              <w:tc>
                <w:tcPr>
                  <w:tcW w:w="73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sz w:val="21"/>
                      <w:szCs w:val="21"/>
                      <w:u w:val="none"/>
                      <w:lang w:val="en-US" w:eastAsia="zh-CN"/>
                    </w:rPr>
                    <w:t>DN200</w:t>
                  </w: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个</w:t>
                  </w: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w:t>
                  </w:r>
                </w:p>
              </w:tc>
              <w:tc>
                <w:tcPr>
                  <w:tcW w:w="14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4"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376"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101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套筒补偿器</w:t>
                  </w:r>
                </w:p>
              </w:tc>
              <w:tc>
                <w:tcPr>
                  <w:tcW w:w="73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DN350</w:t>
                  </w: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个</w:t>
                  </w: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14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17R410-P107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4"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376" w:type="pct"/>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000000"/>
                      <w:sz w:val="21"/>
                      <w:szCs w:val="21"/>
                      <w:u w:val="none"/>
                    </w:rPr>
                  </w:pP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10</w:t>
                  </w:r>
                </w:p>
              </w:tc>
              <w:tc>
                <w:tcPr>
                  <w:tcW w:w="101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套筒补偿器井</w:t>
                  </w:r>
                </w:p>
              </w:tc>
              <w:tc>
                <w:tcPr>
                  <w:tcW w:w="73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sz w:val="21"/>
                      <w:szCs w:val="21"/>
                      <w:u w:val="none"/>
                      <w:lang w:val="en-US" w:eastAsia="zh-CN"/>
                    </w:rPr>
                    <w:t>DN350</w:t>
                  </w: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座</w:t>
                  </w:r>
                </w:p>
              </w:tc>
              <w:tc>
                <w:tcPr>
                  <w:tcW w:w="3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4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2600×3400×3000</w:t>
                  </w:r>
                </w:p>
              </w:tc>
            </w:tr>
          </w:tbl>
          <w:p>
            <w:pPr>
              <w:spacing w:line="480" w:lineRule="exact"/>
              <w:ind w:firstLine="482"/>
              <w:rPr>
                <w:rFonts w:hint="default"/>
                <w:b/>
                <w:sz w:val="24"/>
                <w:szCs w:val="24"/>
                <w:lang w:val="en-US" w:eastAsia="zh-CN"/>
              </w:rPr>
            </w:pPr>
            <w:r>
              <w:rPr>
                <w:rFonts w:hint="eastAsia"/>
                <w:b/>
                <w:sz w:val="24"/>
                <w:szCs w:val="24"/>
                <w:lang w:val="en-US" w:eastAsia="zh-CN"/>
              </w:rPr>
              <w:t>2.10供热工程</w:t>
            </w:r>
          </w:p>
          <w:p>
            <w:pPr>
              <w:spacing w:line="480" w:lineRule="exact"/>
              <w:ind w:firstLine="480"/>
              <w:rPr>
                <w:rFonts w:hint="default" w:ascii="Times New Roman" w:hAnsi="Times New Roman" w:cs="Times New Roman"/>
                <w:b w:val="0"/>
                <w:bCs/>
                <w:sz w:val="24"/>
                <w:szCs w:val="24"/>
                <w:lang w:val="en-US" w:eastAsia="zh-CN"/>
              </w:rPr>
            </w:pPr>
            <w:r>
              <w:rPr>
                <w:rFonts w:hint="default" w:ascii="Times New Roman" w:hAnsi="Times New Roman" w:cs="Times New Roman"/>
                <w:b w:val="0"/>
                <w:bCs/>
                <w:sz w:val="24"/>
                <w:szCs w:val="24"/>
                <w:lang w:val="en-US" w:eastAsia="zh-CN"/>
              </w:rPr>
              <w:t>本工程为中压天然气管道工程，设计压力0.4MPa，运行压力为0.1~0.4MPa；本次设计全长湖滨大街西延约1180米，东外环路840米。全程采用开挖敷设，湖滨大街西延管道采用聚乙烯PE100 SDR11 dn110。东外环路管道采用聚乙烯PE100 SDR11 dn160 、dn110（支线）。本工程压力管道属于GB1级。</w:t>
            </w:r>
          </w:p>
          <w:p>
            <w:pPr>
              <w:spacing w:line="480" w:lineRule="exact"/>
              <w:ind w:firstLine="480"/>
              <w:rPr>
                <w:rFonts w:hint="default" w:ascii="Times New Roman" w:hAnsi="Times New Roman" w:eastAsia="宋体" w:cs="Times New Roman"/>
                <w:b/>
                <w:bCs w:val="0"/>
                <w:sz w:val="24"/>
                <w:szCs w:val="24"/>
                <w:lang w:val="en-US" w:eastAsia="zh-CN"/>
              </w:rPr>
            </w:pPr>
            <w:r>
              <w:rPr>
                <w:rFonts w:hint="default" w:ascii="Times New Roman" w:hAnsi="Times New Roman" w:cs="Times New Roman"/>
                <w:b/>
                <w:bCs w:val="0"/>
                <w:sz w:val="24"/>
                <w:szCs w:val="24"/>
                <w:lang w:val="en-US" w:eastAsia="zh-CN"/>
              </w:rPr>
              <w:t>2.</w:t>
            </w:r>
            <w:r>
              <w:rPr>
                <w:rFonts w:hint="eastAsia" w:cs="Times New Roman"/>
                <w:b/>
                <w:bCs w:val="0"/>
                <w:sz w:val="24"/>
                <w:szCs w:val="24"/>
                <w:lang w:val="en-US" w:eastAsia="zh-CN"/>
              </w:rPr>
              <w:t>10</w:t>
            </w:r>
            <w:r>
              <w:rPr>
                <w:rFonts w:hint="default" w:ascii="Times New Roman" w:hAnsi="Times New Roman" w:cs="Times New Roman"/>
                <w:b/>
                <w:bCs w:val="0"/>
                <w:sz w:val="24"/>
                <w:szCs w:val="24"/>
                <w:lang w:val="en-US" w:eastAsia="zh-CN"/>
              </w:rPr>
              <w:t>.</w:t>
            </w:r>
            <w:r>
              <w:rPr>
                <w:rFonts w:hint="eastAsia" w:cs="Times New Roman"/>
                <w:b/>
                <w:bCs w:val="0"/>
                <w:sz w:val="24"/>
                <w:szCs w:val="24"/>
                <w:lang w:val="en-US" w:eastAsia="zh-CN"/>
              </w:rPr>
              <w:t>1供气气源</w:t>
            </w:r>
          </w:p>
          <w:p>
            <w:pPr>
              <w:spacing w:line="480" w:lineRule="exact"/>
              <w:ind w:firstLine="482"/>
              <w:rPr>
                <w:rFonts w:hint="eastAsia"/>
                <w:b w:val="0"/>
                <w:bCs/>
                <w:sz w:val="24"/>
                <w:szCs w:val="24"/>
                <w:lang w:val="en-US" w:eastAsia="zh-CN"/>
              </w:rPr>
            </w:pPr>
            <w:r>
              <w:rPr>
                <w:rFonts w:hint="eastAsia"/>
                <w:b w:val="0"/>
                <w:bCs/>
                <w:sz w:val="24"/>
                <w:szCs w:val="24"/>
                <w:lang w:val="en-US" w:eastAsia="zh-CN"/>
              </w:rPr>
              <w:t>五台县城区主要气源为天然气，近期由山西燃气产业集团管辖的“神池-五台燃气管线”输出城区用气，远期将启用山西省天然气公司管辖的“定襄-五台长输管线”，以满足城区远期规划发展需求，规划期末，县城居民气化率达95%以上，其他各城镇居民气化率达到70%以上。五台县天然气门站位于城南沟南乡，占地0.77公顷，年输气量约2.5亿立方。天燃气热值8600kcal/m</w:t>
            </w:r>
            <w:r>
              <w:rPr>
                <w:rFonts w:hint="eastAsia"/>
                <w:b w:val="0"/>
                <w:bCs/>
                <w:sz w:val="24"/>
                <w:szCs w:val="24"/>
                <w:vertAlign w:val="superscript"/>
                <w:lang w:val="en-US" w:eastAsia="zh-CN"/>
              </w:rPr>
              <w:t>3</w:t>
            </w:r>
            <w:r>
              <w:rPr>
                <w:rFonts w:hint="eastAsia"/>
                <w:b w:val="0"/>
                <w:bCs/>
                <w:sz w:val="24"/>
                <w:szCs w:val="24"/>
                <w:lang w:val="en-US" w:eastAsia="zh-CN"/>
              </w:rPr>
              <w:t>。城区道路燃气管网为中压一级系统，设计压力0.4MPa。天然气通过门站经输配干管送至各小区，在小区用户处设调压器调压后入户。</w:t>
            </w:r>
          </w:p>
          <w:p>
            <w:pPr>
              <w:spacing w:line="480" w:lineRule="exact"/>
              <w:ind w:firstLine="480"/>
              <w:rPr>
                <w:rFonts w:hint="default" w:ascii="Times New Roman" w:hAnsi="Times New Roman" w:eastAsia="宋体" w:cs="Times New Roman"/>
                <w:b/>
                <w:bCs w:val="0"/>
                <w:sz w:val="24"/>
                <w:szCs w:val="24"/>
                <w:lang w:val="en-US" w:eastAsia="zh-CN"/>
              </w:rPr>
            </w:pPr>
            <w:r>
              <w:rPr>
                <w:rFonts w:hint="default" w:ascii="Times New Roman" w:hAnsi="Times New Roman" w:cs="Times New Roman"/>
                <w:b/>
                <w:bCs w:val="0"/>
                <w:sz w:val="24"/>
                <w:szCs w:val="24"/>
                <w:lang w:val="en-US" w:eastAsia="zh-CN"/>
              </w:rPr>
              <w:t>2.</w:t>
            </w:r>
            <w:r>
              <w:rPr>
                <w:rFonts w:hint="eastAsia" w:cs="Times New Roman"/>
                <w:b/>
                <w:bCs w:val="0"/>
                <w:sz w:val="24"/>
                <w:szCs w:val="24"/>
                <w:lang w:val="en-US" w:eastAsia="zh-CN"/>
              </w:rPr>
              <w:t>10</w:t>
            </w:r>
            <w:r>
              <w:rPr>
                <w:rFonts w:hint="default" w:ascii="Times New Roman" w:hAnsi="Times New Roman" w:cs="Times New Roman"/>
                <w:b/>
                <w:bCs w:val="0"/>
                <w:sz w:val="24"/>
                <w:szCs w:val="24"/>
                <w:lang w:val="en-US" w:eastAsia="zh-CN"/>
              </w:rPr>
              <w:t>.</w:t>
            </w:r>
            <w:r>
              <w:rPr>
                <w:rFonts w:hint="eastAsia" w:cs="Times New Roman"/>
                <w:b/>
                <w:bCs w:val="0"/>
                <w:sz w:val="24"/>
                <w:szCs w:val="24"/>
                <w:lang w:val="en-US" w:eastAsia="zh-CN"/>
              </w:rPr>
              <w:t>2管道敷设</w:t>
            </w:r>
          </w:p>
          <w:p>
            <w:pPr>
              <w:spacing w:line="480" w:lineRule="exact"/>
              <w:ind w:firstLine="482"/>
              <w:rPr>
                <w:rFonts w:hint="eastAsia"/>
                <w:b w:val="0"/>
                <w:bCs/>
                <w:sz w:val="24"/>
                <w:szCs w:val="24"/>
                <w:lang w:val="en-US" w:eastAsia="zh-CN"/>
              </w:rPr>
            </w:pPr>
            <w:r>
              <w:rPr>
                <w:rFonts w:hint="eastAsia"/>
                <w:b w:val="0"/>
                <w:bCs/>
                <w:sz w:val="24"/>
                <w:szCs w:val="24"/>
                <w:lang w:val="en-US" w:eastAsia="zh-CN"/>
              </w:rPr>
              <w:t>本工程燃气管道采取直埋敷设的方式，平面布置根据规划管位实施。燃气管道设计坡度与道路坡度基本保持一致，管道最低埋深应保证管顶覆土不小于1.2m，沟槽基底开挖宽度按规范要求执行。燃气管道之间、管道与管件之间均采用焊接连接，管道与阀门之间采用法兰连接。</w:t>
            </w:r>
          </w:p>
          <w:p>
            <w:pPr>
              <w:spacing w:line="480" w:lineRule="exact"/>
              <w:ind w:firstLine="480"/>
              <w:rPr>
                <w:rFonts w:hint="default" w:ascii="Times New Roman" w:hAnsi="Times New Roman" w:eastAsia="宋体" w:cs="Times New Roman"/>
                <w:b/>
                <w:bCs w:val="0"/>
                <w:sz w:val="24"/>
                <w:szCs w:val="24"/>
                <w:lang w:val="en-US" w:eastAsia="zh-CN"/>
              </w:rPr>
            </w:pPr>
            <w:r>
              <w:rPr>
                <w:rFonts w:hint="default" w:ascii="Times New Roman" w:hAnsi="Times New Roman" w:cs="Times New Roman"/>
                <w:b/>
                <w:bCs w:val="0"/>
                <w:sz w:val="24"/>
                <w:szCs w:val="24"/>
                <w:lang w:val="en-US" w:eastAsia="zh-CN"/>
              </w:rPr>
              <w:t>2.</w:t>
            </w:r>
            <w:r>
              <w:rPr>
                <w:rFonts w:hint="eastAsia" w:cs="Times New Roman"/>
                <w:b/>
                <w:bCs w:val="0"/>
                <w:sz w:val="24"/>
                <w:szCs w:val="24"/>
                <w:lang w:val="en-US" w:eastAsia="zh-CN"/>
              </w:rPr>
              <w:t>10</w:t>
            </w:r>
            <w:r>
              <w:rPr>
                <w:rFonts w:hint="default" w:ascii="Times New Roman" w:hAnsi="Times New Roman" w:cs="Times New Roman"/>
                <w:b/>
                <w:bCs w:val="0"/>
                <w:sz w:val="24"/>
                <w:szCs w:val="24"/>
                <w:lang w:val="en-US" w:eastAsia="zh-CN"/>
              </w:rPr>
              <w:t>.</w:t>
            </w:r>
            <w:r>
              <w:rPr>
                <w:rFonts w:hint="eastAsia" w:cs="Times New Roman"/>
                <w:b/>
                <w:bCs w:val="0"/>
                <w:sz w:val="24"/>
                <w:szCs w:val="24"/>
                <w:lang w:val="en-US" w:eastAsia="zh-CN"/>
              </w:rPr>
              <w:t>3警示带、示踪线和路面标志</w:t>
            </w:r>
          </w:p>
          <w:p>
            <w:pPr>
              <w:spacing w:line="480" w:lineRule="exact"/>
              <w:ind w:firstLine="482"/>
              <w:rPr>
                <w:rFonts w:hint="eastAsia"/>
                <w:b w:val="0"/>
                <w:bCs/>
                <w:sz w:val="24"/>
                <w:szCs w:val="24"/>
                <w:lang w:val="en-US" w:eastAsia="zh-CN"/>
              </w:rPr>
            </w:pPr>
            <w:r>
              <w:rPr>
                <w:rFonts w:hint="eastAsia"/>
                <w:b w:val="0"/>
                <w:bCs/>
                <w:sz w:val="24"/>
                <w:szCs w:val="24"/>
                <w:lang w:val="en-US" w:eastAsia="zh-CN"/>
              </w:rPr>
              <w:t>（1）埋设燃气管道沿线必须连续敷设警示带。警示带敷设前应对敷设面压实，然后将其平整地敷设在管道的正上方，距管顶的距离宜为0.3~0.5米，但不得埋入路基和路面里.警示带的内容必须包括：设备权属单位名称，危险标记，警示用语，联系电话，设计压力等级。</w:t>
            </w:r>
          </w:p>
          <w:p>
            <w:pPr>
              <w:spacing w:line="480" w:lineRule="exact"/>
              <w:ind w:firstLine="482"/>
              <w:rPr>
                <w:rFonts w:hint="eastAsia"/>
                <w:b w:val="0"/>
                <w:bCs/>
                <w:sz w:val="24"/>
                <w:szCs w:val="24"/>
                <w:lang w:val="en-US" w:eastAsia="zh-CN"/>
              </w:rPr>
            </w:pPr>
            <w:r>
              <w:rPr>
                <w:rFonts w:hint="eastAsia"/>
                <w:b w:val="0"/>
                <w:bCs/>
                <w:sz w:val="24"/>
                <w:szCs w:val="24"/>
                <w:lang w:val="en-US" w:eastAsia="zh-CN"/>
              </w:rPr>
              <w:t>（2）燃气管道敷设时，应在管顶同时随管道走向敷设示踪线。示踪线采用(4)或2.5mm2双线单芯铜线，外有绝缘良好的保护层。示踪线应有效连接，在铜线接头处宜采用双线缠绕锡焊工艺，保证导电性能。外绝缘处用胶带包扎，并用热收缩套封固，封固肠肚必须大于胶带包扎端20mm。沿燃气管道走向每隔1.5~2km应设信号源井。检查井等设施可作为信号源井。信号源井内设信号接头，用于接驳示踪线的测试外接信号。示踪线施工应由有过同类施工经验的专业人员完成。</w:t>
            </w:r>
          </w:p>
          <w:p>
            <w:pPr>
              <w:spacing w:line="480" w:lineRule="exact"/>
              <w:ind w:firstLine="482"/>
              <w:rPr>
                <w:rFonts w:hint="eastAsia"/>
                <w:b w:val="0"/>
                <w:bCs/>
                <w:sz w:val="24"/>
                <w:szCs w:val="24"/>
                <w:lang w:val="en-US" w:eastAsia="zh-CN"/>
              </w:rPr>
            </w:pPr>
            <w:r>
              <w:rPr>
                <w:rFonts w:hint="eastAsia"/>
                <w:b w:val="0"/>
                <w:bCs/>
                <w:sz w:val="24"/>
                <w:szCs w:val="24"/>
                <w:lang w:val="en-US" w:eastAsia="zh-CN"/>
              </w:rPr>
              <w:t>（3）管道路面标志</w:t>
            </w:r>
          </w:p>
          <w:p>
            <w:pPr>
              <w:spacing w:line="480" w:lineRule="exact"/>
              <w:ind w:firstLine="482"/>
              <w:rPr>
                <w:rFonts w:hint="eastAsia"/>
                <w:b w:val="0"/>
                <w:bCs/>
                <w:sz w:val="24"/>
                <w:szCs w:val="24"/>
                <w:lang w:val="en-US" w:eastAsia="zh-CN"/>
              </w:rPr>
            </w:pPr>
            <w:r>
              <w:rPr>
                <w:rFonts w:hint="eastAsia"/>
                <w:b w:val="0"/>
                <w:bCs/>
                <w:sz w:val="24"/>
                <w:szCs w:val="24"/>
                <w:lang w:val="en-US" w:eastAsia="zh-CN"/>
              </w:rPr>
              <w:t>a、埋设燃气管道的沿线敷设路面标志。对混凝土和沥青路面，宜采用铸铁或不锈钢标志；对人行道和土路，宜采用方砖标志；对绿化带、荒地和耕地,宜使用钢筋混凝土桩标志。</w:t>
            </w:r>
          </w:p>
          <w:p>
            <w:pPr>
              <w:spacing w:line="480" w:lineRule="exact"/>
              <w:ind w:firstLine="482"/>
              <w:rPr>
                <w:rFonts w:hint="eastAsia"/>
                <w:b w:val="0"/>
                <w:bCs/>
                <w:sz w:val="24"/>
                <w:szCs w:val="24"/>
                <w:lang w:val="en-US" w:eastAsia="zh-CN"/>
              </w:rPr>
            </w:pPr>
            <w:r>
              <w:rPr>
                <w:rFonts w:hint="eastAsia"/>
                <w:b w:val="0"/>
                <w:bCs/>
                <w:sz w:val="24"/>
                <w:szCs w:val="24"/>
                <w:lang w:val="en-US" w:eastAsia="zh-CN"/>
              </w:rPr>
              <w:t>b、路面标志应设置在燃气管道的正上方，并能正确、明显地指示管道的走向和地下设施。设置位置应为管道转弯处、三通或四通处、管道末端等。直线管段路面标志的设置间隔为100m。</w:t>
            </w:r>
          </w:p>
          <w:p>
            <w:pPr>
              <w:spacing w:line="480" w:lineRule="exact"/>
              <w:ind w:firstLine="482"/>
              <w:rPr>
                <w:rFonts w:hint="eastAsia"/>
                <w:b w:val="0"/>
                <w:bCs/>
                <w:sz w:val="24"/>
                <w:szCs w:val="24"/>
                <w:lang w:val="en-US" w:eastAsia="zh-CN"/>
              </w:rPr>
            </w:pPr>
            <w:r>
              <w:rPr>
                <w:rFonts w:hint="eastAsia"/>
                <w:b w:val="0"/>
                <w:bCs/>
                <w:sz w:val="24"/>
                <w:szCs w:val="24"/>
                <w:lang w:val="en-US" w:eastAsia="zh-CN"/>
              </w:rPr>
              <w:t>c、路面标志上应标注"燃气"字样，可选择标注"管道标注"、"三通"及其他燃气设施的字样或符号和"不等移动、覆盖"等警示语。</w:t>
            </w:r>
          </w:p>
          <w:p>
            <w:pPr>
              <w:spacing w:line="480" w:lineRule="exact"/>
              <w:ind w:firstLine="482"/>
              <w:rPr>
                <w:rFonts w:hint="eastAsia"/>
                <w:b w:val="0"/>
                <w:bCs/>
                <w:sz w:val="24"/>
                <w:szCs w:val="24"/>
                <w:lang w:val="en-US" w:eastAsia="zh-CN"/>
              </w:rPr>
            </w:pPr>
            <w:r>
              <w:rPr>
                <w:rFonts w:hint="eastAsia"/>
                <w:b w:val="0"/>
                <w:bCs/>
                <w:sz w:val="24"/>
                <w:szCs w:val="24"/>
                <w:lang w:val="en-US" w:eastAsia="zh-CN"/>
              </w:rPr>
              <w:t>d、铸铁标志和混凝土方砖标志埋入后应与路面平齐；钢筋混凝土桩标志埋入的深度，应使回填后不遮挡字体。混凝土方砖标志和钢筋混凝土桩标志埋入后，应采用红漆将字体描红。</w:t>
            </w:r>
          </w:p>
          <w:p>
            <w:pPr>
              <w:spacing w:line="480" w:lineRule="exact"/>
              <w:ind w:firstLine="482"/>
              <w:rPr>
                <w:rFonts w:hint="default"/>
                <w:b w:val="0"/>
                <w:bCs/>
                <w:sz w:val="24"/>
                <w:szCs w:val="24"/>
                <w:lang w:val="en-US" w:eastAsia="zh-CN"/>
              </w:rPr>
            </w:pPr>
            <w:r>
              <w:rPr>
                <w:rFonts w:hint="eastAsia"/>
                <w:b w:val="0"/>
                <w:bCs/>
                <w:sz w:val="24"/>
                <w:szCs w:val="24"/>
                <w:lang w:val="en-US" w:eastAsia="zh-CN"/>
              </w:rPr>
              <w:t>燃气工程主要设备材料见下表。</w:t>
            </w:r>
          </w:p>
          <w:p>
            <w:pPr>
              <w:pStyle w:val="27"/>
              <w:spacing w:before="0" w:after="0" w:afterAutospacing="0" w:line="480" w:lineRule="atLeast"/>
              <w:rPr>
                <w:rFonts w:hint="eastAsia" w:ascii="黑体" w:hAnsi="黑体" w:eastAsia="黑体"/>
                <w:sz w:val="24"/>
                <w:szCs w:val="24"/>
                <w:lang w:val="en-US" w:eastAsia="zh-CN"/>
              </w:rPr>
            </w:pPr>
          </w:p>
          <w:p>
            <w:pPr>
              <w:pStyle w:val="27"/>
              <w:spacing w:before="0" w:after="0" w:afterAutospacing="0" w:line="480" w:lineRule="atLeast"/>
              <w:rPr>
                <w:rFonts w:hint="default" w:ascii="黑体" w:hAnsi="黑体" w:eastAsia="黑体"/>
                <w:sz w:val="24"/>
                <w:szCs w:val="24"/>
                <w:lang w:val="en-US" w:eastAsia="zh-CN"/>
              </w:rPr>
            </w:pPr>
            <w:r>
              <w:rPr>
                <w:rFonts w:hint="eastAsia" w:ascii="黑体" w:hAnsi="黑体" w:eastAsia="黑体"/>
                <w:sz w:val="24"/>
                <w:szCs w:val="24"/>
                <w:lang w:val="en-US" w:eastAsia="zh-CN"/>
              </w:rPr>
              <w:t>表2-8  燃气工程主要设备材料一览表</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1"/>
              <w:gridCol w:w="628"/>
              <w:gridCol w:w="474"/>
              <w:gridCol w:w="1987"/>
              <w:gridCol w:w="1300"/>
              <w:gridCol w:w="750"/>
              <w:gridCol w:w="675"/>
              <w:gridCol w:w="19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1" w:type="dxa"/>
                  <w:tcBorders>
                    <w:tl2br w:val="nil"/>
                    <w:tr2bl w:val="nil"/>
                  </w:tcBorders>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系统</w:t>
                  </w:r>
                </w:p>
              </w:tc>
              <w:tc>
                <w:tcPr>
                  <w:tcW w:w="628" w:type="dxa"/>
                  <w:tcBorders>
                    <w:tl2br w:val="nil"/>
                    <w:tr2bl w:val="nil"/>
                  </w:tcBorders>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路名</w:t>
                  </w:r>
                </w:p>
              </w:tc>
              <w:tc>
                <w:tcPr>
                  <w:tcW w:w="474" w:type="dxa"/>
                  <w:tcBorders>
                    <w:tl2br w:val="nil"/>
                    <w:tr2bl w:val="nil"/>
                  </w:tcBorders>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序号</w:t>
                  </w:r>
                </w:p>
              </w:tc>
              <w:tc>
                <w:tcPr>
                  <w:tcW w:w="198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名称</w:t>
                  </w:r>
                </w:p>
              </w:tc>
              <w:tc>
                <w:tcPr>
                  <w:tcW w:w="130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规格(mm)</w:t>
                  </w:r>
                </w:p>
              </w:tc>
              <w:tc>
                <w:tcPr>
                  <w:tcW w:w="750" w:type="dxa"/>
                  <w:tcBorders>
                    <w:tl2br w:val="nil"/>
                    <w:tr2bl w:val="nil"/>
                  </w:tcBorders>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单位</w:t>
                  </w:r>
                </w:p>
              </w:tc>
              <w:tc>
                <w:tcPr>
                  <w:tcW w:w="675" w:type="dxa"/>
                  <w:tcBorders>
                    <w:tl2br w:val="nil"/>
                    <w:tr2bl w:val="nil"/>
                  </w:tcBorders>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数量</w:t>
                  </w:r>
                </w:p>
              </w:tc>
              <w:tc>
                <w:tcPr>
                  <w:tcW w:w="19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1" w:type="dxa"/>
                  <w:vMerge w:val="restart"/>
                  <w:tcBorders>
                    <w:tl2br w:val="nil"/>
                    <w:tr2bl w:val="nil"/>
                  </w:tcBorders>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燃</w:t>
                  </w:r>
                </w:p>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气</w:t>
                  </w:r>
                </w:p>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工</w:t>
                  </w:r>
                </w:p>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程</w:t>
                  </w:r>
                </w:p>
              </w:tc>
              <w:tc>
                <w:tcPr>
                  <w:tcW w:w="628" w:type="dxa"/>
                  <w:vMerge w:val="restart"/>
                  <w:tcBorders>
                    <w:tl2br w:val="nil"/>
                    <w:tr2bl w:val="nil"/>
                  </w:tcBorders>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东外环路</w:t>
                  </w:r>
                </w:p>
              </w:tc>
              <w:tc>
                <w:tcPr>
                  <w:tcW w:w="474" w:type="dxa"/>
                  <w:tcBorders>
                    <w:tl2br w:val="nil"/>
                    <w:tr2bl w:val="nil"/>
                  </w:tcBorders>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987" w:type="dxa"/>
                  <w:tcBorders>
                    <w:tl2br w:val="nil"/>
                    <w:tr2bl w:val="nil"/>
                  </w:tcBorders>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sz w:val="21"/>
                      <w:szCs w:val="21"/>
                      <w:u w:val="none"/>
                      <w:lang w:val="en-US"/>
                    </w:rPr>
                  </w:pPr>
                  <w:r>
                    <w:rPr>
                      <w:rFonts w:hint="default" w:ascii="Times New Roman" w:hAnsi="Times New Roman" w:eastAsia="宋体" w:cs="Times New Roman"/>
                      <w:i w:val="0"/>
                      <w:iCs w:val="0"/>
                      <w:color w:val="000000"/>
                      <w:kern w:val="0"/>
                      <w:sz w:val="21"/>
                      <w:szCs w:val="21"/>
                      <w:u w:val="none"/>
                      <w:lang w:val="en-US" w:eastAsia="zh-CN" w:bidi="ar"/>
                    </w:rPr>
                    <w:t>PE100聚乙烯管</w:t>
                  </w:r>
                </w:p>
              </w:tc>
              <w:tc>
                <w:tcPr>
                  <w:tcW w:w="130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dn160</w:t>
                  </w:r>
                </w:p>
              </w:tc>
              <w:tc>
                <w:tcPr>
                  <w:tcW w:w="75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米</w:t>
                  </w:r>
                </w:p>
              </w:tc>
              <w:tc>
                <w:tcPr>
                  <w:tcW w:w="67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lang w:val="en-US"/>
                    </w:rPr>
                  </w:pPr>
                  <w:r>
                    <w:rPr>
                      <w:rFonts w:hint="default" w:ascii="Times New Roman" w:hAnsi="Times New Roman" w:eastAsia="宋体" w:cs="Times New Roman"/>
                      <w:i w:val="0"/>
                      <w:iCs w:val="0"/>
                      <w:color w:val="000000"/>
                      <w:kern w:val="0"/>
                      <w:sz w:val="21"/>
                      <w:szCs w:val="21"/>
                      <w:u w:val="none"/>
                      <w:lang w:val="en-US" w:eastAsia="zh-CN" w:bidi="ar"/>
                    </w:rPr>
                    <w:t>760</w:t>
                  </w:r>
                </w:p>
              </w:tc>
              <w:tc>
                <w:tcPr>
                  <w:tcW w:w="19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lang w:val="en-US"/>
                    </w:rPr>
                  </w:pPr>
                  <w:r>
                    <w:rPr>
                      <w:rFonts w:hint="default" w:ascii="Times New Roman" w:hAnsi="Times New Roman" w:eastAsia="宋体" w:cs="Times New Roman"/>
                      <w:i w:val="0"/>
                      <w:iCs w:val="0"/>
                      <w:color w:val="000000"/>
                      <w:kern w:val="0"/>
                      <w:sz w:val="21"/>
                      <w:szCs w:val="21"/>
                      <w:u w:val="none"/>
                      <w:lang w:val="en-US" w:eastAsia="zh-CN" w:bidi="ar"/>
                    </w:rPr>
                    <w:t>GB15558.1-2015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1" w:type="dxa"/>
                  <w:vMerge w:val="continue"/>
                  <w:tcBorders>
                    <w:tl2br w:val="nil"/>
                    <w:tr2bl w:val="nil"/>
                  </w:tcBorders>
                  <w:noWrap w:val="0"/>
                  <w:vAlign w:val="center"/>
                </w:tcPr>
                <w:p>
                  <w:pPr>
                    <w:jc w:val="center"/>
                    <w:rPr>
                      <w:rFonts w:hint="default" w:ascii="Times New Roman" w:hAnsi="Times New Roman" w:eastAsia="宋体" w:cs="Times New Roman"/>
                      <w:i w:val="0"/>
                      <w:iCs w:val="0"/>
                      <w:color w:val="000000"/>
                      <w:sz w:val="21"/>
                      <w:szCs w:val="21"/>
                      <w:u w:val="none"/>
                    </w:rPr>
                  </w:pPr>
                </w:p>
              </w:tc>
              <w:tc>
                <w:tcPr>
                  <w:tcW w:w="628" w:type="dxa"/>
                  <w:vMerge w:val="continue"/>
                  <w:tcBorders>
                    <w:tl2br w:val="nil"/>
                    <w:tr2bl w:val="nil"/>
                  </w:tcBorders>
                  <w:noWrap w:val="0"/>
                  <w:vAlign w:val="center"/>
                </w:tcPr>
                <w:p>
                  <w:pPr>
                    <w:jc w:val="center"/>
                    <w:rPr>
                      <w:rFonts w:hint="default" w:ascii="Times New Roman" w:hAnsi="Times New Roman" w:eastAsia="宋体" w:cs="Times New Roman"/>
                      <w:i w:val="0"/>
                      <w:iCs w:val="0"/>
                      <w:color w:val="000000"/>
                      <w:sz w:val="21"/>
                      <w:szCs w:val="21"/>
                      <w:u w:val="none"/>
                    </w:rPr>
                  </w:pPr>
                </w:p>
              </w:tc>
              <w:tc>
                <w:tcPr>
                  <w:tcW w:w="474" w:type="dxa"/>
                  <w:tcBorders>
                    <w:tl2br w:val="nil"/>
                    <w:tr2bl w:val="nil"/>
                  </w:tcBorders>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1987" w:type="dxa"/>
                  <w:tcBorders>
                    <w:tl2br w:val="nil"/>
                    <w:tr2bl w:val="nil"/>
                  </w:tcBorders>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PE100聚乙烯管</w:t>
                  </w:r>
                </w:p>
              </w:tc>
              <w:tc>
                <w:tcPr>
                  <w:tcW w:w="130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2"/>
                      <w:sz w:val="21"/>
                      <w:szCs w:val="21"/>
                      <w:u w:val="none"/>
                      <w:lang w:val="en-US" w:eastAsia="zh-CN" w:bidi="ar-SA"/>
                    </w:rPr>
                    <w:t>dn110</w:t>
                  </w:r>
                </w:p>
              </w:tc>
              <w:tc>
                <w:tcPr>
                  <w:tcW w:w="75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米</w:t>
                  </w:r>
                </w:p>
              </w:tc>
              <w:tc>
                <w:tcPr>
                  <w:tcW w:w="67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19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GB15558.1-2015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1" w:type="dxa"/>
                  <w:vMerge w:val="continue"/>
                  <w:tcBorders>
                    <w:tl2br w:val="nil"/>
                    <w:tr2bl w:val="nil"/>
                  </w:tcBorders>
                  <w:noWrap w:val="0"/>
                  <w:vAlign w:val="center"/>
                </w:tcPr>
                <w:p>
                  <w:pPr>
                    <w:jc w:val="center"/>
                    <w:rPr>
                      <w:rFonts w:hint="default" w:ascii="Times New Roman" w:hAnsi="Times New Roman" w:eastAsia="宋体" w:cs="Times New Roman"/>
                      <w:i w:val="0"/>
                      <w:iCs w:val="0"/>
                      <w:color w:val="000000"/>
                      <w:sz w:val="21"/>
                      <w:szCs w:val="21"/>
                      <w:u w:val="none"/>
                    </w:rPr>
                  </w:pPr>
                </w:p>
              </w:tc>
              <w:tc>
                <w:tcPr>
                  <w:tcW w:w="628" w:type="dxa"/>
                  <w:vMerge w:val="continue"/>
                  <w:tcBorders>
                    <w:tl2br w:val="nil"/>
                    <w:tr2bl w:val="nil"/>
                  </w:tcBorders>
                  <w:noWrap w:val="0"/>
                  <w:vAlign w:val="center"/>
                </w:tcPr>
                <w:p>
                  <w:pPr>
                    <w:jc w:val="center"/>
                    <w:rPr>
                      <w:rFonts w:hint="default" w:ascii="Times New Roman" w:hAnsi="Times New Roman" w:eastAsia="宋体" w:cs="Times New Roman"/>
                      <w:i w:val="0"/>
                      <w:iCs w:val="0"/>
                      <w:color w:val="000000"/>
                      <w:sz w:val="21"/>
                      <w:szCs w:val="21"/>
                      <w:u w:val="none"/>
                    </w:rPr>
                  </w:pPr>
                </w:p>
              </w:tc>
              <w:tc>
                <w:tcPr>
                  <w:tcW w:w="474" w:type="dxa"/>
                  <w:tcBorders>
                    <w:tl2br w:val="nil"/>
                    <w:tr2bl w:val="nil"/>
                  </w:tcBorders>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3</w:t>
                  </w:r>
                </w:p>
              </w:tc>
              <w:tc>
                <w:tcPr>
                  <w:tcW w:w="1987" w:type="dxa"/>
                  <w:tcBorders>
                    <w:tl2br w:val="nil"/>
                    <w:tr2bl w:val="nil"/>
                  </w:tcBorders>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钢管</w:t>
                  </w:r>
                </w:p>
              </w:tc>
              <w:tc>
                <w:tcPr>
                  <w:tcW w:w="130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lang w:val="en-US"/>
                    </w:rPr>
                  </w:pPr>
                  <w:r>
                    <w:rPr>
                      <w:rFonts w:hint="default" w:ascii="Times New Roman" w:hAnsi="Times New Roman" w:eastAsia="宋体" w:cs="Times New Roman"/>
                      <w:i w:val="0"/>
                      <w:iCs w:val="0"/>
                      <w:color w:val="000000"/>
                      <w:kern w:val="0"/>
                      <w:sz w:val="21"/>
                      <w:szCs w:val="21"/>
                      <w:u w:val="none"/>
                      <w:lang w:val="en-US" w:eastAsia="zh-CN" w:bidi="ar"/>
                    </w:rPr>
                    <w:t>D219.1×7.9</w:t>
                  </w:r>
                </w:p>
              </w:tc>
              <w:tc>
                <w:tcPr>
                  <w:tcW w:w="75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米</w:t>
                  </w:r>
                </w:p>
              </w:tc>
              <w:tc>
                <w:tcPr>
                  <w:tcW w:w="67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120</w:t>
                  </w:r>
                </w:p>
              </w:tc>
              <w:tc>
                <w:tcPr>
                  <w:tcW w:w="19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lang w:val="en-US"/>
                    </w:rPr>
                  </w:pPr>
                  <w:r>
                    <w:rPr>
                      <w:rFonts w:hint="default" w:ascii="Times New Roman" w:hAnsi="Times New Roman" w:eastAsia="宋体" w:cs="Times New Roman"/>
                      <w:i w:val="0"/>
                      <w:iCs w:val="0"/>
                      <w:color w:val="000000"/>
                      <w:kern w:val="0"/>
                      <w:sz w:val="21"/>
                      <w:szCs w:val="21"/>
                      <w:u w:val="none"/>
                      <w:lang w:val="en-US" w:eastAsia="zh-CN" w:bidi="ar"/>
                    </w:rPr>
                    <w:t>GB/T3091-2015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1" w:type="dxa"/>
                  <w:vMerge w:val="continue"/>
                  <w:tcBorders>
                    <w:tl2br w:val="nil"/>
                    <w:tr2bl w:val="nil"/>
                  </w:tcBorders>
                  <w:noWrap w:val="0"/>
                  <w:vAlign w:val="center"/>
                </w:tcPr>
                <w:p>
                  <w:pPr>
                    <w:jc w:val="center"/>
                    <w:rPr>
                      <w:rFonts w:hint="default" w:ascii="Times New Roman" w:hAnsi="Times New Roman" w:eastAsia="宋体" w:cs="Times New Roman"/>
                      <w:i w:val="0"/>
                      <w:iCs w:val="0"/>
                      <w:color w:val="000000"/>
                      <w:sz w:val="21"/>
                      <w:szCs w:val="21"/>
                      <w:u w:val="none"/>
                    </w:rPr>
                  </w:pPr>
                </w:p>
              </w:tc>
              <w:tc>
                <w:tcPr>
                  <w:tcW w:w="628" w:type="dxa"/>
                  <w:vMerge w:val="continue"/>
                  <w:tcBorders>
                    <w:tl2br w:val="nil"/>
                    <w:tr2bl w:val="nil"/>
                  </w:tcBorders>
                  <w:noWrap w:val="0"/>
                  <w:vAlign w:val="center"/>
                </w:tcPr>
                <w:p>
                  <w:pPr>
                    <w:jc w:val="center"/>
                    <w:rPr>
                      <w:rFonts w:hint="default" w:ascii="Times New Roman" w:hAnsi="Times New Roman" w:eastAsia="宋体" w:cs="Times New Roman"/>
                      <w:i w:val="0"/>
                      <w:iCs w:val="0"/>
                      <w:color w:val="000000"/>
                      <w:sz w:val="21"/>
                      <w:szCs w:val="21"/>
                      <w:u w:val="none"/>
                    </w:rPr>
                  </w:pPr>
                </w:p>
              </w:tc>
              <w:tc>
                <w:tcPr>
                  <w:tcW w:w="474" w:type="dxa"/>
                  <w:tcBorders>
                    <w:tl2br w:val="nil"/>
                    <w:tr2bl w:val="nil"/>
                  </w:tcBorders>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4</w:t>
                  </w:r>
                </w:p>
              </w:tc>
              <w:tc>
                <w:tcPr>
                  <w:tcW w:w="1987" w:type="dxa"/>
                  <w:tcBorders>
                    <w:tl2br w:val="nil"/>
                    <w:tr2bl w:val="nil"/>
                  </w:tcBorders>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sz w:val="21"/>
                      <w:szCs w:val="21"/>
                      <w:u w:val="none"/>
                      <w:lang w:val="en-US"/>
                    </w:rPr>
                  </w:pPr>
                  <w:r>
                    <w:rPr>
                      <w:rFonts w:hint="default" w:ascii="Times New Roman" w:hAnsi="Times New Roman" w:eastAsia="宋体" w:cs="Times New Roman"/>
                      <w:i w:val="0"/>
                      <w:iCs w:val="0"/>
                      <w:color w:val="000000"/>
                      <w:kern w:val="0"/>
                      <w:sz w:val="21"/>
                      <w:szCs w:val="21"/>
                      <w:u w:val="none"/>
                      <w:lang w:val="en-US" w:eastAsia="zh-CN" w:bidi="ar"/>
                    </w:rPr>
                    <w:t>燃气用埋地聚乙烯双放散球阀</w:t>
                  </w:r>
                </w:p>
              </w:tc>
              <w:tc>
                <w:tcPr>
                  <w:tcW w:w="130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dn160</w:t>
                  </w:r>
                </w:p>
              </w:tc>
              <w:tc>
                <w:tcPr>
                  <w:tcW w:w="75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lang w:val="en-US" w:eastAsia="zh-CN"/>
                    </w:rPr>
                    <w:t>个</w:t>
                  </w:r>
                </w:p>
              </w:tc>
              <w:tc>
                <w:tcPr>
                  <w:tcW w:w="67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lang w:val="en-US" w:eastAsia="zh-CN"/>
                    </w:rPr>
                    <w:t>2</w:t>
                  </w:r>
                </w:p>
              </w:tc>
              <w:tc>
                <w:tcPr>
                  <w:tcW w:w="19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lang w:val="en-US"/>
                    </w:rPr>
                  </w:pPr>
                  <w:r>
                    <w:rPr>
                      <w:rFonts w:hint="default" w:ascii="Times New Roman" w:hAnsi="Times New Roman" w:eastAsia="宋体" w:cs="Times New Roman"/>
                      <w:i w:val="0"/>
                      <w:iCs w:val="0"/>
                      <w:color w:val="000000"/>
                      <w:kern w:val="0"/>
                      <w:sz w:val="21"/>
                      <w:szCs w:val="21"/>
                      <w:u w:val="none"/>
                      <w:lang w:val="en-US" w:eastAsia="zh-CN" w:bidi="ar"/>
                    </w:rPr>
                    <w:t>GB15558.3-2008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1" w:type="dxa"/>
                  <w:vMerge w:val="continue"/>
                  <w:tcBorders>
                    <w:tl2br w:val="nil"/>
                    <w:tr2bl w:val="nil"/>
                  </w:tcBorders>
                  <w:noWrap w:val="0"/>
                  <w:vAlign w:val="center"/>
                </w:tcPr>
                <w:p>
                  <w:pPr>
                    <w:jc w:val="center"/>
                    <w:rPr>
                      <w:rFonts w:hint="default" w:ascii="Times New Roman" w:hAnsi="Times New Roman" w:eastAsia="宋体" w:cs="Times New Roman"/>
                      <w:i w:val="0"/>
                      <w:iCs w:val="0"/>
                      <w:color w:val="000000"/>
                      <w:sz w:val="21"/>
                      <w:szCs w:val="21"/>
                      <w:u w:val="none"/>
                    </w:rPr>
                  </w:pPr>
                </w:p>
              </w:tc>
              <w:tc>
                <w:tcPr>
                  <w:tcW w:w="628" w:type="dxa"/>
                  <w:vMerge w:val="continue"/>
                  <w:tcBorders>
                    <w:tl2br w:val="nil"/>
                    <w:tr2bl w:val="nil"/>
                  </w:tcBorders>
                  <w:noWrap w:val="0"/>
                  <w:vAlign w:val="center"/>
                </w:tcPr>
                <w:p>
                  <w:pPr>
                    <w:jc w:val="center"/>
                    <w:rPr>
                      <w:rFonts w:hint="default" w:ascii="Times New Roman" w:hAnsi="Times New Roman" w:eastAsia="宋体" w:cs="Times New Roman"/>
                      <w:i w:val="0"/>
                      <w:iCs w:val="0"/>
                      <w:color w:val="000000"/>
                      <w:sz w:val="21"/>
                      <w:szCs w:val="21"/>
                      <w:u w:val="none"/>
                    </w:rPr>
                  </w:pPr>
                </w:p>
              </w:tc>
              <w:tc>
                <w:tcPr>
                  <w:tcW w:w="474" w:type="dxa"/>
                  <w:tcBorders>
                    <w:tl2br w:val="nil"/>
                    <w:tr2bl w:val="nil"/>
                  </w:tcBorders>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5</w:t>
                  </w:r>
                </w:p>
              </w:tc>
              <w:tc>
                <w:tcPr>
                  <w:tcW w:w="198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燃气用埋地聚乙烯双放散球阀</w:t>
                  </w:r>
                </w:p>
              </w:tc>
              <w:tc>
                <w:tcPr>
                  <w:tcW w:w="130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kern w:val="2"/>
                      <w:sz w:val="21"/>
                      <w:szCs w:val="21"/>
                      <w:u w:val="none"/>
                      <w:lang w:val="en-US" w:eastAsia="zh-CN" w:bidi="ar-SA"/>
                    </w:rPr>
                    <w:t>dn110</w:t>
                  </w:r>
                </w:p>
              </w:tc>
              <w:tc>
                <w:tcPr>
                  <w:tcW w:w="75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个</w:t>
                  </w:r>
                </w:p>
              </w:tc>
              <w:tc>
                <w:tcPr>
                  <w:tcW w:w="67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19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GB15558.3-2008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1" w:type="dxa"/>
                  <w:vMerge w:val="continue"/>
                  <w:tcBorders>
                    <w:tl2br w:val="nil"/>
                    <w:tr2bl w:val="nil"/>
                  </w:tcBorders>
                  <w:noWrap w:val="0"/>
                  <w:vAlign w:val="center"/>
                </w:tcPr>
                <w:p>
                  <w:pPr>
                    <w:jc w:val="center"/>
                    <w:rPr>
                      <w:rFonts w:hint="default" w:ascii="Times New Roman" w:hAnsi="Times New Roman" w:eastAsia="宋体" w:cs="Times New Roman"/>
                      <w:i w:val="0"/>
                      <w:iCs w:val="0"/>
                      <w:color w:val="000000"/>
                      <w:sz w:val="21"/>
                      <w:szCs w:val="21"/>
                      <w:u w:val="none"/>
                    </w:rPr>
                  </w:pPr>
                </w:p>
              </w:tc>
              <w:tc>
                <w:tcPr>
                  <w:tcW w:w="628" w:type="dxa"/>
                  <w:vMerge w:val="continue"/>
                  <w:tcBorders>
                    <w:tl2br w:val="nil"/>
                    <w:tr2bl w:val="nil"/>
                  </w:tcBorders>
                  <w:noWrap w:val="0"/>
                  <w:vAlign w:val="center"/>
                </w:tcPr>
                <w:p>
                  <w:pPr>
                    <w:jc w:val="center"/>
                    <w:rPr>
                      <w:rFonts w:hint="default" w:ascii="Times New Roman" w:hAnsi="Times New Roman" w:eastAsia="宋体" w:cs="Times New Roman"/>
                      <w:i w:val="0"/>
                      <w:iCs w:val="0"/>
                      <w:color w:val="000000"/>
                      <w:sz w:val="21"/>
                      <w:szCs w:val="21"/>
                      <w:u w:val="none"/>
                    </w:rPr>
                  </w:pPr>
                </w:p>
              </w:tc>
              <w:tc>
                <w:tcPr>
                  <w:tcW w:w="474" w:type="dxa"/>
                  <w:tcBorders>
                    <w:tl2br w:val="nil"/>
                    <w:tr2bl w:val="nil"/>
                  </w:tcBorders>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6</w:t>
                  </w:r>
                </w:p>
              </w:tc>
              <w:tc>
                <w:tcPr>
                  <w:tcW w:w="198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阀门检查井</w:t>
                  </w:r>
                </w:p>
              </w:tc>
              <w:tc>
                <w:tcPr>
                  <w:tcW w:w="130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dn160</w:t>
                  </w:r>
                </w:p>
              </w:tc>
              <w:tc>
                <w:tcPr>
                  <w:tcW w:w="75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个</w:t>
                  </w:r>
                </w:p>
              </w:tc>
              <w:tc>
                <w:tcPr>
                  <w:tcW w:w="67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19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12N6-P3/4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1" w:type="dxa"/>
                  <w:vMerge w:val="continue"/>
                  <w:tcBorders>
                    <w:tl2br w:val="nil"/>
                    <w:tr2bl w:val="nil"/>
                  </w:tcBorders>
                  <w:noWrap w:val="0"/>
                  <w:vAlign w:val="center"/>
                </w:tcPr>
                <w:p>
                  <w:pPr>
                    <w:jc w:val="center"/>
                    <w:rPr>
                      <w:rFonts w:hint="default" w:ascii="Times New Roman" w:hAnsi="Times New Roman" w:eastAsia="宋体" w:cs="Times New Roman"/>
                      <w:i w:val="0"/>
                      <w:iCs w:val="0"/>
                      <w:color w:val="000000"/>
                      <w:sz w:val="21"/>
                      <w:szCs w:val="21"/>
                      <w:u w:val="none"/>
                    </w:rPr>
                  </w:pPr>
                </w:p>
              </w:tc>
              <w:tc>
                <w:tcPr>
                  <w:tcW w:w="628" w:type="dxa"/>
                  <w:vMerge w:val="continue"/>
                  <w:tcBorders>
                    <w:tl2br w:val="nil"/>
                    <w:tr2bl w:val="nil"/>
                  </w:tcBorders>
                  <w:noWrap w:val="0"/>
                  <w:vAlign w:val="center"/>
                </w:tcPr>
                <w:p>
                  <w:pPr>
                    <w:jc w:val="center"/>
                    <w:rPr>
                      <w:rFonts w:hint="default" w:ascii="Times New Roman" w:hAnsi="Times New Roman" w:eastAsia="宋体" w:cs="Times New Roman"/>
                      <w:i w:val="0"/>
                      <w:iCs w:val="0"/>
                      <w:color w:val="000000"/>
                      <w:sz w:val="21"/>
                      <w:szCs w:val="21"/>
                      <w:u w:val="none"/>
                    </w:rPr>
                  </w:pPr>
                </w:p>
              </w:tc>
              <w:tc>
                <w:tcPr>
                  <w:tcW w:w="474" w:type="dxa"/>
                  <w:tcBorders>
                    <w:tl2br w:val="nil"/>
                    <w:tr2bl w:val="nil"/>
                  </w:tcBorders>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7</w:t>
                  </w:r>
                </w:p>
              </w:tc>
              <w:tc>
                <w:tcPr>
                  <w:tcW w:w="198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阀门检查井</w:t>
                  </w:r>
                </w:p>
              </w:tc>
              <w:tc>
                <w:tcPr>
                  <w:tcW w:w="130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kern w:val="2"/>
                      <w:sz w:val="21"/>
                      <w:szCs w:val="21"/>
                      <w:u w:val="none"/>
                      <w:lang w:val="en-US" w:eastAsia="zh-CN" w:bidi="ar-SA"/>
                    </w:rPr>
                    <w:t>dn110</w:t>
                  </w:r>
                </w:p>
              </w:tc>
              <w:tc>
                <w:tcPr>
                  <w:tcW w:w="75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个</w:t>
                  </w:r>
                </w:p>
              </w:tc>
              <w:tc>
                <w:tcPr>
                  <w:tcW w:w="67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19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1" w:type="dxa"/>
                  <w:vMerge w:val="continue"/>
                  <w:tcBorders>
                    <w:tl2br w:val="nil"/>
                    <w:tr2bl w:val="nil"/>
                  </w:tcBorders>
                  <w:noWrap w:val="0"/>
                  <w:vAlign w:val="center"/>
                </w:tcPr>
                <w:p>
                  <w:pPr>
                    <w:jc w:val="center"/>
                    <w:rPr>
                      <w:rFonts w:hint="default" w:ascii="Times New Roman" w:hAnsi="Times New Roman" w:eastAsia="宋体" w:cs="Times New Roman"/>
                      <w:i w:val="0"/>
                      <w:iCs w:val="0"/>
                      <w:color w:val="000000"/>
                      <w:sz w:val="21"/>
                      <w:szCs w:val="21"/>
                      <w:u w:val="none"/>
                    </w:rPr>
                  </w:pPr>
                </w:p>
              </w:tc>
              <w:tc>
                <w:tcPr>
                  <w:tcW w:w="628" w:type="dxa"/>
                  <w:vMerge w:val="continue"/>
                  <w:tcBorders>
                    <w:tl2br w:val="nil"/>
                    <w:tr2bl w:val="nil"/>
                  </w:tcBorders>
                  <w:noWrap w:val="0"/>
                  <w:vAlign w:val="center"/>
                </w:tcPr>
                <w:p>
                  <w:pPr>
                    <w:jc w:val="center"/>
                    <w:rPr>
                      <w:rFonts w:hint="default" w:ascii="Times New Roman" w:hAnsi="Times New Roman" w:eastAsia="宋体" w:cs="Times New Roman"/>
                      <w:i w:val="0"/>
                      <w:iCs w:val="0"/>
                      <w:color w:val="000000"/>
                      <w:sz w:val="21"/>
                      <w:szCs w:val="21"/>
                      <w:u w:val="none"/>
                    </w:rPr>
                  </w:pPr>
                </w:p>
              </w:tc>
              <w:tc>
                <w:tcPr>
                  <w:tcW w:w="474" w:type="dxa"/>
                  <w:tcBorders>
                    <w:tl2br w:val="nil"/>
                    <w:tr2bl w:val="nil"/>
                  </w:tcBorders>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8</w:t>
                  </w:r>
                </w:p>
              </w:tc>
              <w:tc>
                <w:tcPr>
                  <w:tcW w:w="198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警示带</w:t>
                  </w:r>
                </w:p>
              </w:tc>
              <w:tc>
                <w:tcPr>
                  <w:tcW w:w="130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p>
              </w:tc>
              <w:tc>
                <w:tcPr>
                  <w:tcW w:w="75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米</w:t>
                  </w:r>
                </w:p>
              </w:tc>
              <w:tc>
                <w:tcPr>
                  <w:tcW w:w="67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960</w:t>
                  </w:r>
                </w:p>
              </w:tc>
              <w:tc>
                <w:tcPr>
                  <w:tcW w:w="19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1" w:type="dxa"/>
                  <w:vMerge w:val="continue"/>
                  <w:tcBorders>
                    <w:tl2br w:val="nil"/>
                    <w:tr2bl w:val="nil"/>
                  </w:tcBorders>
                  <w:noWrap w:val="0"/>
                  <w:vAlign w:val="center"/>
                </w:tcPr>
                <w:p>
                  <w:pPr>
                    <w:jc w:val="center"/>
                    <w:rPr>
                      <w:rFonts w:hint="default" w:ascii="Times New Roman" w:hAnsi="Times New Roman" w:eastAsia="宋体" w:cs="Times New Roman"/>
                      <w:i w:val="0"/>
                      <w:iCs w:val="0"/>
                      <w:color w:val="000000"/>
                      <w:sz w:val="21"/>
                      <w:szCs w:val="21"/>
                      <w:u w:val="none"/>
                    </w:rPr>
                  </w:pPr>
                </w:p>
              </w:tc>
              <w:tc>
                <w:tcPr>
                  <w:tcW w:w="628" w:type="dxa"/>
                  <w:vMerge w:val="continue"/>
                  <w:tcBorders>
                    <w:tl2br w:val="nil"/>
                    <w:tr2bl w:val="nil"/>
                  </w:tcBorders>
                  <w:noWrap w:val="0"/>
                  <w:vAlign w:val="center"/>
                </w:tcPr>
                <w:p>
                  <w:pPr>
                    <w:jc w:val="center"/>
                    <w:rPr>
                      <w:rFonts w:hint="default" w:ascii="Times New Roman" w:hAnsi="Times New Roman" w:eastAsia="宋体" w:cs="Times New Roman"/>
                      <w:i w:val="0"/>
                      <w:iCs w:val="0"/>
                      <w:color w:val="000000"/>
                      <w:sz w:val="21"/>
                      <w:szCs w:val="21"/>
                      <w:u w:val="none"/>
                    </w:rPr>
                  </w:pPr>
                </w:p>
              </w:tc>
              <w:tc>
                <w:tcPr>
                  <w:tcW w:w="474" w:type="dxa"/>
                  <w:tcBorders>
                    <w:tl2br w:val="nil"/>
                    <w:tr2bl w:val="nil"/>
                  </w:tcBorders>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9</w:t>
                  </w:r>
                </w:p>
              </w:tc>
              <w:tc>
                <w:tcPr>
                  <w:tcW w:w="198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示踪线（BV铜芯聚乙烯绝缘电线）</w:t>
                  </w:r>
                </w:p>
              </w:tc>
              <w:tc>
                <w:tcPr>
                  <w:tcW w:w="130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lang w:val="en-US"/>
                    </w:rPr>
                  </w:pPr>
                  <w:r>
                    <w:rPr>
                      <w:rFonts w:hint="default" w:ascii="Times New Roman" w:hAnsi="Times New Roman" w:eastAsia="宋体" w:cs="Times New Roman"/>
                      <w:i w:val="0"/>
                      <w:iCs w:val="0"/>
                      <w:color w:val="000000"/>
                      <w:kern w:val="0"/>
                      <w:sz w:val="21"/>
                      <w:szCs w:val="21"/>
                      <w:u w:val="none"/>
                      <w:lang w:val="en-US" w:eastAsia="zh-CN" w:bidi="ar"/>
                    </w:rPr>
                    <w:t>4.0mm</w:t>
                  </w:r>
                  <w:r>
                    <w:rPr>
                      <w:rFonts w:hint="default" w:ascii="Times New Roman" w:hAnsi="Times New Roman" w:eastAsia="宋体" w:cs="Times New Roman"/>
                      <w:i w:val="0"/>
                      <w:iCs w:val="0"/>
                      <w:color w:val="000000"/>
                      <w:kern w:val="0"/>
                      <w:sz w:val="21"/>
                      <w:szCs w:val="21"/>
                      <w:u w:val="none"/>
                      <w:vertAlign w:val="superscript"/>
                      <w:lang w:val="en-US" w:eastAsia="zh-CN" w:bidi="ar"/>
                    </w:rPr>
                    <w:t>2</w:t>
                  </w:r>
                </w:p>
              </w:tc>
              <w:tc>
                <w:tcPr>
                  <w:tcW w:w="75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米</w:t>
                  </w:r>
                </w:p>
              </w:tc>
              <w:tc>
                <w:tcPr>
                  <w:tcW w:w="67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960</w:t>
                  </w:r>
                </w:p>
              </w:tc>
              <w:tc>
                <w:tcPr>
                  <w:tcW w:w="19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GB/T 5023-2008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1" w:type="dxa"/>
                  <w:vMerge w:val="continue"/>
                  <w:tcBorders>
                    <w:tl2br w:val="nil"/>
                    <w:tr2bl w:val="nil"/>
                  </w:tcBorders>
                  <w:noWrap w:val="0"/>
                  <w:vAlign w:val="center"/>
                </w:tcPr>
                <w:p>
                  <w:pPr>
                    <w:jc w:val="center"/>
                    <w:rPr>
                      <w:rFonts w:hint="default" w:ascii="Times New Roman" w:hAnsi="Times New Roman" w:eastAsia="宋体" w:cs="Times New Roman"/>
                      <w:i w:val="0"/>
                      <w:iCs w:val="0"/>
                      <w:color w:val="000000"/>
                      <w:sz w:val="21"/>
                      <w:szCs w:val="21"/>
                      <w:u w:val="none"/>
                    </w:rPr>
                  </w:pPr>
                </w:p>
              </w:tc>
              <w:tc>
                <w:tcPr>
                  <w:tcW w:w="628" w:type="dxa"/>
                  <w:vMerge w:val="restart"/>
                  <w:tcBorders>
                    <w:tl2br w:val="nil"/>
                    <w:tr2bl w:val="nil"/>
                  </w:tcBorders>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湖滨大街西延</w:t>
                  </w:r>
                </w:p>
              </w:tc>
              <w:tc>
                <w:tcPr>
                  <w:tcW w:w="474" w:type="dxa"/>
                  <w:tcBorders>
                    <w:tl2br w:val="nil"/>
                    <w:tr2bl w:val="nil"/>
                  </w:tcBorders>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987" w:type="dxa"/>
                  <w:tcBorders>
                    <w:tl2br w:val="nil"/>
                    <w:tr2bl w:val="nil"/>
                  </w:tcBorders>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PE100聚乙烯管</w:t>
                  </w:r>
                </w:p>
              </w:tc>
              <w:tc>
                <w:tcPr>
                  <w:tcW w:w="130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Dn110</w:t>
                  </w:r>
                </w:p>
              </w:tc>
              <w:tc>
                <w:tcPr>
                  <w:tcW w:w="75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米</w:t>
                  </w:r>
                </w:p>
              </w:tc>
              <w:tc>
                <w:tcPr>
                  <w:tcW w:w="67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1180</w:t>
                  </w:r>
                </w:p>
              </w:tc>
              <w:tc>
                <w:tcPr>
                  <w:tcW w:w="19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GB15558.1-2015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1" w:type="dxa"/>
                  <w:vMerge w:val="continue"/>
                  <w:tcBorders>
                    <w:tl2br w:val="nil"/>
                    <w:tr2bl w:val="nil"/>
                  </w:tcBorders>
                  <w:noWrap w:val="0"/>
                  <w:vAlign w:val="center"/>
                </w:tcPr>
                <w:p>
                  <w:pPr>
                    <w:jc w:val="center"/>
                    <w:rPr>
                      <w:rFonts w:hint="default" w:ascii="Times New Roman" w:hAnsi="Times New Roman" w:eastAsia="宋体" w:cs="Times New Roman"/>
                      <w:i w:val="0"/>
                      <w:iCs w:val="0"/>
                      <w:color w:val="000000"/>
                      <w:sz w:val="21"/>
                      <w:szCs w:val="21"/>
                      <w:u w:val="none"/>
                    </w:rPr>
                  </w:pPr>
                </w:p>
              </w:tc>
              <w:tc>
                <w:tcPr>
                  <w:tcW w:w="628" w:type="dxa"/>
                  <w:vMerge w:val="continue"/>
                  <w:tcBorders>
                    <w:tl2br w:val="nil"/>
                    <w:tr2bl w:val="nil"/>
                  </w:tcBorders>
                  <w:noWrap w:val="0"/>
                  <w:vAlign w:val="center"/>
                </w:tcPr>
                <w:p>
                  <w:pPr>
                    <w:jc w:val="center"/>
                    <w:rPr>
                      <w:rFonts w:hint="default" w:ascii="Times New Roman" w:hAnsi="Times New Roman" w:eastAsia="宋体" w:cs="Times New Roman"/>
                      <w:i w:val="0"/>
                      <w:iCs w:val="0"/>
                      <w:color w:val="000000"/>
                      <w:sz w:val="21"/>
                      <w:szCs w:val="21"/>
                      <w:u w:val="none"/>
                    </w:rPr>
                  </w:pPr>
                </w:p>
              </w:tc>
              <w:tc>
                <w:tcPr>
                  <w:tcW w:w="474" w:type="dxa"/>
                  <w:tcBorders>
                    <w:tl2br w:val="nil"/>
                    <w:tr2bl w:val="nil"/>
                  </w:tcBorders>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sz w:val="21"/>
                      <w:szCs w:val="21"/>
                      <w:u w:val="none"/>
                      <w:lang w:val="en-US" w:eastAsia="zh-CN"/>
                    </w:rPr>
                    <w:t>2</w:t>
                  </w:r>
                </w:p>
              </w:tc>
              <w:tc>
                <w:tcPr>
                  <w:tcW w:w="1987" w:type="dxa"/>
                  <w:tcBorders>
                    <w:tl2br w:val="nil"/>
                    <w:tr2bl w:val="nil"/>
                  </w:tcBorders>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sz w:val="21"/>
                      <w:szCs w:val="21"/>
                      <w:u w:val="none"/>
                      <w:lang w:val="en-US" w:eastAsia="zh-CN"/>
                    </w:rPr>
                    <w:t>钢管</w:t>
                  </w:r>
                </w:p>
              </w:tc>
              <w:tc>
                <w:tcPr>
                  <w:tcW w:w="130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D219.1×7.9</w:t>
                  </w:r>
                </w:p>
              </w:tc>
              <w:tc>
                <w:tcPr>
                  <w:tcW w:w="75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sz w:val="21"/>
                      <w:szCs w:val="21"/>
                      <w:u w:val="none"/>
                      <w:lang w:val="en-US" w:eastAsia="zh-CN"/>
                    </w:rPr>
                    <w:t>米</w:t>
                  </w:r>
                </w:p>
              </w:tc>
              <w:tc>
                <w:tcPr>
                  <w:tcW w:w="67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sz w:val="21"/>
                      <w:szCs w:val="21"/>
                      <w:u w:val="none"/>
                      <w:lang w:val="en-US" w:eastAsia="zh-CN"/>
                    </w:rPr>
                    <w:t>120</w:t>
                  </w:r>
                </w:p>
              </w:tc>
              <w:tc>
                <w:tcPr>
                  <w:tcW w:w="19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GB/T3091-2015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1" w:type="dxa"/>
                  <w:vMerge w:val="continue"/>
                  <w:tcBorders>
                    <w:tl2br w:val="nil"/>
                    <w:tr2bl w:val="nil"/>
                  </w:tcBorders>
                  <w:noWrap w:val="0"/>
                  <w:vAlign w:val="center"/>
                </w:tcPr>
                <w:p>
                  <w:pPr>
                    <w:jc w:val="center"/>
                    <w:rPr>
                      <w:rFonts w:hint="default" w:ascii="Times New Roman" w:hAnsi="Times New Roman" w:eastAsia="宋体" w:cs="Times New Roman"/>
                      <w:i w:val="0"/>
                      <w:iCs w:val="0"/>
                      <w:color w:val="000000"/>
                      <w:sz w:val="21"/>
                      <w:szCs w:val="21"/>
                      <w:u w:val="none"/>
                    </w:rPr>
                  </w:pPr>
                </w:p>
              </w:tc>
              <w:tc>
                <w:tcPr>
                  <w:tcW w:w="628" w:type="dxa"/>
                  <w:vMerge w:val="continue"/>
                  <w:tcBorders>
                    <w:tl2br w:val="nil"/>
                    <w:tr2bl w:val="nil"/>
                  </w:tcBorders>
                  <w:noWrap w:val="0"/>
                  <w:vAlign w:val="center"/>
                </w:tcPr>
                <w:p>
                  <w:pPr>
                    <w:jc w:val="center"/>
                    <w:rPr>
                      <w:rFonts w:hint="default" w:ascii="Times New Roman" w:hAnsi="Times New Roman" w:eastAsia="宋体" w:cs="Times New Roman"/>
                      <w:i w:val="0"/>
                      <w:iCs w:val="0"/>
                      <w:color w:val="000000"/>
                      <w:sz w:val="21"/>
                      <w:szCs w:val="21"/>
                      <w:u w:val="none"/>
                    </w:rPr>
                  </w:pPr>
                </w:p>
              </w:tc>
              <w:tc>
                <w:tcPr>
                  <w:tcW w:w="474" w:type="dxa"/>
                  <w:tcBorders>
                    <w:tl2br w:val="nil"/>
                    <w:tr2bl w:val="nil"/>
                  </w:tcBorders>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sz w:val="21"/>
                      <w:szCs w:val="21"/>
                      <w:u w:val="none"/>
                      <w:lang w:val="en-US" w:eastAsia="zh-CN"/>
                    </w:rPr>
                    <w:t>3</w:t>
                  </w:r>
                </w:p>
              </w:tc>
              <w:tc>
                <w:tcPr>
                  <w:tcW w:w="1987" w:type="dxa"/>
                  <w:tcBorders>
                    <w:tl2br w:val="nil"/>
                    <w:tr2bl w:val="nil"/>
                  </w:tcBorders>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燃气用埋地聚乙烯双放散球阀</w:t>
                  </w:r>
                </w:p>
              </w:tc>
              <w:tc>
                <w:tcPr>
                  <w:tcW w:w="130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Dn110</w:t>
                  </w:r>
                </w:p>
              </w:tc>
              <w:tc>
                <w:tcPr>
                  <w:tcW w:w="75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sz w:val="21"/>
                      <w:szCs w:val="21"/>
                      <w:u w:val="none"/>
                      <w:lang w:val="en-US" w:eastAsia="zh-CN"/>
                    </w:rPr>
                    <w:t>个</w:t>
                  </w:r>
                </w:p>
              </w:tc>
              <w:tc>
                <w:tcPr>
                  <w:tcW w:w="67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sz w:val="21"/>
                      <w:szCs w:val="21"/>
                      <w:u w:val="none"/>
                      <w:lang w:val="en-US" w:eastAsia="zh-CN"/>
                    </w:rPr>
                    <w:t>6</w:t>
                  </w:r>
                </w:p>
              </w:tc>
              <w:tc>
                <w:tcPr>
                  <w:tcW w:w="19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GB15558.3-2008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1" w:type="dxa"/>
                  <w:vMerge w:val="continue"/>
                  <w:tcBorders>
                    <w:tl2br w:val="nil"/>
                    <w:tr2bl w:val="nil"/>
                  </w:tcBorders>
                  <w:noWrap w:val="0"/>
                  <w:vAlign w:val="center"/>
                </w:tcPr>
                <w:p>
                  <w:pPr>
                    <w:jc w:val="center"/>
                    <w:rPr>
                      <w:rFonts w:hint="default" w:ascii="Times New Roman" w:hAnsi="Times New Roman" w:eastAsia="宋体" w:cs="Times New Roman"/>
                      <w:i w:val="0"/>
                      <w:iCs w:val="0"/>
                      <w:color w:val="000000"/>
                      <w:sz w:val="21"/>
                      <w:szCs w:val="21"/>
                      <w:u w:val="none"/>
                    </w:rPr>
                  </w:pPr>
                </w:p>
              </w:tc>
              <w:tc>
                <w:tcPr>
                  <w:tcW w:w="628" w:type="dxa"/>
                  <w:vMerge w:val="continue"/>
                  <w:tcBorders>
                    <w:tl2br w:val="nil"/>
                    <w:tr2bl w:val="nil"/>
                  </w:tcBorders>
                  <w:noWrap w:val="0"/>
                  <w:vAlign w:val="center"/>
                </w:tcPr>
                <w:p>
                  <w:pPr>
                    <w:jc w:val="center"/>
                    <w:rPr>
                      <w:rFonts w:hint="default" w:ascii="Times New Roman" w:hAnsi="Times New Roman" w:eastAsia="宋体" w:cs="Times New Roman"/>
                      <w:i w:val="0"/>
                      <w:iCs w:val="0"/>
                      <w:color w:val="000000"/>
                      <w:sz w:val="21"/>
                      <w:szCs w:val="21"/>
                      <w:u w:val="none"/>
                    </w:rPr>
                  </w:pPr>
                </w:p>
              </w:tc>
              <w:tc>
                <w:tcPr>
                  <w:tcW w:w="474" w:type="dxa"/>
                  <w:tcBorders>
                    <w:tl2br w:val="nil"/>
                    <w:tr2bl w:val="nil"/>
                  </w:tcBorders>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sz w:val="21"/>
                      <w:szCs w:val="21"/>
                      <w:u w:val="none"/>
                      <w:lang w:val="en-US" w:eastAsia="zh-CN"/>
                    </w:rPr>
                    <w:t>4</w:t>
                  </w:r>
                </w:p>
              </w:tc>
              <w:tc>
                <w:tcPr>
                  <w:tcW w:w="198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阀门检查井</w:t>
                  </w:r>
                </w:p>
              </w:tc>
              <w:tc>
                <w:tcPr>
                  <w:tcW w:w="130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dn110</w:t>
                  </w:r>
                </w:p>
              </w:tc>
              <w:tc>
                <w:tcPr>
                  <w:tcW w:w="75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个</w:t>
                  </w:r>
                </w:p>
              </w:tc>
              <w:tc>
                <w:tcPr>
                  <w:tcW w:w="67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6</w:t>
                  </w:r>
                </w:p>
              </w:tc>
              <w:tc>
                <w:tcPr>
                  <w:tcW w:w="19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12N6-P3/4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1" w:type="dxa"/>
                  <w:vMerge w:val="continue"/>
                  <w:tcBorders>
                    <w:tl2br w:val="nil"/>
                    <w:tr2bl w:val="nil"/>
                  </w:tcBorders>
                  <w:noWrap w:val="0"/>
                  <w:vAlign w:val="center"/>
                </w:tcPr>
                <w:p>
                  <w:pPr>
                    <w:jc w:val="center"/>
                    <w:rPr>
                      <w:rFonts w:hint="default" w:ascii="Times New Roman" w:hAnsi="Times New Roman" w:eastAsia="宋体" w:cs="Times New Roman"/>
                      <w:i w:val="0"/>
                      <w:iCs w:val="0"/>
                      <w:color w:val="000000"/>
                      <w:sz w:val="21"/>
                      <w:szCs w:val="21"/>
                      <w:u w:val="none"/>
                    </w:rPr>
                  </w:pPr>
                </w:p>
              </w:tc>
              <w:tc>
                <w:tcPr>
                  <w:tcW w:w="628" w:type="dxa"/>
                  <w:vMerge w:val="continue"/>
                  <w:tcBorders>
                    <w:tl2br w:val="nil"/>
                    <w:tr2bl w:val="nil"/>
                  </w:tcBorders>
                  <w:noWrap w:val="0"/>
                  <w:vAlign w:val="center"/>
                </w:tcPr>
                <w:p>
                  <w:pPr>
                    <w:jc w:val="center"/>
                    <w:rPr>
                      <w:rFonts w:hint="default" w:ascii="Times New Roman" w:hAnsi="Times New Roman" w:eastAsia="宋体" w:cs="Times New Roman"/>
                      <w:i w:val="0"/>
                      <w:iCs w:val="0"/>
                      <w:color w:val="000000"/>
                      <w:sz w:val="21"/>
                      <w:szCs w:val="21"/>
                      <w:u w:val="none"/>
                    </w:rPr>
                  </w:pPr>
                </w:p>
              </w:tc>
              <w:tc>
                <w:tcPr>
                  <w:tcW w:w="474" w:type="dxa"/>
                  <w:tcBorders>
                    <w:tl2br w:val="nil"/>
                    <w:tr2bl w:val="nil"/>
                  </w:tcBorders>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sz w:val="21"/>
                      <w:szCs w:val="21"/>
                      <w:u w:val="none"/>
                      <w:lang w:val="en-US" w:eastAsia="zh-CN"/>
                    </w:rPr>
                    <w:t>5</w:t>
                  </w:r>
                </w:p>
              </w:tc>
              <w:tc>
                <w:tcPr>
                  <w:tcW w:w="198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警示带</w:t>
                  </w:r>
                </w:p>
              </w:tc>
              <w:tc>
                <w:tcPr>
                  <w:tcW w:w="130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p>
              </w:tc>
              <w:tc>
                <w:tcPr>
                  <w:tcW w:w="75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米</w:t>
                  </w:r>
                </w:p>
              </w:tc>
              <w:tc>
                <w:tcPr>
                  <w:tcW w:w="67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1300</w:t>
                  </w:r>
                </w:p>
              </w:tc>
              <w:tc>
                <w:tcPr>
                  <w:tcW w:w="19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1" w:type="dxa"/>
                  <w:vMerge w:val="continue"/>
                  <w:tcBorders>
                    <w:tl2br w:val="nil"/>
                    <w:tr2bl w:val="nil"/>
                  </w:tcBorders>
                  <w:noWrap w:val="0"/>
                  <w:vAlign w:val="center"/>
                </w:tcPr>
                <w:p>
                  <w:pPr>
                    <w:jc w:val="center"/>
                    <w:rPr>
                      <w:rFonts w:hint="default" w:ascii="Times New Roman" w:hAnsi="Times New Roman" w:eastAsia="宋体" w:cs="Times New Roman"/>
                      <w:i w:val="0"/>
                      <w:iCs w:val="0"/>
                      <w:color w:val="000000"/>
                      <w:sz w:val="21"/>
                      <w:szCs w:val="21"/>
                      <w:u w:val="none"/>
                    </w:rPr>
                  </w:pPr>
                </w:p>
              </w:tc>
              <w:tc>
                <w:tcPr>
                  <w:tcW w:w="628" w:type="dxa"/>
                  <w:vMerge w:val="continue"/>
                  <w:tcBorders>
                    <w:tl2br w:val="nil"/>
                    <w:tr2bl w:val="nil"/>
                  </w:tcBorders>
                  <w:noWrap w:val="0"/>
                  <w:vAlign w:val="center"/>
                </w:tcPr>
                <w:p>
                  <w:pPr>
                    <w:jc w:val="center"/>
                    <w:rPr>
                      <w:rFonts w:hint="default" w:ascii="Times New Roman" w:hAnsi="Times New Roman" w:eastAsia="宋体" w:cs="Times New Roman"/>
                      <w:i w:val="0"/>
                      <w:iCs w:val="0"/>
                      <w:color w:val="000000"/>
                      <w:sz w:val="21"/>
                      <w:szCs w:val="21"/>
                      <w:u w:val="none"/>
                    </w:rPr>
                  </w:pPr>
                </w:p>
              </w:tc>
              <w:tc>
                <w:tcPr>
                  <w:tcW w:w="474" w:type="dxa"/>
                  <w:tcBorders>
                    <w:tl2br w:val="nil"/>
                    <w:tr2bl w:val="nil"/>
                  </w:tcBorders>
                  <w:noWrap w:val="0"/>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sz w:val="21"/>
                      <w:szCs w:val="21"/>
                      <w:u w:val="none"/>
                      <w:lang w:val="en-US" w:eastAsia="zh-CN"/>
                    </w:rPr>
                    <w:t>6</w:t>
                  </w:r>
                </w:p>
              </w:tc>
              <w:tc>
                <w:tcPr>
                  <w:tcW w:w="198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示踪线（BV铜芯聚乙烯绝缘电线）</w:t>
                  </w:r>
                </w:p>
              </w:tc>
              <w:tc>
                <w:tcPr>
                  <w:tcW w:w="130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4.0mm</w:t>
                  </w:r>
                  <w:r>
                    <w:rPr>
                      <w:rFonts w:hint="default" w:ascii="Times New Roman" w:hAnsi="Times New Roman" w:eastAsia="宋体" w:cs="Times New Roman"/>
                      <w:i w:val="0"/>
                      <w:iCs w:val="0"/>
                      <w:color w:val="000000"/>
                      <w:kern w:val="0"/>
                      <w:sz w:val="21"/>
                      <w:szCs w:val="21"/>
                      <w:u w:val="none"/>
                      <w:vertAlign w:val="superscript"/>
                      <w:lang w:val="en-US" w:eastAsia="zh-CN" w:bidi="ar"/>
                    </w:rPr>
                    <w:t>2</w:t>
                  </w:r>
                </w:p>
              </w:tc>
              <w:tc>
                <w:tcPr>
                  <w:tcW w:w="75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米</w:t>
                  </w:r>
                </w:p>
              </w:tc>
              <w:tc>
                <w:tcPr>
                  <w:tcW w:w="67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1300</w:t>
                  </w:r>
                </w:p>
              </w:tc>
              <w:tc>
                <w:tcPr>
                  <w:tcW w:w="197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GB/T 5023-2008</w:t>
                  </w:r>
                </w:p>
              </w:tc>
            </w:tr>
          </w:tbl>
          <w:p>
            <w:pPr>
              <w:spacing w:line="480" w:lineRule="exact"/>
              <w:ind w:firstLine="482"/>
              <w:rPr>
                <w:rFonts w:hint="default"/>
                <w:b/>
                <w:sz w:val="24"/>
                <w:szCs w:val="24"/>
                <w:lang w:val="en-US" w:eastAsia="zh-CN"/>
              </w:rPr>
            </w:pPr>
            <w:r>
              <w:rPr>
                <w:rFonts w:hint="eastAsia"/>
                <w:b/>
                <w:sz w:val="24"/>
                <w:szCs w:val="24"/>
                <w:lang w:val="en-US" w:eastAsia="zh-CN"/>
              </w:rPr>
              <w:t>2.11绿化工程</w:t>
            </w:r>
          </w:p>
          <w:p>
            <w:pPr>
              <w:spacing w:line="480" w:lineRule="exact"/>
              <w:ind w:firstLine="482"/>
              <w:rPr>
                <w:rFonts w:hint="eastAsia"/>
                <w:b w:val="0"/>
                <w:bCs/>
                <w:sz w:val="24"/>
                <w:szCs w:val="24"/>
                <w:lang w:val="en-US" w:eastAsia="zh-CN"/>
              </w:rPr>
            </w:pPr>
            <w:r>
              <w:rPr>
                <w:rFonts w:hint="eastAsia"/>
                <w:b w:val="0"/>
                <w:bCs/>
                <w:sz w:val="24"/>
                <w:szCs w:val="24"/>
                <w:lang w:val="en-US" w:eastAsia="zh-CN"/>
              </w:rPr>
              <w:t>根据五台县湖滨大道、文昌路及东外环路所处地理位置和周围环境以及实际要求，在规划设计时，要求以人为本，全面绿化美化，营造良好的生态环境，体现现代城市的风貌。通过道路两侧绿化带的建设对机动车辆排放的尾气、噪声都起到一定的净化和降尘等屏障作用。有效改善道路环境，改善沿线城市城市景观、改善投资环境和居民生活环境，起到绿化美化和环境保护的双重作用。</w:t>
            </w:r>
          </w:p>
          <w:p>
            <w:pPr>
              <w:spacing w:line="480" w:lineRule="exact"/>
              <w:ind w:firstLine="480"/>
              <w:rPr>
                <w:rFonts w:hint="default" w:ascii="Times New Roman" w:hAnsi="Times New Roman" w:eastAsia="宋体" w:cs="Times New Roman"/>
                <w:b/>
                <w:bCs w:val="0"/>
                <w:sz w:val="24"/>
                <w:szCs w:val="24"/>
                <w:lang w:val="en-US" w:eastAsia="zh-CN"/>
              </w:rPr>
            </w:pPr>
            <w:r>
              <w:rPr>
                <w:rFonts w:hint="default" w:ascii="Times New Roman" w:hAnsi="Times New Roman" w:cs="Times New Roman"/>
                <w:b/>
                <w:bCs w:val="0"/>
                <w:sz w:val="24"/>
                <w:szCs w:val="24"/>
                <w:lang w:val="en-US" w:eastAsia="zh-CN"/>
              </w:rPr>
              <w:t>2.</w:t>
            </w:r>
            <w:r>
              <w:rPr>
                <w:rFonts w:hint="eastAsia" w:cs="Times New Roman"/>
                <w:b/>
                <w:bCs w:val="0"/>
                <w:sz w:val="24"/>
                <w:szCs w:val="24"/>
                <w:lang w:val="en-US" w:eastAsia="zh-CN"/>
              </w:rPr>
              <w:t>11</w:t>
            </w:r>
            <w:r>
              <w:rPr>
                <w:rFonts w:hint="default" w:ascii="Times New Roman" w:hAnsi="Times New Roman" w:cs="Times New Roman"/>
                <w:b/>
                <w:bCs w:val="0"/>
                <w:sz w:val="24"/>
                <w:szCs w:val="24"/>
                <w:lang w:val="en-US" w:eastAsia="zh-CN"/>
              </w:rPr>
              <w:t>.</w:t>
            </w:r>
            <w:r>
              <w:rPr>
                <w:rFonts w:hint="eastAsia" w:cs="Times New Roman"/>
                <w:b/>
                <w:bCs w:val="0"/>
                <w:sz w:val="24"/>
                <w:szCs w:val="24"/>
                <w:lang w:val="en-US" w:eastAsia="zh-CN"/>
              </w:rPr>
              <w:t>1绿化设计方案</w:t>
            </w:r>
          </w:p>
          <w:p>
            <w:pPr>
              <w:spacing w:line="480" w:lineRule="exact"/>
              <w:ind w:firstLine="482"/>
              <w:rPr>
                <w:rFonts w:hint="eastAsia"/>
                <w:b w:val="0"/>
                <w:bCs/>
                <w:sz w:val="24"/>
                <w:szCs w:val="24"/>
                <w:lang w:val="en-US" w:eastAsia="zh-CN"/>
              </w:rPr>
            </w:pPr>
            <w:r>
              <w:rPr>
                <w:rFonts w:hint="eastAsia"/>
                <w:b w:val="0"/>
                <w:bCs/>
                <w:sz w:val="24"/>
                <w:szCs w:val="24"/>
                <w:lang w:val="en-US" w:eastAsia="zh-CN"/>
              </w:rPr>
              <w:t xml:space="preserve">运用丰富的植物元素与人工造景手法，充分考虑植物的层次、色彩等各项特性，结合植物生长变化创造出线性四维空间；人行道种植方式可运用规则与自然相结合、灌木与乔木相搭配的种植方式，着重体现物种多样性及植物的层次变化，体现景观多样性，运用各具特色的花灌木与地被组合成为一条绚丽斑斓的花带，其上方栽植行道树，营造出人行树荫下、花草随行间的园区新景观。 </w:t>
            </w:r>
          </w:p>
          <w:p>
            <w:pPr>
              <w:spacing w:line="480" w:lineRule="exact"/>
              <w:ind w:firstLine="482"/>
              <w:rPr>
                <w:rFonts w:hint="eastAsia"/>
                <w:b w:val="0"/>
                <w:bCs/>
                <w:sz w:val="24"/>
                <w:szCs w:val="24"/>
                <w:lang w:val="en-US" w:eastAsia="zh-CN"/>
              </w:rPr>
            </w:pPr>
            <w:r>
              <w:rPr>
                <w:rFonts w:hint="eastAsia"/>
                <w:b w:val="0"/>
                <w:bCs/>
                <w:sz w:val="24"/>
                <w:szCs w:val="24"/>
                <w:lang w:val="en-US" w:eastAsia="zh-CN"/>
              </w:rPr>
              <w:t>行道树选用乡土树种白皮松、国槐、白蜡，适地适树，为非机动车和行人提供充足的绿荫。树池底层种植胶东卫矛、金叶榆篱，填充了行道树下层景观空白，又可以很好的覆盖裸露的黄土。</w:t>
            </w:r>
          </w:p>
          <w:p>
            <w:pPr>
              <w:spacing w:line="480" w:lineRule="exact"/>
              <w:ind w:firstLine="482"/>
              <w:rPr>
                <w:rFonts w:hint="eastAsia"/>
                <w:b w:val="0"/>
                <w:bCs/>
                <w:sz w:val="24"/>
                <w:szCs w:val="24"/>
                <w:lang w:val="en-US" w:eastAsia="zh-CN"/>
              </w:rPr>
            </w:pPr>
            <w:r>
              <w:rPr>
                <w:rFonts w:hint="eastAsia"/>
                <w:b w:val="0"/>
                <w:bCs/>
                <w:sz w:val="24"/>
                <w:szCs w:val="24"/>
                <w:lang w:val="en-US" w:eastAsia="zh-CN"/>
              </w:rPr>
              <w:t>植物选择——上层：白皮松、国槐、白蜡。</w:t>
            </w:r>
          </w:p>
          <w:p>
            <w:pPr>
              <w:spacing w:line="480" w:lineRule="exact"/>
              <w:ind w:firstLine="482"/>
              <w:rPr>
                <w:rFonts w:hint="eastAsia"/>
                <w:b w:val="0"/>
                <w:bCs/>
                <w:sz w:val="24"/>
                <w:szCs w:val="24"/>
                <w:lang w:val="en-US" w:eastAsia="zh-CN"/>
              </w:rPr>
            </w:pPr>
            <w:r>
              <w:rPr>
                <w:rFonts w:hint="eastAsia"/>
                <w:b w:val="0"/>
                <w:bCs/>
                <w:sz w:val="24"/>
                <w:szCs w:val="24"/>
                <w:lang w:val="en-US" w:eastAsia="zh-CN"/>
              </w:rPr>
              <w:t>下层：海棠、木槿、金叶榆球、胶东卫矛、金叶榆篱。</w:t>
            </w:r>
          </w:p>
          <w:p>
            <w:pPr>
              <w:spacing w:line="480" w:lineRule="exact"/>
              <w:ind w:firstLine="482"/>
              <w:rPr>
                <w:rFonts w:hint="eastAsia"/>
                <w:b w:val="0"/>
                <w:bCs/>
                <w:sz w:val="24"/>
                <w:szCs w:val="24"/>
                <w:lang w:val="en-US" w:eastAsia="zh-CN"/>
              </w:rPr>
            </w:pPr>
            <w:r>
              <w:rPr>
                <w:rFonts w:hint="eastAsia"/>
                <w:b w:val="0"/>
                <w:bCs/>
                <w:sz w:val="24"/>
                <w:szCs w:val="24"/>
                <w:lang w:val="en-US" w:eastAsia="zh-CN"/>
              </w:rPr>
              <w:t>换填土：为保证行道树拥有良好的生长环境，需清理现状的垃圾土并回填种植土。</w:t>
            </w:r>
          </w:p>
          <w:p>
            <w:pPr>
              <w:spacing w:line="480" w:lineRule="exact"/>
              <w:ind w:firstLine="480"/>
              <w:rPr>
                <w:rFonts w:hint="default" w:ascii="Times New Roman" w:hAnsi="Times New Roman" w:eastAsia="宋体" w:cs="Times New Roman"/>
                <w:b/>
                <w:bCs w:val="0"/>
                <w:sz w:val="24"/>
                <w:szCs w:val="24"/>
                <w:lang w:val="en-US" w:eastAsia="zh-CN"/>
              </w:rPr>
            </w:pPr>
            <w:r>
              <w:rPr>
                <w:rFonts w:hint="default" w:ascii="Times New Roman" w:hAnsi="Times New Roman" w:cs="Times New Roman"/>
                <w:b/>
                <w:bCs w:val="0"/>
                <w:sz w:val="24"/>
                <w:szCs w:val="24"/>
                <w:lang w:val="en-US" w:eastAsia="zh-CN"/>
              </w:rPr>
              <w:t>2.</w:t>
            </w:r>
            <w:r>
              <w:rPr>
                <w:rFonts w:hint="eastAsia" w:cs="Times New Roman"/>
                <w:b/>
                <w:bCs w:val="0"/>
                <w:sz w:val="24"/>
                <w:szCs w:val="24"/>
                <w:lang w:val="en-US" w:eastAsia="zh-CN"/>
              </w:rPr>
              <w:t>11</w:t>
            </w:r>
            <w:r>
              <w:rPr>
                <w:rFonts w:hint="default" w:ascii="Times New Roman" w:hAnsi="Times New Roman" w:cs="Times New Roman"/>
                <w:b/>
                <w:bCs w:val="0"/>
                <w:sz w:val="24"/>
                <w:szCs w:val="24"/>
                <w:lang w:val="en-US" w:eastAsia="zh-CN"/>
              </w:rPr>
              <w:t>.</w:t>
            </w:r>
            <w:r>
              <w:rPr>
                <w:rFonts w:hint="eastAsia" w:cs="Times New Roman"/>
                <w:b/>
                <w:bCs w:val="0"/>
                <w:sz w:val="24"/>
                <w:szCs w:val="24"/>
                <w:lang w:val="en-US" w:eastAsia="zh-CN"/>
              </w:rPr>
              <w:t>2种植土壤要求</w:t>
            </w:r>
          </w:p>
          <w:p>
            <w:pPr>
              <w:spacing w:line="480" w:lineRule="exact"/>
              <w:ind w:firstLine="482"/>
              <w:rPr>
                <w:rFonts w:hint="eastAsia"/>
                <w:b w:val="0"/>
                <w:bCs/>
                <w:sz w:val="24"/>
                <w:szCs w:val="24"/>
                <w:lang w:val="en-US" w:eastAsia="zh-CN"/>
              </w:rPr>
            </w:pPr>
            <w:r>
              <w:rPr>
                <w:rFonts w:hint="eastAsia"/>
                <w:b w:val="0"/>
                <w:bCs/>
                <w:sz w:val="24"/>
                <w:szCs w:val="24"/>
                <w:lang w:val="en-US" w:eastAsia="zh-CN"/>
              </w:rPr>
              <w:t>绿地范围内要求乔木种植土深度≥1.5m，不得有建筑垃圾与污染物，种植地的土壤含有建筑废土及其他有害成分，以及酸性土、强碱土、盐土、盐碱土、重粘土、沙土等，均应根据设计规定，采用客土或采取改良土壤的技术措施。</w:t>
            </w:r>
          </w:p>
          <w:p>
            <w:pPr>
              <w:spacing w:line="480" w:lineRule="exact"/>
              <w:ind w:firstLine="482"/>
              <w:rPr>
                <w:rFonts w:hint="eastAsia"/>
                <w:b w:val="0"/>
                <w:bCs/>
                <w:sz w:val="24"/>
                <w:szCs w:val="24"/>
                <w:lang w:val="en-US" w:eastAsia="zh-CN"/>
              </w:rPr>
            </w:pPr>
            <w:r>
              <w:rPr>
                <w:rFonts w:hint="eastAsia"/>
                <w:b w:val="0"/>
                <w:bCs/>
                <w:sz w:val="24"/>
                <w:szCs w:val="24"/>
                <w:lang w:val="en-US" w:eastAsia="zh-CN"/>
              </w:rPr>
              <w:t>绿地应按设计要求构筑地形。对草坪种植地、花卉种植地、播种地应施足基肥，翻耕25-30cm，搂平耙细，去除杂物，平整度和坡度应符合竖向设计要求，地形应自然流畅；土壤疏松，容重不得高于1.3g/cm³；土壤排水良好，非毛管孔隙度不得低于10%。</w:t>
            </w:r>
          </w:p>
          <w:p>
            <w:pPr>
              <w:spacing w:line="480" w:lineRule="exact"/>
              <w:ind w:firstLine="482"/>
              <w:rPr>
                <w:rFonts w:hint="default"/>
                <w:b/>
                <w:sz w:val="24"/>
                <w:szCs w:val="24"/>
                <w:lang w:val="en-US" w:eastAsia="zh-CN"/>
              </w:rPr>
            </w:pPr>
            <w:r>
              <w:rPr>
                <w:rFonts w:hint="eastAsia"/>
                <w:b/>
                <w:sz w:val="24"/>
                <w:szCs w:val="24"/>
                <w:lang w:val="en-US" w:eastAsia="zh-CN"/>
              </w:rPr>
              <w:t>2.12管线综合</w:t>
            </w:r>
          </w:p>
          <w:p>
            <w:pPr>
              <w:spacing w:line="480" w:lineRule="exact"/>
              <w:ind w:firstLine="480"/>
              <w:rPr>
                <w:rFonts w:hint="default" w:ascii="Times New Roman" w:hAnsi="Times New Roman" w:eastAsia="宋体" w:cs="Times New Roman"/>
                <w:b/>
                <w:bCs w:val="0"/>
                <w:sz w:val="24"/>
                <w:szCs w:val="24"/>
                <w:lang w:val="en-US" w:eastAsia="zh-CN"/>
              </w:rPr>
            </w:pPr>
            <w:r>
              <w:rPr>
                <w:rFonts w:hint="default" w:ascii="Times New Roman" w:hAnsi="Times New Roman" w:cs="Times New Roman"/>
                <w:b/>
                <w:bCs w:val="0"/>
                <w:sz w:val="24"/>
                <w:szCs w:val="24"/>
                <w:lang w:val="en-US" w:eastAsia="zh-CN"/>
              </w:rPr>
              <w:t>2.</w:t>
            </w:r>
            <w:r>
              <w:rPr>
                <w:rFonts w:hint="eastAsia" w:cs="Times New Roman"/>
                <w:b/>
                <w:bCs w:val="0"/>
                <w:sz w:val="24"/>
                <w:szCs w:val="24"/>
                <w:lang w:val="en-US" w:eastAsia="zh-CN"/>
              </w:rPr>
              <w:t>12</w:t>
            </w:r>
            <w:r>
              <w:rPr>
                <w:rFonts w:hint="default" w:ascii="Times New Roman" w:hAnsi="Times New Roman" w:cs="Times New Roman"/>
                <w:b/>
                <w:bCs w:val="0"/>
                <w:sz w:val="24"/>
                <w:szCs w:val="24"/>
                <w:lang w:val="en-US" w:eastAsia="zh-CN"/>
              </w:rPr>
              <w:t>.</w:t>
            </w:r>
            <w:r>
              <w:rPr>
                <w:rFonts w:hint="eastAsia" w:cs="Times New Roman"/>
                <w:b/>
                <w:bCs w:val="0"/>
                <w:sz w:val="24"/>
                <w:szCs w:val="24"/>
                <w:lang w:val="en-US" w:eastAsia="zh-CN"/>
              </w:rPr>
              <w:t>1设计原则</w:t>
            </w:r>
          </w:p>
          <w:p>
            <w:pPr>
              <w:spacing w:line="480" w:lineRule="exact"/>
              <w:ind w:firstLine="482"/>
              <w:rPr>
                <w:rFonts w:hint="eastAsia"/>
                <w:b w:val="0"/>
                <w:bCs/>
                <w:sz w:val="24"/>
                <w:szCs w:val="24"/>
                <w:lang w:val="en-US" w:eastAsia="zh-CN"/>
              </w:rPr>
            </w:pPr>
            <w:r>
              <w:rPr>
                <w:rFonts w:hint="eastAsia"/>
                <w:b w:val="0"/>
                <w:bCs/>
                <w:sz w:val="24"/>
                <w:szCs w:val="24"/>
                <w:lang w:val="en-US" w:eastAsia="zh-CN"/>
              </w:rPr>
              <w:t>①充分利用城市现状管线，尽量使管线的路线短捷，缩短管线长度，合理处理现状管线与新铺管线之间的关系，同时应当根据材质、使用年限及对道路工程其它有关工程的影响程度，综合考虑原有地下管线的废弃或保留；</w:t>
            </w:r>
          </w:p>
          <w:p>
            <w:pPr>
              <w:spacing w:line="480" w:lineRule="exact"/>
              <w:ind w:firstLine="482"/>
              <w:rPr>
                <w:rFonts w:hint="eastAsia"/>
                <w:b w:val="0"/>
                <w:bCs/>
                <w:sz w:val="24"/>
                <w:szCs w:val="24"/>
                <w:lang w:val="en-US" w:eastAsia="zh-CN"/>
              </w:rPr>
            </w:pPr>
            <w:r>
              <w:rPr>
                <w:rFonts w:hint="eastAsia"/>
                <w:b w:val="0"/>
                <w:bCs/>
                <w:sz w:val="24"/>
                <w:szCs w:val="24"/>
                <w:lang w:val="en-US" w:eastAsia="zh-CN"/>
              </w:rPr>
              <w:t>②道路下各种管线尽量与路中心线平行敷设，以减少与各种管线的交叉；</w:t>
            </w:r>
          </w:p>
          <w:p>
            <w:pPr>
              <w:spacing w:line="480" w:lineRule="exact"/>
              <w:ind w:firstLine="482"/>
              <w:rPr>
                <w:rFonts w:hint="eastAsia"/>
                <w:b w:val="0"/>
                <w:bCs/>
                <w:sz w:val="24"/>
                <w:szCs w:val="24"/>
                <w:lang w:val="en-US" w:eastAsia="zh-CN"/>
              </w:rPr>
            </w:pPr>
            <w:r>
              <w:rPr>
                <w:rFonts w:hint="eastAsia"/>
                <w:b w:val="0"/>
                <w:bCs/>
                <w:sz w:val="24"/>
                <w:szCs w:val="24"/>
                <w:lang w:val="en-US" w:eastAsia="zh-CN"/>
              </w:rPr>
              <w:t>③管线之间、管线与建筑物之间尽可能平行布置，水平距离满足技术、安全要求，未达到《管线综合设计规范》（GB50289-2016）要求时，要采取其它措施，以确保安全；</w:t>
            </w:r>
          </w:p>
          <w:p>
            <w:pPr>
              <w:spacing w:line="480" w:lineRule="exact"/>
              <w:ind w:firstLine="482"/>
              <w:rPr>
                <w:rFonts w:hint="eastAsia"/>
                <w:b w:val="0"/>
                <w:bCs/>
                <w:sz w:val="24"/>
                <w:szCs w:val="24"/>
                <w:lang w:val="en-US" w:eastAsia="zh-CN"/>
              </w:rPr>
            </w:pPr>
            <w:r>
              <w:rPr>
                <w:rFonts w:hint="eastAsia"/>
                <w:b w:val="0"/>
                <w:bCs/>
                <w:sz w:val="24"/>
                <w:szCs w:val="24"/>
                <w:lang w:val="en-US" w:eastAsia="zh-CN"/>
              </w:rPr>
              <w:t>④管线冲突时，小管线让大管线，压力流管线让重力流管线，易弯曲管线让不易弯曲管线，设计管线让现状管线；</w:t>
            </w:r>
          </w:p>
          <w:p>
            <w:pPr>
              <w:spacing w:line="480" w:lineRule="exact"/>
              <w:ind w:firstLine="482"/>
              <w:rPr>
                <w:rFonts w:hint="eastAsia"/>
                <w:b w:val="0"/>
                <w:bCs/>
                <w:sz w:val="24"/>
                <w:szCs w:val="24"/>
                <w:lang w:val="en-US" w:eastAsia="zh-CN"/>
              </w:rPr>
            </w:pPr>
            <w:r>
              <w:rPr>
                <w:rFonts w:hint="eastAsia"/>
                <w:b w:val="0"/>
                <w:bCs/>
                <w:sz w:val="24"/>
                <w:szCs w:val="24"/>
                <w:lang w:val="en-US" w:eastAsia="zh-CN"/>
              </w:rPr>
              <w:t>⑤基建期间施工用临时管线与永久管线尽可能结合，以减少工程量，节约投资；</w:t>
            </w:r>
          </w:p>
          <w:p>
            <w:pPr>
              <w:spacing w:line="480" w:lineRule="exact"/>
              <w:ind w:firstLine="482"/>
              <w:rPr>
                <w:rFonts w:hint="eastAsia"/>
                <w:b w:val="0"/>
                <w:bCs/>
                <w:sz w:val="24"/>
                <w:szCs w:val="24"/>
                <w:lang w:val="en-US" w:eastAsia="zh-CN"/>
              </w:rPr>
            </w:pPr>
            <w:r>
              <w:rPr>
                <w:rFonts w:hint="eastAsia"/>
                <w:b w:val="0"/>
                <w:bCs/>
                <w:sz w:val="24"/>
                <w:szCs w:val="24"/>
                <w:lang w:val="en-US" w:eastAsia="zh-CN"/>
              </w:rPr>
              <w:t>⑥安排管线及构筑物位置时，考虑到发展的需要为可能的管线和设施预留用地；</w:t>
            </w:r>
          </w:p>
          <w:p>
            <w:pPr>
              <w:spacing w:line="480" w:lineRule="exact"/>
              <w:ind w:firstLine="482"/>
              <w:rPr>
                <w:rFonts w:hint="eastAsia"/>
                <w:b w:val="0"/>
                <w:bCs/>
                <w:sz w:val="24"/>
                <w:szCs w:val="24"/>
                <w:lang w:val="en-US" w:eastAsia="zh-CN"/>
              </w:rPr>
            </w:pPr>
            <w:r>
              <w:rPr>
                <w:rFonts w:hint="eastAsia"/>
                <w:b w:val="0"/>
                <w:bCs/>
                <w:sz w:val="24"/>
                <w:szCs w:val="24"/>
                <w:lang w:val="en-US" w:eastAsia="zh-CN"/>
              </w:rPr>
              <w:t>⑦交叉口的管线布置时，尽量减少管线交叉点以减少管线间的竖向矛盾；</w:t>
            </w:r>
          </w:p>
          <w:p>
            <w:pPr>
              <w:spacing w:line="480" w:lineRule="exact"/>
              <w:ind w:firstLine="482"/>
              <w:rPr>
                <w:rFonts w:hint="eastAsia"/>
                <w:b w:val="0"/>
                <w:bCs/>
                <w:sz w:val="24"/>
                <w:szCs w:val="24"/>
                <w:lang w:val="en-US" w:eastAsia="zh-CN"/>
              </w:rPr>
            </w:pPr>
            <w:r>
              <w:rPr>
                <w:rFonts w:hint="eastAsia"/>
                <w:b w:val="0"/>
                <w:bCs/>
                <w:sz w:val="24"/>
                <w:szCs w:val="24"/>
                <w:lang w:val="en-US" w:eastAsia="zh-CN"/>
              </w:rPr>
              <w:t>⑧管线平面布置时，首先考虑人行道及非机动车道，其次考虑在机动车道下布设管线，尽可能照顾到路面美观。</w:t>
            </w:r>
          </w:p>
          <w:p>
            <w:pPr>
              <w:spacing w:line="480" w:lineRule="exact"/>
              <w:ind w:firstLine="480"/>
              <w:rPr>
                <w:rFonts w:hint="default" w:ascii="Times New Roman" w:hAnsi="Times New Roman" w:eastAsia="宋体" w:cs="Times New Roman"/>
                <w:b/>
                <w:bCs w:val="0"/>
                <w:sz w:val="24"/>
                <w:szCs w:val="24"/>
                <w:lang w:val="en-US" w:eastAsia="zh-CN"/>
              </w:rPr>
            </w:pPr>
            <w:r>
              <w:rPr>
                <w:rFonts w:hint="default" w:ascii="Times New Roman" w:hAnsi="Times New Roman" w:cs="Times New Roman"/>
                <w:b/>
                <w:bCs w:val="0"/>
                <w:sz w:val="24"/>
                <w:szCs w:val="24"/>
                <w:lang w:val="en-US" w:eastAsia="zh-CN"/>
              </w:rPr>
              <w:t>2.</w:t>
            </w:r>
            <w:r>
              <w:rPr>
                <w:rFonts w:hint="eastAsia" w:cs="Times New Roman"/>
                <w:b/>
                <w:bCs w:val="0"/>
                <w:sz w:val="24"/>
                <w:szCs w:val="24"/>
                <w:lang w:val="en-US" w:eastAsia="zh-CN"/>
              </w:rPr>
              <w:t>12</w:t>
            </w:r>
            <w:r>
              <w:rPr>
                <w:rFonts w:hint="default" w:ascii="Times New Roman" w:hAnsi="Times New Roman" w:cs="Times New Roman"/>
                <w:b/>
                <w:bCs w:val="0"/>
                <w:sz w:val="24"/>
                <w:szCs w:val="24"/>
                <w:lang w:val="en-US" w:eastAsia="zh-CN"/>
              </w:rPr>
              <w:t>.</w:t>
            </w:r>
            <w:r>
              <w:rPr>
                <w:rFonts w:hint="eastAsia" w:cs="Times New Roman"/>
                <w:b/>
                <w:bCs w:val="0"/>
                <w:sz w:val="24"/>
                <w:szCs w:val="24"/>
                <w:lang w:val="en-US" w:eastAsia="zh-CN"/>
              </w:rPr>
              <w:t>2管线布置</w:t>
            </w:r>
          </w:p>
          <w:p>
            <w:pPr>
              <w:spacing w:line="480" w:lineRule="exact"/>
              <w:ind w:firstLine="482"/>
              <w:rPr>
                <w:rFonts w:hint="eastAsia"/>
                <w:b w:val="0"/>
                <w:bCs/>
                <w:sz w:val="24"/>
                <w:szCs w:val="24"/>
                <w:lang w:val="en-US" w:eastAsia="zh-CN"/>
              </w:rPr>
            </w:pPr>
            <w:r>
              <w:rPr>
                <w:rFonts w:hint="eastAsia"/>
                <w:b w:val="0"/>
                <w:bCs/>
                <w:sz w:val="24"/>
                <w:szCs w:val="24"/>
                <w:lang w:val="en-US" w:eastAsia="zh-CN"/>
              </w:rPr>
              <w:t>管线综合涉及到的市政管线包括本次设计的给水、污水、雨水、再生水、电力、电信、照明和预留的供热和燃气8种，道路管位如下：</w:t>
            </w:r>
          </w:p>
          <w:p>
            <w:pPr>
              <w:spacing w:line="480" w:lineRule="exact"/>
              <w:ind w:firstLine="482"/>
              <w:rPr>
                <w:rFonts w:hint="default"/>
                <w:b w:val="0"/>
                <w:bCs/>
                <w:sz w:val="24"/>
                <w:szCs w:val="24"/>
                <w:lang w:val="en-US" w:eastAsia="zh-CN"/>
              </w:rPr>
            </w:pPr>
            <w:r>
              <w:rPr>
                <w:rFonts w:hint="eastAsia"/>
                <w:b w:val="0"/>
                <w:bCs/>
                <w:sz w:val="24"/>
                <w:szCs w:val="24"/>
                <w:lang w:val="en-US" w:eastAsia="zh-CN"/>
              </w:rPr>
              <w:t>管线布置断面图见下图。</w:t>
            </w:r>
          </w:p>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b w:val="0"/>
                <w:bCs/>
                <w:sz w:val="24"/>
                <w:szCs w:val="24"/>
                <w:lang w:val="en-US" w:eastAsia="zh-CN"/>
              </w:rPr>
            </w:pPr>
            <w:r>
              <w:drawing>
                <wp:inline distT="0" distB="0" distL="114300" distR="114300">
                  <wp:extent cx="5233035" cy="3565525"/>
                  <wp:effectExtent l="0" t="0" r="5715" b="15875"/>
                  <wp:docPr id="2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
                          <pic:cNvPicPr>
                            <a:picLocks noChangeAspect="1"/>
                          </pic:cNvPicPr>
                        </pic:nvPicPr>
                        <pic:blipFill>
                          <a:blip r:embed="rId15"/>
                          <a:srcRect l="6194" r="3660"/>
                          <a:stretch>
                            <a:fillRect/>
                          </a:stretch>
                        </pic:blipFill>
                        <pic:spPr>
                          <a:xfrm>
                            <a:off x="0" y="0"/>
                            <a:ext cx="5233035" cy="3565525"/>
                          </a:xfrm>
                          <a:prstGeom prst="rect">
                            <a:avLst/>
                          </a:prstGeom>
                          <a:noFill/>
                          <a:ln>
                            <a:noFill/>
                          </a:ln>
                        </pic:spPr>
                      </pic:pic>
                    </a:graphicData>
                  </a:graphic>
                </wp:inline>
              </w:drawing>
            </w:r>
          </w:p>
          <w:p>
            <w:pPr>
              <w:pStyle w:val="27"/>
              <w:spacing w:before="0" w:after="0" w:afterAutospacing="0" w:line="480" w:lineRule="atLeast"/>
              <w:rPr>
                <w:rFonts w:hint="eastAsia" w:ascii="黑体" w:hAnsi="黑体" w:eastAsia="黑体"/>
                <w:sz w:val="24"/>
                <w:szCs w:val="24"/>
                <w:lang w:val="en-US" w:eastAsia="zh-CN"/>
              </w:rPr>
            </w:pPr>
            <w:r>
              <w:rPr>
                <w:rFonts w:hint="eastAsia" w:ascii="黑体" w:hAnsi="黑体" w:eastAsia="黑体"/>
                <w:sz w:val="24"/>
                <w:szCs w:val="24"/>
                <w:lang w:val="en-US" w:eastAsia="zh-CN"/>
              </w:rPr>
              <w:t>图2-5  东外环（滤泗河以北段）综合横断面图</w:t>
            </w:r>
          </w:p>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b w:val="0"/>
                <w:bCs/>
                <w:sz w:val="24"/>
                <w:szCs w:val="24"/>
                <w:lang w:val="en-US" w:eastAsia="zh-CN"/>
              </w:rPr>
            </w:pPr>
            <w:r>
              <w:drawing>
                <wp:inline distT="0" distB="0" distL="114300" distR="114300">
                  <wp:extent cx="5172710" cy="3092450"/>
                  <wp:effectExtent l="0" t="0" r="8890" b="12700"/>
                  <wp:docPr id="2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6"/>
                          <pic:cNvPicPr>
                            <a:picLocks noChangeAspect="1"/>
                          </pic:cNvPicPr>
                        </pic:nvPicPr>
                        <pic:blipFill>
                          <a:blip r:embed="rId16"/>
                          <a:srcRect l="4116" t="5878" r="1979"/>
                          <a:stretch>
                            <a:fillRect/>
                          </a:stretch>
                        </pic:blipFill>
                        <pic:spPr>
                          <a:xfrm>
                            <a:off x="0" y="0"/>
                            <a:ext cx="5172710" cy="3092450"/>
                          </a:xfrm>
                          <a:prstGeom prst="rect">
                            <a:avLst/>
                          </a:prstGeom>
                          <a:noFill/>
                          <a:ln>
                            <a:noFill/>
                          </a:ln>
                        </pic:spPr>
                      </pic:pic>
                    </a:graphicData>
                  </a:graphic>
                </wp:inline>
              </w:drawing>
            </w:r>
          </w:p>
          <w:p>
            <w:pPr>
              <w:pStyle w:val="27"/>
              <w:spacing w:before="0" w:after="0" w:afterAutospacing="0" w:line="480" w:lineRule="atLeast"/>
              <w:rPr>
                <w:rFonts w:hint="eastAsia" w:ascii="黑体" w:hAnsi="黑体" w:eastAsia="黑体"/>
                <w:sz w:val="24"/>
                <w:szCs w:val="24"/>
                <w:lang w:val="en-US" w:eastAsia="zh-CN"/>
              </w:rPr>
            </w:pPr>
            <w:r>
              <w:rPr>
                <w:rFonts w:hint="eastAsia" w:ascii="黑体" w:hAnsi="黑体" w:eastAsia="黑体"/>
                <w:sz w:val="24"/>
                <w:szCs w:val="24"/>
                <w:lang w:val="en-US" w:eastAsia="zh-CN"/>
              </w:rPr>
              <w:t>图2-6  湖滨大街综合横断面图</w:t>
            </w:r>
          </w:p>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b w:val="0"/>
                <w:bCs/>
                <w:sz w:val="24"/>
                <w:szCs w:val="24"/>
                <w:lang w:val="en-US" w:eastAsia="zh-CN"/>
              </w:rPr>
            </w:pPr>
            <w:r>
              <w:drawing>
                <wp:inline distT="0" distB="0" distL="114300" distR="114300">
                  <wp:extent cx="3721100" cy="3869690"/>
                  <wp:effectExtent l="0" t="0" r="12700" b="16510"/>
                  <wp:docPr id="3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
                          <pic:cNvPicPr>
                            <a:picLocks noChangeAspect="1"/>
                          </pic:cNvPicPr>
                        </pic:nvPicPr>
                        <pic:blipFill>
                          <a:blip r:embed="rId17"/>
                          <a:stretch>
                            <a:fillRect/>
                          </a:stretch>
                        </pic:blipFill>
                        <pic:spPr>
                          <a:xfrm>
                            <a:off x="0" y="0"/>
                            <a:ext cx="3721100" cy="3869690"/>
                          </a:xfrm>
                          <a:prstGeom prst="rect">
                            <a:avLst/>
                          </a:prstGeom>
                          <a:noFill/>
                          <a:ln>
                            <a:noFill/>
                          </a:ln>
                        </pic:spPr>
                      </pic:pic>
                    </a:graphicData>
                  </a:graphic>
                </wp:inline>
              </w:drawing>
            </w:r>
          </w:p>
          <w:p>
            <w:pPr>
              <w:pStyle w:val="27"/>
              <w:spacing w:before="0" w:after="0" w:afterAutospacing="0" w:line="480" w:lineRule="atLeast"/>
              <w:rPr>
                <w:rFonts w:hint="eastAsia" w:ascii="黑体" w:hAnsi="黑体" w:eastAsia="黑体"/>
                <w:sz w:val="24"/>
                <w:szCs w:val="24"/>
                <w:lang w:val="en-US" w:eastAsia="zh-CN"/>
              </w:rPr>
            </w:pPr>
            <w:r>
              <w:rPr>
                <w:rFonts w:hint="eastAsia" w:ascii="黑体" w:hAnsi="黑体" w:eastAsia="黑体"/>
                <w:sz w:val="24"/>
                <w:szCs w:val="24"/>
                <w:lang w:val="en-US" w:eastAsia="zh-CN"/>
              </w:rPr>
              <w:t>图2-7  文昌路综合横断面图</w:t>
            </w:r>
          </w:p>
          <w:p>
            <w:pPr>
              <w:spacing w:line="480" w:lineRule="exact"/>
              <w:ind w:firstLine="482"/>
              <w:rPr>
                <w:b/>
                <w:sz w:val="24"/>
                <w:szCs w:val="24"/>
              </w:rPr>
            </w:pPr>
            <w:r>
              <w:rPr>
                <w:rFonts w:hint="eastAsia"/>
                <w:b/>
                <w:sz w:val="24"/>
                <w:szCs w:val="24"/>
                <w:lang w:val="en-US" w:eastAsia="zh-CN"/>
              </w:rPr>
              <w:t>3</w:t>
            </w:r>
            <w:r>
              <w:rPr>
                <w:rFonts w:hint="eastAsia" w:ascii="宋体" w:hAnsi="宋体"/>
                <w:b/>
                <w:sz w:val="24"/>
                <w:szCs w:val="24"/>
              </w:rPr>
              <w:t>、交通量预测</w:t>
            </w:r>
          </w:p>
          <w:p>
            <w:pPr>
              <w:spacing w:line="480" w:lineRule="exact"/>
              <w:ind w:firstLine="480"/>
              <w:rPr>
                <w:rFonts w:hint="default" w:ascii="Times New Roman" w:hAnsi="Times New Roman" w:cs="Times New Roman"/>
                <w:b w:val="0"/>
                <w:bCs/>
                <w:sz w:val="24"/>
                <w:szCs w:val="24"/>
                <w:lang w:val="en-US" w:eastAsia="zh-CN"/>
              </w:rPr>
            </w:pPr>
            <w:r>
              <w:rPr>
                <w:rFonts w:hint="default" w:ascii="Times New Roman" w:hAnsi="Times New Roman" w:cs="Times New Roman"/>
                <w:b w:val="0"/>
                <w:bCs/>
                <w:sz w:val="24"/>
                <w:szCs w:val="24"/>
                <w:lang w:val="en-US" w:eastAsia="zh-CN"/>
              </w:rPr>
              <w:t>根据《</w:t>
            </w:r>
            <w:r>
              <w:rPr>
                <w:rFonts w:hint="default" w:ascii="Times New Roman" w:hAnsi="Times New Roman" w:cs="Times New Roman"/>
                <w:sz w:val="24"/>
                <w:szCs w:val="24"/>
              </w:rPr>
              <w:t>五台县湖滨大街西延等三条道路管网建设项目</w:t>
            </w:r>
            <w:r>
              <w:rPr>
                <w:rFonts w:hint="default" w:ascii="Times New Roman" w:hAnsi="Times New Roman" w:cs="Times New Roman"/>
                <w:sz w:val="24"/>
                <w:szCs w:val="24"/>
                <w:lang w:val="en-US" w:eastAsia="zh-CN"/>
              </w:rPr>
              <w:t>可行性研究报告</w:t>
            </w:r>
            <w:r>
              <w:rPr>
                <w:rFonts w:hint="default" w:ascii="Times New Roman" w:hAnsi="Times New Roman" w:cs="Times New Roman"/>
                <w:b w:val="0"/>
                <w:bCs/>
                <w:sz w:val="24"/>
                <w:szCs w:val="24"/>
                <w:lang w:val="en-US" w:eastAsia="zh-CN"/>
              </w:rPr>
              <w:t>》，本项目3条道路近期、中期、远期全段平均交通量预测结果见下表。</w:t>
            </w:r>
          </w:p>
          <w:p>
            <w:pPr>
              <w:pStyle w:val="27"/>
              <w:spacing w:before="0" w:after="0" w:afterAutospacing="0" w:line="480" w:lineRule="atLeast"/>
              <w:rPr>
                <w:rFonts w:hint="default" w:ascii="黑体" w:hAnsi="黑体" w:eastAsia="黑体"/>
                <w:sz w:val="24"/>
                <w:szCs w:val="24"/>
                <w:lang w:val="en-US" w:eastAsia="zh-CN"/>
              </w:rPr>
            </w:pPr>
            <w:r>
              <w:rPr>
                <w:rFonts w:hint="eastAsia" w:ascii="黑体" w:hAnsi="黑体" w:eastAsia="黑体"/>
                <w:sz w:val="24"/>
                <w:szCs w:val="24"/>
                <w:lang w:val="en-US" w:eastAsia="zh-CN"/>
              </w:rPr>
              <w:t>表2-9  交通量预测表</w:t>
            </w:r>
          </w:p>
          <w:tbl>
            <w:tblPr>
              <w:tblStyle w:val="2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36"/>
              <w:gridCol w:w="1276"/>
              <w:gridCol w:w="1277"/>
              <w:gridCol w:w="1277"/>
              <w:gridCol w:w="1277"/>
              <w:gridCol w:w="12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53" w:hRule="atLeast"/>
              </w:trPr>
              <w:tc>
                <w:tcPr>
                  <w:tcW w:w="1164" w:type="pct"/>
                  <w:vAlign w:val="bottom"/>
                  <mc:AlternateContent>
                    <mc:Choice Requires="wpsCustomData">
                      <wpsCustomData:diagonals>
                        <wpsCustomData:diagonal from="30000" to="10000">
                          <wpsCustomData:border w:val="single" w:color="auto" w:sz="4" w:space="0"/>
                        </wpsCustomData:diagonal>
                      </wpsCustomData:diagonals>
                    </mc:Choice>
                  </mc:AlternateContent>
                </w:tcPr>
                <w:p>
                  <w:pPr>
                    <w:keepNext w:val="0"/>
                    <w:keepLines w:val="0"/>
                    <w:pageBreakBefore w:val="0"/>
                    <w:widowControl w:val="0"/>
                    <w:kinsoku/>
                    <w:wordWrap/>
                    <w:overflowPunct/>
                    <w:topLinePunct w:val="0"/>
                    <w:autoSpaceDE/>
                    <w:autoSpaceDN/>
                    <w:bidi w:val="0"/>
                    <w:adjustRightInd/>
                    <w:snapToGrid/>
                    <w:spacing w:line="240" w:lineRule="auto"/>
                    <w:jc w:val="right"/>
                    <w:textAlignment w:val="auto"/>
                    <w:rPr>
                      <w:rFonts w:hint="default" w:ascii="Times New Roman" w:hAnsi="Times New Roman" w:cs="Times New Roman"/>
                      <w:sz w:val="21"/>
                      <w:szCs w:val="21"/>
                      <w:lang w:val="en-US" w:eastAsia="zh-CN"/>
                    </w:rPr>
                  </w:pPr>
                </w:p>
                <w:p>
                  <w:pPr>
                    <w:pStyle w:val="26"/>
                    <w:snapToGrid w:val="0"/>
                    <w:spacing w:line="240" w:lineRule="auto"/>
                    <w:jc w:val="both"/>
                    <mc:AlternateContent>
                      <mc:Choice Requires="wpsCustomData">
                        <wpsCustomData:diagonalParaType/>
                      </mc:Choice>
                    </mc:AlternateContent>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交通量</w:t>
                  </w:r>
                </w:p>
                <w:p>
                  <w:pPr>
                    <w:pStyle w:val="26"/>
                    <w:ind w:firstLine="420" w:firstLineChars="200"/>
                    <w:jc w:val="both"/>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年份</w:t>
                  </w:r>
                </w:p>
              </w:tc>
              <w:tc>
                <w:tcPr>
                  <w:tcW w:w="76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sz w:val="21"/>
                      <w:szCs w:val="21"/>
                      <w:vertAlign w:val="baseline"/>
                      <w:lang w:val="en-US" w:eastAsia="zh-CN"/>
                    </w:rPr>
                  </w:pPr>
                  <w:r>
                    <w:rPr>
                      <w:rFonts w:hint="default" w:ascii="Times New Roman" w:hAnsi="Times New Roman" w:cs="Times New Roman"/>
                      <w:b w:val="0"/>
                      <w:bCs/>
                      <w:sz w:val="21"/>
                      <w:szCs w:val="21"/>
                      <w:vertAlign w:val="baseline"/>
                      <w:lang w:val="en-US" w:eastAsia="zh-CN"/>
                    </w:rPr>
                    <w:t>2024</w:t>
                  </w:r>
                </w:p>
              </w:tc>
              <w:tc>
                <w:tcPr>
                  <w:tcW w:w="76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sz w:val="21"/>
                      <w:szCs w:val="21"/>
                      <w:vertAlign w:val="baseline"/>
                      <w:lang w:val="en-US" w:eastAsia="zh-CN"/>
                    </w:rPr>
                  </w:pPr>
                  <w:r>
                    <w:rPr>
                      <w:rFonts w:hint="default" w:ascii="Times New Roman" w:hAnsi="Times New Roman" w:cs="Times New Roman"/>
                      <w:b w:val="0"/>
                      <w:bCs/>
                      <w:sz w:val="21"/>
                      <w:szCs w:val="21"/>
                      <w:vertAlign w:val="baseline"/>
                      <w:lang w:val="en-US" w:eastAsia="zh-CN"/>
                    </w:rPr>
                    <w:t>2028</w:t>
                  </w:r>
                </w:p>
              </w:tc>
              <w:tc>
                <w:tcPr>
                  <w:tcW w:w="76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sz w:val="21"/>
                      <w:szCs w:val="21"/>
                      <w:vertAlign w:val="baseline"/>
                      <w:lang w:val="en-US" w:eastAsia="zh-CN"/>
                    </w:rPr>
                  </w:pPr>
                  <w:r>
                    <w:rPr>
                      <w:rFonts w:hint="default" w:ascii="Times New Roman" w:hAnsi="Times New Roman" w:cs="Times New Roman"/>
                      <w:b w:val="0"/>
                      <w:bCs/>
                      <w:sz w:val="21"/>
                      <w:szCs w:val="21"/>
                      <w:vertAlign w:val="baseline"/>
                      <w:lang w:val="en-US" w:eastAsia="zh-CN"/>
                    </w:rPr>
                    <w:t>2033</w:t>
                  </w:r>
                </w:p>
              </w:tc>
              <w:tc>
                <w:tcPr>
                  <w:tcW w:w="76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sz w:val="21"/>
                      <w:szCs w:val="21"/>
                      <w:vertAlign w:val="baseline"/>
                      <w:lang w:val="en-US" w:eastAsia="zh-CN"/>
                    </w:rPr>
                  </w:pPr>
                  <w:r>
                    <w:rPr>
                      <w:rFonts w:hint="default" w:ascii="Times New Roman" w:hAnsi="Times New Roman" w:cs="Times New Roman"/>
                      <w:b w:val="0"/>
                      <w:bCs/>
                      <w:sz w:val="21"/>
                      <w:szCs w:val="21"/>
                      <w:vertAlign w:val="baseline"/>
                      <w:lang w:val="en-US" w:eastAsia="zh-CN"/>
                    </w:rPr>
                    <w:t>2038</w:t>
                  </w:r>
                </w:p>
              </w:tc>
              <w:tc>
                <w:tcPr>
                  <w:tcW w:w="76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sz w:val="21"/>
                      <w:szCs w:val="21"/>
                      <w:vertAlign w:val="baseline"/>
                      <w:lang w:val="en-US" w:eastAsia="zh-CN"/>
                    </w:rPr>
                  </w:pPr>
                  <w:r>
                    <w:rPr>
                      <w:rFonts w:hint="default" w:ascii="Times New Roman" w:hAnsi="Times New Roman" w:cs="Times New Roman"/>
                      <w:b w:val="0"/>
                      <w:bCs/>
                      <w:sz w:val="21"/>
                      <w:szCs w:val="21"/>
                      <w:vertAlign w:val="baseline"/>
                      <w:lang w:val="en-US" w:eastAsia="zh-CN"/>
                    </w:rPr>
                    <w:t>2043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6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sz w:val="21"/>
                      <w:szCs w:val="21"/>
                      <w:vertAlign w:val="baseline"/>
                      <w:lang w:val="en-US" w:eastAsia="zh-CN"/>
                    </w:rPr>
                  </w:pPr>
                  <w:r>
                    <w:rPr>
                      <w:rFonts w:hint="default" w:ascii="Times New Roman" w:hAnsi="Times New Roman" w:cs="Times New Roman"/>
                      <w:b w:val="0"/>
                      <w:bCs/>
                      <w:sz w:val="21"/>
                      <w:szCs w:val="21"/>
                      <w:vertAlign w:val="baseline"/>
                      <w:lang w:val="en-US" w:eastAsia="zh-CN"/>
                    </w:rPr>
                    <w:t>东外环路</w:t>
                  </w:r>
                </w:p>
              </w:tc>
              <w:tc>
                <w:tcPr>
                  <w:tcW w:w="76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sz w:val="21"/>
                      <w:szCs w:val="21"/>
                      <w:vertAlign w:val="baseline"/>
                      <w:lang w:val="en-US" w:eastAsia="zh-CN"/>
                    </w:rPr>
                  </w:pPr>
                  <w:r>
                    <w:rPr>
                      <w:rFonts w:hint="eastAsia" w:ascii="Times New Roman" w:hAnsi="Times New Roman" w:cs="Times New Roman"/>
                      <w:b w:val="0"/>
                      <w:bCs/>
                      <w:sz w:val="21"/>
                      <w:szCs w:val="21"/>
                      <w:vertAlign w:val="baseline"/>
                      <w:lang w:val="en-US" w:eastAsia="zh-CN"/>
                    </w:rPr>
                    <w:t>20250</w:t>
                  </w:r>
                </w:p>
              </w:tc>
              <w:tc>
                <w:tcPr>
                  <w:tcW w:w="76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sz w:val="21"/>
                      <w:szCs w:val="21"/>
                      <w:vertAlign w:val="baseline"/>
                      <w:lang w:val="en-US" w:eastAsia="zh-CN"/>
                    </w:rPr>
                  </w:pPr>
                  <w:r>
                    <w:rPr>
                      <w:rFonts w:hint="eastAsia" w:ascii="Times New Roman" w:hAnsi="Times New Roman" w:cs="Times New Roman"/>
                      <w:b w:val="0"/>
                      <w:bCs/>
                      <w:sz w:val="21"/>
                      <w:szCs w:val="21"/>
                      <w:vertAlign w:val="baseline"/>
                      <w:lang w:val="en-US" w:eastAsia="zh-CN"/>
                    </w:rPr>
                    <w:t>24300</w:t>
                  </w:r>
                </w:p>
              </w:tc>
              <w:tc>
                <w:tcPr>
                  <w:tcW w:w="76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sz w:val="21"/>
                      <w:szCs w:val="21"/>
                      <w:vertAlign w:val="baseline"/>
                      <w:lang w:val="en-US" w:eastAsia="zh-CN"/>
                    </w:rPr>
                  </w:pPr>
                  <w:r>
                    <w:rPr>
                      <w:rFonts w:hint="eastAsia" w:ascii="Times New Roman" w:hAnsi="Times New Roman" w:cs="Times New Roman"/>
                      <w:b w:val="0"/>
                      <w:bCs/>
                      <w:sz w:val="21"/>
                      <w:szCs w:val="21"/>
                      <w:vertAlign w:val="baseline"/>
                      <w:lang w:val="en-US" w:eastAsia="zh-CN"/>
                    </w:rPr>
                    <w:t>39150</w:t>
                  </w:r>
                </w:p>
              </w:tc>
              <w:tc>
                <w:tcPr>
                  <w:tcW w:w="76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sz w:val="21"/>
                      <w:szCs w:val="21"/>
                      <w:vertAlign w:val="baseline"/>
                      <w:lang w:val="en-US" w:eastAsia="zh-CN"/>
                    </w:rPr>
                  </w:pPr>
                  <w:r>
                    <w:rPr>
                      <w:rFonts w:hint="eastAsia" w:ascii="Times New Roman" w:hAnsi="Times New Roman" w:cs="Times New Roman"/>
                      <w:b w:val="0"/>
                      <w:bCs/>
                      <w:sz w:val="21"/>
                      <w:szCs w:val="21"/>
                      <w:vertAlign w:val="baseline"/>
                      <w:lang w:val="en-US" w:eastAsia="zh-CN"/>
                    </w:rPr>
                    <w:t>47250</w:t>
                  </w:r>
                </w:p>
              </w:tc>
              <w:tc>
                <w:tcPr>
                  <w:tcW w:w="76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sz w:val="21"/>
                      <w:szCs w:val="21"/>
                      <w:vertAlign w:val="baseline"/>
                      <w:lang w:val="en-US" w:eastAsia="zh-CN"/>
                    </w:rPr>
                  </w:pPr>
                  <w:r>
                    <w:rPr>
                      <w:rFonts w:hint="eastAsia" w:ascii="Times New Roman" w:hAnsi="Times New Roman" w:cs="Times New Roman"/>
                      <w:b w:val="0"/>
                      <w:bCs/>
                      <w:sz w:val="21"/>
                      <w:szCs w:val="21"/>
                      <w:vertAlign w:val="baseline"/>
                      <w:lang w:val="en-US" w:eastAsia="zh-CN"/>
                    </w:rPr>
                    <w:t>56700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6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sz w:val="21"/>
                      <w:szCs w:val="21"/>
                      <w:vertAlign w:val="baseline"/>
                      <w:lang w:val="en-US" w:eastAsia="zh-CN"/>
                    </w:rPr>
                  </w:pPr>
                  <w:r>
                    <w:rPr>
                      <w:rFonts w:hint="default" w:ascii="Times New Roman" w:hAnsi="Times New Roman" w:cs="Times New Roman"/>
                      <w:b w:val="0"/>
                      <w:bCs/>
                      <w:sz w:val="21"/>
                      <w:szCs w:val="21"/>
                      <w:vertAlign w:val="baseline"/>
                      <w:lang w:val="en-US" w:eastAsia="zh-CN"/>
                    </w:rPr>
                    <w:t>湖滨大街西延</w:t>
                  </w:r>
                </w:p>
              </w:tc>
              <w:tc>
                <w:tcPr>
                  <w:tcW w:w="76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 w:val="0"/>
                      <w:bCs/>
                      <w:sz w:val="21"/>
                      <w:szCs w:val="21"/>
                      <w:vertAlign w:val="baseline"/>
                      <w:lang w:val="en-US" w:eastAsia="zh-CN"/>
                    </w:rPr>
                  </w:pPr>
                  <w:r>
                    <w:rPr>
                      <w:rFonts w:hint="eastAsia" w:ascii="Times New Roman" w:hAnsi="Times New Roman" w:cs="Times New Roman"/>
                      <w:b w:val="0"/>
                      <w:bCs/>
                      <w:sz w:val="21"/>
                      <w:szCs w:val="21"/>
                      <w:vertAlign w:val="baseline"/>
                      <w:lang w:val="en-US" w:eastAsia="zh-CN"/>
                    </w:rPr>
                    <w:t>18900</w:t>
                  </w:r>
                </w:p>
              </w:tc>
              <w:tc>
                <w:tcPr>
                  <w:tcW w:w="76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 w:val="0"/>
                      <w:bCs/>
                      <w:sz w:val="21"/>
                      <w:szCs w:val="21"/>
                      <w:vertAlign w:val="baseline"/>
                      <w:lang w:val="en-US" w:eastAsia="zh-CN"/>
                    </w:rPr>
                  </w:pPr>
                  <w:r>
                    <w:rPr>
                      <w:rFonts w:hint="eastAsia" w:ascii="Times New Roman" w:hAnsi="Times New Roman" w:cs="Times New Roman"/>
                      <w:b w:val="0"/>
                      <w:bCs/>
                      <w:sz w:val="21"/>
                      <w:szCs w:val="21"/>
                      <w:vertAlign w:val="baseline"/>
                      <w:lang w:val="en-US" w:eastAsia="zh-CN"/>
                    </w:rPr>
                    <w:t>22950</w:t>
                  </w:r>
                </w:p>
              </w:tc>
              <w:tc>
                <w:tcPr>
                  <w:tcW w:w="76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 w:val="0"/>
                      <w:bCs/>
                      <w:sz w:val="21"/>
                      <w:szCs w:val="21"/>
                      <w:vertAlign w:val="baseline"/>
                      <w:lang w:val="en-US" w:eastAsia="zh-CN"/>
                    </w:rPr>
                  </w:pPr>
                  <w:r>
                    <w:rPr>
                      <w:rFonts w:hint="eastAsia" w:ascii="Times New Roman" w:hAnsi="Times New Roman" w:cs="Times New Roman"/>
                      <w:b w:val="0"/>
                      <w:bCs/>
                      <w:sz w:val="21"/>
                      <w:szCs w:val="21"/>
                      <w:vertAlign w:val="baseline"/>
                      <w:lang w:val="en-US" w:eastAsia="zh-CN"/>
                    </w:rPr>
                    <w:t>30105</w:t>
                  </w:r>
                </w:p>
              </w:tc>
              <w:tc>
                <w:tcPr>
                  <w:tcW w:w="76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 w:val="0"/>
                      <w:bCs/>
                      <w:sz w:val="21"/>
                      <w:szCs w:val="21"/>
                      <w:vertAlign w:val="baseline"/>
                      <w:lang w:val="en-US" w:eastAsia="zh-CN"/>
                    </w:rPr>
                  </w:pPr>
                  <w:r>
                    <w:rPr>
                      <w:rFonts w:hint="eastAsia" w:ascii="Times New Roman" w:hAnsi="Times New Roman" w:cs="Times New Roman"/>
                      <w:b w:val="0"/>
                      <w:bCs/>
                      <w:sz w:val="21"/>
                      <w:szCs w:val="21"/>
                      <w:vertAlign w:val="baseline"/>
                      <w:lang w:val="en-US" w:eastAsia="zh-CN"/>
                    </w:rPr>
                    <w:t>43335</w:t>
                  </w:r>
                </w:p>
              </w:tc>
              <w:tc>
                <w:tcPr>
                  <w:tcW w:w="76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 w:val="0"/>
                      <w:bCs/>
                      <w:sz w:val="21"/>
                      <w:szCs w:val="21"/>
                      <w:vertAlign w:val="baseline"/>
                      <w:lang w:val="en-US" w:eastAsia="zh-CN"/>
                    </w:rPr>
                  </w:pPr>
                  <w:r>
                    <w:rPr>
                      <w:rFonts w:hint="eastAsia" w:ascii="Times New Roman" w:hAnsi="Times New Roman" w:cs="Times New Roman"/>
                      <w:b w:val="0"/>
                      <w:bCs/>
                      <w:sz w:val="21"/>
                      <w:szCs w:val="21"/>
                      <w:vertAlign w:val="baseline"/>
                      <w:lang w:val="en-US" w:eastAsia="zh-CN"/>
                    </w:rPr>
                    <w:t>54054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6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sz w:val="21"/>
                      <w:szCs w:val="21"/>
                      <w:vertAlign w:val="baseline"/>
                      <w:lang w:val="en-US" w:eastAsia="zh-CN"/>
                    </w:rPr>
                  </w:pPr>
                  <w:r>
                    <w:rPr>
                      <w:rFonts w:hint="default" w:ascii="Times New Roman" w:hAnsi="Times New Roman" w:cs="Times New Roman"/>
                      <w:b w:val="0"/>
                      <w:bCs/>
                      <w:sz w:val="21"/>
                      <w:szCs w:val="21"/>
                      <w:vertAlign w:val="baseline"/>
                      <w:lang w:val="en-US" w:eastAsia="zh-CN"/>
                    </w:rPr>
                    <w:t>文昌路</w:t>
                  </w:r>
                </w:p>
              </w:tc>
              <w:tc>
                <w:tcPr>
                  <w:tcW w:w="76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 w:val="0"/>
                      <w:bCs/>
                      <w:sz w:val="21"/>
                      <w:szCs w:val="21"/>
                      <w:vertAlign w:val="baseline"/>
                      <w:lang w:val="en-US" w:eastAsia="zh-CN"/>
                    </w:rPr>
                  </w:pPr>
                  <w:r>
                    <w:rPr>
                      <w:rFonts w:hint="eastAsia" w:ascii="Times New Roman" w:hAnsi="Times New Roman" w:cs="Times New Roman"/>
                      <w:b w:val="0"/>
                      <w:bCs/>
                      <w:sz w:val="21"/>
                      <w:szCs w:val="21"/>
                      <w:vertAlign w:val="baseline"/>
                      <w:lang w:val="en-US" w:eastAsia="zh-CN"/>
                    </w:rPr>
                    <w:t>13200</w:t>
                  </w:r>
                </w:p>
              </w:tc>
              <w:tc>
                <w:tcPr>
                  <w:tcW w:w="76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 w:val="0"/>
                      <w:bCs/>
                      <w:sz w:val="21"/>
                      <w:szCs w:val="21"/>
                      <w:vertAlign w:val="baseline"/>
                      <w:lang w:val="en-US" w:eastAsia="zh-CN"/>
                    </w:rPr>
                  </w:pPr>
                  <w:r>
                    <w:rPr>
                      <w:rFonts w:hint="eastAsia" w:ascii="Times New Roman" w:hAnsi="Times New Roman" w:cs="Times New Roman"/>
                      <w:b w:val="0"/>
                      <w:bCs/>
                      <w:sz w:val="21"/>
                      <w:szCs w:val="21"/>
                      <w:vertAlign w:val="baseline"/>
                      <w:lang w:val="en-US" w:eastAsia="zh-CN"/>
                    </w:rPr>
                    <w:t>14410</w:t>
                  </w:r>
                </w:p>
              </w:tc>
              <w:tc>
                <w:tcPr>
                  <w:tcW w:w="76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 w:val="0"/>
                      <w:bCs/>
                      <w:sz w:val="21"/>
                      <w:szCs w:val="21"/>
                      <w:vertAlign w:val="baseline"/>
                      <w:lang w:val="en-US" w:eastAsia="zh-CN"/>
                    </w:rPr>
                  </w:pPr>
                  <w:r>
                    <w:rPr>
                      <w:rFonts w:hint="eastAsia" w:ascii="Times New Roman" w:hAnsi="Times New Roman" w:cs="Times New Roman"/>
                      <w:b w:val="0"/>
                      <w:bCs/>
                      <w:sz w:val="21"/>
                      <w:szCs w:val="21"/>
                      <w:vertAlign w:val="baseline"/>
                      <w:lang w:val="en-US" w:eastAsia="zh-CN"/>
                    </w:rPr>
                    <w:t>15620</w:t>
                  </w:r>
                </w:p>
              </w:tc>
              <w:tc>
                <w:tcPr>
                  <w:tcW w:w="76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 w:val="0"/>
                      <w:bCs/>
                      <w:sz w:val="21"/>
                      <w:szCs w:val="21"/>
                      <w:vertAlign w:val="baseline"/>
                      <w:lang w:val="en-US" w:eastAsia="zh-CN"/>
                    </w:rPr>
                  </w:pPr>
                  <w:r>
                    <w:rPr>
                      <w:rFonts w:hint="eastAsia" w:ascii="Times New Roman" w:hAnsi="Times New Roman" w:cs="Times New Roman"/>
                      <w:b w:val="0"/>
                      <w:bCs/>
                      <w:sz w:val="21"/>
                      <w:szCs w:val="21"/>
                      <w:vertAlign w:val="baseline"/>
                      <w:lang w:val="en-US" w:eastAsia="zh-CN"/>
                    </w:rPr>
                    <w:t>16610</w:t>
                  </w:r>
                </w:p>
              </w:tc>
              <w:tc>
                <w:tcPr>
                  <w:tcW w:w="76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 w:val="0"/>
                      <w:bCs/>
                      <w:sz w:val="21"/>
                      <w:szCs w:val="21"/>
                      <w:vertAlign w:val="baseline"/>
                      <w:lang w:val="en-US" w:eastAsia="zh-CN"/>
                    </w:rPr>
                  </w:pPr>
                  <w:r>
                    <w:rPr>
                      <w:rFonts w:hint="eastAsia" w:ascii="Times New Roman" w:hAnsi="Times New Roman" w:cs="Times New Roman"/>
                      <w:b w:val="0"/>
                      <w:bCs/>
                      <w:sz w:val="21"/>
                      <w:szCs w:val="21"/>
                      <w:vertAlign w:val="baseline"/>
                      <w:lang w:val="en-US" w:eastAsia="zh-CN"/>
                    </w:rPr>
                    <w:t>17600</w:t>
                  </w:r>
                </w:p>
              </w:tc>
            </w:tr>
          </w:tbl>
          <w:p>
            <w:pPr>
              <w:spacing w:line="480" w:lineRule="exact"/>
              <w:ind w:firstLine="480"/>
              <w:rPr>
                <w:rFonts w:hint="default" w:eastAsia="宋体"/>
                <w:b/>
                <w:sz w:val="24"/>
                <w:szCs w:val="24"/>
                <w:lang w:val="en-US" w:eastAsia="zh-CN"/>
              </w:rPr>
            </w:pPr>
            <w:r>
              <w:rPr>
                <w:rFonts w:hint="eastAsia"/>
                <w:b/>
                <w:sz w:val="24"/>
                <w:szCs w:val="24"/>
                <w:lang w:val="en-US" w:eastAsia="zh-CN"/>
              </w:rPr>
              <w:t>4</w:t>
            </w:r>
            <w:r>
              <w:rPr>
                <w:rFonts w:hint="eastAsia" w:ascii="宋体" w:hAnsi="宋体"/>
                <w:b/>
                <w:sz w:val="24"/>
                <w:szCs w:val="24"/>
              </w:rPr>
              <w:t>、</w:t>
            </w:r>
            <w:r>
              <w:rPr>
                <w:rFonts w:hint="eastAsia" w:ascii="宋体" w:hAnsi="宋体"/>
                <w:b/>
                <w:sz w:val="24"/>
                <w:szCs w:val="24"/>
                <w:lang w:val="en-US" w:eastAsia="zh-CN"/>
              </w:rPr>
              <w:t>征地及拆迁</w:t>
            </w:r>
          </w:p>
          <w:p>
            <w:pPr>
              <w:spacing w:line="480" w:lineRule="exact"/>
              <w:ind w:firstLine="480"/>
              <w:rPr>
                <w:rFonts w:hint="eastAsia"/>
                <w:b w:val="0"/>
                <w:bCs/>
                <w:sz w:val="24"/>
                <w:szCs w:val="24"/>
                <w:lang w:val="en-US" w:eastAsia="zh-CN"/>
              </w:rPr>
            </w:pPr>
            <w:r>
              <w:rPr>
                <w:rFonts w:hint="eastAsia"/>
                <w:b w:val="0"/>
                <w:bCs/>
                <w:sz w:val="24"/>
                <w:szCs w:val="24"/>
                <w:lang w:val="en-US" w:eastAsia="zh-CN"/>
              </w:rPr>
              <w:t>根据现场勘察，本项目东外环路涉及拆迁：建筑面积约200m</w:t>
            </w:r>
            <w:r>
              <w:rPr>
                <w:rFonts w:hint="eastAsia"/>
                <w:b w:val="0"/>
                <w:bCs/>
                <w:sz w:val="24"/>
                <w:szCs w:val="24"/>
                <w:vertAlign w:val="superscript"/>
                <w:lang w:val="en-US" w:eastAsia="zh-CN"/>
              </w:rPr>
              <w:t>2</w:t>
            </w:r>
            <w:r>
              <w:rPr>
                <w:rFonts w:hint="eastAsia"/>
                <w:b w:val="0"/>
                <w:bCs/>
                <w:sz w:val="24"/>
                <w:szCs w:val="24"/>
                <w:lang w:val="en-US" w:eastAsia="zh-CN"/>
              </w:rPr>
              <w:t>，围墙约100m；湖滨大街西延涉及拆迁建筑面积：6600m</w:t>
            </w:r>
            <w:r>
              <w:rPr>
                <w:rFonts w:hint="eastAsia"/>
                <w:b w:val="0"/>
                <w:bCs/>
                <w:sz w:val="24"/>
                <w:szCs w:val="24"/>
                <w:vertAlign w:val="superscript"/>
                <w:lang w:val="en-US" w:eastAsia="zh-CN"/>
              </w:rPr>
              <w:t>2</w:t>
            </w:r>
            <w:r>
              <w:rPr>
                <w:rFonts w:hint="eastAsia"/>
                <w:b w:val="0"/>
                <w:bCs/>
                <w:sz w:val="24"/>
                <w:szCs w:val="24"/>
                <w:lang w:val="en-US" w:eastAsia="zh-CN"/>
              </w:rPr>
              <w:t>；文昌路涉及拆迁建筑面积336m</w:t>
            </w:r>
            <w:r>
              <w:rPr>
                <w:rFonts w:hint="eastAsia"/>
                <w:b w:val="0"/>
                <w:bCs/>
                <w:sz w:val="24"/>
                <w:szCs w:val="24"/>
                <w:vertAlign w:val="superscript"/>
                <w:lang w:val="en-US" w:eastAsia="zh-CN"/>
              </w:rPr>
              <w:t>2</w:t>
            </w:r>
            <w:r>
              <w:rPr>
                <w:rFonts w:hint="eastAsia"/>
                <w:b w:val="0"/>
                <w:bCs/>
                <w:sz w:val="24"/>
                <w:szCs w:val="24"/>
                <w:lang w:val="en-US" w:eastAsia="zh-CN"/>
              </w:rPr>
              <w:t>，围墙110m；本项目涉及征地面积分别为：东外环路200.25亩，湖滨大街西延71.65亩，文昌路51.41亩，共征地323.31亩。</w:t>
            </w:r>
          </w:p>
          <w:p>
            <w:pPr>
              <w:spacing w:line="480" w:lineRule="exact"/>
              <w:ind w:firstLine="480"/>
              <w:rPr>
                <w:rFonts w:hint="default" w:eastAsia="宋体"/>
                <w:b/>
                <w:sz w:val="24"/>
                <w:szCs w:val="24"/>
                <w:lang w:val="en-US" w:eastAsia="zh-CN"/>
              </w:rPr>
            </w:pPr>
            <w:r>
              <w:rPr>
                <w:rFonts w:hint="eastAsia"/>
                <w:b/>
                <w:sz w:val="24"/>
                <w:szCs w:val="24"/>
                <w:lang w:val="en-US" w:eastAsia="zh-CN"/>
              </w:rPr>
              <w:t>5</w:t>
            </w:r>
            <w:r>
              <w:rPr>
                <w:rFonts w:hint="eastAsia" w:ascii="宋体" w:hAnsi="宋体"/>
                <w:b/>
                <w:sz w:val="24"/>
                <w:szCs w:val="24"/>
              </w:rPr>
              <w:t>、</w:t>
            </w:r>
            <w:r>
              <w:rPr>
                <w:rFonts w:hint="eastAsia" w:ascii="宋体" w:hAnsi="宋体"/>
                <w:b/>
                <w:sz w:val="24"/>
                <w:szCs w:val="24"/>
                <w:lang w:val="en-US" w:eastAsia="zh-CN"/>
              </w:rPr>
              <w:t>工程量汇总</w:t>
            </w:r>
          </w:p>
          <w:p>
            <w:pPr>
              <w:pStyle w:val="27"/>
              <w:spacing w:before="0" w:after="0" w:afterAutospacing="0" w:line="480" w:lineRule="atLeast"/>
              <w:rPr>
                <w:rFonts w:hint="eastAsia" w:ascii="黑体" w:hAnsi="黑体" w:eastAsia="黑体"/>
                <w:sz w:val="24"/>
                <w:szCs w:val="24"/>
                <w:lang w:val="en-US" w:eastAsia="zh-CN"/>
              </w:rPr>
            </w:pPr>
            <w:r>
              <w:rPr>
                <w:rFonts w:hint="eastAsia" w:ascii="黑体" w:hAnsi="黑体" w:eastAsia="黑体"/>
                <w:sz w:val="24"/>
                <w:szCs w:val="24"/>
                <w:lang w:val="en-US" w:eastAsia="zh-CN"/>
              </w:rPr>
              <w:t>表2-10  东外环路工程数量表</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2"/>
              <w:gridCol w:w="2372"/>
              <w:gridCol w:w="1218"/>
              <w:gridCol w:w="1550"/>
              <w:gridCol w:w="2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序号</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项目</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单位</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数量</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1.1</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路基土方填方</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superscript"/>
                      <w:lang w:val="en-US" w:eastAsia="zh-CN"/>
                    </w:rPr>
                  </w:pPr>
                  <w:r>
                    <w:rPr>
                      <w:rFonts w:hint="eastAsia" w:ascii="Times New Roman" w:hAnsi="Times New Roman" w:eastAsia="宋体" w:cs="Times New Roman"/>
                      <w:sz w:val="21"/>
                      <w:szCs w:val="21"/>
                      <w:vertAlign w:val="baseline"/>
                      <w:lang w:val="en-US" w:eastAsia="zh-CN"/>
                    </w:rPr>
                    <w:t>m</w:t>
                  </w:r>
                  <w:r>
                    <w:rPr>
                      <w:rFonts w:hint="eastAsia" w:ascii="Times New Roman" w:hAnsi="Times New Roman" w:eastAsia="宋体" w:cs="Times New Roman"/>
                      <w:sz w:val="21"/>
                      <w:szCs w:val="21"/>
                      <w:vertAlign w:val="superscript"/>
                      <w:lang w:val="en-US" w:eastAsia="zh-CN"/>
                    </w:rPr>
                    <w:t>3</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118218.35</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1.2</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路基土方挖方</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r>
                    <w:rPr>
                      <w:rFonts w:hint="eastAsia" w:ascii="Times New Roman" w:hAnsi="Times New Roman" w:eastAsia="宋体" w:cs="Times New Roman"/>
                      <w:sz w:val="21"/>
                      <w:szCs w:val="21"/>
                      <w:vertAlign w:val="superscript"/>
                      <w:lang w:val="en-US" w:eastAsia="zh-CN"/>
                    </w:rPr>
                    <w:t>3</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45228.00</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1.3</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路基土方填方</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r>
                    <w:rPr>
                      <w:rFonts w:hint="eastAsia" w:ascii="Times New Roman" w:hAnsi="Times New Roman" w:eastAsia="宋体" w:cs="Times New Roman"/>
                      <w:sz w:val="21"/>
                      <w:szCs w:val="21"/>
                      <w:vertAlign w:val="superscript"/>
                      <w:lang w:val="en-US" w:eastAsia="zh-CN"/>
                    </w:rPr>
                    <w:t>3</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72990.35</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土方填方外购土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1.4</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清表外运</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r>
                    <w:rPr>
                      <w:rFonts w:hint="eastAsia" w:ascii="Times New Roman" w:hAnsi="Times New Roman" w:eastAsia="宋体" w:cs="Times New Roman"/>
                      <w:sz w:val="21"/>
                      <w:szCs w:val="21"/>
                      <w:vertAlign w:val="superscript"/>
                      <w:lang w:val="en-US" w:eastAsia="zh-CN"/>
                    </w:rPr>
                    <w:t>3</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35100.94</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1.5</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边坡</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r>
                    <w:rPr>
                      <w:rFonts w:hint="eastAsia" w:ascii="Times New Roman" w:hAnsi="Times New Roman" w:eastAsia="宋体" w:cs="Times New Roman"/>
                      <w:sz w:val="21"/>
                      <w:szCs w:val="21"/>
                      <w:vertAlign w:val="superscript"/>
                      <w:lang w:val="en-US" w:eastAsia="zh-CN"/>
                    </w:rPr>
                    <w:t>2</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19395</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拱形骨架护坡2-4米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1.6</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机动车道路面</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r>
                    <w:rPr>
                      <w:rFonts w:hint="eastAsia" w:ascii="Times New Roman" w:hAnsi="Times New Roman" w:eastAsia="宋体" w:cs="Times New Roman"/>
                      <w:sz w:val="21"/>
                      <w:szCs w:val="21"/>
                      <w:vertAlign w:val="superscript"/>
                      <w:lang w:val="en-US" w:eastAsia="zh-CN"/>
                    </w:rPr>
                    <w:t>2</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61878.52</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1.7</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非机动车道路面</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r>
                    <w:rPr>
                      <w:rFonts w:hint="eastAsia" w:ascii="Times New Roman" w:hAnsi="Times New Roman" w:eastAsia="宋体" w:cs="Times New Roman"/>
                      <w:sz w:val="21"/>
                      <w:szCs w:val="21"/>
                      <w:vertAlign w:val="superscript"/>
                      <w:lang w:val="en-US" w:eastAsia="zh-CN"/>
                    </w:rPr>
                    <w:t>2</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10073.73</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1.8</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人行道路面</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r>
                    <w:rPr>
                      <w:rFonts w:hint="eastAsia" w:ascii="Times New Roman" w:hAnsi="Times New Roman" w:eastAsia="宋体" w:cs="Times New Roman"/>
                      <w:sz w:val="21"/>
                      <w:szCs w:val="21"/>
                      <w:vertAlign w:val="superscript"/>
                      <w:lang w:val="en-US" w:eastAsia="zh-CN"/>
                    </w:rPr>
                    <w:t>2</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9670.78</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1.9</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路缘石</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3022.12</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15×15×99.7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1.10</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路缘石</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10021.35</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15×35×99.7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2.1</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边沟</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420.00</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2.2</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排水沟</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1620.00</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2.3</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护栏</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5965.67</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2.4</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树池</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个</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336.00</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2.5</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kern w:val="2"/>
                      <w:sz w:val="21"/>
                      <w:szCs w:val="21"/>
                      <w:vertAlign w:val="baseline"/>
                      <w:lang w:val="en-US" w:eastAsia="zh-CN" w:bidi="ar-SA"/>
                    </w:rPr>
                  </w:pPr>
                  <w:r>
                    <w:rPr>
                      <w:rFonts w:hint="eastAsia" w:ascii="Times New Roman" w:hAnsi="Times New Roman" w:eastAsia="宋体" w:cs="Times New Roman"/>
                      <w:sz w:val="21"/>
                      <w:szCs w:val="21"/>
                      <w:vertAlign w:val="baseline"/>
                      <w:lang w:val="en-US" w:eastAsia="zh-CN"/>
                    </w:rPr>
                    <w:t>土工格栅</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r>
                    <w:rPr>
                      <w:rFonts w:hint="eastAsia" w:ascii="Times New Roman" w:hAnsi="Times New Roman" w:eastAsia="宋体" w:cs="Times New Roman"/>
                      <w:sz w:val="21"/>
                      <w:szCs w:val="21"/>
                      <w:vertAlign w:val="superscript"/>
                      <w:lang w:val="en-US" w:eastAsia="zh-CN"/>
                    </w:rPr>
                    <w:t>2</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42600.00</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2.6</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kern w:val="2"/>
                      <w:sz w:val="21"/>
                      <w:szCs w:val="21"/>
                      <w:vertAlign w:val="baseline"/>
                      <w:lang w:val="en-US" w:eastAsia="zh-CN" w:bidi="ar-SA"/>
                    </w:rPr>
                  </w:pPr>
                  <w:r>
                    <w:rPr>
                      <w:rFonts w:hint="eastAsia" w:ascii="Times New Roman" w:hAnsi="Times New Roman" w:eastAsia="宋体" w:cs="Times New Roman"/>
                      <w:sz w:val="21"/>
                      <w:szCs w:val="21"/>
                      <w:vertAlign w:val="baseline"/>
                      <w:lang w:val="en-US" w:eastAsia="zh-CN"/>
                    </w:rPr>
                    <w:t>湿陷性地基处理</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r>
                    <w:rPr>
                      <w:rFonts w:hint="eastAsia" w:ascii="Times New Roman" w:hAnsi="Times New Roman" w:eastAsia="宋体" w:cs="Times New Roman"/>
                      <w:sz w:val="21"/>
                      <w:szCs w:val="21"/>
                      <w:vertAlign w:val="superscript"/>
                      <w:lang w:val="en-US" w:eastAsia="zh-CN"/>
                    </w:rPr>
                    <w:t>2</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201072.00</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2.7</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kern w:val="2"/>
                      <w:sz w:val="21"/>
                      <w:szCs w:val="21"/>
                      <w:vertAlign w:val="baseline"/>
                      <w:lang w:val="en-US" w:eastAsia="zh-CN" w:bidi="ar-SA"/>
                    </w:rPr>
                  </w:pPr>
                  <w:r>
                    <w:rPr>
                      <w:rFonts w:hint="eastAsia" w:ascii="Times New Roman" w:hAnsi="Times New Roman" w:eastAsia="宋体" w:cs="Times New Roman"/>
                      <w:sz w:val="21"/>
                      <w:szCs w:val="21"/>
                      <w:vertAlign w:val="baseline"/>
                      <w:lang w:val="en-US" w:eastAsia="zh-CN"/>
                    </w:rPr>
                    <w:t>拆除路面并恢复</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r>
                    <w:rPr>
                      <w:rFonts w:hint="eastAsia" w:ascii="Times New Roman" w:hAnsi="Times New Roman" w:eastAsia="宋体" w:cs="Times New Roman"/>
                      <w:sz w:val="21"/>
                      <w:szCs w:val="21"/>
                      <w:vertAlign w:val="superscript"/>
                      <w:lang w:val="en-US" w:eastAsia="zh-CN"/>
                    </w:rPr>
                    <w:t>2</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28635.21</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2.8</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绿化隔离带</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r>
                    <w:rPr>
                      <w:rFonts w:hint="eastAsia" w:ascii="Times New Roman" w:hAnsi="Times New Roman" w:eastAsia="宋体" w:cs="Times New Roman"/>
                      <w:sz w:val="21"/>
                      <w:szCs w:val="21"/>
                      <w:vertAlign w:val="superscript"/>
                      <w:lang w:val="en-US" w:eastAsia="zh-CN"/>
                    </w:rPr>
                    <w:t>2</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12011.00</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3</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标志标线</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3.1</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指路标志</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个</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18</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3.2</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标线</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r>
                    <w:rPr>
                      <w:rFonts w:hint="eastAsia" w:ascii="Times New Roman" w:hAnsi="Times New Roman" w:eastAsia="宋体" w:cs="Times New Roman"/>
                      <w:sz w:val="21"/>
                      <w:szCs w:val="21"/>
                      <w:vertAlign w:val="superscript"/>
                      <w:lang w:val="en-US" w:eastAsia="zh-CN"/>
                    </w:rPr>
                    <w:t>2</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2163</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3.3</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信号灯</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个</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9</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p>
              </w:tc>
            </w:tr>
          </w:tbl>
          <w:p>
            <w:pPr>
              <w:pStyle w:val="27"/>
              <w:spacing w:before="0" w:after="0" w:afterAutospacing="0" w:line="480" w:lineRule="atLeast"/>
              <w:rPr>
                <w:rFonts w:hint="eastAsia" w:ascii="黑体" w:hAnsi="黑体" w:eastAsia="黑体"/>
                <w:sz w:val="24"/>
                <w:szCs w:val="24"/>
                <w:lang w:val="en-US" w:eastAsia="zh-CN"/>
              </w:rPr>
            </w:pPr>
            <w:r>
              <w:rPr>
                <w:rFonts w:hint="eastAsia" w:ascii="黑体" w:hAnsi="黑体" w:eastAsia="黑体"/>
                <w:sz w:val="24"/>
                <w:szCs w:val="24"/>
                <w:lang w:val="en-US" w:eastAsia="zh-CN"/>
              </w:rPr>
              <w:t>表2-11  湖滨大街西延工程数量表</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2"/>
              <w:gridCol w:w="2372"/>
              <w:gridCol w:w="1218"/>
              <w:gridCol w:w="1550"/>
              <w:gridCol w:w="2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序号</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项目</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单位</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数量</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1.1</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路基土方填方</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superscript"/>
                      <w:lang w:val="en-US" w:eastAsia="zh-CN"/>
                    </w:rPr>
                  </w:pPr>
                  <w:r>
                    <w:rPr>
                      <w:rFonts w:hint="eastAsia" w:ascii="Times New Roman" w:hAnsi="Times New Roman" w:eastAsia="宋体" w:cs="Times New Roman"/>
                      <w:sz w:val="21"/>
                      <w:szCs w:val="21"/>
                      <w:vertAlign w:val="baseline"/>
                      <w:lang w:val="en-US" w:eastAsia="zh-CN"/>
                    </w:rPr>
                    <w:t>m</w:t>
                  </w:r>
                  <w:r>
                    <w:rPr>
                      <w:rFonts w:hint="eastAsia" w:ascii="Times New Roman" w:hAnsi="Times New Roman" w:eastAsia="宋体" w:cs="Times New Roman"/>
                      <w:sz w:val="21"/>
                      <w:szCs w:val="21"/>
                      <w:vertAlign w:val="superscript"/>
                      <w:lang w:val="en-US" w:eastAsia="zh-CN"/>
                    </w:rPr>
                    <w:t>3</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90679.00</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1.2</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路基土方挖方</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r>
                    <w:rPr>
                      <w:rFonts w:hint="eastAsia" w:ascii="Times New Roman" w:hAnsi="Times New Roman" w:eastAsia="宋体" w:cs="Times New Roman"/>
                      <w:sz w:val="21"/>
                      <w:szCs w:val="21"/>
                      <w:vertAlign w:val="superscript"/>
                      <w:lang w:val="en-US" w:eastAsia="zh-CN"/>
                    </w:rPr>
                    <w:t>3</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27087.20</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1.3</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路基土方填方</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r>
                    <w:rPr>
                      <w:rFonts w:hint="eastAsia" w:ascii="Times New Roman" w:hAnsi="Times New Roman" w:eastAsia="宋体" w:cs="Times New Roman"/>
                      <w:sz w:val="21"/>
                      <w:szCs w:val="21"/>
                      <w:vertAlign w:val="superscript"/>
                      <w:lang w:val="en-US" w:eastAsia="zh-CN"/>
                    </w:rPr>
                    <w:t>3</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63561.80</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土方填方外购土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1.4</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清表外运</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r>
                    <w:rPr>
                      <w:rFonts w:hint="eastAsia" w:ascii="Times New Roman" w:hAnsi="Times New Roman" w:eastAsia="宋体" w:cs="Times New Roman"/>
                      <w:sz w:val="21"/>
                      <w:szCs w:val="21"/>
                      <w:vertAlign w:val="superscript"/>
                      <w:lang w:val="en-US" w:eastAsia="zh-CN"/>
                    </w:rPr>
                    <w:t>3</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18588.33</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1.5</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边坡</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r>
                    <w:rPr>
                      <w:rFonts w:hint="eastAsia" w:ascii="Times New Roman" w:hAnsi="Times New Roman" w:eastAsia="宋体" w:cs="Times New Roman"/>
                      <w:sz w:val="21"/>
                      <w:szCs w:val="21"/>
                      <w:vertAlign w:val="superscript"/>
                      <w:lang w:val="en-US" w:eastAsia="zh-CN"/>
                    </w:rPr>
                    <w:t>2</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7857</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拱形骨架护坡2-4米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1.6</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机动车道路面</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r>
                    <w:rPr>
                      <w:rFonts w:hint="eastAsia" w:ascii="Times New Roman" w:hAnsi="Times New Roman" w:eastAsia="宋体" w:cs="Times New Roman"/>
                      <w:sz w:val="21"/>
                      <w:szCs w:val="21"/>
                      <w:vertAlign w:val="superscript"/>
                      <w:lang w:val="en-US" w:eastAsia="zh-CN"/>
                    </w:rPr>
                    <w:t>2</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25651.89</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1.7</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非机动车道路面</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r>
                    <w:rPr>
                      <w:rFonts w:hint="eastAsia" w:ascii="Times New Roman" w:hAnsi="Times New Roman" w:eastAsia="宋体" w:cs="Times New Roman"/>
                      <w:sz w:val="21"/>
                      <w:szCs w:val="21"/>
                      <w:vertAlign w:val="superscript"/>
                      <w:lang w:val="en-US" w:eastAsia="zh-CN"/>
                    </w:rPr>
                    <w:t>2</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8922.40</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1.8</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人行道路面</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r>
                    <w:rPr>
                      <w:rFonts w:hint="eastAsia" w:ascii="Times New Roman" w:hAnsi="Times New Roman" w:eastAsia="宋体" w:cs="Times New Roman"/>
                      <w:sz w:val="21"/>
                      <w:szCs w:val="21"/>
                      <w:vertAlign w:val="superscript"/>
                      <w:lang w:val="en-US" w:eastAsia="zh-CN"/>
                    </w:rPr>
                    <w:t>2</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8030.16</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1.9</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路缘石</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2230.60</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15×15×99.7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1.10</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路缘石</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4461.20</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15×35×99.7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2.1</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挡墙</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743.53</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6米高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2.2</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排水沟</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1487.07</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2.3</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护栏</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743.53</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2.4</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树池</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个</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248.00</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2.5</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kern w:val="2"/>
                      <w:sz w:val="21"/>
                      <w:szCs w:val="21"/>
                      <w:vertAlign w:val="baseline"/>
                      <w:lang w:val="en-US" w:eastAsia="zh-CN" w:bidi="ar-SA"/>
                    </w:rPr>
                  </w:pPr>
                  <w:r>
                    <w:rPr>
                      <w:rFonts w:hint="eastAsia" w:ascii="Times New Roman" w:hAnsi="Times New Roman" w:eastAsia="宋体" w:cs="Times New Roman"/>
                      <w:sz w:val="21"/>
                      <w:szCs w:val="21"/>
                      <w:vertAlign w:val="baseline"/>
                      <w:lang w:val="en-US" w:eastAsia="zh-CN"/>
                    </w:rPr>
                    <w:t>湿陷性地基处理</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r>
                    <w:rPr>
                      <w:rFonts w:hint="eastAsia" w:ascii="Times New Roman" w:hAnsi="Times New Roman" w:eastAsia="宋体" w:cs="Times New Roman"/>
                      <w:sz w:val="21"/>
                      <w:szCs w:val="21"/>
                      <w:vertAlign w:val="superscript"/>
                      <w:lang w:val="en-US" w:eastAsia="zh-CN"/>
                    </w:rPr>
                    <w:t>2</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66917.97</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2.6</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绿化隔离带</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r>
                    <w:rPr>
                      <w:rFonts w:hint="eastAsia" w:ascii="Times New Roman" w:hAnsi="Times New Roman" w:eastAsia="宋体" w:cs="Times New Roman"/>
                      <w:sz w:val="21"/>
                      <w:szCs w:val="21"/>
                      <w:vertAlign w:val="superscript"/>
                      <w:lang w:val="en-US" w:eastAsia="zh-CN"/>
                    </w:rPr>
                    <w:t>2</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4461.20</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3</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标志标线</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3.1</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指路标志</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个</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8</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3.2</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标线</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r>
                    <w:rPr>
                      <w:rFonts w:hint="eastAsia" w:ascii="Times New Roman" w:hAnsi="Times New Roman" w:eastAsia="宋体" w:cs="Times New Roman"/>
                      <w:sz w:val="21"/>
                      <w:szCs w:val="21"/>
                      <w:vertAlign w:val="superscript"/>
                      <w:lang w:val="en-US" w:eastAsia="zh-CN"/>
                    </w:rPr>
                    <w:t>2</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803.02</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3.3</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信号灯</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个</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4</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p>
              </w:tc>
            </w:tr>
          </w:tbl>
          <w:p>
            <w:pPr>
              <w:pStyle w:val="27"/>
              <w:spacing w:before="0" w:after="0" w:afterAutospacing="0" w:line="480" w:lineRule="atLeast"/>
              <w:rPr>
                <w:rFonts w:hint="eastAsia" w:ascii="黑体" w:hAnsi="黑体" w:eastAsia="黑体"/>
                <w:sz w:val="24"/>
                <w:szCs w:val="24"/>
                <w:lang w:val="en-US" w:eastAsia="zh-CN"/>
              </w:rPr>
            </w:pPr>
            <w:r>
              <w:rPr>
                <w:rFonts w:hint="eastAsia" w:ascii="黑体" w:hAnsi="黑体" w:eastAsia="黑体"/>
                <w:sz w:val="24"/>
                <w:szCs w:val="24"/>
                <w:lang w:val="en-US" w:eastAsia="zh-CN"/>
              </w:rPr>
              <w:t>表2-12  文昌路工程数量表</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2"/>
              <w:gridCol w:w="2372"/>
              <w:gridCol w:w="1218"/>
              <w:gridCol w:w="1550"/>
              <w:gridCol w:w="2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序号</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项目</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单位</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数量</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1.1</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路基土方填方</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superscript"/>
                      <w:lang w:val="en-US" w:eastAsia="zh-CN"/>
                    </w:rPr>
                  </w:pPr>
                  <w:r>
                    <w:rPr>
                      <w:rFonts w:hint="eastAsia" w:ascii="Times New Roman" w:hAnsi="Times New Roman" w:eastAsia="宋体" w:cs="Times New Roman"/>
                      <w:sz w:val="21"/>
                      <w:szCs w:val="21"/>
                      <w:vertAlign w:val="baseline"/>
                      <w:lang w:val="en-US" w:eastAsia="zh-CN"/>
                    </w:rPr>
                    <w:t>m</w:t>
                  </w:r>
                  <w:r>
                    <w:rPr>
                      <w:rFonts w:hint="eastAsia" w:ascii="Times New Roman" w:hAnsi="Times New Roman" w:eastAsia="宋体" w:cs="Times New Roman"/>
                      <w:sz w:val="21"/>
                      <w:szCs w:val="21"/>
                      <w:vertAlign w:val="superscript"/>
                      <w:lang w:val="en-US" w:eastAsia="zh-CN"/>
                    </w:rPr>
                    <w:t>3</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55037.00</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1.2</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路基土方挖方</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r>
                    <w:rPr>
                      <w:rFonts w:hint="eastAsia" w:ascii="Times New Roman" w:hAnsi="Times New Roman" w:eastAsia="宋体" w:cs="Times New Roman"/>
                      <w:sz w:val="21"/>
                      <w:szCs w:val="21"/>
                      <w:vertAlign w:val="superscript"/>
                      <w:lang w:val="en-US" w:eastAsia="zh-CN"/>
                    </w:rPr>
                    <w:t>3</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18651.40</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1.3</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路基土方填方</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r>
                    <w:rPr>
                      <w:rFonts w:hint="eastAsia" w:ascii="Times New Roman" w:hAnsi="Times New Roman" w:eastAsia="宋体" w:cs="Times New Roman"/>
                      <w:sz w:val="21"/>
                      <w:szCs w:val="21"/>
                      <w:vertAlign w:val="superscript"/>
                      <w:lang w:val="en-US" w:eastAsia="zh-CN"/>
                    </w:rPr>
                    <w:t>3</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36385.60</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土方填方外购土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1.4</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清表外运</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r>
                    <w:rPr>
                      <w:rFonts w:hint="eastAsia" w:ascii="Times New Roman" w:hAnsi="Times New Roman" w:eastAsia="宋体" w:cs="Times New Roman"/>
                      <w:sz w:val="21"/>
                      <w:szCs w:val="21"/>
                      <w:vertAlign w:val="superscript"/>
                      <w:lang w:val="en-US" w:eastAsia="zh-CN"/>
                    </w:rPr>
                    <w:t>3</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9455.70</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1.5</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挡墙</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r>
                    <w:rPr>
                      <w:rFonts w:hint="eastAsia" w:ascii="Times New Roman" w:hAnsi="Times New Roman" w:eastAsia="宋体" w:cs="Times New Roman"/>
                      <w:sz w:val="21"/>
                      <w:szCs w:val="21"/>
                      <w:vertAlign w:val="superscript"/>
                      <w:lang w:val="en-US" w:eastAsia="zh-CN"/>
                    </w:rPr>
                    <w:t>2</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720</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6m高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1.6</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机动车道路面</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r>
                    <w:rPr>
                      <w:rFonts w:hint="eastAsia" w:ascii="Times New Roman" w:hAnsi="Times New Roman" w:eastAsia="宋体" w:cs="Times New Roman"/>
                      <w:sz w:val="21"/>
                      <w:szCs w:val="21"/>
                      <w:vertAlign w:val="superscript"/>
                      <w:lang w:val="en-US" w:eastAsia="zh-CN"/>
                    </w:rPr>
                    <w:t>2</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14256.00</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1.7</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人行道路面</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r>
                    <w:rPr>
                      <w:rFonts w:hint="eastAsia" w:ascii="Times New Roman" w:hAnsi="Times New Roman" w:eastAsia="宋体" w:cs="Times New Roman"/>
                      <w:sz w:val="21"/>
                      <w:szCs w:val="21"/>
                      <w:vertAlign w:val="superscript"/>
                      <w:lang w:val="en-US" w:eastAsia="zh-CN"/>
                    </w:rPr>
                    <w:t>2</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1980.00</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1.8</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路缘石</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864.00</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15×15×99.7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1.9</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路缘石</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2160.00</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15×35×99.7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2.1</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边沟</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720.00</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2.2</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排水沟</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1320.00</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2.3</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树池</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个</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120.00</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2.4</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山体治理</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r>
                    <w:rPr>
                      <w:rFonts w:hint="eastAsia" w:ascii="Times New Roman" w:hAnsi="Times New Roman" w:eastAsia="宋体" w:cs="Times New Roman"/>
                      <w:sz w:val="21"/>
                      <w:szCs w:val="21"/>
                      <w:vertAlign w:val="superscript"/>
                      <w:lang w:val="en-US" w:eastAsia="zh-CN"/>
                    </w:rPr>
                    <w:t>2</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19717.5</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2.5</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kern w:val="2"/>
                      <w:sz w:val="21"/>
                      <w:szCs w:val="21"/>
                      <w:vertAlign w:val="baseline"/>
                      <w:lang w:val="en-US" w:eastAsia="zh-CN" w:bidi="ar-SA"/>
                    </w:rPr>
                  </w:pPr>
                  <w:r>
                    <w:rPr>
                      <w:rFonts w:hint="eastAsia" w:ascii="Times New Roman" w:hAnsi="Times New Roman" w:eastAsia="宋体" w:cs="Times New Roman"/>
                      <w:sz w:val="21"/>
                      <w:szCs w:val="21"/>
                      <w:vertAlign w:val="baseline"/>
                      <w:lang w:val="en-US" w:eastAsia="zh-CN"/>
                    </w:rPr>
                    <w:t>换填地基</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r>
                    <w:rPr>
                      <w:rFonts w:hint="eastAsia" w:ascii="Times New Roman" w:hAnsi="Times New Roman" w:eastAsia="宋体" w:cs="Times New Roman"/>
                      <w:sz w:val="21"/>
                      <w:szCs w:val="21"/>
                      <w:vertAlign w:val="superscript"/>
                      <w:lang w:val="en-US" w:eastAsia="zh-CN"/>
                    </w:rPr>
                    <w:t>3</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23520.00</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2.6</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kern w:val="2"/>
                      <w:sz w:val="21"/>
                      <w:szCs w:val="21"/>
                      <w:vertAlign w:val="baseline"/>
                      <w:lang w:val="en-US" w:eastAsia="zh-CN" w:bidi="ar-SA"/>
                    </w:rPr>
                  </w:pPr>
                  <w:r>
                    <w:rPr>
                      <w:rFonts w:hint="eastAsia" w:ascii="Times New Roman" w:hAnsi="Times New Roman" w:eastAsia="宋体" w:cs="Times New Roman"/>
                      <w:sz w:val="21"/>
                      <w:szCs w:val="21"/>
                      <w:vertAlign w:val="baseline"/>
                      <w:lang w:val="en-US" w:eastAsia="zh-CN"/>
                    </w:rPr>
                    <w:t>土工格栅</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r>
                    <w:rPr>
                      <w:rFonts w:hint="eastAsia" w:ascii="Times New Roman" w:hAnsi="Times New Roman" w:eastAsia="宋体" w:cs="Times New Roman"/>
                      <w:sz w:val="21"/>
                      <w:szCs w:val="21"/>
                      <w:vertAlign w:val="superscript"/>
                      <w:lang w:val="en-US" w:eastAsia="zh-CN"/>
                    </w:rPr>
                    <w:t>2</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950611.20</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2.7</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kern w:val="2"/>
                      <w:sz w:val="21"/>
                      <w:szCs w:val="21"/>
                      <w:vertAlign w:val="baseline"/>
                      <w:lang w:val="en-US" w:eastAsia="zh-CN" w:bidi="ar-SA"/>
                    </w:rPr>
                  </w:pPr>
                  <w:r>
                    <w:rPr>
                      <w:rFonts w:hint="eastAsia" w:ascii="Times New Roman" w:hAnsi="Times New Roman" w:eastAsia="宋体" w:cs="Times New Roman"/>
                      <w:sz w:val="21"/>
                      <w:szCs w:val="21"/>
                      <w:vertAlign w:val="baseline"/>
                      <w:lang w:val="en-US" w:eastAsia="zh-CN"/>
                    </w:rPr>
                    <w:t>土工包里面装（碎石反滤料）</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个</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29376</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2.8</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混凝土预制板150厚</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r>
                    <w:rPr>
                      <w:rFonts w:hint="eastAsia" w:ascii="Times New Roman" w:hAnsi="Times New Roman" w:eastAsia="宋体" w:cs="Times New Roman"/>
                      <w:sz w:val="21"/>
                      <w:szCs w:val="21"/>
                      <w:vertAlign w:val="superscript"/>
                      <w:lang w:val="en-US" w:eastAsia="zh-CN"/>
                    </w:rPr>
                    <w:t>3</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4924.80</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2.9</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混凝土压顶梁+混凝土基础量</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r>
                    <w:rPr>
                      <w:rFonts w:hint="eastAsia" w:ascii="Times New Roman" w:hAnsi="Times New Roman" w:eastAsia="宋体" w:cs="Times New Roman"/>
                      <w:sz w:val="21"/>
                      <w:szCs w:val="21"/>
                      <w:vertAlign w:val="superscript"/>
                      <w:lang w:val="en-US" w:eastAsia="zh-CN"/>
                    </w:rPr>
                    <w:t>3</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192</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2.10</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混凝土冠梁</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r>
                    <w:rPr>
                      <w:rFonts w:hint="eastAsia" w:ascii="Times New Roman" w:hAnsi="Times New Roman" w:eastAsia="宋体" w:cs="Times New Roman"/>
                      <w:sz w:val="21"/>
                      <w:szCs w:val="21"/>
                      <w:vertAlign w:val="superscript"/>
                      <w:lang w:val="en-US" w:eastAsia="zh-CN"/>
                    </w:rPr>
                    <w:t>3</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144.00</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2.11</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混凝土承台量</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r>
                    <w:rPr>
                      <w:rFonts w:hint="eastAsia" w:ascii="Times New Roman" w:hAnsi="Times New Roman" w:eastAsia="宋体" w:cs="Times New Roman"/>
                      <w:sz w:val="21"/>
                      <w:szCs w:val="21"/>
                      <w:vertAlign w:val="superscript"/>
                      <w:lang w:val="en-US" w:eastAsia="zh-CN"/>
                    </w:rPr>
                    <w:t>3</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192</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2.12</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灌注桩</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r>
                    <w:rPr>
                      <w:rFonts w:hint="eastAsia" w:ascii="Times New Roman" w:hAnsi="Times New Roman" w:eastAsia="宋体" w:cs="Times New Roman"/>
                      <w:sz w:val="21"/>
                      <w:szCs w:val="21"/>
                      <w:vertAlign w:val="superscript"/>
                      <w:lang w:val="en-US" w:eastAsia="zh-CN"/>
                    </w:rPr>
                    <w:t>3</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960.00</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2.13</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钢筋混凝土柱</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r>
                    <w:rPr>
                      <w:rFonts w:hint="eastAsia" w:ascii="Times New Roman" w:hAnsi="Times New Roman" w:eastAsia="宋体" w:cs="Times New Roman"/>
                      <w:sz w:val="21"/>
                      <w:szCs w:val="21"/>
                      <w:vertAlign w:val="superscript"/>
                      <w:lang w:val="en-US" w:eastAsia="zh-CN"/>
                    </w:rPr>
                    <w:t>3</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780</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2.14</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钢筋混凝土挡土板</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r>
                    <w:rPr>
                      <w:rFonts w:hint="eastAsia" w:ascii="Times New Roman" w:hAnsi="Times New Roman" w:eastAsia="宋体" w:cs="Times New Roman"/>
                      <w:sz w:val="21"/>
                      <w:szCs w:val="21"/>
                      <w:vertAlign w:val="superscript"/>
                      <w:lang w:val="en-US" w:eastAsia="zh-CN"/>
                    </w:rPr>
                    <w:t>3</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456</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2.15</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拆除护栏</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1008.00</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2.16</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拆除路面</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r>
                    <w:rPr>
                      <w:rFonts w:hint="eastAsia" w:ascii="Times New Roman" w:hAnsi="Times New Roman" w:eastAsia="宋体" w:cs="Times New Roman"/>
                      <w:sz w:val="21"/>
                      <w:szCs w:val="21"/>
                      <w:vertAlign w:val="superscript"/>
                      <w:lang w:val="en-US" w:eastAsia="zh-CN"/>
                    </w:rPr>
                    <w:t>2</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8064</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2.17</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拆除挡墙</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1008</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2.18</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湿陷性地基处理</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r>
                    <w:rPr>
                      <w:rFonts w:hint="eastAsia" w:ascii="Times New Roman" w:hAnsi="Times New Roman" w:eastAsia="宋体" w:cs="Times New Roman"/>
                      <w:sz w:val="21"/>
                      <w:szCs w:val="21"/>
                      <w:vertAlign w:val="superscript"/>
                      <w:lang w:val="en-US" w:eastAsia="zh-CN"/>
                    </w:rPr>
                    <w:t>2</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36000.00</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2.19</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景观护栏</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1584</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大理石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3</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标志标线</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3.1</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指路标志</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个</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6</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3.2</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标线</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m</w:t>
                  </w:r>
                  <w:r>
                    <w:rPr>
                      <w:rFonts w:hint="eastAsia" w:ascii="Times New Roman" w:hAnsi="Times New Roman" w:eastAsia="宋体" w:cs="Times New Roman"/>
                      <w:sz w:val="21"/>
                      <w:szCs w:val="21"/>
                      <w:vertAlign w:val="superscript"/>
                      <w:lang w:val="en-US" w:eastAsia="zh-CN"/>
                    </w:rPr>
                    <w:t>2</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648</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3.3</w:t>
                  </w:r>
                </w:p>
              </w:tc>
              <w:tc>
                <w:tcPr>
                  <w:tcW w:w="2372"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信号灯</w:t>
                  </w:r>
                </w:p>
              </w:tc>
              <w:tc>
                <w:tcPr>
                  <w:tcW w:w="1218"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个</w:t>
                  </w:r>
                </w:p>
              </w:tc>
              <w:tc>
                <w:tcPr>
                  <w:tcW w:w="1550"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w:t>
                  </w:r>
                </w:p>
              </w:tc>
              <w:tc>
                <w:tcPr>
                  <w:tcW w:w="2296" w:type="dxa"/>
                  <w:vAlign w:val="center"/>
                </w:tcPr>
                <w:p>
                  <w:pPr>
                    <w:pStyle w:val="27"/>
                    <w:keepNext w:val="0"/>
                    <w:keepLines w:val="0"/>
                    <w:pageBreakBefore w:val="0"/>
                    <w:widowControl w:val="0"/>
                    <w:kinsoku/>
                    <w:wordWrap/>
                    <w:overflowPunct/>
                    <w:topLinePunct w:val="0"/>
                    <w:autoSpaceDE/>
                    <w:autoSpaceDN/>
                    <w:bidi w:val="0"/>
                    <w:adjustRightInd/>
                    <w:snapToGrid/>
                    <w:spacing w:before="0" w:after="0" w:afterAutospacing="0" w:line="240" w:lineRule="auto"/>
                    <w:textAlignment w:val="auto"/>
                    <w:rPr>
                      <w:rFonts w:hint="eastAsia" w:ascii="Times New Roman" w:hAnsi="Times New Roman" w:eastAsia="宋体" w:cs="Times New Roman"/>
                      <w:sz w:val="21"/>
                      <w:szCs w:val="21"/>
                      <w:vertAlign w:val="baseline"/>
                      <w:lang w:val="en-US" w:eastAsia="zh-CN"/>
                    </w:rPr>
                  </w:pPr>
                </w:p>
              </w:tc>
            </w:tr>
          </w:tbl>
          <w:p>
            <w:pPr>
              <w:spacing w:line="480" w:lineRule="exact"/>
              <w:ind w:firstLine="480"/>
              <w:rPr>
                <w:b/>
                <w:sz w:val="24"/>
                <w:szCs w:val="24"/>
              </w:rPr>
            </w:pPr>
            <w:r>
              <w:rPr>
                <w:rFonts w:hint="eastAsia"/>
                <w:b/>
                <w:sz w:val="24"/>
                <w:szCs w:val="24"/>
                <w:lang w:val="en-US" w:eastAsia="zh-CN"/>
              </w:rPr>
              <w:t>6</w:t>
            </w:r>
            <w:r>
              <w:rPr>
                <w:rFonts w:hint="eastAsia" w:ascii="宋体" w:hAnsi="宋体"/>
                <w:b/>
                <w:sz w:val="24"/>
                <w:szCs w:val="24"/>
              </w:rPr>
              <w:t>、工程投资</w:t>
            </w:r>
          </w:p>
          <w:p>
            <w:pPr>
              <w:adjustRightInd w:val="0"/>
              <w:snapToGrid w:val="0"/>
              <w:spacing w:line="480" w:lineRule="exact"/>
              <w:ind w:firstLine="480" w:firstLineChars="200"/>
              <w:rPr>
                <w:rFonts w:hint="default" w:ascii="Times New Roman" w:hAnsi="Times New Roman" w:cs="Times New Roman"/>
                <w:bCs/>
                <w:kern w:val="0"/>
                <w:sz w:val="24"/>
                <w:szCs w:val="24"/>
                <w:lang w:val="en-US" w:eastAsia="zh-CN"/>
              </w:rPr>
            </w:pPr>
            <w:r>
              <w:rPr>
                <w:rFonts w:hint="default" w:ascii="Times New Roman" w:hAnsi="Times New Roman" w:cs="Times New Roman"/>
                <w:bCs/>
                <w:kern w:val="0"/>
                <w:sz w:val="24"/>
                <w:szCs w:val="24"/>
                <w:lang w:val="en-US" w:eastAsia="zh-CN"/>
              </w:rPr>
              <w:t>初步设计概算总投资49987.09万元，其中：工程费用37869.95万元，工程建设其他费用9736.80万元，预备费2380.34万元。资金来源为申请上级补助资金及县财政资金。</w:t>
            </w:r>
          </w:p>
          <w:p>
            <w:pPr>
              <w:adjustRightInd w:val="0"/>
              <w:snapToGrid w:val="0"/>
              <w:spacing w:line="480" w:lineRule="exact"/>
              <w:ind w:firstLine="480" w:firstLineChars="200"/>
              <w:rPr>
                <w:rFonts w:hint="eastAsia" w:ascii="宋体" w:hAnsi="宋体"/>
                <w:bCs/>
                <w:kern w:val="0"/>
                <w:sz w:val="24"/>
                <w:szCs w:val="24"/>
                <w:lang w:val="en-US" w:eastAsia="zh-CN"/>
              </w:rPr>
            </w:pPr>
          </w:p>
          <w:p>
            <w:pPr>
              <w:adjustRightInd w:val="0"/>
              <w:snapToGrid w:val="0"/>
              <w:spacing w:line="480" w:lineRule="exact"/>
              <w:ind w:firstLine="480" w:firstLineChars="200"/>
              <w:rPr>
                <w:rFonts w:hint="eastAsia" w:ascii="宋体" w:hAnsi="宋体"/>
                <w:bCs/>
                <w:kern w:val="0"/>
                <w:sz w:val="24"/>
                <w:szCs w:val="24"/>
                <w:lang w:val="en-US" w:eastAsia="zh-CN"/>
              </w:rPr>
            </w:pPr>
          </w:p>
          <w:p>
            <w:pPr>
              <w:adjustRightInd w:val="0"/>
              <w:snapToGrid w:val="0"/>
              <w:spacing w:line="480" w:lineRule="exact"/>
              <w:ind w:firstLine="480" w:firstLineChars="200"/>
              <w:rPr>
                <w:rFonts w:hint="eastAsia" w:ascii="宋体" w:hAnsi="宋体"/>
                <w:bCs/>
                <w:kern w:val="0"/>
                <w:sz w:val="24"/>
                <w:szCs w:val="24"/>
                <w:lang w:val="en-US" w:eastAsia="zh-CN"/>
              </w:rPr>
            </w:pPr>
          </w:p>
          <w:p>
            <w:pPr>
              <w:adjustRightInd w:val="0"/>
              <w:snapToGrid w:val="0"/>
              <w:spacing w:line="480" w:lineRule="exact"/>
              <w:ind w:firstLine="480" w:firstLineChars="200"/>
              <w:rPr>
                <w:rFonts w:hint="eastAsia" w:ascii="宋体" w:hAnsi="宋体"/>
                <w:bCs/>
                <w:kern w:val="0"/>
                <w:sz w:val="24"/>
                <w:szCs w:val="24"/>
                <w:lang w:val="en-US" w:eastAsia="zh-CN"/>
              </w:rPr>
            </w:pPr>
          </w:p>
          <w:p>
            <w:pPr>
              <w:adjustRightInd w:val="0"/>
              <w:snapToGrid w:val="0"/>
              <w:spacing w:line="480" w:lineRule="exact"/>
              <w:ind w:firstLine="480" w:firstLineChars="200"/>
              <w:rPr>
                <w:rFonts w:hint="default" w:ascii="宋体" w:hAnsi="宋体"/>
                <w:bCs/>
                <w:kern w:val="0"/>
                <w:sz w:val="24"/>
                <w:szCs w:val="24"/>
                <w:lang w:val="en-US"/>
              </w:rPr>
            </w:pPr>
          </w:p>
          <w:p>
            <w:pPr>
              <w:adjustRightInd w:val="0"/>
              <w:snapToGrid w:val="0"/>
              <w:spacing w:line="480" w:lineRule="exact"/>
              <w:jc w:val="center"/>
              <w:rPr>
                <w:rFonts w:ascii="黑体" w:hAnsi="黑体" w:eastAsia="黑体"/>
                <w:sz w:val="24"/>
                <w:szCs w:val="24"/>
              </w:rPr>
            </w:pPr>
          </w:p>
          <w:p>
            <w:pPr>
              <w:adjustRightInd w:val="0"/>
              <w:snapToGrid w:val="0"/>
              <w:spacing w:line="480" w:lineRule="exact"/>
              <w:jc w:val="center"/>
              <w:rPr>
                <w:rFonts w:ascii="宋体" w:hAnsi="宋体"/>
                <w:bCs/>
                <w:kern w:val="0"/>
                <w:sz w:val="24"/>
                <w:szCs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2" w:type="dxa"/>
            <w:tcBorders>
              <w:top w:val="single" w:color="auto" w:sz="4" w:space="0"/>
              <w:left w:val="single" w:color="auto" w:sz="8" w:space="0"/>
              <w:bottom w:val="single" w:color="auto" w:sz="4" w:space="0"/>
              <w:right w:val="single" w:color="auto" w:sz="4" w:space="0"/>
            </w:tcBorders>
            <w:vAlign w:val="center"/>
          </w:tcPr>
          <w:p>
            <w:pPr>
              <w:adjustRightInd w:val="0"/>
              <w:snapToGrid w:val="0"/>
              <w:jc w:val="center"/>
              <w:rPr>
                <w:rFonts w:ascii="宋体" w:hAnsi="宋体"/>
                <w:kern w:val="0"/>
              </w:rPr>
            </w:pPr>
            <w:r>
              <w:rPr>
                <w:rFonts w:hint="eastAsia" w:ascii="宋体" w:hAnsi="宋体"/>
                <w:kern w:val="0"/>
              </w:rPr>
              <w:t>总平面及现场布置</w:t>
            </w:r>
          </w:p>
        </w:tc>
        <w:tc>
          <w:tcPr>
            <w:tcW w:w="8549" w:type="dxa"/>
            <w:tcBorders>
              <w:top w:val="single" w:color="auto" w:sz="4" w:space="0"/>
              <w:left w:val="single" w:color="auto" w:sz="4" w:space="0"/>
              <w:bottom w:val="single" w:color="auto" w:sz="4" w:space="0"/>
              <w:right w:val="single" w:color="auto" w:sz="8" w:space="0"/>
            </w:tcBorders>
            <w:vAlign w:val="center"/>
          </w:tcPr>
          <w:p>
            <w:pPr>
              <w:adjustRightInd w:val="0"/>
              <w:snapToGrid w:val="0"/>
              <w:spacing w:line="480" w:lineRule="exact"/>
              <w:ind w:firstLine="480" w:firstLineChars="200"/>
              <w:rPr>
                <w:sz w:val="24"/>
                <w:szCs w:val="24"/>
              </w:rPr>
            </w:pPr>
            <w:r>
              <w:rPr>
                <w:rFonts w:hint="eastAsia"/>
                <w:sz w:val="24"/>
                <w:szCs w:val="24"/>
              </w:rPr>
              <w:t>1、线路布置</w:t>
            </w:r>
          </w:p>
          <w:p>
            <w:pPr>
              <w:adjustRightInd w:val="0"/>
              <w:snapToGrid w:val="0"/>
              <w:spacing w:line="480" w:lineRule="exact"/>
              <w:ind w:firstLine="480"/>
              <w:rPr>
                <w:rFonts w:hint="default"/>
                <w:sz w:val="24"/>
                <w:szCs w:val="24"/>
                <w:lang w:val="en-US" w:eastAsia="zh-CN"/>
              </w:rPr>
            </w:pPr>
            <w:r>
              <w:rPr>
                <w:rFonts w:hint="default"/>
                <w:sz w:val="24"/>
                <w:szCs w:val="24"/>
                <w:lang w:val="en-US" w:eastAsia="zh-CN"/>
              </w:rPr>
              <w:t>东外环路：起点为五台南收费站北侧（王庄村牌楼），由南向北k0+470处上跨掉头匝道，k1+910处上跨滤泗河，终点接至五黄路（金水泉宾馆），道路全长2985</w:t>
            </w:r>
            <w:r>
              <w:rPr>
                <w:rFonts w:hint="eastAsia"/>
                <w:sz w:val="24"/>
                <w:szCs w:val="24"/>
                <w:lang w:val="en-US" w:eastAsia="zh-CN"/>
              </w:rPr>
              <w:t>.25</w:t>
            </w:r>
            <w:r>
              <w:rPr>
                <w:rFonts w:hint="default"/>
                <w:sz w:val="24"/>
                <w:szCs w:val="24"/>
                <w:lang w:val="en-US" w:eastAsia="zh-CN"/>
              </w:rPr>
              <w:t>m。</w:t>
            </w:r>
          </w:p>
          <w:p>
            <w:pPr>
              <w:adjustRightInd w:val="0"/>
              <w:snapToGrid w:val="0"/>
              <w:spacing w:line="480" w:lineRule="exact"/>
              <w:ind w:firstLine="480"/>
              <w:rPr>
                <w:rFonts w:hint="default"/>
                <w:sz w:val="24"/>
                <w:szCs w:val="24"/>
                <w:lang w:val="en-US" w:eastAsia="zh-CN"/>
              </w:rPr>
            </w:pPr>
            <w:r>
              <w:rPr>
                <w:rFonts w:hint="default"/>
                <w:sz w:val="24"/>
                <w:szCs w:val="24"/>
                <w:lang w:val="en-US" w:eastAsia="zh-CN"/>
              </w:rPr>
              <w:t>湖滨大街西延：道路起点为规划文昌路，由西向东，穿越唐家湾村，终点与既有湖滨大道相接，道路全长75</w:t>
            </w:r>
            <w:r>
              <w:rPr>
                <w:rFonts w:hint="eastAsia"/>
                <w:sz w:val="24"/>
                <w:szCs w:val="24"/>
                <w:lang w:val="en-US" w:eastAsia="zh-CN"/>
              </w:rPr>
              <w:t>0.829</w:t>
            </w:r>
            <w:r>
              <w:rPr>
                <w:rFonts w:hint="default"/>
                <w:sz w:val="24"/>
                <w:szCs w:val="24"/>
                <w:lang w:val="en-US" w:eastAsia="zh-CN"/>
              </w:rPr>
              <w:t>m。</w:t>
            </w:r>
          </w:p>
          <w:p>
            <w:pPr>
              <w:adjustRightInd w:val="0"/>
              <w:snapToGrid w:val="0"/>
              <w:spacing w:line="480" w:lineRule="exact"/>
              <w:ind w:firstLine="480" w:firstLineChars="200"/>
              <w:rPr>
                <w:rFonts w:hint="eastAsia"/>
                <w:sz w:val="24"/>
                <w:szCs w:val="24"/>
              </w:rPr>
            </w:pPr>
            <w:r>
              <w:rPr>
                <w:rFonts w:hint="default"/>
                <w:sz w:val="24"/>
                <w:szCs w:val="24"/>
                <w:lang w:val="en-US" w:eastAsia="zh-CN"/>
              </w:rPr>
              <w:t>文昌路：道路起点为既有文昌路终点，由南向北沿湖而建，终点至规划湖滨大街，道路全长11</w:t>
            </w:r>
            <w:r>
              <w:rPr>
                <w:rFonts w:hint="eastAsia"/>
                <w:sz w:val="24"/>
                <w:szCs w:val="24"/>
                <w:lang w:val="en-US" w:eastAsia="zh-CN"/>
              </w:rPr>
              <w:t>39.484</w:t>
            </w:r>
            <w:r>
              <w:rPr>
                <w:rFonts w:hint="default"/>
                <w:sz w:val="24"/>
                <w:szCs w:val="24"/>
                <w:lang w:val="en-US" w:eastAsia="zh-CN"/>
              </w:rPr>
              <w:t>m。</w:t>
            </w:r>
          </w:p>
          <w:p>
            <w:pPr>
              <w:adjustRightInd w:val="0"/>
              <w:snapToGrid w:val="0"/>
              <w:spacing w:line="480" w:lineRule="exact"/>
              <w:ind w:firstLine="480" w:firstLineChars="200"/>
              <w:rPr>
                <w:rFonts w:hint="eastAsia"/>
                <w:sz w:val="24"/>
                <w:szCs w:val="24"/>
              </w:rPr>
            </w:pPr>
            <w:r>
              <w:rPr>
                <w:rFonts w:hint="eastAsia"/>
                <w:sz w:val="24"/>
                <w:szCs w:val="24"/>
                <w:lang w:val="en-US" w:eastAsia="zh-CN"/>
              </w:rPr>
              <w:t>2、临时施工营地布置</w:t>
            </w:r>
          </w:p>
          <w:p>
            <w:pPr>
              <w:adjustRightInd w:val="0"/>
              <w:snapToGrid w:val="0"/>
              <w:spacing w:line="480" w:lineRule="exact"/>
              <w:ind w:firstLine="480" w:firstLineChars="200"/>
              <w:rPr>
                <w:rFonts w:hint="default"/>
                <w:sz w:val="24"/>
                <w:szCs w:val="24"/>
                <w:lang w:val="en-US" w:eastAsia="zh-CN"/>
              </w:rPr>
            </w:pPr>
            <w:r>
              <w:rPr>
                <w:rFonts w:hint="eastAsia"/>
                <w:sz w:val="24"/>
                <w:szCs w:val="24"/>
                <w:lang w:val="en-US" w:eastAsia="zh-CN"/>
              </w:rPr>
              <w:t>本项目设置2处临时施工营地，在东外环路K2+140处布置1处临时施工营地，占地面积0.7hm</w:t>
            </w:r>
            <w:r>
              <w:rPr>
                <w:rFonts w:hint="eastAsia"/>
                <w:sz w:val="24"/>
                <w:szCs w:val="24"/>
                <w:vertAlign w:val="superscript"/>
                <w:lang w:val="en-US" w:eastAsia="zh-CN"/>
              </w:rPr>
              <w:t>2</w:t>
            </w:r>
            <w:r>
              <w:rPr>
                <w:rFonts w:hint="eastAsia"/>
                <w:sz w:val="24"/>
                <w:szCs w:val="24"/>
                <w:lang w:val="en-US" w:eastAsia="zh-CN"/>
              </w:rPr>
              <w:t>，布置在东岗村西侧约340m处，设置有原料库、机械存放库、办公生活区、洗车平台，营地内不设浴室；在湖滨大街西延K0+300处布置1处临时施工营地，占地面积0.7hm</w:t>
            </w:r>
            <w:r>
              <w:rPr>
                <w:rFonts w:hint="eastAsia"/>
                <w:sz w:val="24"/>
                <w:szCs w:val="24"/>
                <w:vertAlign w:val="superscript"/>
                <w:lang w:val="en-US" w:eastAsia="zh-CN"/>
              </w:rPr>
              <w:t>2</w:t>
            </w:r>
            <w:r>
              <w:rPr>
                <w:rFonts w:hint="eastAsia"/>
                <w:sz w:val="24"/>
                <w:szCs w:val="24"/>
                <w:lang w:val="en-US" w:eastAsia="zh-CN"/>
              </w:rPr>
              <w:t>，布置在唐家湾村西侧约200m处，设置有原料库、机械存放库、办公生活区、洗车平台，营地内不设浴室。</w:t>
            </w:r>
          </w:p>
          <w:p>
            <w:pPr>
              <w:adjustRightInd w:val="0"/>
              <w:snapToGrid w:val="0"/>
              <w:spacing w:line="480" w:lineRule="exact"/>
              <w:ind w:firstLine="480" w:firstLineChars="200"/>
              <w:rPr>
                <w:rFonts w:hint="eastAsia"/>
                <w:sz w:val="24"/>
                <w:szCs w:val="24"/>
              </w:rPr>
            </w:pPr>
            <w:r>
              <w:rPr>
                <w:rFonts w:hint="eastAsia"/>
                <w:sz w:val="24"/>
                <w:szCs w:val="24"/>
                <w:lang w:val="en-US" w:eastAsia="zh-CN"/>
              </w:rPr>
              <w:t>3、</w:t>
            </w:r>
            <w:r>
              <w:rPr>
                <w:rFonts w:hint="eastAsia"/>
                <w:sz w:val="24"/>
                <w:szCs w:val="24"/>
              </w:rPr>
              <w:t>弃土场</w:t>
            </w:r>
          </w:p>
          <w:p>
            <w:pPr>
              <w:adjustRightInd w:val="0"/>
              <w:snapToGrid w:val="0"/>
              <w:spacing w:line="480" w:lineRule="exact"/>
              <w:ind w:firstLine="480" w:firstLineChars="200"/>
              <w:rPr>
                <w:rFonts w:hint="eastAsia"/>
                <w:sz w:val="24"/>
                <w:szCs w:val="24"/>
                <w:lang w:val="en-US" w:eastAsia="zh-CN"/>
              </w:rPr>
            </w:pPr>
            <w:r>
              <w:rPr>
                <w:rFonts w:hint="eastAsia"/>
                <w:sz w:val="24"/>
                <w:szCs w:val="24"/>
                <w:lang w:val="en-US" w:eastAsia="zh-CN"/>
              </w:rPr>
              <w:t>本项目不设置弃土场，项目建设期产生路面拆除弃渣、弃土均运至市政制定渣场处理。</w:t>
            </w:r>
          </w:p>
          <w:p>
            <w:pPr>
              <w:pStyle w:val="26"/>
              <w:rPr>
                <w:rFonts w:hint="eastAsia"/>
                <w:kern w:val="0"/>
                <w:sz w:val="24"/>
                <w:szCs w:val="24"/>
                <w:lang w:val="en-US" w:eastAsia="zh-CN"/>
              </w:rPr>
            </w:pPr>
          </w:p>
          <w:p>
            <w:pPr>
              <w:pStyle w:val="26"/>
              <w:rPr>
                <w:rFonts w:hint="eastAsia"/>
                <w:kern w:val="0"/>
                <w:sz w:val="24"/>
                <w:szCs w:val="24"/>
                <w:lang w:val="en-US" w:eastAsia="zh-CN"/>
              </w:rPr>
            </w:pPr>
          </w:p>
          <w:p>
            <w:pPr>
              <w:pStyle w:val="26"/>
              <w:rPr>
                <w:rFonts w:hint="eastAsia"/>
                <w:kern w:val="0"/>
                <w:sz w:val="24"/>
                <w:szCs w:val="24"/>
                <w:lang w:val="en-US" w:eastAsia="zh-CN"/>
              </w:rPr>
            </w:pPr>
          </w:p>
          <w:p>
            <w:pPr>
              <w:pStyle w:val="26"/>
              <w:rPr>
                <w:rFonts w:hint="eastAsia"/>
                <w:kern w:val="0"/>
                <w:sz w:val="24"/>
                <w:szCs w:val="24"/>
                <w:lang w:val="en-US" w:eastAsia="zh-CN"/>
              </w:rPr>
            </w:pPr>
          </w:p>
          <w:p>
            <w:pPr>
              <w:pStyle w:val="26"/>
              <w:rPr>
                <w:rFonts w:hint="eastAsia"/>
                <w:kern w:val="0"/>
                <w:sz w:val="24"/>
                <w:szCs w:val="24"/>
                <w:lang w:val="en-US" w:eastAsia="zh-CN"/>
              </w:rPr>
            </w:pPr>
          </w:p>
          <w:p>
            <w:pPr>
              <w:pStyle w:val="26"/>
              <w:rPr>
                <w:rFonts w:hint="eastAsia"/>
                <w:kern w:val="0"/>
                <w:sz w:val="24"/>
                <w:szCs w:val="24"/>
                <w:lang w:val="en-US" w:eastAsia="zh-CN"/>
              </w:rPr>
            </w:pPr>
          </w:p>
          <w:p>
            <w:pPr>
              <w:pStyle w:val="26"/>
              <w:rPr>
                <w:rFonts w:hint="eastAsia"/>
                <w:kern w:val="0"/>
                <w:sz w:val="24"/>
                <w:szCs w:val="24"/>
                <w:lang w:val="en-US" w:eastAsia="zh-CN"/>
              </w:rPr>
            </w:pPr>
          </w:p>
          <w:p>
            <w:pPr>
              <w:pStyle w:val="26"/>
              <w:rPr>
                <w:rFonts w:hint="eastAsia"/>
                <w:kern w:val="0"/>
                <w:sz w:val="24"/>
                <w:szCs w:val="24"/>
                <w:lang w:val="en-US" w:eastAsia="zh-CN"/>
              </w:rPr>
            </w:pPr>
          </w:p>
          <w:p>
            <w:pPr>
              <w:pStyle w:val="26"/>
              <w:rPr>
                <w:rFonts w:hint="eastAsia"/>
                <w:kern w:val="0"/>
                <w:sz w:val="24"/>
                <w:szCs w:val="24"/>
                <w:lang w:val="en-US" w:eastAsia="zh-CN"/>
              </w:rPr>
            </w:pPr>
          </w:p>
          <w:p>
            <w:pPr>
              <w:pStyle w:val="26"/>
              <w:rPr>
                <w:rFonts w:hint="eastAsia"/>
                <w:kern w:val="0"/>
                <w:sz w:val="24"/>
                <w:szCs w:val="24"/>
                <w:lang w:val="en-US" w:eastAsia="zh-CN"/>
              </w:rPr>
            </w:pPr>
          </w:p>
          <w:p>
            <w:pPr>
              <w:pStyle w:val="26"/>
              <w:rPr>
                <w:rFonts w:hint="eastAsia"/>
                <w:kern w:val="0"/>
                <w:sz w:val="24"/>
                <w:szCs w:val="24"/>
                <w:lang w:val="en-US" w:eastAsia="zh-CN"/>
              </w:rPr>
            </w:pPr>
          </w:p>
          <w:p>
            <w:pPr>
              <w:pStyle w:val="26"/>
              <w:rPr>
                <w:rFonts w:hint="eastAsia"/>
                <w:kern w:val="0"/>
                <w:sz w:val="24"/>
                <w:szCs w:val="24"/>
                <w:lang w:val="en-US" w:eastAsia="zh-CN"/>
              </w:rPr>
            </w:pPr>
          </w:p>
          <w:p>
            <w:pPr>
              <w:pStyle w:val="26"/>
              <w:rPr>
                <w:rFonts w:hint="eastAsia"/>
                <w:kern w:val="0"/>
                <w:sz w:val="24"/>
                <w:szCs w:val="24"/>
                <w:lang w:val="en-US" w:eastAsia="zh-CN"/>
              </w:rPr>
            </w:pPr>
          </w:p>
          <w:p>
            <w:pPr>
              <w:pStyle w:val="26"/>
              <w:rPr>
                <w:rFonts w:hint="eastAsia"/>
                <w:kern w:val="0"/>
                <w:sz w:val="24"/>
                <w:szCs w:val="24"/>
                <w:lang w:val="en-US" w:eastAsia="zh-CN"/>
              </w:rPr>
            </w:pPr>
          </w:p>
          <w:p>
            <w:pPr>
              <w:pStyle w:val="26"/>
              <w:rPr>
                <w:rFonts w:hint="eastAsia"/>
                <w:kern w:val="0"/>
                <w:sz w:val="24"/>
                <w:szCs w:val="24"/>
                <w:lang w:val="en-US" w:eastAsia="zh-CN"/>
              </w:rPr>
            </w:pPr>
          </w:p>
          <w:p>
            <w:pPr>
              <w:pStyle w:val="26"/>
              <w:rPr>
                <w:rFonts w:hint="eastAsia"/>
                <w:kern w:val="0"/>
                <w:sz w:val="24"/>
                <w:szCs w:val="24"/>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19" w:hRule="atLeast"/>
          <w:jc w:val="center"/>
        </w:trPr>
        <w:tc>
          <w:tcPr>
            <w:tcW w:w="832" w:type="dxa"/>
            <w:tcBorders>
              <w:top w:val="single" w:color="auto" w:sz="4" w:space="0"/>
              <w:left w:val="single" w:color="auto" w:sz="8" w:space="0"/>
              <w:bottom w:val="single" w:color="auto" w:sz="4" w:space="0"/>
              <w:right w:val="single" w:color="auto" w:sz="4" w:space="0"/>
            </w:tcBorders>
            <w:vAlign w:val="center"/>
          </w:tcPr>
          <w:p>
            <w:pPr>
              <w:adjustRightInd w:val="0"/>
              <w:snapToGrid w:val="0"/>
              <w:jc w:val="center"/>
              <w:rPr>
                <w:rFonts w:ascii="宋体" w:hAnsi="宋体"/>
                <w:kern w:val="0"/>
              </w:rPr>
            </w:pPr>
            <w:r>
              <w:rPr>
                <w:rFonts w:hint="eastAsia" w:ascii="宋体" w:hAnsi="宋体"/>
                <w:kern w:val="0"/>
              </w:rPr>
              <w:t>施工方案</w:t>
            </w:r>
          </w:p>
        </w:tc>
        <w:tc>
          <w:tcPr>
            <w:tcW w:w="8549" w:type="dxa"/>
            <w:tcBorders>
              <w:top w:val="single" w:color="auto" w:sz="4" w:space="0"/>
              <w:left w:val="single" w:color="auto" w:sz="4" w:space="0"/>
              <w:bottom w:val="single" w:color="auto" w:sz="4" w:space="0"/>
              <w:right w:val="single" w:color="auto" w:sz="8" w:space="0"/>
            </w:tcBorders>
            <w:vAlign w:val="center"/>
          </w:tcPr>
          <w:p>
            <w:pPr>
              <w:keepNext w:val="0"/>
              <w:keepLines w:val="0"/>
              <w:pageBreakBefore w:val="0"/>
              <w:widowControl w:val="0"/>
              <w:kinsoku/>
              <w:wordWrap/>
              <w:overflowPunct/>
              <w:topLinePunct w:val="0"/>
              <w:autoSpaceDE/>
              <w:autoSpaceDN/>
              <w:bidi w:val="0"/>
              <w:adjustRightInd/>
              <w:snapToGrid/>
              <w:spacing w:line="480" w:lineRule="exact"/>
              <w:ind w:firstLine="482" w:firstLineChars="200"/>
              <w:jc w:val="left"/>
              <w:textAlignment w:val="auto"/>
              <w:rPr>
                <w:b/>
                <w:bCs/>
                <w:color w:val="auto"/>
                <w:sz w:val="24"/>
                <w:szCs w:val="24"/>
              </w:rPr>
            </w:pPr>
            <w:r>
              <w:rPr>
                <w:rFonts w:hint="eastAsia"/>
                <w:b/>
                <w:bCs/>
                <w:color w:val="auto"/>
                <w:sz w:val="24"/>
                <w:szCs w:val="24"/>
                <w:lang w:val="en-US" w:eastAsia="zh-CN"/>
              </w:rPr>
              <w:t>项目工艺流程简述（图示）：</w:t>
            </w:r>
          </w:p>
          <w:p>
            <w:pPr>
              <w:snapToGrid w:val="0"/>
              <w:spacing w:before="120" w:beforeLines="50" w:line="360" w:lineRule="auto"/>
              <w:rPr>
                <w:color w:val="auto"/>
              </w:rPr>
            </w:pPr>
            <w:r>
              <w:rPr>
                <w:color w:val="auto"/>
              </w:rPr>
              <mc:AlternateContent>
                <mc:Choice Requires="wps">
                  <w:drawing>
                    <wp:anchor distT="0" distB="0" distL="114300" distR="114300" simplePos="0" relativeHeight="251666432" behindDoc="0" locked="0" layoutInCell="1" allowOverlap="1">
                      <wp:simplePos x="0" y="0"/>
                      <wp:positionH relativeFrom="column">
                        <wp:posOffset>78740</wp:posOffset>
                      </wp:positionH>
                      <wp:positionV relativeFrom="paragraph">
                        <wp:posOffset>197485</wp:posOffset>
                      </wp:positionV>
                      <wp:extent cx="695960" cy="196850"/>
                      <wp:effectExtent l="0" t="0" r="0" b="0"/>
                      <wp:wrapNone/>
                      <wp:docPr id="162" name="文本框 162"/>
                      <wp:cNvGraphicFramePr/>
                      <a:graphic xmlns:a="http://schemas.openxmlformats.org/drawingml/2006/main">
                        <a:graphicData uri="http://schemas.microsoft.com/office/word/2010/wordprocessingShape">
                          <wps:wsp>
                            <wps:cNvSpPr txBox="1"/>
                            <wps:spPr>
                              <a:xfrm>
                                <a:off x="0" y="0"/>
                                <a:ext cx="695960" cy="196850"/>
                              </a:xfrm>
                              <a:prstGeom prst="rect">
                                <a:avLst/>
                              </a:prstGeom>
                              <a:noFill/>
                              <a:ln>
                                <a:noFill/>
                              </a:ln>
                            </wps:spPr>
                            <wps:txbx>
                              <w:txbxContent>
                                <w:p>
                                  <w:pPr>
                                    <w:spacing w:line="0" w:lineRule="atLeast"/>
                                    <w:rPr>
                                      <w:rFonts w:hint="eastAsia"/>
                                      <w:szCs w:val="21"/>
                                    </w:rPr>
                                  </w:pPr>
                                  <w:r>
                                    <w:rPr>
                                      <w:rFonts w:hint="eastAsia"/>
                                      <w:szCs w:val="21"/>
                                    </w:rPr>
                                    <w:t>施工工序</w:t>
                                  </w:r>
                                </w:p>
                                <w:p>
                                  <w:pPr>
                                    <w:spacing w:line="0" w:lineRule="atLeast"/>
                                    <w:rPr>
                                      <w:szCs w:val="21"/>
                                    </w:rPr>
                                  </w:pPr>
                                </w:p>
                              </w:txbxContent>
                            </wps:txbx>
                            <wps:bodyPr lIns="0" tIns="0" rIns="0" bIns="0" upright="1"/>
                          </wps:wsp>
                        </a:graphicData>
                      </a:graphic>
                    </wp:anchor>
                  </w:drawing>
                </mc:Choice>
                <mc:Fallback>
                  <w:pict>
                    <v:shape id="_x0000_s1026" o:spid="_x0000_s1026" o:spt="202" type="#_x0000_t202" style="position:absolute;left:0pt;margin-left:6.2pt;margin-top:15.55pt;height:15.5pt;width:54.8pt;z-index:251666432;mso-width-relative:page;mso-height-relative:page;" filled="f" stroked="f" coordsize="21600,21600" o:gfxdata="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CPjcfP1QAAAAgBAAAPAAAAAAAAAAEAIAAAACIAAABkcnMvZG93bnJldi54bWxQSwECFAAU&#10;AAAACACHTuJALDP2X7sBAAB1AwAADgAAAAAAAAABACAAAAAkAQAAZHJzL2Uyb0RvYy54bWxQSwUG&#10;AAAAAAYABgBZAQAAUQUAAAAA&#10;">
                      <v:fill on="f" focussize="0,0"/>
                      <v:stroke on="f"/>
                      <v:imagedata o:title=""/>
                      <o:lock v:ext="edit" aspectratio="f"/>
                      <v:textbox inset="0mm,0mm,0mm,0mm">
                        <w:txbxContent>
                          <w:p>
                            <w:pPr>
                              <w:spacing w:line="0" w:lineRule="atLeast"/>
                              <w:rPr>
                                <w:rFonts w:hint="eastAsia"/>
                                <w:szCs w:val="21"/>
                              </w:rPr>
                            </w:pPr>
                            <w:r>
                              <w:rPr>
                                <w:rFonts w:hint="eastAsia"/>
                                <w:szCs w:val="21"/>
                              </w:rPr>
                              <w:t>施工工序</w:t>
                            </w:r>
                          </w:p>
                          <w:p>
                            <w:pPr>
                              <w:spacing w:line="0" w:lineRule="atLeast"/>
                              <w:rPr>
                                <w:szCs w:val="21"/>
                              </w:rPr>
                            </w:pPr>
                          </w:p>
                        </w:txbxContent>
                      </v:textbox>
                    </v:shape>
                  </w:pict>
                </mc:Fallback>
              </mc:AlternateContent>
            </w:r>
            <w:r>
              <w:rPr>
                <w:color w:val="auto"/>
              </w:rPr>
              <mc:AlternateContent>
                <mc:Choice Requires="wps">
                  <w:drawing>
                    <wp:anchor distT="0" distB="0" distL="114300" distR="114300" simplePos="0" relativeHeight="251665408" behindDoc="0" locked="0" layoutInCell="1" allowOverlap="1">
                      <wp:simplePos x="0" y="0"/>
                      <wp:positionH relativeFrom="column">
                        <wp:posOffset>-38735</wp:posOffset>
                      </wp:positionH>
                      <wp:positionV relativeFrom="paragraph">
                        <wp:posOffset>117475</wp:posOffset>
                      </wp:positionV>
                      <wp:extent cx="914400" cy="396240"/>
                      <wp:effectExtent l="4445" t="4445" r="14605" b="18415"/>
                      <wp:wrapNone/>
                      <wp:docPr id="167" name="椭圆 167"/>
                      <wp:cNvGraphicFramePr/>
                      <a:graphic xmlns:a="http://schemas.openxmlformats.org/drawingml/2006/main">
                        <a:graphicData uri="http://schemas.microsoft.com/office/word/2010/wordprocessingShape">
                          <wps:wsp>
                            <wps:cNvSpPr/>
                            <wps:spPr>
                              <a:xfrm>
                                <a:off x="0" y="0"/>
                                <a:ext cx="914400" cy="396240"/>
                              </a:xfrm>
                              <a:prstGeom prst="ellipse">
                                <a:avLst/>
                              </a:prstGeom>
                              <a:no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3.05pt;margin-top:9.25pt;height:31.2pt;width:72pt;z-index:251665408;mso-width-relative:page;mso-height-relative:page;" filled="f" stroked="t" coordsize="21600,21600" o:gfxdata="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CY51wTWAAAACAEAAA8AAAAAAAAAAQAgAAAAIgAAAGRycy9kb3ducmV2LnhtbFBLAQIU&#10;ABQAAAAIAIdO4kBtKSP59QEAAPEDAAAOAAAAAAAAAAEAIAAAACUBAABkcnMvZTJvRG9jLnhtbFBL&#10;BQYAAAAABgAGAFkBAACMBQAAAAA=&#10;">
                      <v:fill on="f" focussize="0,0"/>
                      <v:stroke color="#000000" joinstyle="round"/>
                      <v:imagedata o:title=""/>
                      <o:lock v:ext="edit" aspectratio="f"/>
                    </v:shape>
                  </w:pict>
                </mc:Fallback>
              </mc:AlternateContent>
            </w:r>
            <w:r>
              <w:rPr>
                <w:color w:val="auto"/>
              </w:rPr>
              <mc:AlternateContent>
                <mc:Choice Requires="wps">
                  <w:drawing>
                    <wp:anchor distT="0" distB="0" distL="114300" distR="114300" simplePos="0" relativeHeight="251670528" behindDoc="0" locked="0" layoutInCell="1" allowOverlap="1">
                      <wp:simplePos x="0" y="0"/>
                      <wp:positionH relativeFrom="column">
                        <wp:posOffset>1728470</wp:posOffset>
                      </wp:positionH>
                      <wp:positionV relativeFrom="paragraph">
                        <wp:posOffset>270510</wp:posOffset>
                      </wp:positionV>
                      <wp:extent cx="686435" cy="196850"/>
                      <wp:effectExtent l="0" t="0" r="0" b="0"/>
                      <wp:wrapNone/>
                      <wp:docPr id="163" name="文本框 163"/>
                      <wp:cNvGraphicFramePr/>
                      <a:graphic xmlns:a="http://schemas.openxmlformats.org/drawingml/2006/main">
                        <a:graphicData uri="http://schemas.microsoft.com/office/word/2010/wordprocessingShape">
                          <wps:wsp>
                            <wps:cNvSpPr txBox="1"/>
                            <wps:spPr>
                              <a:xfrm>
                                <a:off x="0" y="0"/>
                                <a:ext cx="686435" cy="196850"/>
                              </a:xfrm>
                              <a:prstGeom prst="rect">
                                <a:avLst/>
                              </a:prstGeom>
                              <a:noFill/>
                              <a:ln>
                                <a:noFill/>
                              </a:ln>
                            </wps:spPr>
                            <wps:txbx>
                              <w:txbxContent>
                                <w:p>
                                  <w:pPr>
                                    <w:spacing w:line="0" w:lineRule="atLeast"/>
                                    <w:rPr>
                                      <w:rFonts w:hint="eastAsia"/>
                                      <w:szCs w:val="21"/>
                                    </w:rPr>
                                  </w:pPr>
                                  <w:r>
                                    <w:rPr>
                                      <w:rFonts w:hint="eastAsia"/>
                                      <w:szCs w:val="21"/>
                                    </w:rPr>
                                    <w:t>施工工序</w:t>
                                  </w:r>
                                </w:p>
                                <w:p>
                                  <w:pPr>
                                    <w:spacing w:line="0" w:lineRule="atLeast"/>
                                    <w:rPr>
                                      <w:szCs w:val="21"/>
                                    </w:rPr>
                                  </w:pPr>
                                </w:p>
                              </w:txbxContent>
                            </wps:txbx>
                            <wps:bodyPr lIns="0" tIns="0" rIns="0" bIns="0" upright="1"/>
                          </wps:wsp>
                        </a:graphicData>
                      </a:graphic>
                    </wp:anchor>
                  </w:drawing>
                </mc:Choice>
                <mc:Fallback>
                  <w:pict>
                    <v:shape id="_x0000_s1026" o:spid="_x0000_s1026" o:spt="202" type="#_x0000_t202" style="position:absolute;left:0pt;margin-left:136.1pt;margin-top:21.3pt;height:15.5pt;width:54.05pt;z-index:251670528;mso-width-relative:page;mso-height-relative:page;" filled="f" stroked="f" coordsize="21600,21600" o:gfxdata="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qbR+k2QAAAAkBAAAPAAAAAAAAAAEAIAAAACIAAABkcnMvZG93bnJldi54bWxQ&#10;SwECFAAUAAAACACHTuJASagkP70BAAB1AwAADgAAAAAAAAABACAAAAAoAQAAZHJzL2Uyb0RvYy54&#10;bWxQSwUGAAAAAAYABgBZAQAAVwUAAAAA&#10;">
                      <v:fill on="f" focussize="0,0"/>
                      <v:stroke on="f"/>
                      <v:imagedata o:title=""/>
                      <o:lock v:ext="edit" aspectratio="f"/>
                      <v:textbox inset="0mm,0mm,0mm,0mm">
                        <w:txbxContent>
                          <w:p>
                            <w:pPr>
                              <w:spacing w:line="0" w:lineRule="atLeast"/>
                              <w:rPr>
                                <w:rFonts w:hint="eastAsia"/>
                                <w:szCs w:val="21"/>
                              </w:rPr>
                            </w:pPr>
                            <w:r>
                              <w:rPr>
                                <w:rFonts w:hint="eastAsia"/>
                                <w:szCs w:val="21"/>
                              </w:rPr>
                              <w:t>施工工序</w:t>
                            </w:r>
                          </w:p>
                          <w:p>
                            <w:pPr>
                              <w:spacing w:line="0" w:lineRule="atLeast"/>
                              <w:rPr>
                                <w:szCs w:val="21"/>
                              </w:rPr>
                            </w:pPr>
                          </w:p>
                        </w:txbxContent>
                      </v:textbox>
                    </v:shape>
                  </w:pict>
                </mc:Fallback>
              </mc:AlternateContent>
            </w:r>
            <w:r>
              <w:rPr>
                <w:color w:val="auto"/>
              </w:rPr>
              <mc:AlternateContent>
                <mc:Choice Requires="wps">
                  <w:drawing>
                    <wp:anchor distT="0" distB="0" distL="114300" distR="114300" simplePos="0" relativeHeight="251669504" behindDoc="0" locked="0" layoutInCell="1" allowOverlap="1">
                      <wp:simplePos x="0" y="0"/>
                      <wp:positionH relativeFrom="column">
                        <wp:posOffset>1595120</wp:posOffset>
                      </wp:positionH>
                      <wp:positionV relativeFrom="paragraph">
                        <wp:posOffset>144780</wp:posOffset>
                      </wp:positionV>
                      <wp:extent cx="914400" cy="396240"/>
                      <wp:effectExtent l="4445" t="4445" r="14605" b="18415"/>
                      <wp:wrapNone/>
                      <wp:docPr id="164" name="椭圆 164"/>
                      <wp:cNvGraphicFramePr/>
                      <a:graphic xmlns:a="http://schemas.openxmlformats.org/drawingml/2006/main">
                        <a:graphicData uri="http://schemas.microsoft.com/office/word/2010/wordprocessingShape">
                          <wps:wsp>
                            <wps:cNvSpPr/>
                            <wps:spPr>
                              <a:xfrm>
                                <a:off x="0" y="0"/>
                                <a:ext cx="914400" cy="396240"/>
                              </a:xfrm>
                              <a:prstGeom prst="ellipse">
                                <a:avLst/>
                              </a:prstGeom>
                              <a:no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125.6pt;margin-top:11.4pt;height:31.2pt;width:72pt;z-index:251669504;mso-width-relative:page;mso-height-relative:page;" filled="f" stroked="t" coordsize="21600,21600" o:gfxdata="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O4jB3vWAAAACQEAAA8AAAAAAAAAAQAgAAAAIgAAAGRycy9kb3ducmV2LnhtbFBLAQIU&#10;ABQAAAAIAIdO4kCP8f+G9QEAAPEDAAAOAAAAAAAAAAEAIAAAACUBAABkcnMvZTJvRG9jLnhtbFBL&#10;BQYAAAAABgAGAFkBAACMBQAAAAA=&#10;">
                      <v:fill on="f" focussize="0,0"/>
                      <v:stroke color="#000000" joinstyle="round"/>
                      <v:imagedata o:title=""/>
                      <o:lock v:ext="edit" aspectratio="f"/>
                    </v:shape>
                  </w:pict>
                </mc:Fallback>
              </mc:AlternateContent>
            </w:r>
            <w:r>
              <w:rPr>
                <w:color w:val="auto"/>
              </w:rPr>
              <mc:AlternateContent>
                <mc:Choice Requires="wps">
                  <w:drawing>
                    <wp:anchor distT="0" distB="0" distL="114300" distR="114300" simplePos="0" relativeHeight="251672576" behindDoc="0" locked="0" layoutInCell="1" allowOverlap="1">
                      <wp:simplePos x="0" y="0"/>
                      <wp:positionH relativeFrom="column">
                        <wp:posOffset>4354195</wp:posOffset>
                      </wp:positionH>
                      <wp:positionV relativeFrom="paragraph">
                        <wp:posOffset>222885</wp:posOffset>
                      </wp:positionV>
                      <wp:extent cx="916305" cy="170180"/>
                      <wp:effectExtent l="0" t="0" r="0" b="0"/>
                      <wp:wrapNone/>
                      <wp:docPr id="166" name="文本框 166"/>
                      <wp:cNvGraphicFramePr/>
                      <a:graphic xmlns:a="http://schemas.openxmlformats.org/drawingml/2006/main">
                        <a:graphicData uri="http://schemas.microsoft.com/office/word/2010/wordprocessingShape">
                          <wps:wsp>
                            <wps:cNvSpPr txBox="1"/>
                            <wps:spPr>
                              <a:xfrm>
                                <a:off x="0" y="0"/>
                                <a:ext cx="916305" cy="170180"/>
                              </a:xfrm>
                              <a:prstGeom prst="rect">
                                <a:avLst/>
                              </a:prstGeom>
                              <a:noFill/>
                              <a:ln>
                                <a:noFill/>
                              </a:ln>
                            </wps:spPr>
                            <wps:txbx>
                              <w:txbxContent>
                                <w:p>
                                  <w:pPr>
                                    <w:spacing w:line="0" w:lineRule="atLeast"/>
                                    <w:ind w:firstLine="105" w:firstLineChars="50"/>
                                    <w:rPr>
                                      <w:rFonts w:hint="eastAsia"/>
                                      <w:szCs w:val="21"/>
                                    </w:rPr>
                                  </w:pPr>
                                  <w:r>
                                    <w:rPr>
                                      <w:rFonts w:hint="eastAsia"/>
                                      <w:szCs w:val="21"/>
                                    </w:rPr>
                                    <w:t>受影响要素</w:t>
                                  </w:r>
                                </w:p>
                                <w:p>
                                  <w:pPr>
                                    <w:spacing w:line="0" w:lineRule="atLeast"/>
                                    <w:rPr>
                                      <w:szCs w:val="21"/>
                                    </w:rPr>
                                  </w:pPr>
                                </w:p>
                              </w:txbxContent>
                            </wps:txbx>
                            <wps:bodyPr lIns="0" tIns="0" rIns="0" bIns="0" upright="1"/>
                          </wps:wsp>
                        </a:graphicData>
                      </a:graphic>
                    </wp:anchor>
                  </w:drawing>
                </mc:Choice>
                <mc:Fallback>
                  <w:pict>
                    <v:shape id="_x0000_s1026" o:spid="_x0000_s1026" o:spt="202" type="#_x0000_t202" style="position:absolute;left:0pt;margin-left:342.85pt;margin-top:17.55pt;height:13.4pt;width:72.15pt;z-index:251672576;mso-width-relative:page;mso-height-relative:page;" filled="f" stroked="f" coordsize="21600,21600" o:gfxdata="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MyZ8TYAAAACQEAAA8AAAAAAAAAAQAgAAAAIgAAAGRycy9kb3ducmV2LnhtbFBL&#10;AQIUABQAAAAIAIdO4kDgcKaYvQEAAHUDAAAOAAAAAAAAAAEAIAAAACcBAABkcnMvZTJvRG9jLnht&#10;bFBLBQYAAAAABgAGAFkBAABWBQAAAAA=&#10;">
                      <v:fill on="f" focussize="0,0"/>
                      <v:stroke on="f"/>
                      <v:imagedata o:title=""/>
                      <o:lock v:ext="edit" aspectratio="f"/>
                      <v:textbox inset="0mm,0mm,0mm,0mm">
                        <w:txbxContent>
                          <w:p>
                            <w:pPr>
                              <w:spacing w:line="0" w:lineRule="atLeast"/>
                              <w:ind w:firstLine="105" w:firstLineChars="50"/>
                              <w:rPr>
                                <w:rFonts w:hint="eastAsia"/>
                                <w:szCs w:val="21"/>
                              </w:rPr>
                            </w:pPr>
                            <w:r>
                              <w:rPr>
                                <w:rFonts w:hint="eastAsia"/>
                                <w:szCs w:val="21"/>
                              </w:rPr>
                              <w:t>受影响要素</w:t>
                            </w:r>
                          </w:p>
                          <w:p>
                            <w:pPr>
                              <w:spacing w:line="0" w:lineRule="atLeast"/>
                              <w:rPr>
                                <w:szCs w:val="21"/>
                              </w:rPr>
                            </w:pPr>
                          </w:p>
                        </w:txbxContent>
                      </v:textbox>
                    </v:shape>
                  </w:pict>
                </mc:Fallback>
              </mc:AlternateContent>
            </w:r>
            <w:r>
              <w:rPr>
                <w:color w:val="auto"/>
              </w:rPr>
              <mc:AlternateContent>
                <mc:Choice Requires="wps">
                  <w:drawing>
                    <wp:anchor distT="0" distB="0" distL="114300" distR="114300" simplePos="0" relativeHeight="251668480" behindDoc="0" locked="0" layoutInCell="1" allowOverlap="1">
                      <wp:simplePos x="0" y="0"/>
                      <wp:positionH relativeFrom="column">
                        <wp:posOffset>4349750</wp:posOffset>
                      </wp:positionH>
                      <wp:positionV relativeFrom="paragraph">
                        <wp:posOffset>120650</wp:posOffset>
                      </wp:positionV>
                      <wp:extent cx="914400" cy="396240"/>
                      <wp:effectExtent l="4445" t="4445" r="14605" b="18415"/>
                      <wp:wrapNone/>
                      <wp:docPr id="165" name="椭圆 165"/>
                      <wp:cNvGraphicFramePr/>
                      <a:graphic xmlns:a="http://schemas.openxmlformats.org/drawingml/2006/main">
                        <a:graphicData uri="http://schemas.microsoft.com/office/word/2010/wordprocessingShape">
                          <wps:wsp>
                            <wps:cNvSpPr/>
                            <wps:spPr>
                              <a:xfrm>
                                <a:off x="0" y="0"/>
                                <a:ext cx="914400" cy="396240"/>
                              </a:xfrm>
                              <a:prstGeom prst="ellipse">
                                <a:avLst/>
                              </a:prstGeom>
                              <a:noFill/>
                              <a:ln w="9525" cap="flat" cmpd="sng">
                                <a:solidFill>
                                  <a:srgbClr val="000000"/>
                                </a:solidFill>
                                <a:prstDash val="lgDashDotDot"/>
                                <a:headEnd type="none" w="med" len="med"/>
                                <a:tailEnd type="none" w="med" len="med"/>
                              </a:ln>
                            </wps:spPr>
                            <wps:bodyPr upright="1"/>
                          </wps:wsp>
                        </a:graphicData>
                      </a:graphic>
                    </wp:anchor>
                  </w:drawing>
                </mc:Choice>
                <mc:Fallback>
                  <w:pict>
                    <v:shape id="_x0000_s1026" o:spid="_x0000_s1026" o:spt="3" type="#_x0000_t3" style="position:absolute;left:0pt;margin-left:342.5pt;margin-top:9.5pt;height:31.2pt;width:72pt;z-index:251668480;mso-width-relative:page;mso-height-relative:page;" filled="f" stroked="t" coordsize="21600,21600" o:gfxdata="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bR2YaNYAAAAJAQAADwAAAAAAAAABACAAAAAiAAAAZHJzL2Rvd25yZXYueG1s&#10;UEsBAhQAFAAAAAgAh07iQNfavvv6AQAA+AMAAA4AAAAAAAAAAQAgAAAAJQEAAGRycy9lMm9Eb2Mu&#10;eG1sUEsFBgAAAAAGAAYAWQEAAJEFAAAAAA==&#10;">
                      <v:fill on="f" focussize="0,0"/>
                      <v:stroke color="#000000" joinstyle="round" dashstyle="longDashDotDot"/>
                      <v:imagedata o:title=""/>
                      <o:lock v:ext="edit" aspectratio="f"/>
                    </v:shape>
                  </w:pict>
                </mc:Fallback>
              </mc:AlternateContent>
            </w:r>
            <w:r>
              <w:rPr>
                <w:color w:val="auto"/>
              </w:rPr>
              <mc:AlternateContent>
                <mc:Choice Requires="wpg">
                  <w:drawing>
                    <wp:anchor distT="0" distB="0" distL="114300" distR="114300" simplePos="0" relativeHeight="251671552" behindDoc="0" locked="0" layoutInCell="1" allowOverlap="1">
                      <wp:simplePos x="0" y="0"/>
                      <wp:positionH relativeFrom="column">
                        <wp:posOffset>2948305</wp:posOffset>
                      </wp:positionH>
                      <wp:positionV relativeFrom="paragraph">
                        <wp:posOffset>149860</wp:posOffset>
                      </wp:positionV>
                      <wp:extent cx="936625" cy="396240"/>
                      <wp:effectExtent l="4445" t="4445" r="11430" b="18415"/>
                      <wp:wrapNone/>
                      <wp:docPr id="109" name="组合 109"/>
                      <wp:cNvGraphicFramePr/>
                      <a:graphic xmlns:a="http://schemas.openxmlformats.org/drawingml/2006/main">
                        <a:graphicData uri="http://schemas.microsoft.com/office/word/2010/wordprocessingGroup">
                          <wpg:wgp>
                            <wpg:cNvGrpSpPr/>
                            <wpg:grpSpPr>
                              <a:xfrm>
                                <a:off x="0" y="0"/>
                                <a:ext cx="936625" cy="396240"/>
                                <a:chOff x="6840" y="2469"/>
                                <a:chExt cx="1475" cy="624"/>
                              </a:xfrm>
                            </wpg:grpSpPr>
                            <wps:wsp>
                              <wps:cNvPr id="107" name="椭圆 107"/>
                              <wps:cNvSpPr/>
                              <wps:spPr>
                                <a:xfrm>
                                  <a:off x="6840" y="2469"/>
                                  <a:ext cx="1441" cy="624"/>
                                </a:xfrm>
                                <a:prstGeom prst="ellipse">
                                  <a:avLst/>
                                </a:prstGeom>
                                <a:noFill/>
                                <a:ln w="9525" cap="flat" cmpd="sng">
                                  <a:solidFill>
                                    <a:srgbClr val="000000"/>
                                  </a:solidFill>
                                  <a:prstDash val="dash"/>
                                  <a:headEnd type="none" w="med" len="med"/>
                                  <a:tailEnd type="none" w="med" len="med"/>
                                </a:ln>
                              </wps:spPr>
                              <wps:bodyPr upright="1"/>
                            </wps:wsp>
                            <wps:wsp>
                              <wps:cNvPr id="108" name="文本框 108"/>
                              <wps:cNvSpPr txBox="1"/>
                              <wps:spPr>
                                <a:xfrm>
                                  <a:off x="6879" y="2651"/>
                                  <a:ext cx="1436" cy="253"/>
                                </a:xfrm>
                                <a:prstGeom prst="rect">
                                  <a:avLst/>
                                </a:prstGeom>
                                <a:noFill/>
                                <a:ln>
                                  <a:noFill/>
                                </a:ln>
                              </wps:spPr>
                              <wps:txbx>
                                <w:txbxContent>
                                  <w:p>
                                    <w:pPr>
                                      <w:spacing w:line="0" w:lineRule="atLeast"/>
                                      <w:ind w:firstLine="105" w:firstLineChars="50"/>
                                      <w:rPr>
                                        <w:rFonts w:hint="eastAsia"/>
                                        <w:szCs w:val="21"/>
                                      </w:rPr>
                                    </w:pPr>
                                    <w:r>
                                      <w:rPr>
                                        <w:rFonts w:hint="eastAsia"/>
                                        <w:szCs w:val="21"/>
                                      </w:rPr>
                                      <w:t>污染源分析</w:t>
                                    </w:r>
                                  </w:p>
                                  <w:p>
                                    <w:pPr>
                                      <w:spacing w:line="0" w:lineRule="atLeast"/>
                                      <w:rPr>
                                        <w:szCs w:val="21"/>
                                      </w:rPr>
                                    </w:pPr>
                                  </w:p>
                                </w:txbxContent>
                              </wps:txbx>
                              <wps:bodyPr lIns="0" tIns="0" rIns="0" bIns="0" upright="1"/>
                            </wps:wsp>
                          </wpg:wgp>
                        </a:graphicData>
                      </a:graphic>
                    </wp:anchor>
                  </w:drawing>
                </mc:Choice>
                <mc:Fallback>
                  <w:pict>
                    <v:group id="_x0000_s1026" o:spid="_x0000_s1026" o:spt="203" style="position:absolute;left:0pt;margin-left:232.15pt;margin-top:11.8pt;height:31.2pt;width:73.75pt;z-index:251671552;mso-width-relative:page;mso-height-relative:page;" coordorigin="6840,2469" coordsize="1475,624" o:gfxdata="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">
                      <o:lock v:ext="edit" aspectratio="f"/>
                      <v:shape id="_x0000_s1026" o:spid="_x0000_s1026" o:spt="3" type="#_x0000_t3" style="position:absolute;left:6840;top:2469;height:624;width:1441;" filled="f" stroked="t" coordsize="21600,21600" o:gfxdata="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U7bQ68AAAA&#10;3AAAAA8AAAAAAAAAAQAgAAAAIgAAAGRycy9kb3ducmV2LnhtbFBLAQIUABQAAAAIAIdO4kAzLwWe&#10;OwAAADkAAAAQAAAAAAAAAAEAIAAAAAsBAABkcnMvc2hhcGV4bWwueG1sUEsFBgAAAAAGAAYAWwEA&#10;ALUDAAAAAA==&#10;">
                        <v:fill on="f" focussize="0,0"/>
                        <v:stroke color="#000000" joinstyle="round" dashstyle="dash"/>
                        <v:imagedata o:title=""/>
                        <o:lock v:ext="edit" aspectratio="f"/>
                      </v:shape>
                      <v:shape id="_x0000_s1026" o:spid="_x0000_s1026" o:spt="202" type="#_x0000_t202" style="position:absolute;left:6879;top:2651;height:253;width:1436;" filled="f" stroked="f" coordsize="21600,21600" o:gfxdata="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fZaZL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line="0" w:lineRule="atLeast"/>
                                <w:ind w:firstLine="105" w:firstLineChars="50"/>
                                <w:rPr>
                                  <w:rFonts w:hint="eastAsia"/>
                                  <w:szCs w:val="21"/>
                                </w:rPr>
                              </w:pPr>
                              <w:r>
                                <w:rPr>
                                  <w:rFonts w:hint="eastAsia"/>
                                  <w:szCs w:val="21"/>
                                </w:rPr>
                                <w:t>污染源分析</w:t>
                              </w:r>
                            </w:p>
                            <w:p>
                              <w:pPr>
                                <w:spacing w:line="0" w:lineRule="atLeast"/>
                                <w:rPr>
                                  <w:szCs w:val="21"/>
                                </w:rPr>
                              </w:pPr>
                            </w:p>
                          </w:txbxContent>
                        </v:textbox>
                      </v:shape>
                    </v:group>
                  </w:pict>
                </mc:Fallback>
              </mc:AlternateContent>
            </w:r>
          </w:p>
          <w:p>
            <w:pPr>
              <w:snapToGrid w:val="0"/>
              <w:spacing w:before="120" w:beforeLines="50" w:line="360" w:lineRule="auto"/>
              <w:rPr>
                <w:color w:val="auto"/>
              </w:rPr>
            </w:pPr>
          </w:p>
          <w:p>
            <w:pPr>
              <w:snapToGrid w:val="0"/>
              <w:spacing w:before="120" w:beforeLines="50" w:line="360" w:lineRule="auto"/>
              <w:rPr>
                <w:color w:val="auto"/>
              </w:rPr>
            </w:pPr>
            <w:r>
              <w:rPr>
                <w:color w:val="auto"/>
              </w:rPr>
              <mc:AlternateContent>
                <mc:Choice Requires="wps">
                  <w:drawing>
                    <wp:anchor distT="0" distB="0" distL="114300" distR="114300" simplePos="0" relativeHeight="251686912" behindDoc="0" locked="0" layoutInCell="1" allowOverlap="1">
                      <wp:simplePos x="0" y="0"/>
                      <wp:positionH relativeFrom="column">
                        <wp:posOffset>4490085</wp:posOffset>
                      </wp:positionH>
                      <wp:positionV relativeFrom="paragraph">
                        <wp:posOffset>17145</wp:posOffset>
                      </wp:positionV>
                      <wp:extent cx="698500" cy="396240"/>
                      <wp:effectExtent l="4445" t="4445" r="20955" b="18415"/>
                      <wp:wrapNone/>
                      <wp:docPr id="110" name="文本框 110"/>
                      <wp:cNvGraphicFramePr/>
                      <a:graphic xmlns:a="http://schemas.openxmlformats.org/drawingml/2006/main">
                        <a:graphicData uri="http://schemas.microsoft.com/office/word/2010/wordprocessingShape">
                          <wps:wsp>
                            <wps:cNvSpPr txBox="1"/>
                            <wps:spPr>
                              <a:xfrm>
                                <a:off x="0" y="0"/>
                                <a:ext cx="698500" cy="396240"/>
                              </a:xfrm>
                              <a:prstGeom prst="rect">
                                <a:avLst/>
                              </a:prstGeom>
                              <a:noFill/>
                              <a:ln w="9525" cap="flat" cmpd="sng">
                                <a:solidFill>
                                  <a:srgbClr val="000000"/>
                                </a:solidFill>
                                <a:prstDash val="lgDashDotDot"/>
                                <a:miter/>
                                <a:headEnd type="none" w="med" len="med"/>
                                <a:tailEnd type="none" w="med" len="med"/>
                              </a:ln>
                            </wps:spPr>
                            <wps:txbx>
                              <w:txbxContent>
                                <w:p>
                                  <w:pPr>
                                    <w:spacing w:line="0" w:lineRule="atLeast"/>
                                    <w:jc w:val="center"/>
                                    <w:rPr>
                                      <w:rFonts w:hint="eastAsia"/>
                                      <w:sz w:val="18"/>
                                      <w:szCs w:val="18"/>
                                    </w:rPr>
                                  </w:pPr>
                                  <w:r>
                                    <w:rPr>
                                      <w:rFonts w:hint="eastAsia"/>
                                      <w:sz w:val="18"/>
                                      <w:szCs w:val="18"/>
                                    </w:rPr>
                                    <w:t>声环境、</w:t>
                                  </w:r>
                                </w:p>
                                <w:p>
                                  <w:pPr>
                                    <w:spacing w:line="0" w:lineRule="atLeast"/>
                                    <w:jc w:val="center"/>
                                  </w:pPr>
                                  <w:r>
                                    <w:rPr>
                                      <w:rFonts w:hint="eastAsia"/>
                                      <w:sz w:val="18"/>
                                      <w:szCs w:val="18"/>
                                    </w:rPr>
                                    <w:t>环境空气</w:t>
                                  </w:r>
                                </w:p>
                              </w:txbxContent>
                            </wps:txbx>
                            <wps:bodyPr lIns="72000" tIns="36000" rIns="0" bIns="0" upright="1"/>
                          </wps:wsp>
                        </a:graphicData>
                      </a:graphic>
                    </wp:anchor>
                  </w:drawing>
                </mc:Choice>
                <mc:Fallback>
                  <w:pict>
                    <v:shape id="_x0000_s1026" o:spid="_x0000_s1026" o:spt="202" type="#_x0000_t202" style="position:absolute;left:0pt;margin-left:353.55pt;margin-top:1.35pt;height:31.2pt;width:55pt;z-index:251686912;mso-width-relative:page;mso-height-relative:page;" filled="f" stroked="t" coordsize="21600,21600" o:gfxdata="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9RVq&#10;0NgAAAAIAQAADwAAAAAAAAABACAAAAAiAAAAZHJzL2Rvd25yZXYueG1sUEsBAhQAFAAAAAgAh07i&#10;QEAqj/QiAgAAQwQAAA4AAAAAAAAAAQAgAAAAJwEAAGRycy9lMm9Eb2MueG1sUEsFBgAAAAAGAAYA&#10;WQEAALsFAAAAAA==&#10;">
                      <v:fill on="f" focussize="0,0"/>
                      <v:stroke color="#000000" joinstyle="miter" dashstyle="longDashDotDot"/>
                      <v:imagedata o:title=""/>
                      <o:lock v:ext="edit" aspectratio="f"/>
                      <v:textbox inset="2mm,1mm,0mm,0mm">
                        <w:txbxContent>
                          <w:p>
                            <w:pPr>
                              <w:spacing w:line="0" w:lineRule="atLeast"/>
                              <w:jc w:val="center"/>
                              <w:rPr>
                                <w:rFonts w:hint="eastAsia"/>
                                <w:sz w:val="18"/>
                                <w:szCs w:val="18"/>
                              </w:rPr>
                            </w:pPr>
                            <w:r>
                              <w:rPr>
                                <w:rFonts w:hint="eastAsia"/>
                                <w:sz w:val="18"/>
                                <w:szCs w:val="18"/>
                              </w:rPr>
                              <w:t>声环境、</w:t>
                            </w:r>
                          </w:p>
                          <w:p>
                            <w:pPr>
                              <w:spacing w:line="0" w:lineRule="atLeast"/>
                              <w:jc w:val="center"/>
                            </w:pPr>
                            <w:r>
                              <w:rPr>
                                <w:rFonts w:hint="eastAsia"/>
                                <w:sz w:val="18"/>
                                <w:szCs w:val="18"/>
                              </w:rPr>
                              <w:t>环境空气</w:t>
                            </w:r>
                          </w:p>
                        </w:txbxContent>
                      </v:textbox>
                    </v:shape>
                  </w:pict>
                </mc:Fallback>
              </mc:AlternateContent>
            </w:r>
            <w:r>
              <w:rPr>
                <w:color w:val="auto"/>
              </w:rPr>
              <mc:AlternateContent>
                <mc:Choice Requires="wps">
                  <w:drawing>
                    <wp:anchor distT="0" distB="0" distL="114300" distR="114300" simplePos="0" relativeHeight="251706368" behindDoc="0" locked="0" layoutInCell="1" allowOverlap="1">
                      <wp:simplePos x="0" y="0"/>
                      <wp:positionH relativeFrom="column">
                        <wp:posOffset>4098925</wp:posOffset>
                      </wp:positionH>
                      <wp:positionV relativeFrom="paragraph">
                        <wp:posOffset>207645</wp:posOffset>
                      </wp:positionV>
                      <wp:extent cx="399415" cy="635"/>
                      <wp:effectExtent l="0" t="37465" r="635" b="38100"/>
                      <wp:wrapNone/>
                      <wp:docPr id="97" name="直接连接符 97"/>
                      <wp:cNvGraphicFramePr/>
                      <a:graphic xmlns:a="http://schemas.openxmlformats.org/drawingml/2006/main">
                        <a:graphicData uri="http://schemas.microsoft.com/office/word/2010/wordprocessingShape">
                          <wps:wsp>
                            <wps:cNvCnPr/>
                            <wps:spPr>
                              <a:xfrm>
                                <a:off x="0" y="0"/>
                                <a:ext cx="399415" cy="63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322.75pt;margin-top:16.35pt;height:0.05pt;width:31.45pt;z-index:251706368;mso-width-relative:page;mso-height-relative:page;" filled="f" stroked="t" coordsize="21600,21600" o:gfxdata="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ItIQNPaAAAACQEAAA8AAAAAAAAAAQAgAAAAIgAAAGRycy9kb3du&#10;cmV2LnhtbFBLAQIUABQAAAAIAIdO4kBxIbQf/QEAAOsDAAAOAAAAAAAAAAEAIAAAACkBAABkcnMv&#10;ZTJvRG9jLnhtbFBLBQYAAAAABgAGAFkBAACYBQAAAAA=&#10;">
                      <v:fill on="f" focussize="0,0"/>
                      <v:stroke color="#000000" joinstyle="round" endarrow="block"/>
                      <v:imagedata o:title=""/>
                      <o:lock v:ext="edit" aspectratio="f"/>
                    </v:line>
                  </w:pict>
                </mc:Fallback>
              </mc:AlternateContent>
            </w:r>
            <w:r>
              <w:rPr>
                <w:color w:val="auto"/>
              </w:rPr>
              <mc:AlternateContent>
                <mc:Choice Requires="wps">
                  <w:drawing>
                    <wp:anchor distT="0" distB="0" distL="114300" distR="114300" simplePos="0" relativeHeight="251681792" behindDoc="0" locked="0" layoutInCell="1" allowOverlap="1">
                      <wp:simplePos x="0" y="0"/>
                      <wp:positionH relativeFrom="column">
                        <wp:posOffset>2934335</wp:posOffset>
                      </wp:positionH>
                      <wp:positionV relativeFrom="paragraph">
                        <wp:posOffset>9525</wp:posOffset>
                      </wp:positionV>
                      <wp:extent cx="1151890" cy="395605"/>
                      <wp:effectExtent l="4445" t="5080" r="5715" b="18415"/>
                      <wp:wrapNone/>
                      <wp:docPr id="114" name="文本框 114"/>
                      <wp:cNvGraphicFramePr/>
                      <a:graphic xmlns:a="http://schemas.openxmlformats.org/drawingml/2006/main">
                        <a:graphicData uri="http://schemas.microsoft.com/office/word/2010/wordprocessingShape">
                          <wps:wsp>
                            <wps:cNvSpPr txBox="1"/>
                            <wps:spPr>
                              <a:xfrm>
                                <a:off x="0" y="0"/>
                                <a:ext cx="1151890" cy="395605"/>
                              </a:xfrm>
                              <a:prstGeom prst="rect">
                                <a:avLst/>
                              </a:prstGeom>
                              <a:noFill/>
                              <a:ln w="9525" cap="flat" cmpd="sng">
                                <a:solidFill>
                                  <a:srgbClr val="000000"/>
                                </a:solidFill>
                                <a:prstDash val="dash"/>
                                <a:miter/>
                                <a:headEnd type="none" w="med" len="med"/>
                                <a:tailEnd type="none" w="med" len="med"/>
                              </a:ln>
                            </wps:spPr>
                            <wps:txbx>
                              <w:txbxContent>
                                <w:p>
                                  <w:pPr>
                                    <w:spacing w:before="120" w:beforeLines="50" w:line="0" w:lineRule="atLeast"/>
                                  </w:pPr>
                                  <w:r>
                                    <w:rPr>
                                      <w:rFonts w:hint="eastAsia"/>
                                      <w:sz w:val="18"/>
                                      <w:szCs w:val="18"/>
                                    </w:rPr>
                                    <w:t>运输噪声、物料扬尘</w:t>
                                  </w:r>
                                </w:p>
                              </w:txbxContent>
                            </wps:txbx>
                            <wps:bodyPr lIns="72000" tIns="36000" rIns="0" bIns="0" upright="1"/>
                          </wps:wsp>
                        </a:graphicData>
                      </a:graphic>
                    </wp:anchor>
                  </w:drawing>
                </mc:Choice>
                <mc:Fallback>
                  <w:pict>
                    <v:shape id="_x0000_s1026" o:spid="_x0000_s1026" o:spt="202" type="#_x0000_t202" style="position:absolute;left:0pt;margin-left:231.05pt;margin-top:0.75pt;height:31.15pt;width:90.7pt;z-index:251681792;mso-width-relative:page;mso-height-relative:page;" filled="f" stroked="t" coordsize="21600,21600" o:gfxdata="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oAnaCNcAAAAI&#10;AQAADwAAAAAAAAABACAAAAAiAAAAZHJzL2Rvd25yZXYueG1sUEsBAhQAFAAAAAgAh07iQBjgQtgd&#10;AgAAPAQAAA4AAAAAAAAAAQAgAAAAJgEAAGRycy9lMm9Eb2MueG1sUEsFBgAAAAAGAAYAWQEAALUF&#10;AAAAAA==&#10;">
                      <v:fill on="f" focussize="0,0"/>
                      <v:stroke color="#000000" joinstyle="miter" dashstyle="dash"/>
                      <v:imagedata o:title=""/>
                      <o:lock v:ext="edit" aspectratio="f"/>
                      <v:textbox inset="2mm,1mm,0mm,0mm">
                        <w:txbxContent>
                          <w:p>
                            <w:pPr>
                              <w:spacing w:before="120" w:beforeLines="50" w:line="0" w:lineRule="atLeast"/>
                            </w:pPr>
                            <w:r>
                              <w:rPr>
                                <w:rFonts w:hint="eastAsia"/>
                                <w:sz w:val="18"/>
                                <w:szCs w:val="18"/>
                              </w:rPr>
                              <w:t>运输噪声、物料扬尘</w:t>
                            </w:r>
                          </w:p>
                        </w:txbxContent>
                      </v:textbox>
                    </v:shape>
                  </w:pict>
                </mc:Fallback>
              </mc:AlternateContent>
            </w:r>
            <w:r>
              <w:rPr>
                <w:color w:val="auto"/>
              </w:rPr>
              <mc:AlternateContent>
                <mc:Choice Requires="wps">
                  <w:drawing>
                    <wp:anchor distT="0" distB="0" distL="114300" distR="114300" simplePos="0" relativeHeight="251705344" behindDoc="0" locked="0" layoutInCell="1" allowOverlap="1">
                      <wp:simplePos x="0" y="0"/>
                      <wp:positionH relativeFrom="column">
                        <wp:posOffset>2402205</wp:posOffset>
                      </wp:positionH>
                      <wp:positionV relativeFrom="paragraph">
                        <wp:posOffset>207645</wp:posOffset>
                      </wp:positionV>
                      <wp:extent cx="539750" cy="0"/>
                      <wp:effectExtent l="0" t="38100" r="12700" b="38100"/>
                      <wp:wrapNone/>
                      <wp:docPr id="105" name="直接连接符 105"/>
                      <wp:cNvGraphicFramePr/>
                      <a:graphic xmlns:a="http://schemas.openxmlformats.org/drawingml/2006/main">
                        <a:graphicData uri="http://schemas.microsoft.com/office/word/2010/wordprocessingShape">
                          <wps:wsp>
                            <wps:cNvCnPr/>
                            <wps:spPr>
                              <a:xfrm>
                                <a:off x="0" y="0"/>
                                <a:ext cx="539750" cy="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189.15pt;margin-top:16.35pt;height:0pt;width:42.5pt;z-index:251705344;mso-width-relative:page;mso-height-relative:page;" filled="f" stroked="t" coordsize="21600,21600" o:gfxdata="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3E1Gr9kAAAAJAQAADwAAAAAAAAABACAAAAAiAAAAZHJzL2Rvd25y&#10;ZXYueG1sUEsBAhQAFAAAAAgAh07iQJpKjzb9AQAA6wMAAA4AAAAAAAAAAQAgAAAAKAEAAGRycy9l&#10;Mm9Eb2MueG1sUEsFBgAAAAAGAAYAWQEAAJcFAAAAAA==&#10;">
                      <v:fill on="f" focussize="0,0"/>
                      <v:stroke color="#000000" joinstyle="round" endarrow="block"/>
                      <v:imagedata o:title=""/>
                      <o:lock v:ext="edit" aspectratio="f"/>
                    </v:line>
                  </w:pict>
                </mc:Fallback>
              </mc:AlternateContent>
            </w:r>
            <w:r>
              <w:rPr>
                <w:color w:val="auto"/>
              </w:rPr>
              <mc:AlternateContent>
                <mc:Choice Requires="wps">
                  <w:drawing>
                    <wp:anchor distT="0" distB="0" distL="114300" distR="114300" simplePos="0" relativeHeight="251674624" behindDoc="0" locked="0" layoutInCell="1" allowOverlap="1">
                      <wp:simplePos x="0" y="0"/>
                      <wp:positionH relativeFrom="column">
                        <wp:posOffset>1708785</wp:posOffset>
                      </wp:positionH>
                      <wp:positionV relativeFrom="paragraph">
                        <wp:posOffset>9525</wp:posOffset>
                      </wp:positionV>
                      <wp:extent cx="683895" cy="395605"/>
                      <wp:effectExtent l="4445" t="4445" r="16510" b="19050"/>
                      <wp:wrapNone/>
                      <wp:docPr id="100" name="文本框 100"/>
                      <wp:cNvGraphicFramePr/>
                      <a:graphic xmlns:a="http://schemas.openxmlformats.org/drawingml/2006/main">
                        <a:graphicData uri="http://schemas.microsoft.com/office/word/2010/wordprocessingShape">
                          <wps:wsp>
                            <wps:cNvSpPr txBox="1"/>
                            <wps:spPr>
                              <a:xfrm>
                                <a:off x="0" y="0"/>
                                <a:ext cx="683895" cy="395605"/>
                              </a:xfrm>
                              <a:prstGeom prst="rect">
                                <a:avLst/>
                              </a:prstGeom>
                              <a:noFill/>
                              <a:ln w="9525" cap="flat" cmpd="sng">
                                <a:solidFill>
                                  <a:srgbClr val="000000"/>
                                </a:solidFill>
                                <a:prstDash val="solid"/>
                                <a:miter/>
                                <a:headEnd type="none" w="med" len="med"/>
                                <a:tailEnd type="none" w="med" len="med"/>
                              </a:ln>
                            </wps:spPr>
                            <wps:txbx>
                              <w:txbxContent>
                                <w:p>
                                  <w:pPr>
                                    <w:spacing w:line="0" w:lineRule="atLeast"/>
                                    <w:jc w:val="center"/>
                                  </w:pPr>
                                  <w:r>
                                    <w:rPr>
                                      <w:rFonts w:hint="eastAsia"/>
                                      <w:sz w:val="18"/>
                                      <w:szCs w:val="18"/>
                                    </w:rPr>
                                    <w:t>物料运输堆放</w:t>
                                  </w:r>
                                </w:p>
                              </w:txbxContent>
                            </wps:txbx>
                            <wps:bodyPr upright="1"/>
                          </wps:wsp>
                        </a:graphicData>
                      </a:graphic>
                    </wp:anchor>
                  </w:drawing>
                </mc:Choice>
                <mc:Fallback>
                  <w:pict>
                    <v:shape id="_x0000_s1026" o:spid="_x0000_s1026" o:spt="202" type="#_x0000_t202" style="position:absolute;left:0pt;margin-left:134.55pt;margin-top:0.75pt;height:31.15pt;width:53.85pt;z-index:251674624;mso-width-relative:page;mso-height-relative:page;" filled="f" stroked="t" coordsize="21600,21600" o:gfxdata="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ALYFWnVAAAACAEAAA8AAAAAAAAAAQAgAAAAIgAAAGRycy9k&#10;b3ducmV2LnhtbFBLAQIUABQAAAAIAIdO4kDjrgJABQIAABAEAAAOAAAAAAAAAAEAIAAAACQBAABk&#10;cnMvZTJvRG9jLnhtbFBLBQYAAAAABgAGAFkBAACbBQAAAAA=&#10;">
                      <v:fill on="f" focussize="0,0"/>
                      <v:stroke color="#000000" joinstyle="miter"/>
                      <v:imagedata o:title=""/>
                      <o:lock v:ext="edit" aspectratio="f"/>
                      <v:textbox>
                        <w:txbxContent>
                          <w:p>
                            <w:pPr>
                              <w:spacing w:line="0" w:lineRule="atLeast"/>
                              <w:jc w:val="center"/>
                            </w:pPr>
                            <w:r>
                              <w:rPr>
                                <w:rFonts w:hint="eastAsia"/>
                                <w:sz w:val="18"/>
                                <w:szCs w:val="18"/>
                              </w:rPr>
                              <w:t>物料运输堆放</w:t>
                            </w:r>
                          </w:p>
                        </w:txbxContent>
                      </v:textbox>
                    </v:shape>
                  </w:pict>
                </mc:Fallback>
              </mc:AlternateContent>
            </w:r>
            <w:r>
              <w:rPr>
                <w:color w:val="auto"/>
              </w:rPr>
              <mc:AlternateContent>
                <mc:Choice Requires="wps">
                  <w:drawing>
                    <wp:anchor distT="0" distB="0" distL="114300" distR="114300" simplePos="0" relativeHeight="251695104" behindDoc="0" locked="0" layoutInCell="1" allowOverlap="1">
                      <wp:simplePos x="0" y="0"/>
                      <wp:positionH relativeFrom="column">
                        <wp:posOffset>1167765</wp:posOffset>
                      </wp:positionH>
                      <wp:positionV relativeFrom="paragraph">
                        <wp:posOffset>189865</wp:posOffset>
                      </wp:positionV>
                      <wp:extent cx="539750" cy="635"/>
                      <wp:effectExtent l="0" t="37465" r="12700" b="38100"/>
                      <wp:wrapNone/>
                      <wp:docPr id="111" name="直接连接符 111"/>
                      <wp:cNvGraphicFramePr/>
                      <a:graphic xmlns:a="http://schemas.openxmlformats.org/drawingml/2006/main">
                        <a:graphicData uri="http://schemas.microsoft.com/office/word/2010/wordprocessingShape">
                          <wps:wsp>
                            <wps:cNvCnPr/>
                            <wps:spPr>
                              <a:xfrm>
                                <a:off x="0" y="0"/>
                                <a:ext cx="539750" cy="63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91.95pt;margin-top:14.95pt;height:0.05pt;width:42.5pt;z-index:251695104;mso-width-relative:page;mso-height-relative:page;" filled="f" stroked="t" coordsize="21600,21600" o:gfxdata="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DUQsx9kAAAAJAQAADwAAAAAAAAABACAAAAAiAAAAZHJzL2Rvd25y&#10;ZXYueG1sUEsBAhQAFAAAAAgAh07iQJbGzU79AQAA7QMAAA4AAAAAAAAAAQAgAAAAKAEAAGRycy9l&#10;Mm9Eb2MueG1sUEsFBgAAAAAGAAYAWQEAAJcFAAAAAA==&#10;">
                      <v:fill on="f" focussize="0,0"/>
                      <v:stroke color="#000000" joinstyle="round" endarrow="block"/>
                      <v:imagedata o:title=""/>
                      <o:lock v:ext="edit" aspectratio="f"/>
                    </v:line>
                  </w:pict>
                </mc:Fallback>
              </mc:AlternateContent>
            </w:r>
            <w:r>
              <w:rPr>
                <w:color w:val="auto"/>
              </w:rPr>
              <mc:AlternateContent>
                <mc:Choice Requires="wps">
                  <w:drawing>
                    <wp:anchor distT="0" distB="0" distL="114300" distR="114300" simplePos="0" relativeHeight="251701248" behindDoc="0" locked="0" layoutInCell="1" allowOverlap="1">
                      <wp:simplePos x="0" y="0"/>
                      <wp:positionH relativeFrom="column">
                        <wp:posOffset>1163955</wp:posOffset>
                      </wp:positionH>
                      <wp:positionV relativeFrom="paragraph">
                        <wp:posOffset>182245</wp:posOffset>
                      </wp:positionV>
                      <wp:extent cx="0" cy="2610485"/>
                      <wp:effectExtent l="4445" t="0" r="11430" b="8890"/>
                      <wp:wrapNone/>
                      <wp:docPr id="99" name="直接连接符 99"/>
                      <wp:cNvGraphicFramePr/>
                      <a:graphic xmlns:a="http://schemas.openxmlformats.org/drawingml/2006/main">
                        <a:graphicData uri="http://schemas.microsoft.com/office/word/2010/wordprocessingShape">
                          <wps:wsp>
                            <wps:cNvCnPr/>
                            <wps:spPr>
                              <a:xfrm>
                                <a:off x="0" y="0"/>
                                <a:ext cx="0" cy="2610485"/>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91.65pt;margin-top:14.35pt;height:205.55pt;width:0pt;z-index:251701248;mso-width-relative:page;mso-height-relative:page;" filled="f" stroked="t" coordsize="21600,21600" o:gfxdata="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NZrt/fXAAAACgEAAA8AAAAAAAAAAQAgAAAAIgAAAGRycy9kb3ducmV2LnhtbFBLAQIU&#10;ABQAAAAIAIdO4kC1Mvc19AEAAOYDAAAOAAAAAAAAAAEAIAAAACYBAABkcnMvZTJvRG9jLnhtbFBL&#10;BQYAAAAABgAGAFkBAACMBQAAAAA=&#10;">
                      <v:fill on="f" focussize="0,0"/>
                      <v:stroke color="#000000" joinstyle="round"/>
                      <v:imagedata o:title=""/>
                      <o:lock v:ext="edit" aspectratio="f"/>
                    </v:line>
                  </w:pict>
                </mc:Fallback>
              </mc:AlternateContent>
            </w:r>
          </w:p>
          <w:p>
            <w:pPr>
              <w:snapToGrid w:val="0"/>
              <w:spacing w:before="120" w:beforeLines="50" w:line="360" w:lineRule="auto"/>
              <w:rPr>
                <w:color w:val="auto"/>
              </w:rPr>
            </w:pPr>
            <w:r>
              <w:rPr>
                <w:color w:val="auto"/>
              </w:rPr>
              <mc:AlternateContent>
                <mc:Choice Requires="wps">
                  <w:drawing>
                    <wp:anchor distT="0" distB="0" distL="114300" distR="114300" simplePos="0" relativeHeight="251687936" behindDoc="0" locked="0" layoutInCell="1" allowOverlap="1">
                      <wp:simplePos x="0" y="0"/>
                      <wp:positionH relativeFrom="column">
                        <wp:posOffset>4489450</wp:posOffset>
                      </wp:positionH>
                      <wp:positionV relativeFrom="paragraph">
                        <wp:posOffset>83820</wp:posOffset>
                      </wp:positionV>
                      <wp:extent cx="697865" cy="457835"/>
                      <wp:effectExtent l="4445" t="4445" r="21590" b="13970"/>
                      <wp:wrapNone/>
                      <wp:docPr id="102" name="文本框 102"/>
                      <wp:cNvGraphicFramePr/>
                      <a:graphic xmlns:a="http://schemas.openxmlformats.org/drawingml/2006/main">
                        <a:graphicData uri="http://schemas.microsoft.com/office/word/2010/wordprocessingShape">
                          <wps:wsp>
                            <wps:cNvSpPr txBox="1"/>
                            <wps:spPr>
                              <a:xfrm>
                                <a:off x="0" y="0"/>
                                <a:ext cx="697865" cy="457835"/>
                              </a:xfrm>
                              <a:prstGeom prst="rect">
                                <a:avLst/>
                              </a:prstGeom>
                              <a:noFill/>
                              <a:ln w="9525" cap="flat" cmpd="sng">
                                <a:solidFill>
                                  <a:srgbClr val="000000"/>
                                </a:solidFill>
                                <a:prstDash val="lgDashDotDot"/>
                                <a:miter/>
                                <a:headEnd type="none" w="med" len="med"/>
                                <a:tailEnd type="none" w="med" len="med"/>
                              </a:ln>
                            </wps:spPr>
                            <wps:txbx>
                              <w:txbxContent>
                                <w:p>
                                  <w:pPr>
                                    <w:spacing w:before="120" w:beforeLines="50" w:line="0" w:lineRule="atLeast"/>
                                    <w:jc w:val="center"/>
                                  </w:pPr>
                                  <w:r>
                                    <w:rPr>
                                      <w:rFonts w:hint="eastAsia"/>
                                      <w:sz w:val="18"/>
                                      <w:szCs w:val="18"/>
                                    </w:rPr>
                                    <w:t>水环境、景观</w:t>
                                  </w:r>
                                </w:p>
                              </w:txbxContent>
                            </wps:txbx>
                            <wps:bodyPr lIns="72000" tIns="36000" rIns="0" bIns="0" upright="1"/>
                          </wps:wsp>
                        </a:graphicData>
                      </a:graphic>
                    </wp:anchor>
                  </w:drawing>
                </mc:Choice>
                <mc:Fallback>
                  <w:pict>
                    <v:shape id="_x0000_s1026" o:spid="_x0000_s1026" o:spt="202" type="#_x0000_t202" style="position:absolute;left:0pt;margin-left:353.5pt;margin-top:6.6pt;height:36.05pt;width:54.95pt;z-index:251687936;mso-width-relative:page;mso-height-relative:page;" filled="f" stroked="t" coordsize="21600,21600" o:gfxdata="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FvU&#10;/IHaAAAACQEAAA8AAAAAAAAAAQAgAAAAIgAAAGRycy9kb3ducmV2LnhtbFBLAQIUABQAAAAIAIdO&#10;4kCfIqEnIQIAAEMEAAAOAAAAAAAAAAEAIAAAACkBAABkcnMvZTJvRG9jLnhtbFBLBQYAAAAABgAG&#10;AFkBAAC8BQAAAAA=&#10;">
                      <v:fill on="f" focussize="0,0"/>
                      <v:stroke color="#000000" joinstyle="miter" dashstyle="longDashDotDot"/>
                      <v:imagedata o:title=""/>
                      <o:lock v:ext="edit" aspectratio="f"/>
                      <v:textbox inset="2mm,1mm,0mm,0mm">
                        <w:txbxContent>
                          <w:p>
                            <w:pPr>
                              <w:spacing w:before="120" w:beforeLines="50" w:line="0" w:lineRule="atLeast"/>
                              <w:jc w:val="center"/>
                            </w:pPr>
                            <w:r>
                              <w:rPr>
                                <w:rFonts w:hint="eastAsia"/>
                                <w:sz w:val="18"/>
                                <w:szCs w:val="18"/>
                              </w:rPr>
                              <w:t>水环境、景观</w:t>
                            </w:r>
                          </w:p>
                        </w:txbxContent>
                      </v:textbox>
                    </v:shape>
                  </w:pict>
                </mc:Fallback>
              </mc:AlternateContent>
            </w:r>
            <w:r>
              <w:rPr>
                <w:color w:val="auto"/>
              </w:rPr>
              <mc:AlternateContent>
                <mc:Choice Requires="wps">
                  <w:drawing>
                    <wp:anchor distT="0" distB="0" distL="114300" distR="114300" simplePos="0" relativeHeight="251708416" behindDoc="0" locked="0" layoutInCell="1" allowOverlap="1">
                      <wp:simplePos x="0" y="0"/>
                      <wp:positionH relativeFrom="column">
                        <wp:posOffset>4094480</wp:posOffset>
                      </wp:positionH>
                      <wp:positionV relativeFrom="paragraph">
                        <wp:posOffset>333375</wp:posOffset>
                      </wp:positionV>
                      <wp:extent cx="399415" cy="635"/>
                      <wp:effectExtent l="0" t="37465" r="635" b="38100"/>
                      <wp:wrapNone/>
                      <wp:docPr id="98" name="直接连接符 98"/>
                      <wp:cNvGraphicFramePr/>
                      <a:graphic xmlns:a="http://schemas.openxmlformats.org/drawingml/2006/main">
                        <a:graphicData uri="http://schemas.microsoft.com/office/word/2010/wordprocessingShape">
                          <wps:wsp>
                            <wps:cNvCnPr/>
                            <wps:spPr>
                              <a:xfrm>
                                <a:off x="0" y="0"/>
                                <a:ext cx="399415" cy="63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322.4pt;margin-top:26.25pt;height:0.05pt;width:31.45pt;z-index:251708416;mso-width-relative:page;mso-height-relative:page;" filled="f" stroked="t" coordsize="21600,21600" o:gfxdata="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PH2XMraAAAACQEAAA8AAAAAAAAAAQAgAAAAIgAAAGRycy9kb3du&#10;cmV2LnhtbFBLAQIUABQAAAAIAIdO4kBkucOX/QEAAOsDAAAOAAAAAAAAAAEAIAAAACkBAABkcnMv&#10;ZTJvRG9jLnhtbFBLBQYAAAAABgAGAFkBAACYBQAAAAA=&#10;">
                      <v:fill on="f" focussize="0,0"/>
                      <v:stroke color="#000000" joinstyle="round" endarrow="block"/>
                      <v:imagedata o:title=""/>
                      <o:lock v:ext="edit" aspectratio="f"/>
                    </v:line>
                  </w:pict>
                </mc:Fallback>
              </mc:AlternateContent>
            </w:r>
            <w:r>
              <w:rPr>
                <w:color w:val="auto"/>
              </w:rPr>
              <mc:AlternateContent>
                <mc:Choice Requires="wps">
                  <w:drawing>
                    <wp:anchor distT="0" distB="0" distL="114300" distR="114300" simplePos="0" relativeHeight="251680768" behindDoc="0" locked="0" layoutInCell="1" allowOverlap="1">
                      <wp:simplePos x="0" y="0"/>
                      <wp:positionH relativeFrom="column">
                        <wp:posOffset>2924810</wp:posOffset>
                      </wp:positionH>
                      <wp:positionV relativeFrom="paragraph">
                        <wp:posOffset>135255</wp:posOffset>
                      </wp:positionV>
                      <wp:extent cx="1151890" cy="396240"/>
                      <wp:effectExtent l="4445" t="5080" r="5715" b="17780"/>
                      <wp:wrapNone/>
                      <wp:docPr id="106" name="文本框 106"/>
                      <wp:cNvGraphicFramePr/>
                      <a:graphic xmlns:a="http://schemas.openxmlformats.org/drawingml/2006/main">
                        <a:graphicData uri="http://schemas.microsoft.com/office/word/2010/wordprocessingShape">
                          <wps:wsp>
                            <wps:cNvSpPr txBox="1"/>
                            <wps:spPr>
                              <a:xfrm>
                                <a:off x="0" y="0"/>
                                <a:ext cx="1151890" cy="396240"/>
                              </a:xfrm>
                              <a:prstGeom prst="rect">
                                <a:avLst/>
                              </a:prstGeom>
                              <a:noFill/>
                              <a:ln w="9525" cap="flat" cmpd="sng">
                                <a:solidFill>
                                  <a:srgbClr val="000000"/>
                                </a:solidFill>
                                <a:prstDash val="dash"/>
                                <a:miter/>
                                <a:headEnd type="none" w="med" len="med"/>
                                <a:tailEnd type="none" w="med" len="med"/>
                              </a:ln>
                            </wps:spPr>
                            <wps:txbx>
                              <w:txbxContent>
                                <w:p>
                                  <w:pPr>
                                    <w:spacing w:line="0" w:lineRule="atLeast"/>
                                  </w:pPr>
                                  <w:r>
                                    <w:rPr>
                                      <w:rFonts w:hint="eastAsia"/>
                                      <w:sz w:val="18"/>
                                      <w:szCs w:val="18"/>
                                    </w:rPr>
                                    <w:t>生活污水、固废、景观破坏</w:t>
                                  </w:r>
                                </w:p>
                              </w:txbxContent>
                            </wps:txbx>
                            <wps:bodyPr lIns="72000" tIns="36000" rIns="0" bIns="0" upright="1"/>
                          </wps:wsp>
                        </a:graphicData>
                      </a:graphic>
                    </wp:anchor>
                  </w:drawing>
                </mc:Choice>
                <mc:Fallback>
                  <w:pict>
                    <v:shape id="_x0000_s1026" o:spid="_x0000_s1026" o:spt="202" type="#_x0000_t202" style="position:absolute;left:0pt;margin-left:230.3pt;margin-top:10.65pt;height:31.2pt;width:90.7pt;z-index:251680768;mso-width-relative:page;mso-height-relative:page;" filled="f" stroked="t" coordsize="21600,21600" o:gfxdata="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obGD7tkA&#10;AAAJAQAADwAAAAAAAAABACAAAAAiAAAAZHJzL2Rvd25yZXYueG1sUEsBAhQAFAAAAAgAh07iQLOm&#10;KvceAgAAPAQAAA4AAAAAAAAAAQAgAAAAKAEAAGRycy9lMm9Eb2MueG1sUEsFBgAAAAAGAAYAWQEA&#10;ALgFAAAAAA==&#10;">
                      <v:fill on="f" focussize="0,0"/>
                      <v:stroke color="#000000" joinstyle="miter" dashstyle="dash"/>
                      <v:imagedata o:title=""/>
                      <o:lock v:ext="edit" aspectratio="f"/>
                      <v:textbox inset="2mm,1mm,0mm,0mm">
                        <w:txbxContent>
                          <w:p>
                            <w:pPr>
                              <w:spacing w:line="0" w:lineRule="atLeast"/>
                            </w:pPr>
                            <w:r>
                              <w:rPr>
                                <w:rFonts w:hint="eastAsia"/>
                                <w:sz w:val="18"/>
                                <w:szCs w:val="18"/>
                              </w:rPr>
                              <w:t>生活污水、固废、景观破坏</w:t>
                            </w:r>
                          </w:p>
                        </w:txbxContent>
                      </v:textbox>
                    </v:shape>
                  </w:pict>
                </mc:Fallback>
              </mc:AlternateContent>
            </w:r>
            <w:r>
              <w:rPr>
                <w:color w:val="auto"/>
              </w:rPr>
              <mc:AlternateContent>
                <mc:Choice Requires="wps">
                  <w:drawing>
                    <wp:anchor distT="0" distB="0" distL="114300" distR="114300" simplePos="0" relativeHeight="251707392" behindDoc="0" locked="0" layoutInCell="1" allowOverlap="1">
                      <wp:simplePos x="0" y="0"/>
                      <wp:positionH relativeFrom="column">
                        <wp:posOffset>2402205</wp:posOffset>
                      </wp:positionH>
                      <wp:positionV relativeFrom="paragraph">
                        <wp:posOffset>333375</wp:posOffset>
                      </wp:positionV>
                      <wp:extent cx="539750" cy="0"/>
                      <wp:effectExtent l="0" t="38100" r="12700" b="38100"/>
                      <wp:wrapNone/>
                      <wp:docPr id="101" name="直接连接符 101"/>
                      <wp:cNvGraphicFramePr/>
                      <a:graphic xmlns:a="http://schemas.openxmlformats.org/drawingml/2006/main">
                        <a:graphicData uri="http://schemas.microsoft.com/office/word/2010/wordprocessingShape">
                          <wps:wsp>
                            <wps:cNvCnPr/>
                            <wps:spPr>
                              <a:xfrm>
                                <a:off x="0" y="0"/>
                                <a:ext cx="539750" cy="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189.15pt;margin-top:26.25pt;height:0pt;width:42.5pt;z-index:251707392;mso-width-relative:page;mso-height-relative:page;" filled="f" stroked="t" coordsize="21600,21600" o:gfxdata="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TuGPR9kAAAAJAQAADwAAAAAAAAABACAAAAAiAAAAZHJzL2Rvd25y&#10;ZXYueG1sUEsBAhQAFAAAAAgAh07iQLsvBTP9AQAA6wMAAA4AAAAAAAAAAQAgAAAAKAEAAGRycy9l&#10;Mm9Eb2MueG1sUEsFBgAAAAAGAAYAWQEAAJcFAAAAAA==&#10;">
                      <v:fill on="f" focussize="0,0"/>
                      <v:stroke color="#000000" joinstyle="round" endarrow="block"/>
                      <v:imagedata o:title=""/>
                      <o:lock v:ext="edit" aspectratio="f"/>
                    </v:line>
                  </w:pict>
                </mc:Fallback>
              </mc:AlternateContent>
            </w:r>
            <w:r>
              <w:rPr>
                <w:color w:val="auto"/>
              </w:rPr>
              <mc:AlternateContent>
                <mc:Choice Requires="wps">
                  <w:drawing>
                    <wp:anchor distT="0" distB="0" distL="114300" distR="114300" simplePos="0" relativeHeight="251673600" behindDoc="0" locked="0" layoutInCell="1" allowOverlap="1">
                      <wp:simplePos x="0" y="0"/>
                      <wp:positionH relativeFrom="column">
                        <wp:posOffset>1708785</wp:posOffset>
                      </wp:positionH>
                      <wp:positionV relativeFrom="paragraph">
                        <wp:posOffset>135255</wp:posOffset>
                      </wp:positionV>
                      <wp:extent cx="683895" cy="397510"/>
                      <wp:effectExtent l="4445" t="4445" r="16510" b="17145"/>
                      <wp:wrapNone/>
                      <wp:docPr id="112" name="文本框 112"/>
                      <wp:cNvGraphicFramePr/>
                      <a:graphic xmlns:a="http://schemas.openxmlformats.org/drawingml/2006/main">
                        <a:graphicData uri="http://schemas.microsoft.com/office/word/2010/wordprocessingShape">
                          <wps:wsp>
                            <wps:cNvSpPr txBox="1"/>
                            <wps:spPr>
                              <a:xfrm>
                                <a:off x="0" y="0"/>
                                <a:ext cx="683895" cy="397510"/>
                              </a:xfrm>
                              <a:prstGeom prst="rect">
                                <a:avLst/>
                              </a:prstGeom>
                              <a:noFill/>
                              <a:ln w="9525" cap="flat" cmpd="sng">
                                <a:solidFill>
                                  <a:srgbClr val="000000"/>
                                </a:solidFill>
                                <a:prstDash val="solid"/>
                                <a:miter/>
                                <a:headEnd type="none" w="med" len="med"/>
                                <a:tailEnd type="none" w="med" len="med"/>
                              </a:ln>
                            </wps:spPr>
                            <wps:txbx>
                              <w:txbxContent>
                                <w:p>
                                  <w:pPr>
                                    <w:spacing w:line="0" w:lineRule="atLeast"/>
                                    <w:jc w:val="center"/>
                                  </w:pPr>
                                  <w:r>
                                    <w:rPr>
                                      <w:rFonts w:hint="eastAsia"/>
                                      <w:sz w:val="18"/>
                                      <w:szCs w:val="18"/>
                                    </w:rPr>
                                    <w:t>施工人员进驻</w:t>
                                  </w:r>
                                </w:p>
                              </w:txbxContent>
                            </wps:txbx>
                            <wps:bodyPr upright="1"/>
                          </wps:wsp>
                        </a:graphicData>
                      </a:graphic>
                    </wp:anchor>
                  </w:drawing>
                </mc:Choice>
                <mc:Fallback>
                  <w:pict>
                    <v:shape id="_x0000_s1026" o:spid="_x0000_s1026" o:spt="202" type="#_x0000_t202" style="position:absolute;left:0pt;margin-left:134.55pt;margin-top:10.65pt;height:31.3pt;width:53.85pt;z-index:251673600;mso-width-relative:page;mso-height-relative:page;" filled="f" stroked="t" coordsize="21600,21600" o:gfxdata="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WRwHr1gAAAAkBAAAPAAAAAAAAAAEAIAAAACIAAABk&#10;cnMvZG93bnJldi54bWxQSwECFAAUAAAACACHTuJAzUOaywgCAAAQBAAADgAAAAAAAAABACAAAAAl&#10;AQAAZHJzL2Uyb0RvYy54bWxQSwUGAAAAAAYABgBZAQAAnwUAAAAA&#10;">
                      <v:fill on="f" focussize="0,0"/>
                      <v:stroke color="#000000" joinstyle="miter"/>
                      <v:imagedata o:title=""/>
                      <o:lock v:ext="edit" aspectratio="f"/>
                      <v:textbox>
                        <w:txbxContent>
                          <w:p>
                            <w:pPr>
                              <w:spacing w:line="0" w:lineRule="atLeast"/>
                              <w:jc w:val="center"/>
                            </w:pPr>
                            <w:r>
                              <w:rPr>
                                <w:rFonts w:hint="eastAsia"/>
                                <w:sz w:val="18"/>
                                <w:szCs w:val="18"/>
                              </w:rPr>
                              <w:t>施工人员进驻</w:t>
                            </w:r>
                          </w:p>
                        </w:txbxContent>
                      </v:textbox>
                    </v:shape>
                  </w:pict>
                </mc:Fallback>
              </mc:AlternateContent>
            </w:r>
            <w:r>
              <w:rPr>
                <w:color w:val="auto"/>
              </w:rPr>
              <mc:AlternateContent>
                <mc:Choice Requires="wps">
                  <w:drawing>
                    <wp:anchor distT="0" distB="0" distL="114300" distR="114300" simplePos="0" relativeHeight="251696128" behindDoc="0" locked="0" layoutInCell="1" allowOverlap="1">
                      <wp:simplePos x="0" y="0"/>
                      <wp:positionH relativeFrom="column">
                        <wp:posOffset>1172210</wp:posOffset>
                      </wp:positionH>
                      <wp:positionV relativeFrom="paragraph">
                        <wp:posOffset>333375</wp:posOffset>
                      </wp:positionV>
                      <wp:extent cx="539750" cy="635"/>
                      <wp:effectExtent l="0" t="37465" r="12700" b="38100"/>
                      <wp:wrapNone/>
                      <wp:docPr id="113" name="直接连接符 113"/>
                      <wp:cNvGraphicFramePr/>
                      <a:graphic xmlns:a="http://schemas.openxmlformats.org/drawingml/2006/main">
                        <a:graphicData uri="http://schemas.microsoft.com/office/word/2010/wordprocessingShape">
                          <wps:wsp>
                            <wps:cNvCnPr/>
                            <wps:spPr>
                              <a:xfrm>
                                <a:off x="0" y="0"/>
                                <a:ext cx="539750" cy="63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92.3pt;margin-top:26.25pt;height:0.05pt;width:42.5pt;z-index:251696128;mso-width-relative:page;mso-height-relative:page;" filled="f" stroked="t" coordsize="21600,21600" o:gfxdata="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NduZi/ZAAAACQEAAA8AAAAAAAAAAQAgAAAAIgAAAGRycy9kb3du&#10;cmV2LnhtbFBLAQIUABQAAAAIAIdO4kBJBG4W/gEAAO0DAAAOAAAAAAAAAAEAIAAAACgBAABkcnMv&#10;ZTJvRG9jLnhtbFBLBQYAAAAABgAGAFkBAACYBQAAAAA=&#10;">
                      <v:fill on="f" focussize="0,0"/>
                      <v:stroke color="#000000" joinstyle="round" endarrow="block"/>
                      <v:imagedata o:title=""/>
                      <o:lock v:ext="edit" aspectratio="f"/>
                    </v:line>
                  </w:pict>
                </mc:Fallback>
              </mc:AlternateContent>
            </w:r>
          </w:p>
          <w:p>
            <w:pPr>
              <w:snapToGrid w:val="0"/>
              <w:spacing w:before="120" w:beforeLines="50" w:line="360" w:lineRule="auto"/>
              <w:rPr>
                <w:color w:val="auto"/>
              </w:rPr>
            </w:pPr>
            <w:r>
              <w:rPr>
                <w:color w:val="auto"/>
              </w:rPr>
              <mc:AlternateContent>
                <mc:Choice Requires="wps">
                  <w:drawing>
                    <wp:anchor distT="0" distB="0" distL="114300" distR="114300" simplePos="0" relativeHeight="251693056" behindDoc="0" locked="0" layoutInCell="1" allowOverlap="1">
                      <wp:simplePos x="0" y="0"/>
                      <wp:positionH relativeFrom="column">
                        <wp:posOffset>76835</wp:posOffset>
                      </wp:positionH>
                      <wp:positionV relativeFrom="paragraph">
                        <wp:posOffset>325120</wp:posOffset>
                      </wp:positionV>
                      <wp:extent cx="678180" cy="196850"/>
                      <wp:effectExtent l="0" t="0" r="0" b="0"/>
                      <wp:wrapNone/>
                      <wp:docPr id="103" name="文本框 103"/>
                      <wp:cNvGraphicFramePr/>
                      <a:graphic xmlns:a="http://schemas.openxmlformats.org/drawingml/2006/main">
                        <a:graphicData uri="http://schemas.microsoft.com/office/word/2010/wordprocessingShape">
                          <wps:wsp>
                            <wps:cNvSpPr txBox="1"/>
                            <wps:spPr>
                              <a:xfrm>
                                <a:off x="0" y="0"/>
                                <a:ext cx="678180" cy="196850"/>
                              </a:xfrm>
                              <a:prstGeom prst="rect">
                                <a:avLst/>
                              </a:prstGeom>
                              <a:noFill/>
                              <a:ln>
                                <a:noFill/>
                              </a:ln>
                            </wps:spPr>
                            <wps:txbx>
                              <w:txbxContent>
                                <w:p>
                                  <w:pPr>
                                    <w:spacing w:line="0" w:lineRule="atLeast"/>
                                    <w:rPr>
                                      <w:rFonts w:hint="eastAsia"/>
                                      <w:szCs w:val="21"/>
                                    </w:rPr>
                                  </w:pPr>
                                  <w:r>
                                    <w:rPr>
                                      <w:rFonts w:hint="eastAsia"/>
                                      <w:szCs w:val="21"/>
                                    </w:rPr>
                                    <w:t>路基工程</w:t>
                                  </w:r>
                                </w:p>
                                <w:p>
                                  <w:pPr>
                                    <w:spacing w:line="0" w:lineRule="atLeast"/>
                                    <w:rPr>
                                      <w:sz w:val="18"/>
                                      <w:szCs w:val="18"/>
                                    </w:rPr>
                                  </w:pPr>
                                </w:p>
                              </w:txbxContent>
                            </wps:txbx>
                            <wps:bodyPr lIns="0" tIns="0" rIns="0" bIns="0" upright="1"/>
                          </wps:wsp>
                        </a:graphicData>
                      </a:graphic>
                    </wp:anchor>
                  </w:drawing>
                </mc:Choice>
                <mc:Fallback>
                  <w:pict>
                    <v:shape id="_x0000_s1026" o:spid="_x0000_s1026" o:spt="202" type="#_x0000_t202" style="position:absolute;left:0pt;margin-left:6.05pt;margin-top:25.6pt;height:15.5pt;width:53.4pt;z-index:251693056;mso-width-relative:page;mso-height-relative:page;" filled="f" stroked="f" coordsize="21600,21600" o:gfxdata="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DkRJMXWAAAACAEAAA8AAAAAAAAAAQAgAAAAIgAAAGRycy9kb3ducmV2LnhtbFBLAQIU&#10;ABQAAAAIAIdO4kDN8dzsvAEAAHUDAAAOAAAAAAAAAAEAIAAAACUBAABkcnMvZTJvRG9jLnhtbFBL&#10;BQYAAAAABgAGAFkBAABTBQAAAAA=&#10;">
                      <v:fill on="f" focussize="0,0"/>
                      <v:stroke on="f"/>
                      <v:imagedata o:title=""/>
                      <o:lock v:ext="edit" aspectratio="f"/>
                      <v:textbox inset="0mm,0mm,0mm,0mm">
                        <w:txbxContent>
                          <w:p>
                            <w:pPr>
                              <w:spacing w:line="0" w:lineRule="atLeast"/>
                              <w:rPr>
                                <w:rFonts w:hint="eastAsia"/>
                                <w:szCs w:val="21"/>
                              </w:rPr>
                            </w:pPr>
                            <w:r>
                              <w:rPr>
                                <w:rFonts w:hint="eastAsia"/>
                                <w:szCs w:val="21"/>
                              </w:rPr>
                              <w:t>路基工程</w:t>
                            </w:r>
                          </w:p>
                          <w:p>
                            <w:pPr>
                              <w:spacing w:line="0" w:lineRule="atLeast"/>
                              <w:rPr>
                                <w:sz w:val="18"/>
                                <w:szCs w:val="18"/>
                              </w:rPr>
                            </w:pPr>
                          </w:p>
                        </w:txbxContent>
                      </v:textbox>
                    </v:shape>
                  </w:pict>
                </mc:Fallback>
              </mc:AlternateContent>
            </w:r>
            <w:r>
              <w:rPr>
                <w:color w:val="auto"/>
              </w:rPr>
              <mc:AlternateContent>
                <mc:Choice Requires="wps">
                  <w:drawing>
                    <wp:anchor distT="0" distB="0" distL="114300" distR="114300" simplePos="0" relativeHeight="251667456" behindDoc="0" locked="0" layoutInCell="1" allowOverlap="1">
                      <wp:simplePos x="0" y="0"/>
                      <wp:positionH relativeFrom="column">
                        <wp:posOffset>-29845</wp:posOffset>
                      </wp:positionH>
                      <wp:positionV relativeFrom="paragraph">
                        <wp:posOffset>226695</wp:posOffset>
                      </wp:positionV>
                      <wp:extent cx="836295" cy="394970"/>
                      <wp:effectExtent l="4445" t="4445" r="16510" b="19685"/>
                      <wp:wrapNone/>
                      <wp:docPr id="104" name="椭圆 104"/>
                      <wp:cNvGraphicFramePr/>
                      <a:graphic xmlns:a="http://schemas.openxmlformats.org/drawingml/2006/main">
                        <a:graphicData uri="http://schemas.microsoft.com/office/word/2010/wordprocessingShape">
                          <wps:wsp>
                            <wps:cNvSpPr/>
                            <wps:spPr>
                              <a:xfrm>
                                <a:off x="0" y="0"/>
                                <a:ext cx="836295" cy="394970"/>
                              </a:xfrm>
                              <a:prstGeom prst="ellipse">
                                <a:avLst/>
                              </a:prstGeom>
                              <a:no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2.35pt;margin-top:17.85pt;height:31.1pt;width:65.85pt;z-index:251667456;mso-width-relative:page;mso-height-relative:page;" filled="f" stroked="t" coordsize="21600,21600" o:gfxdata="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YXEY1tcAAAAIAQAADwAAAAAAAAABACAAAAAiAAAAZHJzL2Rvd25yZXYueG1sUEsB&#10;AhQAFAAAAAgAh07iQNBQqMj2AQAA8QMAAA4AAAAAAAAAAQAgAAAAJgEAAGRycy9lMm9Eb2MueG1s&#10;UEsFBgAAAAAGAAYAWQEAAI4FAAAAAA==&#10;">
                      <v:fill on="f" focussize="0,0"/>
                      <v:stroke color="#000000" joinstyle="round"/>
                      <v:imagedata o:title=""/>
                      <o:lock v:ext="edit" aspectratio="f"/>
                    </v:shape>
                  </w:pict>
                </mc:Fallback>
              </mc:AlternateContent>
            </w:r>
            <w:r>
              <w:rPr>
                <w:color w:val="auto"/>
              </w:rPr>
              <mc:AlternateContent>
                <mc:Choice Requires="wps">
                  <w:drawing>
                    <wp:anchor distT="0" distB="0" distL="114300" distR="114300" simplePos="0" relativeHeight="251688960" behindDoc="0" locked="0" layoutInCell="1" allowOverlap="1">
                      <wp:simplePos x="0" y="0"/>
                      <wp:positionH relativeFrom="column">
                        <wp:posOffset>4498340</wp:posOffset>
                      </wp:positionH>
                      <wp:positionV relativeFrom="paragraph">
                        <wp:posOffset>242570</wp:posOffset>
                      </wp:positionV>
                      <wp:extent cx="696595" cy="396240"/>
                      <wp:effectExtent l="4445" t="4445" r="22860" b="18415"/>
                      <wp:wrapNone/>
                      <wp:docPr id="115" name="文本框 115"/>
                      <wp:cNvGraphicFramePr/>
                      <a:graphic xmlns:a="http://schemas.openxmlformats.org/drawingml/2006/main">
                        <a:graphicData uri="http://schemas.microsoft.com/office/word/2010/wordprocessingShape">
                          <wps:wsp>
                            <wps:cNvSpPr txBox="1"/>
                            <wps:spPr>
                              <a:xfrm>
                                <a:off x="0" y="0"/>
                                <a:ext cx="696595" cy="396240"/>
                              </a:xfrm>
                              <a:prstGeom prst="rect">
                                <a:avLst/>
                              </a:prstGeom>
                              <a:noFill/>
                              <a:ln w="9525" cap="flat" cmpd="sng">
                                <a:solidFill>
                                  <a:srgbClr val="000000"/>
                                </a:solidFill>
                                <a:prstDash val="lgDashDotDot"/>
                                <a:miter/>
                                <a:headEnd type="none" w="med" len="med"/>
                                <a:tailEnd type="none" w="med" len="med"/>
                              </a:ln>
                            </wps:spPr>
                            <wps:txbx>
                              <w:txbxContent>
                                <w:p>
                                  <w:pPr>
                                    <w:spacing w:line="0" w:lineRule="atLeast"/>
                                    <w:jc w:val="center"/>
                                    <w:rPr>
                                      <w:rFonts w:hint="eastAsia"/>
                                      <w:sz w:val="18"/>
                                      <w:szCs w:val="18"/>
                                    </w:rPr>
                                  </w:pPr>
                                  <w:r>
                                    <w:rPr>
                                      <w:rFonts w:hint="eastAsia"/>
                                      <w:sz w:val="18"/>
                                      <w:szCs w:val="18"/>
                                    </w:rPr>
                                    <w:t>生态环境、</w:t>
                                  </w:r>
                                </w:p>
                                <w:p>
                                  <w:pPr>
                                    <w:spacing w:line="0" w:lineRule="atLeast"/>
                                    <w:jc w:val="center"/>
                                  </w:pPr>
                                  <w:r>
                                    <w:rPr>
                                      <w:rFonts w:hint="eastAsia"/>
                                      <w:sz w:val="18"/>
                                      <w:szCs w:val="18"/>
                                    </w:rPr>
                                    <w:t>环境空气</w:t>
                                  </w:r>
                                </w:p>
                              </w:txbxContent>
                            </wps:txbx>
                            <wps:bodyPr lIns="72000" tIns="36000" rIns="0" bIns="0" upright="1"/>
                          </wps:wsp>
                        </a:graphicData>
                      </a:graphic>
                    </wp:anchor>
                  </w:drawing>
                </mc:Choice>
                <mc:Fallback>
                  <w:pict>
                    <v:shape id="_x0000_s1026" o:spid="_x0000_s1026" o:spt="202" type="#_x0000_t202" style="position:absolute;left:0pt;margin-left:354.2pt;margin-top:19.1pt;height:31.2pt;width:54.85pt;z-index:251688960;mso-width-relative:page;mso-height-relative:page;" filled="f" stroked="t" coordsize="21600,21600" o:gfxdata="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Deq&#10;u6/aAAAACgEAAA8AAAAAAAAAAQAgAAAAIgAAAGRycy9kb3ducmV2LnhtbFBLAQIUABQAAAAIAIdO&#10;4kBlfowfIQIAAEMEAAAOAAAAAAAAAAEAIAAAACkBAABkcnMvZTJvRG9jLnhtbFBLBQYAAAAABgAG&#10;AFkBAAC8BQAAAAA=&#10;">
                      <v:fill on="f" focussize="0,0"/>
                      <v:stroke color="#000000" joinstyle="miter" dashstyle="longDashDotDot"/>
                      <v:imagedata o:title=""/>
                      <o:lock v:ext="edit" aspectratio="f"/>
                      <v:textbox inset="2mm,1mm,0mm,0mm">
                        <w:txbxContent>
                          <w:p>
                            <w:pPr>
                              <w:spacing w:line="0" w:lineRule="atLeast"/>
                              <w:jc w:val="center"/>
                              <w:rPr>
                                <w:rFonts w:hint="eastAsia"/>
                                <w:sz w:val="18"/>
                                <w:szCs w:val="18"/>
                              </w:rPr>
                            </w:pPr>
                            <w:r>
                              <w:rPr>
                                <w:rFonts w:hint="eastAsia"/>
                                <w:sz w:val="18"/>
                                <w:szCs w:val="18"/>
                              </w:rPr>
                              <w:t>生态环境、</w:t>
                            </w:r>
                          </w:p>
                          <w:p>
                            <w:pPr>
                              <w:spacing w:line="0" w:lineRule="atLeast"/>
                              <w:jc w:val="center"/>
                            </w:pPr>
                            <w:r>
                              <w:rPr>
                                <w:rFonts w:hint="eastAsia"/>
                                <w:sz w:val="18"/>
                                <w:szCs w:val="18"/>
                              </w:rPr>
                              <w:t>环境空气</w:t>
                            </w:r>
                          </w:p>
                        </w:txbxContent>
                      </v:textbox>
                    </v:shape>
                  </w:pict>
                </mc:Fallback>
              </mc:AlternateContent>
            </w:r>
            <w:r>
              <w:rPr>
                <w:color w:val="auto"/>
              </w:rPr>
              <mc:AlternateContent>
                <mc:Choice Requires="wps">
                  <w:drawing>
                    <wp:anchor distT="0" distB="0" distL="114300" distR="114300" simplePos="0" relativeHeight="251682816" behindDoc="0" locked="0" layoutInCell="1" allowOverlap="1">
                      <wp:simplePos x="0" y="0"/>
                      <wp:positionH relativeFrom="column">
                        <wp:posOffset>2934335</wp:posOffset>
                      </wp:positionH>
                      <wp:positionV relativeFrom="paragraph">
                        <wp:posOffset>260985</wp:posOffset>
                      </wp:positionV>
                      <wp:extent cx="1151890" cy="395605"/>
                      <wp:effectExtent l="4445" t="5080" r="5715" b="18415"/>
                      <wp:wrapNone/>
                      <wp:docPr id="96" name="文本框 96"/>
                      <wp:cNvGraphicFramePr/>
                      <a:graphic xmlns:a="http://schemas.openxmlformats.org/drawingml/2006/main">
                        <a:graphicData uri="http://schemas.microsoft.com/office/word/2010/wordprocessingShape">
                          <wps:wsp>
                            <wps:cNvSpPr txBox="1"/>
                            <wps:spPr>
                              <a:xfrm>
                                <a:off x="0" y="0"/>
                                <a:ext cx="1151890" cy="395605"/>
                              </a:xfrm>
                              <a:prstGeom prst="rect">
                                <a:avLst/>
                              </a:prstGeom>
                              <a:noFill/>
                              <a:ln w="9525" cap="flat" cmpd="sng">
                                <a:solidFill>
                                  <a:srgbClr val="000000"/>
                                </a:solidFill>
                                <a:prstDash val="dash"/>
                                <a:miter/>
                                <a:headEnd type="none" w="med" len="med"/>
                                <a:tailEnd type="none" w="med" len="med"/>
                              </a:ln>
                            </wps:spPr>
                            <wps:txbx>
                              <w:txbxContent>
                                <w:p>
                                  <w:pPr>
                                    <w:spacing w:before="120" w:beforeLines="50" w:line="0" w:lineRule="atLeast"/>
                                  </w:pPr>
                                  <w:r>
                                    <w:rPr>
                                      <w:rFonts w:hint="eastAsia"/>
                                      <w:sz w:val="18"/>
                                      <w:szCs w:val="18"/>
                                    </w:rPr>
                                    <w:t>水土流失、扬尘污染</w:t>
                                  </w:r>
                                </w:p>
                              </w:txbxContent>
                            </wps:txbx>
                            <wps:bodyPr lIns="72000" tIns="36000" rIns="0" bIns="0" upright="1"/>
                          </wps:wsp>
                        </a:graphicData>
                      </a:graphic>
                    </wp:anchor>
                  </w:drawing>
                </mc:Choice>
                <mc:Fallback>
                  <w:pict>
                    <v:shape id="_x0000_s1026" o:spid="_x0000_s1026" o:spt="202" type="#_x0000_t202" style="position:absolute;left:0pt;margin-left:231.05pt;margin-top:20.55pt;height:31.15pt;width:90.7pt;z-index:251682816;mso-width-relative:page;mso-height-relative:page;" filled="f" stroked="t" coordsize="21600,21600" o:gfxdata="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Q4bAq2AAAAAoB&#10;AAAPAAAAAAAAAAEAIAAAACIAAABkcnMvZG93bnJldi54bWxQSwECFAAUAAAACACHTuJAlP9DJRsC&#10;AAA6BAAADgAAAAAAAAABACAAAAAnAQAAZHJzL2Uyb0RvYy54bWxQSwUGAAAAAAYABgBZAQAAtAUA&#10;AAAA&#10;">
                      <v:fill on="f" focussize="0,0"/>
                      <v:stroke color="#000000" joinstyle="miter" dashstyle="dash"/>
                      <v:imagedata o:title=""/>
                      <o:lock v:ext="edit" aspectratio="f"/>
                      <v:textbox inset="2mm,1mm,0mm,0mm">
                        <w:txbxContent>
                          <w:p>
                            <w:pPr>
                              <w:spacing w:before="120" w:beforeLines="50" w:line="0" w:lineRule="atLeast"/>
                            </w:pPr>
                            <w:r>
                              <w:rPr>
                                <w:rFonts w:hint="eastAsia"/>
                                <w:sz w:val="18"/>
                                <w:szCs w:val="18"/>
                              </w:rPr>
                              <w:t>水土流失、扬尘污染</w:t>
                            </w:r>
                          </w:p>
                        </w:txbxContent>
                      </v:textbox>
                    </v:shape>
                  </w:pict>
                </mc:Fallback>
              </mc:AlternateContent>
            </w:r>
            <w:r>
              <w:rPr>
                <w:color w:val="auto"/>
              </w:rPr>
              <mc:AlternateContent>
                <mc:Choice Requires="wps">
                  <w:drawing>
                    <wp:anchor distT="0" distB="0" distL="114300" distR="114300" simplePos="0" relativeHeight="251675648" behindDoc="0" locked="0" layoutInCell="1" allowOverlap="1">
                      <wp:simplePos x="0" y="0"/>
                      <wp:positionH relativeFrom="column">
                        <wp:posOffset>1706245</wp:posOffset>
                      </wp:positionH>
                      <wp:positionV relativeFrom="paragraph">
                        <wp:posOffset>260985</wp:posOffset>
                      </wp:positionV>
                      <wp:extent cx="681990" cy="394970"/>
                      <wp:effectExtent l="4445" t="4445" r="18415" b="19685"/>
                      <wp:wrapNone/>
                      <wp:docPr id="138" name="文本框 138"/>
                      <wp:cNvGraphicFramePr/>
                      <a:graphic xmlns:a="http://schemas.openxmlformats.org/drawingml/2006/main">
                        <a:graphicData uri="http://schemas.microsoft.com/office/word/2010/wordprocessingShape">
                          <wps:wsp>
                            <wps:cNvSpPr txBox="1"/>
                            <wps:spPr>
                              <a:xfrm>
                                <a:off x="0" y="0"/>
                                <a:ext cx="681990" cy="394970"/>
                              </a:xfrm>
                              <a:prstGeom prst="rect">
                                <a:avLst/>
                              </a:prstGeom>
                              <a:noFill/>
                              <a:ln w="9525" cap="flat" cmpd="sng">
                                <a:solidFill>
                                  <a:srgbClr val="000000"/>
                                </a:solidFill>
                                <a:prstDash val="solid"/>
                                <a:miter/>
                                <a:headEnd type="none" w="med" len="med"/>
                                <a:tailEnd type="none" w="med" len="med"/>
                              </a:ln>
                            </wps:spPr>
                            <wps:txbx>
                              <w:txbxContent>
                                <w:p>
                                  <w:pPr>
                                    <w:spacing w:line="0" w:lineRule="atLeast"/>
                                    <w:jc w:val="center"/>
                                  </w:pPr>
                                  <w:r>
                                    <w:rPr>
                                      <w:rFonts w:hint="eastAsia"/>
                                      <w:sz w:val="18"/>
                                      <w:szCs w:val="18"/>
                                    </w:rPr>
                                    <w:t>路基开挖</w:t>
                                  </w:r>
                                </w:p>
                              </w:txbxContent>
                            </wps:txbx>
                            <wps:bodyPr lIns="91440" tIns="108000" rIns="91440" bIns="45720" upright="1"/>
                          </wps:wsp>
                        </a:graphicData>
                      </a:graphic>
                    </wp:anchor>
                  </w:drawing>
                </mc:Choice>
                <mc:Fallback>
                  <w:pict>
                    <v:shape id="_x0000_s1026" o:spid="_x0000_s1026" o:spt="202" type="#_x0000_t202" style="position:absolute;left:0pt;margin-left:134.35pt;margin-top:20.55pt;height:31.1pt;width:53.7pt;z-index:251675648;mso-width-relative:page;mso-height-relative:page;" filled="f" stroked="t" coordsize="21600,21600" o:gfxdata="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W&#10;zHFv1wAAAAoBAAAPAAAAAAAAAAEAIAAAACIAAABkcnMvZG93bnJldi54bWxQSwECFAAUAAAACACH&#10;TuJA6zqZViUCAABFBAAADgAAAAAAAAABACAAAAAmAQAAZHJzL2Uyb0RvYy54bWxQSwUGAAAAAAYA&#10;BgBZAQAAvQUAAAAA&#10;">
                      <v:fill on="f" focussize="0,0"/>
                      <v:stroke color="#000000" joinstyle="miter"/>
                      <v:imagedata o:title=""/>
                      <o:lock v:ext="edit" aspectratio="f"/>
                      <v:textbox inset="2.54mm,3mm,2.54mm,1.27mm">
                        <w:txbxContent>
                          <w:p>
                            <w:pPr>
                              <w:spacing w:line="0" w:lineRule="atLeast"/>
                              <w:jc w:val="center"/>
                            </w:pPr>
                            <w:r>
                              <w:rPr>
                                <w:rFonts w:hint="eastAsia"/>
                                <w:sz w:val="18"/>
                                <w:szCs w:val="18"/>
                              </w:rPr>
                              <w:t>路基开挖</w:t>
                            </w:r>
                          </w:p>
                        </w:txbxContent>
                      </v:textbox>
                    </v:shape>
                  </w:pict>
                </mc:Fallback>
              </mc:AlternateContent>
            </w:r>
          </w:p>
          <w:p>
            <w:pPr>
              <w:snapToGrid w:val="0"/>
              <w:spacing w:before="120" w:beforeLines="50" w:line="360" w:lineRule="auto"/>
              <w:rPr>
                <w:color w:val="auto"/>
              </w:rPr>
            </w:pPr>
            <w:r>
              <w:rPr>
                <w:color w:val="auto"/>
              </w:rPr>
              <mc:AlternateContent>
                <mc:Choice Requires="wps">
                  <w:drawing>
                    <wp:anchor distT="0" distB="0" distL="114300" distR="114300" simplePos="0" relativeHeight="251694080" behindDoc="0" locked="0" layoutInCell="1" allowOverlap="1">
                      <wp:simplePos x="0" y="0"/>
                      <wp:positionH relativeFrom="column">
                        <wp:posOffset>812800</wp:posOffset>
                      </wp:positionH>
                      <wp:positionV relativeFrom="paragraph">
                        <wp:posOffset>78740</wp:posOffset>
                      </wp:positionV>
                      <wp:extent cx="360045" cy="0"/>
                      <wp:effectExtent l="0" t="38100" r="1905" b="38100"/>
                      <wp:wrapNone/>
                      <wp:docPr id="152" name="直接连接符 152"/>
                      <wp:cNvGraphicFramePr/>
                      <a:graphic xmlns:a="http://schemas.openxmlformats.org/drawingml/2006/main">
                        <a:graphicData uri="http://schemas.microsoft.com/office/word/2010/wordprocessingShape">
                          <wps:wsp>
                            <wps:cNvCnPr/>
                            <wps:spPr>
                              <a:xfrm>
                                <a:off x="0" y="0"/>
                                <a:ext cx="360045" cy="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64pt;margin-top:6.2pt;height:0pt;width:28.35pt;z-index:251694080;mso-width-relative:page;mso-height-relative:page;" filled="f" stroked="t" coordsize="21600,21600" o:gfxdata="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EA1Ys2AAAAAkBAAAPAAAAAAAAAAEAIAAAACIAAABkcnMvZG93bnJl&#10;di54bWxQSwECFAAUAAAACACHTuJAGQQNFP0BAADrAwAADgAAAAAAAAABACAAAAAnAQAAZHJzL2Uy&#10;b0RvYy54bWxQSwUGAAAAAAYABgBZAQAAlgUAAAAA&#10;">
                      <v:fill on="f" focussize="0,0"/>
                      <v:stroke color="#000000" joinstyle="round" endarrow="block"/>
                      <v:imagedata o:title=""/>
                      <o:lock v:ext="edit" aspectratio="f"/>
                    </v:line>
                  </w:pict>
                </mc:Fallback>
              </mc:AlternateContent>
            </w:r>
            <w:r>
              <w:rPr>
                <w:color w:val="auto"/>
              </w:rPr>
              <mc:AlternateContent>
                <mc:Choice Requires="wps">
                  <w:drawing>
                    <wp:anchor distT="0" distB="0" distL="114300" distR="114300" simplePos="0" relativeHeight="251689984" behindDoc="0" locked="0" layoutInCell="1" allowOverlap="1">
                      <wp:simplePos x="0" y="0"/>
                      <wp:positionH relativeFrom="column">
                        <wp:posOffset>4507230</wp:posOffset>
                      </wp:positionH>
                      <wp:positionV relativeFrom="paragraph">
                        <wp:posOffset>360045</wp:posOffset>
                      </wp:positionV>
                      <wp:extent cx="671195" cy="396240"/>
                      <wp:effectExtent l="4445" t="5080" r="10160" b="17780"/>
                      <wp:wrapNone/>
                      <wp:docPr id="155" name="文本框 155"/>
                      <wp:cNvGraphicFramePr/>
                      <a:graphic xmlns:a="http://schemas.openxmlformats.org/drawingml/2006/main">
                        <a:graphicData uri="http://schemas.microsoft.com/office/word/2010/wordprocessingShape">
                          <wps:wsp>
                            <wps:cNvSpPr txBox="1"/>
                            <wps:spPr>
                              <a:xfrm>
                                <a:off x="0" y="0"/>
                                <a:ext cx="671195" cy="396240"/>
                              </a:xfrm>
                              <a:prstGeom prst="rect">
                                <a:avLst/>
                              </a:prstGeom>
                              <a:noFill/>
                              <a:ln w="9525" cap="flat" cmpd="sng">
                                <a:solidFill>
                                  <a:srgbClr val="000000"/>
                                </a:solidFill>
                                <a:prstDash val="lgDashDotDot"/>
                                <a:miter/>
                                <a:headEnd type="none" w="med" len="med"/>
                                <a:tailEnd type="none" w="med" len="med"/>
                              </a:ln>
                            </wps:spPr>
                            <wps:txbx>
                              <w:txbxContent>
                                <w:p>
                                  <w:pPr>
                                    <w:spacing w:line="0" w:lineRule="atLeast"/>
                                    <w:jc w:val="center"/>
                                    <w:rPr>
                                      <w:rFonts w:hint="eastAsia"/>
                                      <w:sz w:val="18"/>
                                      <w:szCs w:val="18"/>
                                    </w:rPr>
                                  </w:pPr>
                                  <w:r>
                                    <w:rPr>
                                      <w:rFonts w:hint="eastAsia"/>
                                      <w:sz w:val="18"/>
                                      <w:szCs w:val="18"/>
                                    </w:rPr>
                                    <w:t>环境空气、</w:t>
                                  </w:r>
                                </w:p>
                                <w:p>
                                  <w:pPr>
                                    <w:spacing w:line="0" w:lineRule="atLeast"/>
                                    <w:jc w:val="center"/>
                                  </w:pPr>
                                  <w:r>
                                    <w:rPr>
                                      <w:rFonts w:hint="eastAsia"/>
                                      <w:sz w:val="18"/>
                                      <w:szCs w:val="18"/>
                                    </w:rPr>
                                    <w:t>水环境</w:t>
                                  </w:r>
                                </w:p>
                              </w:txbxContent>
                            </wps:txbx>
                            <wps:bodyPr lIns="72000" tIns="36000" rIns="0" bIns="0" upright="1"/>
                          </wps:wsp>
                        </a:graphicData>
                      </a:graphic>
                    </wp:anchor>
                  </w:drawing>
                </mc:Choice>
                <mc:Fallback>
                  <w:pict>
                    <v:shape id="_x0000_s1026" o:spid="_x0000_s1026" o:spt="202" type="#_x0000_t202" style="position:absolute;left:0pt;margin-left:354.9pt;margin-top:28.35pt;height:31.2pt;width:52.85pt;z-index:251689984;mso-width-relative:page;mso-height-relative:page;" filled="f" stroked="t" coordsize="21600,21600" o:gfxdata="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0g&#10;MCDZAAAACgEAAA8AAAAAAAAAAQAgAAAAIgAAAGRycy9kb3ducmV2LnhtbFBLAQIUABQAAAAIAIdO&#10;4kD1utzmIgIAAEMEAAAOAAAAAAAAAAEAIAAAACgBAABkcnMvZTJvRG9jLnhtbFBLBQYAAAAABgAG&#10;AFkBAAC8BQAAAAA=&#10;">
                      <v:fill on="f" focussize="0,0"/>
                      <v:stroke color="#000000" joinstyle="miter" dashstyle="longDashDotDot"/>
                      <v:imagedata o:title=""/>
                      <o:lock v:ext="edit" aspectratio="f"/>
                      <v:textbox inset="2mm,1mm,0mm,0mm">
                        <w:txbxContent>
                          <w:p>
                            <w:pPr>
                              <w:spacing w:line="0" w:lineRule="atLeast"/>
                              <w:jc w:val="center"/>
                              <w:rPr>
                                <w:rFonts w:hint="eastAsia"/>
                                <w:sz w:val="18"/>
                                <w:szCs w:val="18"/>
                              </w:rPr>
                            </w:pPr>
                            <w:r>
                              <w:rPr>
                                <w:rFonts w:hint="eastAsia"/>
                                <w:sz w:val="18"/>
                                <w:szCs w:val="18"/>
                              </w:rPr>
                              <w:t>环境空气、</w:t>
                            </w:r>
                          </w:p>
                          <w:p>
                            <w:pPr>
                              <w:spacing w:line="0" w:lineRule="atLeast"/>
                              <w:jc w:val="center"/>
                            </w:pPr>
                            <w:r>
                              <w:rPr>
                                <w:rFonts w:hint="eastAsia"/>
                                <w:sz w:val="18"/>
                                <w:szCs w:val="18"/>
                              </w:rPr>
                              <w:t>水环境</w:t>
                            </w:r>
                          </w:p>
                        </w:txbxContent>
                      </v:textbox>
                    </v:shape>
                  </w:pict>
                </mc:Fallback>
              </mc:AlternateContent>
            </w:r>
            <w:r>
              <w:rPr>
                <w:color w:val="auto"/>
              </w:rPr>
              <mc:AlternateContent>
                <mc:Choice Requires="wps">
                  <w:drawing>
                    <wp:anchor distT="0" distB="0" distL="114300" distR="114300" simplePos="0" relativeHeight="251710464" behindDoc="0" locked="0" layoutInCell="1" allowOverlap="1">
                      <wp:simplePos x="0" y="0"/>
                      <wp:positionH relativeFrom="column">
                        <wp:posOffset>4098925</wp:posOffset>
                      </wp:positionH>
                      <wp:positionV relativeFrom="paragraph">
                        <wp:posOffset>76200</wp:posOffset>
                      </wp:positionV>
                      <wp:extent cx="389890" cy="635"/>
                      <wp:effectExtent l="0" t="37465" r="10160" b="38100"/>
                      <wp:wrapNone/>
                      <wp:docPr id="141" name="直接连接符 141"/>
                      <wp:cNvGraphicFramePr/>
                      <a:graphic xmlns:a="http://schemas.openxmlformats.org/drawingml/2006/main">
                        <a:graphicData uri="http://schemas.microsoft.com/office/word/2010/wordprocessingShape">
                          <wps:wsp>
                            <wps:cNvCnPr/>
                            <wps:spPr>
                              <a:xfrm>
                                <a:off x="0" y="0"/>
                                <a:ext cx="389890" cy="63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322.75pt;margin-top:6pt;height:0.05pt;width:30.7pt;z-index:251710464;mso-width-relative:page;mso-height-relative:page;" filled="f" stroked="t" coordsize="21600,21600" o:gfxdata="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O9KS7DZAAAACQEAAA8AAAAAAAAAAQAgAAAAIgAAAGRycy9kb3du&#10;cmV2LnhtbFBLAQIUABQAAAAIAIdO4kBt2Zma/gEAAO0DAAAOAAAAAAAAAAEAIAAAACgBAABkcnMv&#10;ZTJvRG9jLnhtbFBLBQYAAAAABgAGAFkBAACYBQAAAAA=&#10;">
                      <v:fill on="f" focussize="0,0"/>
                      <v:stroke color="#000000" joinstyle="round" endarrow="block"/>
                      <v:imagedata o:title=""/>
                      <o:lock v:ext="edit" aspectratio="f"/>
                    </v:line>
                  </w:pict>
                </mc:Fallback>
              </mc:AlternateContent>
            </w:r>
            <w:r>
              <w:rPr>
                <w:color w:val="auto"/>
              </w:rPr>
              <mc:AlternateContent>
                <mc:Choice Requires="wps">
                  <w:drawing>
                    <wp:anchor distT="0" distB="0" distL="114300" distR="114300" simplePos="0" relativeHeight="251709440" behindDoc="0" locked="0" layoutInCell="1" allowOverlap="1">
                      <wp:simplePos x="0" y="0"/>
                      <wp:positionH relativeFrom="column">
                        <wp:posOffset>2402205</wp:posOffset>
                      </wp:positionH>
                      <wp:positionV relativeFrom="paragraph">
                        <wp:posOffset>76200</wp:posOffset>
                      </wp:positionV>
                      <wp:extent cx="539750" cy="0"/>
                      <wp:effectExtent l="0" t="38100" r="12700" b="38100"/>
                      <wp:wrapNone/>
                      <wp:docPr id="139" name="直接连接符 139"/>
                      <wp:cNvGraphicFramePr/>
                      <a:graphic xmlns:a="http://schemas.openxmlformats.org/drawingml/2006/main">
                        <a:graphicData uri="http://schemas.microsoft.com/office/word/2010/wordprocessingShape">
                          <wps:wsp>
                            <wps:cNvCnPr/>
                            <wps:spPr>
                              <a:xfrm>
                                <a:off x="0" y="0"/>
                                <a:ext cx="539750" cy="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189.15pt;margin-top:6pt;height:0pt;width:42.5pt;z-index:251709440;mso-width-relative:page;mso-height-relative:page;" filled="f" stroked="t" coordsize="21600,21600" o:gfxdata="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BhlsndgAAAAJAQAADwAAAAAAAAABACAAAAAiAAAAZHJzL2Rvd25y&#10;ZXYueG1sUEsBAhQAFAAAAAgAh07iQPrP4Hv+AQAA6wMAAA4AAAAAAAAAAQAgAAAAJwEAAGRycy9l&#10;Mm9Eb2MueG1sUEsFBgAAAAAGAAYAWQEAAJcFAAAAAA==&#10;">
                      <v:fill on="f" focussize="0,0"/>
                      <v:stroke color="#000000" joinstyle="round" endarrow="block"/>
                      <v:imagedata o:title=""/>
                      <o:lock v:ext="edit" aspectratio="f"/>
                    </v:line>
                  </w:pict>
                </mc:Fallback>
              </mc:AlternateContent>
            </w:r>
            <w:r>
              <w:rPr>
                <w:color w:val="auto"/>
              </w:rPr>
              <mc:AlternateContent>
                <mc:Choice Requires="wps">
                  <w:drawing>
                    <wp:anchor distT="0" distB="0" distL="114300" distR="114300" simplePos="0" relativeHeight="251697152" behindDoc="0" locked="0" layoutInCell="1" allowOverlap="1">
                      <wp:simplePos x="0" y="0"/>
                      <wp:positionH relativeFrom="column">
                        <wp:posOffset>1172210</wp:posOffset>
                      </wp:positionH>
                      <wp:positionV relativeFrom="paragraph">
                        <wp:posOffset>76200</wp:posOffset>
                      </wp:positionV>
                      <wp:extent cx="539750" cy="635"/>
                      <wp:effectExtent l="0" t="37465" r="12700" b="38100"/>
                      <wp:wrapNone/>
                      <wp:docPr id="153" name="直接连接符 153"/>
                      <wp:cNvGraphicFramePr/>
                      <a:graphic xmlns:a="http://schemas.openxmlformats.org/drawingml/2006/main">
                        <a:graphicData uri="http://schemas.microsoft.com/office/word/2010/wordprocessingShape">
                          <wps:wsp>
                            <wps:cNvCnPr/>
                            <wps:spPr>
                              <a:xfrm>
                                <a:off x="0" y="0"/>
                                <a:ext cx="539750" cy="63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92.3pt;margin-top:6pt;height:0.05pt;width:42.5pt;z-index:251697152;mso-width-relative:page;mso-height-relative:page;" filled="f" stroked="t" coordsize="21600,21600" o:gfxdata="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G6QMYHWAAAACQEAAA8AAAAAAAAAAQAgAAAAIgAAAGRycy9kb3ducmV2&#10;LnhtbFBLAQIUABQAAAAIAIdO4kBH3QY6/gEAAO0DAAAOAAAAAAAAAAEAIAAAACUBAABkcnMvZTJv&#10;RG9jLnhtbFBLBQYAAAAABgAGAFkBAACVBQAAAAA=&#10;">
                      <v:fill on="f" focussize="0,0"/>
                      <v:stroke color="#000000" joinstyle="round" endarrow="block"/>
                      <v:imagedata o:title=""/>
                      <o:lock v:ext="edit" aspectratio="f"/>
                    </v:line>
                  </w:pict>
                </mc:Fallback>
              </mc:AlternateContent>
            </w:r>
          </w:p>
          <w:p>
            <w:pPr>
              <w:snapToGrid w:val="0"/>
              <w:spacing w:before="120" w:beforeLines="50" w:line="360" w:lineRule="auto"/>
              <w:rPr>
                <w:color w:val="auto"/>
              </w:rPr>
            </w:pPr>
            <w:r>
              <w:rPr>
                <w:color w:val="auto"/>
              </w:rPr>
              <mc:AlternateContent>
                <mc:Choice Requires="wps">
                  <w:drawing>
                    <wp:anchor distT="0" distB="0" distL="114300" distR="114300" simplePos="0" relativeHeight="251712512" behindDoc="0" locked="0" layoutInCell="1" allowOverlap="1">
                      <wp:simplePos x="0" y="0"/>
                      <wp:positionH relativeFrom="column">
                        <wp:posOffset>4113530</wp:posOffset>
                      </wp:positionH>
                      <wp:positionV relativeFrom="paragraph">
                        <wp:posOffset>201930</wp:posOffset>
                      </wp:positionV>
                      <wp:extent cx="381000" cy="635"/>
                      <wp:effectExtent l="0" t="37465" r="0" b="38100"/>
                      <wp:wrapNone/>
                      <wp:docPr id="137" name="直接连接符 137"/>
                      <wp:cNvGraphicFramePr/>
                      <a:graphic xmlns:a="http://schemas.openxmlformats.org/drawingml/2006/main">
                        <a:graphicData uri="http://schemas.microsoft.com/office/word/2010/wordprocessingShape">
                          <wps:wsp>
                            <wps:cNvCnPr/>
                            <wps:spPr>
                              <a:xfrm>
                                <a:off x="0" y="0"/>
                                <a:ext cx="381000" cy="63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323.9pt;margin-top:15.9pt;height:0.05pt;width:30pt;z-index:251712512;mso-width-relative:page;mso-height-relative:page;" filled="f" stroked="t" coordsize="21600,21600" o:gfxdata="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CjE+uPZAAAACQEAAA8AAAAAAAAAAQAgAAAAIgAAAGRycy9kb3du&#10;cmV2LnhtbFBLAQIUABQAAAAIAIdO4kAYcF5S/gEAAO0DAAAOAAAAAAAAAAEAIAAAACgBAABkcnMv&#10;ZTJvRG9jLnhtbFBLBQYAAAAABgAGAFkBAACYBQAAAAA=&#10;">
                      <v:fill on="f" focussize="0,0"/>
                      <v:stroke color="#000000" joinstyle="round" endarrow="block"/>
                      <v:imagedata o:title=""/>
                      <o:lock v:ext="edit" aspectratio="f"/>
                    </v:line>
                  </w:pict>
                </mc:Fallback>
              </mc:AlternateContent>
            </w:r>
            <w:r>
              <w:rPr>
                <w:color w:val="auto"/>
              </w:rPr>
              <mc:AlternateContent>
                <mc:Choice Requires="wps">
                  <w:drawing>
                    <wp:anchor distT="0" distB="0" distL="114300" distR="114300" simplePos="0" relativeHeight="251683840" behindDoc="0" locked="0" layoutInCell="1" allowOverlap="1">
                      <wp:simplePos x="0" y="0"/>
                      <wp:positionH relativeFrom="column">
                        <wp:posOffset>2935605</wp:posOffset>
                      </wp:positionH>
                      <wp:positionV relativeFrom="paragraph">
                        <wp:posOffset>3810</wp:posOffset>
                      </wp:positionV>
                      <wp:extent cx="1151890" cy="396240"/>
                      <wp:effectExtent l="4445" t="5080" r="5715" b="17780"/>
                      <wp:wrapNone/>
                      <wp:docPr id="148" name="文本框 148"/>
                      <wp:cNvGraphicFramePr/>
                      <a:graphic xmlns:a="http://schemas.openxmlformats.org/drawingml/2006/main">
                        <a:graphicData uri="http://schemas.microsoft.com/office/word/2010/wordprocessingShape">
                          <wps:wsp>
                            <wps:cNvSpPr txBox="1"/>
                            <wps:spPr>
                              <a:xfrm>
                                <a:off x="0" y="0"/>
                                <a:ext cx="1151890" cy="396240"/>
                              </a:xfrm>
                              <a:prstGeom prst="rect">
                                <a:avLst/>
                              </a:prstGeom>
                              <a:noFill/>
                              <a:ln w="9525" cap="flat" cmpd="sng">
                                <a:solidFill>
                                  <a:srgbClr val="000000"/>
                                </a:solidFill>
                                <a:prstDash val="dash"/>
                                <a:miter/>
                                <a:headEnd type="none" w="med" len="med"/>
                                <a:tailEnd type="none" w="med" len="med"/>
                              </a:ln>
                            </wps:spPr>
                            <wps:txbx>
                              <w:txbxContent>
                                <w:p>
                                  <w:pPr>
                                    <w:spacing w:line="0" w:lineRule="atLeast"/>
                                  </w:pPr>
                                  <w:r>
                                    <w:rPr>
                                      <w:rFonts w:hint="eastAsia"/>
                                      <w:sz w:val="18"/>
                                      <w:szCs w:val="18"/>
                                    </w:rPr>
                                    <w:t>粉尘污染、扬尘污染、径流水</w:t>
                                  </w:r>
                                </w:p>
                              </w:txbxContent>
                            </wps:txbx>
                            <wps:bodyPr lIns="72000" tIns="36000" rIns="0" bIns="0" upright="1"/>
                          </wps:wsp>
                        </a:graphicData>
                      </a:graphic>
                    </wp:anchor>
                  </w:drawing>
                </mc:Choice>
                <mc:Fallback>
                  <w:pict>
                    <v:shape id="_x0000_s1026" o:spid="_x0000_s1026" o:spt="202" type="#_x0000_t202" style="position:absolute;left:0pt;margin-left:231.15pt;margin-top:0.3pt;height:31.2pt;width:90.7pt;z-index:251683840;mso-width-relative:page;mso-height-relative:page;" filled="f" stroked="t" coordsize="21600,21600" o:gfxdata="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2ELm9YAAAAH&#10;AQAADwAAAAAAAAABACAAAAAiAAAAZHJzL2Rvd25yZXYueG1sUEsBAhQAFAAAAAgAh07iQAlg8mke&#10;AgAAPAQAAA4AAAAAAAAAAQAgAAAAJQEAAGRycy9lMm9Eb2MueG1sUEsFBgAAAAAGAAYAWQEAALUF&#10;AAAAAA==&#10;">
                      <v:fill on="f" focussize="0,0"/>
                      <v:stroke color="#000000" joinstyle="miter" dashstyle="dash"/>
                      <v:imagedata o:title=""/>
                      <o:lock v:ext="edit" aspectratio="f"/>
                      <v:textbox inset="2mm,1mm,0mm,0mm">
                        <w:txbxContent>
                          <w:p>
                            <w:pPr>
                              <w:spacing w:line="0" w:lineRule="atLeast"/>
                            </w:pPr>
                            <w:r>
                              <w:rPr>
                                <w:rFonts w:hint="eastAsia"/>
                                <w:sz w:val="18"/>
                                <w:szCs w:val="18"/>
                              </w:rPr>
                              <w:t>粉尘污染、扬尘污染、径流水</w:t>
                            </w:r>
                          </w:p>
                        </w:txbxContent>
                      </v:textbox>
                    </v:shape>
                  </w:pict>
                </mc:Fallback>
              </mc:AlternateContent>
            </w:r>
            <w:r>
              <w:rPr>
                <w:color w:val="auto"/>
              </w:rPr>
              <mc:AlternateContent>
                <mc:Choice Requires="wps">
                  <w:drawing>
                    <wp:anchor distT="0" distB="0" distL="114300" distR="114300" simplePos="0" relativeHeight="251711488" behindDoc="0" locked="0" layoutInCell="1" allowOverlap="1">
                      <wp:simplePos x="0" y="0"/>
                      <wp:positionH relativeFrom="column">
                        <wp:posOffset>2402205</wp:posOffset>
                      </wp:positionH>
                      <wp:positionV relativeFrom="paragraph">
                        <wp:posOffset>201930</wp:posOffset>
                      </wp:positionV>
                      <wp:extent cx="539750" cy="0"/>
                      <wp:effectExtent l="0" t="38100" r="12700" b="38100"/>
                      <wp:wrapNone/>
                      <wp:docPr id="154" name="直接连接符 154"/>
                      <wp:cNvGraphicFramePr/>
                      <a:graphic xmlns:a="http://schemas.openxmlformats.org/drawingml/2006/main">
                        <a:graphicData uri="http://schemas.microsoft.com/office/word/2010/wordprocessingShape">
                          <wps:wsp>
                            <wps:cNvCnPr/>
                            <wps:spPr>
                              <a:xfrm>
                                <a:off x="0" y="0"/>
                                <a:ext cx="539750" cy="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189.15pt;margin-top:15.9pt;height:0pt;width:42.5pt;z-index:251711488;mso-width-relative:page;mso-height-relative:page;" filled="f" stroked="t" coordsize="21600,21600" o:gfxdata="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OwE12AAAAAkBAAAPAAAAAAAAAAEAIAAAACIAAABkcnMvZG93bnJl&#10;di54bWxQSwECFAAUAAAACACHTuJAR+wihf0BAADrAwAADgAAAAAAAAABACAAAAAnAQAAZHJzL2Uy&#10;b0RvYy54bWxQSwUGAAAAAAYABgBZAQAAlgUAAAAA&#10;">
                      <v:fill on="f" focussize="0,0"/>
                      <v:stroke color="#000000" joinstyle="round" endarrow="block"/>
                      <v:imagedata o:title=""/>
                      <o:lock v:ext="edit" aspectratio="f"/>
                    </v:line>
                  </w:pict>
                </mc:Fallback>
              </mc:AlternateContent>
            </w:r>
            <w:r>
              <w:rPr>
                <w:color w:val="auto"/>
              </w:rPr>
              <mc:AlternateContent>
                <mc:Choice Requires="wps">
                  <w:drawing>
                    <wp:anchor distT="0" distB="0" distL="114300" distR="114300" simplePos="0" relativeHeight="251676672" behindDoc="0" locked="0" layoutInCell="1" allowOverlap="1">
                      <wp:simplePos x="0" y="0"/>
                      <wp:positionH relativeFrom="column">
                        <wp:posOffset>1708785</wp:posOffset>
                      </wp:positionH>
                      <wp:positionV relativeFrom="paragraph">
                        <wp:posOffset>3810</wp:posOffset>
                      </wp:positionV>
                      <wp:extent cx="682625" cy="396240"/>
                      <wp:effectExtent l="4445" t="4445" r="17780" b="18415"/>
                      <wp:wrapNone/>
                      <wp:docPr id="147" name="文本框 147"/>
                      <wp:cNvGraphicFramePr/>
                      <a:graphic xmlns:a="http://schemas.openxmlformats.org/drawingml/2006/main">
                        <a:graphicData uri="http://schemas.microsoft.com/office/word/2010/wordprocessingShape">
                          <wps:wsp>
                            <wps:cNvSpPr txBox="1"/>
                            <wps:spPr>
                              <a:xfrm>
                                <a:off x="0" y="0"/>
                                <a:ext cx="682625" cy="396240"/>
                              </a:xfrm>
                              <a:prstGeom prst="rect">
                                <a:avLst/>
                              </a:prstGeom>
                              <a:noFill/>
                              <a:ln w="9525" cap="flat" cmpd="sng">
                                <a:solidFill>
                                  <a:srgbClr val="000000"/>
                                </a:solidFill>
                                <a:prstDash val="solid"/>
                                <a:miter/>
                                <a:headEnd type="none" w="med" len="med"/>
                                <a:tailEnd type="none" w="med" len="med"/>
                              </a:ln>
                            </wps:spPr>
                            <wps:txbx>
                              <w:txbxContent>
                                <w:p>
                                  <w:pPr>
                                    <w:spacing w:line="0" w:lineRule="atLeast"/>
                                    <w:jc w:val="center"/>
                                  </w:pPr>
                                  <w:r>
                                    <w:rPr>
                                      <w:rFonts w:hint="eastAsia"/>
                                      <w:sz w:val="18"/>
                                      <w:szCs w:val="18"/>
                                    </w:rPr>
                                    <w:t>填前处理</w:t>
                                  </w:r>
                                </w:p>
                              </w:txbxContent>
                            </wps:txbx>
                            <wps:bodyPr lIns="91440" tIns="108000" rIns="91440" bIns="45720" upright="1"/>
                          </wps:wsp>
                        </a:graphicData>
                      </a:graphic>
                    </wp:anchor>
                  </w:drawing>
                </mc:Choice>
                <mc:Fallback>
                  <w:pict>
                    <v:shape id="_x0000_s1026" o:spid="_x0000_s1026" o:spt="202" type="#_x0000_t202" style="position:absolute;left:0pt;margin-left:134.55pt;margin-top:0.3pt;height:31.2pt;width:53.75pt;z-index:251676672;mso-width-relative:page;mso-height-relative:page;" filled="f" stroked="t" coordsize="21600,21600" o:gfxdata="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fyPiYNMA&#10;AAAHAQAADwAAAAAAAAABACAAAAAiAAAAZHJzL2Rvd25yZXYueG1sUEsBAhQAFAAAAAgAh07iQDil&#10;bmIkAgAARQQAAA4AAAAAAAAAAQAgAAAAIgEAAGRycy9lMm9Eb2MueG1sUEsFBgAAAAAGAAYAWQEA&#10;ALgFAAAAAA==&#10;">
                      <v:fill on="f" focussize="0,0"/>
                      <v:stroke color="#000000" joinstyle="miter"/>
                      <v:imagedata o:title=""/>
                      <o:lock v:ext="edit" aspectratio="f"/>
                      <v:textbox inset="2.54mm,3mm,2.54mm,1.27mm">
                        <w:txbxContent>
                          <w:p>
                            <w:pPr>
                              <w:spacing w:line="0" w:lineRule="atLeast"/>
                              <w:jc w:val="center"/>
                            </w:pPr>
                            <w:r>
                              <w:rPr>
                                <w:rFonts w:hint="eastAsia"/>
                                <w:sz w:val="18"/>
                                <w:szCs w:val="18"/>
                              </w:rPr>
                              <w:t>填前处理</w:t>
                            </w:r>
                          </w:p>
                        </w:txbxContent>
                      </v:textbox>
                    </v:shape>
                  </w:pict>
                </mc:Fallback>
              </mc:AlternateContent>
            </w:r>
            <w:r>
              <w:rPr>
                <w:color w:val="auto"/>
              </w:rPr>
              <mc:AlternateContent>
                <mc:Choice Requires="wps">
                  <w:drawing>
                    <wp:anchor distT="0" distB="0" distL="114300" distR="114300" simplePos="0" relativeHeight="251698176" behindDoc="0" locked="0" layoutInCell="1" allowOverlap="1">
                      <wp:simplePos x="0" y="0"/>
                      <wp:positionH relativeFrom="column">
                        <wp:posOffset>1172210</wp:posOffset>
                      </wp:positionH>
                      <wp:positionV relativeFrom="paragraph">
                        <wp:posOffset>201930</wp:posOffset>
                      </wp:positionV>
                      <wp:extent cx="539750" cy="635"/>
                      <wp:effectExtent l="0" t="37465" r="12700" b="38100"/>
                      <wp:wrapNone/>
                      <wp:docPr id="136" name="直接连接符 136"/>
                      <wp:cNvGraphicFramePr/>
                      <a:graphic xmlns:a="http://schemas.openxmlformats.org/drawingml/2006/main">
                        <a:graphicData uri="http://schemas.microsoft.com/office/word/2010/wordprocessingShape">
                          <wps:wsp>
                            <wps:cNvCnPr/>
                            <wps:spPr>
                              <a:xfrm>
                                <a:off x="0" y="0"/>
                                <a:ext cx="539750" cy="63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92.3pt;margin-top:15.9pt;height:0.05pt;width:42.5pt;z-index:251698176;mso-width-relative:page;mso-height-relative:page;" filled="f" stroked="t" coordsize="21600,21600" o:gfxdata="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l7JcKdgAAAAJAQAADwAAAAAAAAABACAAAAAiAAAAZHJzL2Rvd25y&#10;ZXYueG1sUEsBAhQAFAAAAAgAh07iQD+P9HD+AQAA7QMAAA4AAAAAAAAAAQAgAAAAJwEAAGRycy9l&#10;Mm9Eb2MueG1sUEsFBgAAAAAGAAYAWQEAAJcFAAAAAA==&#10;">
                      <v:fill on="f" focussize="0,0"/>
                      <v:stroke color="#000000" joinstyle="round" endarrow="block"/>
                      <v:imagedata o:title=""/>
                      <o:lock v:ext="edit" aspectratio="f"/>
                    </v:line>
                  </w:pict>
                </mc:Fallback>
              </mc:AlternateContent>
            </w:r>
          </w:p>
          <w:p>
            <w:pPr>
              <w:snapToGrid w:val="0"/>
              <w:spacing w:before="120" w:beforeLines="50" w:line="360" w:lineRule="auto"/>
              <w:rPr>
                <w:color w:val="auto"/>
              </w:rPr>
            </w:pPr>
            <w:r>
              <w:rPr>
                <w:color w:val="auto"/>
              </w:rPr>
              <mc:AlternateContent>
                <mc:Choice Requires="wps">
                  <w:drawing>
                    <wp:anchor distT="0" distB="0" distL="114300" distR="114300" simplePos="0" relativeHeight="251691008" behindDoc="0" locked="0" layoutInCell="1" allowOverlap="1">
                      <wp:simplePos x="0" y="0"/>
                      <wp:positionH relativeFrom="column">
                        <wp:posOffset>4498340</wp:posOffset>
                      </wp:positionH>
                      <wp:positionV relativeFrom="paragraph">
                        <wp:posOffset>128270</wp:posOffset>
                      </wp:positionV>
                      <wp:extent cx="688975" cy="396240"/>
                      <wp:effectExtent l="4445" t="5080" r="11430" b="17780"/>
                      <wp:wrapNone/>
                      <wp:docPr id="140" name="文本框 140"/>
                      <wp:cNvGraphicFramePr/>
                      <a:graphic xmlns:a="http://schemas.openxmlformats.org/drawingml/2006/main">
                        <a:graphicData uri="http://schemas.microsoft.com/office/word/2010/wordprocessingShape">
                          <wps:wsp>
                            <wps:cNvSpPr txBox="1"/>
                            <wps:spPr>
                              <a:xfrm>
                                <a:off x="0" y="0"/>
                                <a:ext cx="688975" cy="396240"/>
                              </a:xfrm>
                              <a:prstGeom prst="rect">
                                <a:avLst/>
                              </a:prstGeom>
                              <a:noFill/>
                              <a:ln w="9525" cap="flat" cmpd="sng">
                                <a:solidFill>
                                  <a:srgbClr val="000000"/>
                                </a:solidFill>
                                <a:prstDash val="lgDashDotDot"/>
                                <a:miter/>
                                <a:headEnd type="none" w="med" len="med"/>
                                <a:tailEnd type="none" w="med" len="med"/>
                              </a:ln>
                            </wps:spPr>
                            <wps:txbx>
                              <w:txbxContent>
                                <w:p>
                                  <w:pPr>
                                    <w:spacing w:line="0" w:lineRule="atLeast"/>
                                    <w:jc w:val="center"/>
                                  </w:pPr>
                                  <w:r>
                                    <w:rPr>
                                      <w:rFonts w:hint="eastAsia"/>
                                      <w:sz w:val="18"/>
                                      <w:szCs w:val="18"/>
                                    </w:rPr>
                                    <w:t>生态环境</w:t>
                                  </w:r>
                                </w:p>
                              </w:txbxContent>
                            </wps:txbx>
                            <wps:bodyPr lIns="72000" tIns="108000" rIns="0" bIns="0" upright="1"/>
                          </wps:wsp>
                        </a:graphicData>
                      </a:graphic>
                    </wp:anchor>
                  </w:drawing>
                </mc:Choice>
                <mc:Fallback>
                  <w:pict>
                    <v:shape id="_x0000_s1026" o:spid="_x0000_s1026" o:spt="202" type="#_x0000_t202" style="position:absolute;left:0pt;margin-left:354.2pt;margin-top:10.1pt;height:31.2pt;width:54.25pt;z-index:251691008;mso-width-relative:page;mso-height-relative:page;" filled="f" stroked="t" coordsize="21600,21600" o:gfxdata="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I3UnE&#10;1wAAAAkBAAAPAAAAAAAAAAEAIAAAACIAAABkcnMvZG93bnJldi54bWxQSwECFAAUAAAACACHTuJA&#10;rs1fiiICAABEBAAADgAAAAAAAAABACAAAAAmAQAAZHJzL2Uyb0RvYy54bWxQSwUGAAAAAAYABgBZ&#10;AQAAugUAAAAA&#10;">
                      <v:fill on="f" focussize="0,0"/>
                      <v:stroke color="#000000" joinstyle="miter" dashstyle="longDashDotDot"/>
                      <v:imagedata o:title=""/>
                      <o:lock v:ext="edit" aspectratio="f"/>
                      <v:textbox inset="2mm,3mm,0mm,0mm">
                        <w:txbxContent>
                          <w:p>
                            <w:pPr>
                              <w:spacing w:line="0" w:lineRule="atLeast"/>
                              <w:jc w:val="center"/>
                            </w:pPr>
                            <w:r>
                              <w:rPr>
                                <w:rFonts w:hint="eastAsia"/>
                                <w:sz w:val="18"/>
                                <w:szCs w:val="18"/>
                              </w:rPr>
                              <w:t>生态环境</w:t>
                            </w:r>
                          </w:p>
                        </w:txbxContent>
                      </v:textbox>
                    </v:shape>
                  </w:pict>
                </mc:Fallback>
              </mc:AlternateContent>
            </w:r>
            <w:r>
              <w:rPr>
                <w:color w:val="auto"/>
              </w:rPr>
              <mc:AlternateContent>
                <mc:Choice Requires="wps">
                  <w:drawing>
                    <wp:anchor distT="0" distB="0" distL="114300" distR="114300" simplePos="0" relativeHeight="251714560" behindDoc="0" locked="0" layoutInCell="1" allowOverlap="1">
                      <wp:simplePos x="0" y="0"/>
                      <wp:positionH relativeFrom="column">
                        <wp:posOffset>4098925</wp:posOffset>
                      </wp:positionH>
                      <wp:positionV relativeFrom="paragraph">
                        <wp:posOffset>318770</wp:posOffset>
                      </wp:positionV>
                      <wp:extent cx="390525" cy="635"/>
                      <wp:effectExtent l="0" t="37465" r="9525" b="38100"/>
                      <wp:wrapNone/>
                      <wp:docPr id="142" name="直接连接符 142"/>
                      <wp:cNvGraphicFramePr/>
                      <a:graphic xmlns:a="http://schemas.openxmlformats.org/drawingml/2006/main">
                        <a:graphicData uri="http://schemas.microsoft.com/office/word/2010/wordprocessingShape">
                          <wps:wsp>
                            <wps:cNvCnPr/>
                            <wps:spPr>
                              <a:xfrm>
                                <a:off x="0" y="0"/>
                                <a:ext cx="390525" cy="63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322.75pt;margin-top:25.1pt;height:0.05pt;width:30.75pt;z-index:251714560;mso-width-relative:page;mso-height-relative:page;" filled="f" stroked="t" coordsize="21600,21600" o:gfxdata="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oHTCwdoAAAAJAQAADwAAAAAAAAABACAAAAAiAAAAZHJzL2Rvd25y&#10;ZXYueG1sUEsBAhQAFAAAAAgAh07iQJC7LZH8AQAA7QMAAA4AAAAAAAAAAQAgAAAAKQEAAGRycy9l&#10;Mm9Eb2MueG1sUEsFBgAAAAAGAAYAWQEAAJcFAAAAAA==&#10;">
                      <v:fill on="f" focussize="0,0"/>
                      <v:stroke color="#000000" joinstyle="round" endarrow="block"/>
                      <v:imagedata o:title=""/>
                      <o:lock v:ext="edit" aspectratio="f"/>
                    </v:line>
                  </w:pict>
                </mc:Fallback>
              </mc:AlternateContent>
            </w:r>
            <w:r>
              <w:rPr>
                <w:color w:val="auto"/>
              </w:rPr>
              <mc:AlternateContent>
                <mc:Choice Requires="wps">
                  <w:drawing>
                    <wp:anchor distT="0" distB="0" distL="114300" distR="114300" simplePos="0" relativeHeight="251684864" behindDoc="0" locked="0" layoutInCell="1" allowOverlap="1">
                      <wp:simplePos x="0" y="0"/>
                      <wp:positionH relativeFrom="column">
                        <wp:posOffset>2934335</wp:posOffset>
                      </wp:positionH>
                      <wp:positionV relativeFrom="paragraph">
                        <wp:posOffset>120015</wp:posOffset>
                      </wp:positionV>
                      <wp:extent cx="1151890" cy="396240"/>
                      <wp:effectExtent l="4445" t="5080" r="5715" b="17780"/>
                      <wp:wrapNone/>
                      <wp:docPr id="149" name="文本框 149"/>
                      <wp:cNvGraphicFramePr/>
                      <a:graphic xmlns:a="http://schemas.openxmlformats.org/drawingml/2006/main">
                        <a:graphicData uri="http://schemas.microsoft.com/office/word/2010/wordprocessingShape">
                          <wps:wsp>
                            <wps:cNvSpPr txBox="1"/>
                            <wps:spPr>
                              <a:xfrm>
                                <a:off x="0" y="0"/>
                                <a:ext cx="1151890" cy="396240"/>
                              </a:xfrm>
                              <a:prstGeom prst="rect">
                                <a:avLst/>
                              </a:prstGeom>
                              <a:noFill/>
                              <a:ln w="9525" cap="flat" cmpd="sng">
                                <a:solidFill>
                                  <a:srgbClr val="000000"/>
                                </a:solidFill>
                                <a:prstDash val="dash"/>
                                <a:miter/>
                                <a:headEnd type="none" w="med" len="med"/>
                                <a:tailEnd type="none" w="med" len="med"/>
                              </a:ln>
                            </wps:spPr>
                            <wps:txbx>
                              <w:txbxContent>
                                <w:p>
                                  <w:pPr>
                                    <w:spacing w:line="0" w:lineRule="atLeast"/>
                                    <w:jc w:val="center"/>
                                  </w:pPr>
                                  <w:r>
                                    <w:rPr>
                                      <w:rFonts w:hint="eastAsia"/>
                                      <w:sz w:val="18"/>
                                      <w:szCs w:val="18"/>
                                    </w:rPr>
                                    <w:t>水土流失</w:t>
                                  </w:r>
                                </w:p>
                              </w:txbxContent>
                            </wps:txbx>
                            <wps:bodyPr lIns="72000" tIns="108000" rIns="0" bIns="0" upright="1"/>
                          </wps:wsp>
                        </a:graphicData>
                      </a:graphic>
                    </wp:anchor>
                  </w:drawing>
                </mc:Choice>
                <mc:Fallback>
                  <w:pict>
                    <v:shape id="_x0000_s1026" o:spid="_x0000_s1026" o:spt="202" type="#_x0000_t202" style="position:absolute;left:0pt;margin-left:231.05pt;margin-top:9.45pt;height:31.2pt;width:90.7pt;z-index:251684864;mso-width-relative:page;mso-height-relative:page;" filled="f" stroked="t" coordsize="21600,21600" o:gfxdata="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ZK9&#10;2NsAAAAJAQAADwAAAAAAAAABACAAAAAiAAAAZHJzL2Rvd25yZXYueG1sUEsBAhQAFAAAAAgAh07i&#10;QM50ljQfAgAAPQQAAA4AAAAAAAAAAQAgAAAAKgEAAGRycy9lMm9Eb2MueG1sUEsFBgAAAAAGAAYA&#10;WQEAALsFAAAAAA==&#10;">
                      <v:fill on="f" focussize="0,0"/>
                      <v:stroke color="#000000" joinstyle="miter" dashstyle="dash"/>
                      <v:imagedata o:title=""/>
                      <o:lock v:ext="edit" aspectratio="f"/>
                      <v:textbox inset="2mm,3mm,0mm,0mm">
                        <w:txbxContent>
                          <w:p>
                            <w:pPr>
                              <w:spacing w:line="0" w:lineRule="atLeast"/>
                              <w:jc w:val="center"/>
                            </w:pPr>
                            <w:r>
                              <w:rPr>
                                <w:rFonts w:hint="eastAsia"/>
                                <w:sz w:val="18"/>
                                <w:szCs w:val="18"/>
                              </w:rPr>
                              <w:t>水土流失</w:t>
                            </w:r>
                          </w:p>
                        </w:txbxContent>
                      </v:textbox>
                    </v:shape>
                  </w:pict>
                </mc:Fallback>
              </mc:AlternateContent>
            </w:r>
            <w:r>
              <w:rPr>
                <w:color w:val="auto"/>
              </w:rPr>
              <mc:AlternateContent>
                <mc:Choice Requires="wps">
                  <w:drawing>
                    <wp:anchor distT="0" distB="0" distL="114300" distR="114300" simplePos="0" relativeHeight="251713536" behindDoc="0" locked="0" layoutInCell="1" allowOverlap="1">
                      <wp:simplePos x="0" y="0"/>
                      <wp:positionH relativeFrom="column">
                        <wp:posOffset>2402205</wp:posOffset>
                      </wp:positionH>
                      <wp:positionV relativeFrom="paragraph">
                        <wp:posOffset>318770</wp:posOffset>
                      </wp:positionV>
                      <wp:extent cx="539750" cy="0"/>
                      <wp:effectExtent l="0" t="38100" r="12700" b="38100"/>
                      <wp:wrapNone/>
                      <wp:docPr id="143" name="直接连接符 143"/>
                      <wp:cNvGraphicFramePr/>
                      <a:graphic xmlns:a="http://schemas.openxmlformats.org/drawingml/2006/main">
                        <a:graphicData uri="http://schemas.microsoft.com/office/word/2010/wordprocessingShape">
                          <wps:wsp>
                            <wps:cNvCnPr/>
                            <wps:spPr>
                              <a:xfrm>
                                <a:off x="0" y="0"/>
                                <a:ext cx="539750" cy="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189.15pt;margin-top:25.1pt;height:0pt;width:42.5pt;z-index:251713536;mso-width-relative:page;mso-height-relative:page;" filled="f" stroked="t" coordsize="21600,21600" o:gfxdata="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nxdeQdgAAAAJAQAADwAAAAAAAAABACAAAAAiAAAAZHJzL2Rvd25y&#10;ZXYueG1sUEsBAhQAFAAAAAgAh07iQDAEFJD+AQAA6wMAAA4AAAAAAAAAAQAgAAAAJwEAAGRycy9l&#10;Mm9Eb2MueG1sUEsFBgAAAAAGAAYAWQEAAJcFAAAAAA==&#10;">
                      <v:fill on="f" focussize="0,0"/>
                      <v:stroke color="#000000" joinstyle="round" endarrow="block"/>
                      <v:imagedata o:title=""/>
                      <o:lock v:ext="edit" aspectratio="f"/>
                    </v:line>
                  </w:pict>
                </mc:Fallback>
              </mc:AlternateContent>
            </w:r>
            <w:r>
              <w:rPr>
                <w:color w:val="auto"/>
              </w:rPr>
              <mc:AlternateContent>
                <mc:Choice Requires="wps">
                  <w:drawing>
                    <wp:anchor distT="0" distB="0" distL="114300" distR="114300" simplePos="0" relativeHeight="251677696" behindDoc="0" locked="0" layoutInCell="1" allowOverlap="1">
                      <wp:simplePos x="0" y="0"/>
                      <wp:positionH relativeFrom="column">
                        <wp:posOffset>1708785</wp:posOffset>
                      </wp:positionH>
                      <wp:positionV relativeFrom="paragraph">
                        <wp:posOffset>120015</wp:posOffset>
                      </wp:positionV>
                      <wp:extent cx="683260" cy="396240"/>
                      <wp:effectExtent l="4445" t="4445" r="17145" b="18415"/>
                      <wp:wrapNone/>
                      <wp:docPr id="150" name="文本框 150"/>
                      <wp:cNvGraphicFramePr/>
                      <a:graphic xmlns:a="http://schemas.openxmlformats.org/drawingml/2006/main">
                        <a:graphicData uri="http://schemas.microsoft.com/office/word/2010/wordprocessingShape">
                          <wps:wsp>
                            <wps:cNvSpPr txBox="1"/>
                            <wps:spPr>
                              <a:xfrm>
                                <a:off x="0" y="0"/>
                                <a:ext cx="683260" cy="396240"/>
                              </a:xfrm>
                              <a:prstGeom prst="rect">
                                <a:avLst/>
                              </a:prstGeom>
                              <a:noFill/>
                              <a:ln w="9525" cap="flat" cmpd="sng">
                                <a:solidFill>
                                  <a:srgbClr val="000000"/>
                                </a:solidFill>
                                <a:prstDash val="solid"/>
                                <a:miter/>
                                <a:headEnd type="none" w="med" len="med"/>
                                <a:tailEnd type="none" w="med" len="med"/>
                              </a:ln>
                            </wps:spPr>
                            <wps:txbx>
                              <w:txbxContent>
                                <w:p>
                                  <w:pPr>
                                    <w:spacing w:line="0" w:lineRule="atLeast"/>
                                    <w:jc w:val="center"/>
                                  </w:pPr>
                                  <w:r>
                                    <w:rPr>
                                      <w:rFonts w:hint="eastAsia"/>
                                      <w:sz w:val="18"/>
                                      <w:szCs w:val="18"/>
                                    </w:rPr>
                                    <w:t>路基填筑</w:t>
                                  </w:r>
                                </w:p>
                              </w:txbxContent>
                            </wps:txbx>
                            <wps:bodyPr lIns="91440" tIns="108000" rIns="91440" bIns="45720" upright="1"/>
                          </wps:wsp>
                        </a:graphicData>
                      </a:graphic>
                    </wp:anchor>
                  </w:drawing>
                </mc:Choice>
                <mc:Fallback>
                  <w:pict>
                    <v:shape id="_x0000_s1026" o:spid="_x0000_s1026" o:spt="202" type="#_x0000_t202" style="position:absolute;left:0pt;margin-left:134.55pt;margin-top:9.45pt;height:31.2pt;width:53.8pt;z-index:251677696;mso-width-relative:page;mso-height-relative:page;" filled="f" stroked="t" coordsize="21600,21600" o:gfxdata="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7EE2&#10;BdYAAAAJAQAADwAAAAAAAAABACAAAAAiAAAAZHJzL2Rvd25yZXYueG1sUEsBAhQAFAAAAAgAh07i&#10;QHwIwCokAgAARQQAAA4AAAAAAAAAAQAgAAAAJQEAAGRycy9lMm9Eb2MueG1sUEsFBgAAAAAGAAYA&#10;WQEAALsFAAAAAA==&#10;">
                      <v:fill on="f" focussize="0,0"/>
                      <v:stroke color="#000000" joinstyle="miter"/>
                      <v:imagedata o:title=""/>
                      <o:lock v:ext="edit" aspectratio="f"/>
                      <v:textbox inset="2.54mm,3mm,2.54mm,1.27mm">
                        <w:txbxContent>
                          <w:p>
                            <w:pPr>
                              <w:spacing w:line="0" w:lineRule="atLeast"/>
                              <w:jc w:val="center"/>
                            </w:pPr>
                            <w:r>
                              <w:rPr>
                                <w:rFonts w:hint="eastAsia"/>
                                <w:sz w:val="18"/>
                                <w:szCs w:val="18"/>
                              </w:rPr>
                              <w:t>路基填筑</w:t>
                            </w:r>
                          </w:p>
                        </w:txbxContent>
                      </v:textbox>
                    </v:shape>
                  </w:pict>
                </mc:Fallback>
              </mc:AlternateContent>
            </w:r>
            <w:r>
              <w:rPr>
                <w:color w:val="auto"/>
              </w:rPr>
              <mc:AlternateContent>
                <mc:Choice Requires="wps">
                  <w:drawing>
                    <wp:anchor distT="0" distB="0" distL="114300" distR="114300" simplePos="0" relativeHeight="251699200" behindDoc="0" locked="0" layoutInCell="1" allowOverlap="1">
                      <wp:simplePos x="0" y="0"/>
                      <wp:positionH relativeFrom="column">
                        <wp:posOffset>1172210</wp:posOffset>
                      </wp:positionH>
                      <wp:positionV relativeFrom="paragraph">
                        <wp:posOffset>318770</wp:posOffset>
                      </wp:positionV>
                      <wp:extent cx="539750" cy="635"/>
                      <wp:effectExtent l="0" t="37465" r="12700" b="38100"/>
                      <wp:wrapNone/>
                      <wp:docPr id="144" name="直接连接符 144"/>
                      <wp:cNvGraphicFramePr/>
                      <a:graphic xmlns:a="http://schemas.openxmlformats.org/drawingml/2006/main">
                        <a:graphicData uri="http://schemas.microsoft.com/office/word/2010/wordprocessingShape">
                          <wps:wsp>
                            <wps:cNvCnPr/>
                            <wps:spPr>
                              <a:xfrm>
                                <a:off x="0" y="0"/>
                                <a:ext cx="539750" cy="63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92.3pt;margin-top:25.1pt;height:0.05pt;width:42.5pt;z-index:251699200;mso-width-relative:page;mso-height-relative:page;" filled="f" stroked="t" coordsize="21600,21600" o:gfxdata="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3ngNd2QAAAAkBAAAPAAAAAAAAAAEAIAAAACIAAABkcnMvZG93&#10;bnJldi54bWxQSwECFAAUAAAACACHTuJACk2p9P8BAADtAwAADgAAAAAAAAABACAAAAAoAQAAZHJz&#10;L2Uyb0RvYy54bWxQSwUGAAAAAAYABgBZAQAAmQUAAAAA&#10;">
                      <v:fill on="f" focussize="0,0"/>
                      <v:stroke color="#000000" joinstyle="round" endarrow="block"/>
                      <v:imagedata o:title=""/>
                      <o:lock v:ext="edit" aspectratio="f"/>
                    </v:line>
                  </w:pict>
                </mc:Fallback>
              </mc:AlternateContent>
            </w:r>
          </w:p>
          <w:p>
            <w:pPr>
              <w:snapToGrid w:val="0"/>
              <w:spacing w:before="120" w:beforeLines="50" w:line="360" w:lineRule="auto"/>
              <w:rPr>
                <w:color w:val="auto"/>
              </w:rPr>
            </w:pPr>
            <w:r>
              <w:rPr>
                <w:color w:val="auto"/>
              </w:rPr>
              <mc:AlternateContent>
                <mc:Choice Requires="wps">
                  <w:drawing>
                    <wp:anchor distT="0" distB="0" distL="114300" distR="114300" simplePos="0" relativeHeight="251678720" behindDoc="0" locked="0" layoutInCell="1" allowOverlap="1">
                      <wp:simplePos x="0" y="0"/>
                      <wp:positionH relativeFrom="column">
                        <wp:posOffset>1708785</wp:posOffset>
                      </wp:positionH>
                      <wp:positionV relativeFrom="paragraph">
                        <wp:posOffset>236220</wp:posOffset>
                      </wp:positionV>
                      <wp:extent cx="682625" cy="395605"/>
                      <wp:effectExtent l="4445" t="4445" r="17780" b="19050"/>
                      <wp:wrapNone/>
                      <wp:docPr id="146" name="文本框 146"/>
                      <wp:cNvGraphicFramePr/>
                      <a:graphic xmlns:a="http://schemas.openxmlformats.org/drawingml/2006/main">
                        <a:graphicData uri="http://schemas.microsoft.com/office/word/2010/wordprocessingShape">
                          <wps:wsp>
                            <wps:cNvSpPr txBox="1"/>
                            <wps:spPr>
                              <a:xfrm>
                                <a:off x="0" y="0"/>
                                <a:ext cx="682625" cy="395605"/>
                              </a:xfrm>
                              <a:prstGeom prst="rect">
                                <a:avLst/>
                              </a:prstGeom>
                              <a:noFill/>
                              <a:ln w="9525" cap="flat" cmpd="sng">
                                <a:solidFill>
                                  <a:srgbClr val="000000"/>
                                </a:solidFill>
                                <a:prstDash val="solid"/>
                                <a:miter/>
                                <a:headEnd type="none" w="med" len="med"/>
                                <a:tailEnd type="none" w="med" len="med"/>
                              </a:ln>
                            </wps:spPr>
                            <wps:txbx>
                              <w:txbxContent>
                                <w:p>
                                  <w:pPr>
                                    <w:spacing w:line="0" w:lineRule="atLeast"/>
                                    <w:jc w:val="center"/>
                                  </w:pPr>
                                  <w:r>
                                    <w:rPr>
                                      <w:rFonts w:hint="eastAsia"/>
                                      <w:sz w:val="18"/>
                                      <w:szCs w:val="18"/>
                                    </w:rPr>
                                    <w:t>路基防护</w:t>
                                  </w:r>
                                </w:p>
                              </w:txbxContent>
                            </wps:txbx>
                            <wps:bodyPr lIns="91440" tIns="108000" rIns="91440" bIns="45720" upright="1"/>
                          </wps:wsp>
                        </a:graphicData>
                      </a:graphic>
                    </wp:anchor>
                  </w:drawing>
                </mc:Choice>
                <mc:Fallback>
                  <w:pict>
                    <v:shape id="_x0000_s1026" o:spid="_x0000_s1026" o:spt="202" type="#_x0000_t202" style="position:absolute;left:0pt;margin-left:134.55pt;margin-top:18.6pt;height:31.15pt;width:53.75pt;z-index:251678720;mso-width-relative:page;mso-height-relative:page;" filled="f" stroked="t" coordsize="21600,21600" o:gfxdata="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m99PI&#10;1wAAAAkBAAAPAAAAAAAAAAEAIAAAACIAAABkcnMvZG93bnJldi54bWxQSwECFAAUAAAACACHTuJA&#10;MpBkuiICAABFBAAADgAAAAAAAAABACAAAAAmAQAAZHJzL2Uyb0RvYy54bWxQSwUGAAAAAAYABgBZ&#10;AQAAugUAAAAA&#10;">
                      <v:fill on="f" focussize="0,0"/>
                      <v:stroke color="#000000" joinstyle="miter"/>
                      <v:imagedata o:title=""/>
                      <o:lock v:ext="edit" aspectratio="f"/>
                      <v:textbox inset="2.54mm,3mm,2.54mm,1.27mm">
                        <w:txbxContent>
                          <w:p>
                            <w:pPr>
                              <w:spacing w:line="0" w:lineRule="atLeast"/>
                              <w:jc w:val="center"/>
                            </w:pPr>
                            <w:r>
                              <w:rPr>
                                <w:rFonts w:hint="eastAsia"/>
                                <w:sz w:val="18"/>
                                <w:szCs w:val="18"/>
                              </w:rPr>
                              <w:t>路基防护</w:t>
                            </w:r>
                          </w:p>
                        </w:txbxContent>
                      </v:textbox>
                    </v:shape>
                  </w:pict>
                </mc:Fallback>
              </mc:AlternateContent>
            </w:r>
          </w:p>
          <w:p>
            <w:pPr>
              <w:snapToGrid w:val="0"/>
              <w:spacing w:before="120" w:beforeLines="50" w:line="360" w:lineRule="auto"/>
              <w:rPr>
                <w:color w:val="auto"/>
              </w:rPr>
            </w:pPr>
            <w:r>
              <w:rPr>
                <w:color w:val="auto"/>
              </w:rPr>
              <mc:AlternateContent>
                <mc:Choice Requires="wps">
                  <w:drawing>
                    <wp:anchor distT="0" distB="0" distL="114300" distR="114300" simplePos="0" relativeHeight="251721728" behindDoc="0" locked="0" layoutInCell="1" allowOverlap="1">
                      <wp:simplePos x="0" y="0"/>
                      <wp:positionH relativeFrom="column">
                        <wp:posOffset>4502785</wp:posOffset>
                      </wp:positionH>
                      <wp:positionV relativeFrom="paragraph">
                        <wp:posOffset>181610</wp:posOffset>
                      </wp:positionV>
                      <wp:extent cx="721995" cy="590550"/>
                      <wp:effectExtent l="4445" t="4445" r="16510" b="14605"/>
                      <wp:wrapNone/>
                      <wp:docPr id="151" name="文本框 151"/>
                      <wp:cNvGraphicFramePr/>
                      <a:graphic xmlns:a="http://schemas.openxmlformats.org/drawingml/2006/main">
                        <a:graphicData uri="http://schemas.microsoft.com/office/word/2010/wordprocessingShape">
                          <wps:wsp>
                            <wps:cNvSpPr txBox="1"/>
                            <wps:spPr>
                              <a:xfrm>
                                <a:off x="0" y="0"/>
                                <a:ext cx="721995" cy="590550"/>
                              </a:xfrm>
                              <a:prstGeom prst="rect">
                                <a:avLst/>
                              </a:prstGeom>
                              <a:noFill/>
                              <a:ln w="9525" cap="flat" cmpd="sng">
                                <a:solidFill>
                                  <a:srgbClr val="000000"/>
                                </a:solidFill>
                                <a:prstDash val="lgDashDotDot"/>
                                <a:miter/>
                                <a:headEnd type="none" w="med" len="med"/>
                                <a:tailEnd type="none" w="med" len="med"/>
                              </a:ln>
                            </wps:spPr>
                            <wps:txbx>
                              <w:txbxContent>
                                <w:p>
                                  <w:pPr>
                                    <w:spacing w:line="0" w:lineRule="atLeast"/>
                                    <w:jc w:val="center"/>
                                  </w:pPr>
                                  <w:r>
                                    <w:rPr>
                                      <w:rFonts w:hint="eastAsia"/>
                                      <w:sz w:val="18"/>
                                      <w:szCs w:val="18"/>
                                      <w:lang w:val="en-US" w:eastAsia="zh-CN"/>
                                    </w:rPr>
                                    <w:t>环境空气、水环境、</w:t>
                                  </w:r>
                                  <w:r>
                                    <w:rPr>
                                      <w:rFonts w:hint="eastAsia"/>
                                      <w:sz w:val="18"/>
                                      <w:szCs w:val="18"/>
                                    </w:rPr>
                                    <w:t>生态环境</w:t>
                                  </w:r>
                                </w:p>
                              </w:txbxContent>
                            </wps:txbx>
                            <wps:bodyPr lIns="72000" tIns="108000" rIns="0" bIns="0" upright="1"/>
                          </wps:wsp>
                        </a:graphicData>
                      </a:graphic>
                    </wp:anchor>
                  </w:drawing>
                </mc:Choice>
                <mc:Fallback>
                  <w:pict>
                    <v:shape id="_x0000_s1026" o:spid="_x0000_s1026" o:spt="202" type="#_x0000_t202" style="position:absolute;left:0pt;margin-left:354.55pt;margin-top:14.3pt;height:46.5pt;width:56.85pt;z-index:251721728;mso-width-relative:page;mso-height-relative:page;" filled="f" stroked="t" coordsize="21600,21600" o:gfxdata="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cUdfd&#10;1wAAAAoBAAAPAAAAAAAAAAEAIAAAACIAAABkcnMvZG93bnJldi54bWxQSwECFAAUAAAACACHTuJA&#10;uTtkeyICAABEBAAADgAAAAAAAAABACAAAAAmAQAAZHJzL2Uyb0RvYy54bWxQSwUGAAAAAAYABgBZ&#10;AQAAugUAAAAA&#10;">
                      <v:fill on="f" focussize="0,0"/>
                      <v:stroke color="#000000" joinstyle="miter" dashstyle="longDashDotDot"/>
                      <v:imagedata o:title=""/>
                      <o:lock v:ext="edit" aspectratio="f"/>
                      <v:textbox inset="2mm,3mm,0mm,0mm">
                        <w:txbxContent>
                          <w:p>
                            <w:pPr>
                              <w:spacing w:line="0" w:lineRule="atLeast"/>
                              <w:jc w:val="center"/>
                            </w:pPr>
                            <w:r>
                              <w:rPr>
                                <w:rFonts w:hint="eastAsia"/>
                                <w:sz w:val="18"/>
                                <w:szCs w:val="18"/>
                                <w:lang w:val="en-US" w:eastAsia="zh-CN"/>
                              </w:rPr>
                              <w:t>环境空气、水环境、</w:t>
                            </w:r>
                            <w:r>
                              <w:rPr>
                                <w:rFonts w:hint="eastAsia"/>
                                <w:sz w:val="18"/>
                                <w:szCs w:val="18"/>
                              </w:rPr>
                              <w:t>生态环境</w:t>
                            </w:r>
                          </w:p>
                        </w:txbxContent>
                      </v:textbox>
                    </v:shape>
                  </w:pict>
                </mc:Fallback>
              </mc:AlternateContent>
            </w:r>
            <w:r>
              <w:rPr>
                <w:color w:val="auto"/>
              </w:rPr>
              <mc:AlternateContent>
                <mc:Choice Requires="wps">
                  <w:drawing>
                    <wp:anchor distT="0" distB="0" distL="114300" distR="114300" simplePos="0" relativeHeight="251720704" behindDoc="0" locked="0" layoutInCell="1" allowOverlap="1">
                      <wp:simplePos x="0" y="0"/>
                      <wp:positionH relativeFrom="column">
                        <wp:posOffset>2957195</wp:posOffset>
                      </wp:positionH>
                      <wp:positionV relativeFrom="paragraph">
                        <wp:posOffset>296545</wp:posOffset>
                      </wp:positionV>
                      <wp:extent cx="1125220" cy="396240"/>
                      <wp:effectExtent l="4445" t="5080" r="13335" b="17780"/>
                      <wp:wrapNone/>
                      <wp:docPr id="145" name="文本框 145"/>
                      <wp:cNvGraphicFramePr/>
                      <a:graphic xmlns:a="http://schemas.openxmlformats.org/drawingml/2006/main">
                        <a:graphicData uri="http://schemas.microsoft.com/office/word/2010/wordprocessingShape">
                          <wps:wsp>
                            <wps:cNvSpPr txBox="1"/>
                            <wps:spPr>
                              <a:xfrm>
                                <a:off x="0" y="0"/>
                                <a:ext cx="1125220" cy="396240"/>
                              </a:xfrm>
                              <a:prstGeom prst="rect">
                                <a:avLst/>
                              </a:prstGeom>
                              <a:noFill/>
                              <a:ln w="9525" cap="flat" cmpd="sng">
                                <a:solidFill>
                                  <a:srgbClr val="000000"/>
                                </a:solidFill>
                                <a:prstDash val="dash"/>
                                <a:miter/>
                                <a:headEnd type="none" w="med" len="med"/>
                                <a:tailEnd type="none" w="med" len="med"/>
                              </a:ln>
                            </wps:spPr>
                            <wps:txbx>
                              <w:txbxContent>
                                <w:p>
                                  <w:pPr>
                                    <w:spacing w:line="0" w:lineRule="atLeast"/>
                                    <w:jc w:val="center"/>
                                    <w:rPr>
                                      <w:rFonts w:hint="default" w:eastAsia="宋体"/>
                                      <w:sz w:val="18"/>
                                      <w:szCs w:val="16"/>
                                      <w:lang w:val="en-US" w:eastAsia="zh-CN"/>
                                    </w:rPr>
                                  </w:pPr>
                                  <w:r>
                                    <w:rPr>
                                      <w:rFonts w:hint="eastAsia"/>
                                      <w:sz w:val="18"/>
                                      <w:szCs w:val="16"/>
                                      <w:lang w:val="en-US" w:eastAsia="zh-CN"/>
                                    </w:rPr>
                                    <w:t>扬尘污染、废水、固废</w:t>
                                  </w:r>
                                </w:p>
                              </w:txbxContent>
                            </wps:txbx>
                            <wps:bodyPr lIns="72000" tIns="108000" rIns="0" bIns="0" upright="1"/>
                          </wps:wsp>
                        </a:graphicData>
                      </a:graphic>
                    </wp:anchor>
                  </w:drawing>
                </mc:Choice>
                <mc:Fallback>
                  <w:pict>
                    <v:shape id="_x0000_s1026" o:spid="_x0000_s1026" o:spt="202" type="#_x0000_t202" style="position:absolute;left:0pt;margin-left:232.85pt;margin-top:23.35pt;height:31.2pt;width:88.6pt;z-index:251720704;mso-width-relative:page;mso-height-relative:page;" filled="f" stroked="t" coordsize="21600,21600" o:gfxdata="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coSz+&#10;2gAAAAoBAAAPAAAAAAAAAAEAIAAAACIAAABkcnMvZG93bnJldi54bWxQSwECFAAUAAAACACHTuJA&#10;iLXreh8CAAA9BAAADgAAAAAAAAABACAAAAApAQAAZHJzL2Uyb0RvYy54bWxQSwUGAAAAAAYABgBZ&#10;AQAAugUAAAAA&#10;">
                      <v:fill on="f" focussize="0,0"/>
                      <v:stroke color="#000000" joinstyle="miter" dashstyle="dash"/>
                      <v:imagedata o:title=""/>
                      <o:lock v:ext="edit" aspectratio="f"/>
                      <v:textbox inset="2mm,3mm,0mm,0mm">
                        <w:txbxContent>
                          <w:p>
                            <w:pPr>
                              <w:spacing w:line="0" w:lineRule="atLeast"/>
                              <w:jc w:val="center"/>
                              <w:rPr>
                                <w:rFonts w:hint="default" w:eastAsia="宋体"/>
                                <w:sz w:val="18"/>
                                <w:szCs w:val="16"/>
                                <w:lang w:val="en-US" w:eastAsia="zh-CN"/>
                              </w:rPr>
                            </w:pPr>
                            <w:r>
                              <w:rPr>
                                <w:rFonts w:hint="eastAsia"/>
                                <w:sz w:val="18"/>
                                <w:szCs w:val="16"/>
                                <w:lang w:val="en-US" w:eastAsia="zh-CN"/>
                              </w:rPr>
                              <w:t>扬尘污染、废水、固废</w:t>
                            </w:r>
                          </w:p>
                        </w:txbxContent>
                      </v:textbox>
                    </v:shape>
                  </w:pict>
                </mc:Fallback>
              </mc:AlternateContent>
            </w:r>
            <w:r>
              <w:rPr>
                <w:color w:val="auto"/>
              </w:rPr>
              <mc:AlternateContent>
                <mc:Choice Requires="wps">
                  <w:drawing>
                    <wp:anchor distT="0" distB="0" distL="114300" distR="114300" simplePos="0" relativeHeight="251719680" behindDoc="0" locked="0" layoutInCell="1" allowOverlap="1">
                      <wp:simplePos x="0" y="0"/>
                      <wp:positionH relativeFrom="column">
                        <wp:posOffset>1715135</wp:posOffset>
                      </wp:positionH>
                      <wp:positionV relativeFrom="paragraph">
                        <wp:posOffset>373380</wp:posOffset>
                      </wp:positionV>
                      <wp:extent cx="683260" cy="316230"/>
                      <wp:effectExtent l="4445" t="4445" r="17145" b="22225"/>
                      <wp:wrapNone/>
                      <wp:docPr id="119" name="文本框 119"/>
                      <wp:cNvGraphicFramePr/>
                      <a:graphic xmlns:a="http://schemas.openxmlformats.org/drawingml/2006/main">
                        <a:graphicData uri="http://schemas.microsoft.com/office/word/2010/wordprocessingShape">
                          <wps:wsp>
                            <wps:cNvSpPr txBox="1"/>
                            <wps:spPr>
                              <a:xfrm>
                                <a:off x="0" y="0"/>
                                <a:ext cx="683260" cy="316230"/>
                              </a:xfrm>
                              <a:prstGeom prst="rect">
                                <a:avLst/>
                              </a:prstGeom>
                              <a:noFill/>
                              <a:ln w="9525" cap="flat" cmpd="sng">
                                <a:solidFill>
                                  <a:srgbClr val="000000"/>
                                </a:solidFill>
                                <a:prstDash val="solid"/>
                                <a:miter/>
                                <a:headEnd type="none" w="med" len="med"/>
                                <a:tailEnd type="none" w="med" len="med"/>
                              </a:ln>
                            </wps:spPr>
                            <wps:txbx>
                              <w:txbxContent>
                                <w:p>
                                  <w:pPr>
                                    <w:spacing w:line="0" w:lineRule="atLeast"/>
                                    <w:jc w:val="center"/>
                                    <w:rPr>
                                      <w:rFonts w:hint="default" w:eastAsia="宋体"/>
                                      <w:sz w:val="18"/>
                                      <w:szCs w:val="16"/>
                                      <w:lang w:val="en-US" w:eastAsia="zh-CN"/>
                                    </w:rPr>
                                  </w:pPr>
                                  <w:r>
                                    <w:rPr>
                                      <w:rFonts w:hint="eastAsia"/>
                                      <w:sz w:val="18"/>
                                      <w:szCs w:val="16"/>
                                      <w:lang w:val="en-US" w:eastAsia="zh-CN"/>
                                    </w:rPr>
                                    <w:t>桥涵工程</w:t>
                                  </w:r>
                                </w:p>
                              </w:txbxContent>
                            </wps:txbx>
                            <wps:bodyPr lIns="91440" tIns="108000" rIns="91440" bIns="45720" upright="1"/>
                          </wps:wsp>
                        </a:graphicData>
                      </a:graphic>
                    </wp:anchor>
                  </w:drawing>
                </mc:Choice>
                <mc:Fallback>
                  <w:pict>
                    <v:shape id="_x0000_s1026" o:spid="_x0000_s1026" o:spt="202" type="#_x0000_t202" style="position:absolute;left:0pt;margin-left:135.05pt;margin-top:29.4pt;height:24.9pt;width:53.8pt;z-index:251719680;mso-width-relative:page;mso-height-relative:page;" filled="f" stroked="t" coordsize="21600,21600" o:gfxdata="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X&#10;nUVz1wAAAAoBAAAPAAAAAAAAAAEAIAAAACIAAABkcnMvZG93bnJldi54bWxQSwECFAAUAAAACACH&#10;TuJAIxyy9CUCAABFBAAADgAAAAAAAAABACAAAAAmAQAAZHJzL2Uyb0RvYy54bWxQSwUGAAAAAAYA&#10;BgBZAQAAvQUAAAAA&#10;">
                      <v:fill on="f" focussize="0,0"/>
                      <v:stroke color="#000000" joinstyle="miter"/>
                      <v:imagedata o:title=""/>
                      <o:lock v:ext="edit" aspectratio="f"/>
                      <v:textbox inset="2.54mm,3mm,2.54mm,1.27mm">
                        <w:txbxContent>
                          <w:p>
                            <w:pPr>
                              <w:spacing w:line="0" w:lineRule="atLeast"/>
                              <w:jc w:val="center"/>
                              <w:rPr>
                                <w:rFonts w:hint="default" w:eastAsia="宋体"/>
                                <w:sz w:val="18"/>
                                <w:szCs w:val="16"/>
                                <w:lang w:val="en-US" w:eastAsia="zh-CN"/>
                              </w:rPr>
                            </w:pPr>
                            <w:r>
                              <w:rPr>
                                <w:rFonts w:hint="eastAsia"/>
                                <w:sz w:val="18"/>
                                <w:szCs w:val="16"/>
                                <w:lang w:val="en-US" w:eastAsia="zh-CN"/>
                              </w:rPr>
                              <w:t>桥涵工程</w:t>
                            </w:r>
                          </w:p>
                        </w:txbxContent>
                      </v:textbox>
                    </v:shape>
                  </w:pict>
                </mc:Fallback>
              </mc:AlternateContent>
            </w:r>
            <w:r>
              <w:rPr>
                <w:color w:val="auto"/>
              </w:rPr>
              <mc:AlternateContent>
                <mc:Choice Requires="wps">
                  <w:drawing>
                    <wp:anchor distT="0" distB="0" distL="114300" distR="114300" simplePos="0" relativeHeight="251700224" behindDoc="0" locked="0" layoutInCell="1" allowOverlap="1">
                      <wp:simplePos x="0" y="0"/>
                      <wp:positionH relativeFrom="column">
                        <wp:posOffset>1184910</wp:posOffset>
                      </wp:positionH>
                      <wp:positionV relativeFrom="paragraph">
                        <wp:posOffset>62230</wp:posOffset>
                      </wp:positionV>
                      <wp:extent cx="539750" cy="635"/>
                      <wp:effectExtent l="0" t="37465" r="12700" b="38100"/>
                      <wp:wrapNone/>
                      <wp:docPr id="128" name="直接连接符 128"/>
                      <wp:cNvGraphicFramePr/>
                      <a:graphic xmlns:a="http://schemas.openxmlformats.org/drawingml/2006/main">
                        <a:graphicData uri="http://schemas.microsoft.com/office/word/2010/wordprocessingShape">
                          <wps:wsp>
                            <wps:cNvCnPr/>
                            <wps:spPr>
                              <a:xfrm>
                                <a:off x="0" y="0"/>
                                <a:ext cx="539750" cy="63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93.3pt;margin-top:4.9pt;height:0.05pt;width:42.5pt;z-index:251700224;mso-width-relative:page;mso-height-relative:page;" filled="f" stroked="t" coordsize="21600,21600" o:gfxdata="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WF1NJ9UAAAAHAQAADwAAAAAAAAABACAAAAAiAAAAZHJzL2Rvd25yZXYu&#10;eG1sUEsBAhQAFAAAAAgAh07iQABwTMb+AQAA7QMAAA4AAAAAAAAAAQAgAAAAJAEAAGRycy9lMm9E&#10;b2MueG1sUEsFBgAAAAAGAAYAWQEAAJQFAAAAAA==&#10;">
                      <v:fill on="f" focussize="0,0"/>
                      <v:stroke color="#000000" joinstyle="round" endarrow="block"/>
                      <v:imagedata o:title=""/>
                      <o:lock v:ext="edit" aspectratio="f"/>
                    </v:line>
                  </w:pict>
                </mc:Fallback>
              </mc:AlternateContent>
            </w:r>
          </w:p>
          <w:p>
            <w:pPr>
              <w:snapToGrid w:val="0"/>
              <w:spacing w:before="120" w:beforeLines="50" w:line="360" w:lineRule="auto"/>
              <w:rPr>
                <w:color w:val="auto"/>
              </w:rPr>
            </w:pPr>
            <w:r>
              <w:rPr>
                <w:color w:val="auto"/>
              </w:rPr>
              <mc:AlternateContent>
                <mc:Choice Requires="wps">
                  <w:drawing>
                    <wp:anchor distT="0" distB="0" distL="114300" distR="114300" simplePos="0" relativeHeight="251723776" behindDoc="0" locked="0" layoutInCell="1" allowOverlap="1">
                      <wp:simplePos x="0" y="0"/>
                      <wp:positionH relativeFrom="column">
                        <wp:posOffset>4102735</wp:posOffset>
                      </wp:positionH>
                      <wp:positionV relativeFrom="paragraph">
                        <wp:posOffset>104140</wp:posOffset>
                      </wp:positionV>
                      <wp:extent cx="399415" cy="635"/>
                      <wp:effectExtent l="0" t="37465" r="635" b="38100"/>
                      <wp:wrapNone/>
                      <wp:docPr id="118" name="直接连接符 118"/>
                      <wp:cNvGraphicFramePr/>
                      <a:graphic xmlns:a="http://schemas.openxmlformats.org/drawingml/2006/main">
                        <a:graphicData uri="http://schemas.microsoft.com/office/word/2010/wordprocessingShape">
                          <wps:wsp>
                            <wps:cNvCnPr/>
                            <wps:spPr>
                              <a:xfrm>
                                <a:off x="0" y="0"/>
                                <a:ext cx="399415" cy="63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323.05pt;margin-top:8.2pt;height:0.05pt;width:31.45pt;z-index:251723776;mso-width-relative:page;mso-height-relative:page;" filled="f" stroked="t" coordsize="21600,21600" o:gfxdata="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BHrDnPZAAAACQEAAA8AAAAAAAAAAQAgAAAAIgAAAGRycy9kb3du&#10;cmV2LnhtbFBLAQIUABQAAAAIAIdO4kAjgpRk/gEAAO0DAAAOAAAAAAAAAAEAIAAAACgBAABkcnMv&#10;ZTJvRG9jLnhtbFBLBQYAAAAABgAGAFkBAACYBQAAAAA=&#10;">
                      <v:fill on="f" focussize="0,0"/>
                      <v:stroke color="#000000" joinstyle="round" endarrow="block"/>
                      <v:imagedata o:title=""/>
                      <o:lock v:ext="edit" aspectratio="f"/>
                    </v:line>
                  </w:pict>
                </mc:Fallback>
              </mc:AlternateContent>
            </w:r>
            <w:r>
              <w:rPr>
                <w:color w:val="auto"/>
              </w:rPr>
              <mc:AlternateContent>
                <mc:Choice Requires="wps">
                  <w:drawing>
                    <wp:anchor distT="0" distB="0" distL="114300" distR="114300" simplePos="0" relativeHeight="251718656" behindDoc="0" locked="0" layoutInCell="1" allowOverlap="1">
                      <wp:simplePos x="0" y="0"/>
                      <wp:positionH relativeFrom="column">
                        <wp:posOffset>1162685</wp:posOffset>
                      </wp:positionH>
                      <wp:positionV relativeFrom="paragraph">
                        <wp:posOffset>160655</wp:posOffset>
                      </wp:positionV>
                      <wp:extent cx="565150" cy="635"/>
                      <wp:effectExtent l="0" t="37465" r="6350" b="38100"/>
                      <wp:wrapNone/>
                      <wp:docPr id="122" name="直接连接符 122"/>
                      <wp:cNvGraphicFramePr/>
                      <a:graphic xmlns:a="http://schemas.openxmlformats.org/drawingml/2006/main">
                        <a:graphicData uri="http://schemas.microsoft.com/office/word/2010/wordprocessingShape">
                          <wps:wsp>
                            <wps:cNvCnPr/>
                            <wps:spPr>
                              <a:xfrm>
                                <a:off x="0" y="0"/>
                                <a:ext cx="565150" cy="63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91.55pt;margin-top:12.65pt;height:0.05pt;width:44.5pt;z-index:251718656;mso-width-relative:page;mso-height-relative:page;" filled="f" stroked="t" coordsize="21600,21600" o:gfxdata="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xyegjNkAAAAJAQAADwAAAAAAAAABACAAAAAiAAAAZHJzL2Rvd25y&#10;ZXYueG1sUEsBAhQAFAAAAAgAh07iQMslj139AQAA7QMAAA4AAAAAAAAAAQAgAAAAKAEAAGRycy9l&#10;Mm9Eb2MueG1sUEsFBgAAAAAGAAYAWQEAAJcFAAAAAA==&#10;">
                      <v:fill on="f" focussize="0,0"/>
                      <v:stroke color="#000000" joinstyle="round" endarrow="block"/>
                      <v:imagedata o:title=""/>
                      <o:lock v:ext="edit" aspectratio="f"/>
                    </v:line>
                  </w:pict>
                </mc:Fallback>
              </mc:AlternateContent>
            </w:r>
            <w:r>
              <w:rPr>
                <w:color w:val="auto"/>
              </w:rPr>
              <mc:AlternateContent>
                <mc:Choice Requires="wps">
                  <w:drawing>
                    <wp:anchor distT="0" distB="0" distL="114300" distR="114300" simplePos="0" relativeHeight="251722752" behindDoc="0" locked="0" layoutInCell="1" allowOverlap="1">
                      <wp:simplePos x="0" y="0"/>
                      <wp:positionH relativeFrom="column">
                        <wp:posOffset>2409825</wp:posOffset>
                      </wp:positionH>
                      <wp:positionV relativeFrom="paragraph">
                        <wp:posOffset>139065</wp:posOffset>
                      </wp:positionV>
                      <wp:extent cx="539750" cy="0"/>
                      <wp:effectExtent l="0" t="38100" r="12700" b="38100"/>
                      <wp:wrapNone/>
                      <wp:docPr id="134" name="直接连接符 134"/>
                      <wp:cNvGraphicFramePr/>
                      <a:graphic xmlns:a="http://schemas.openxmlformats.org/drawingml/2006/main">
                        <a:graphicData uri="http://schemas.microsoft.com/office/word/2010/wordprocessingShape">
                          <wps:wsp>
                            <wps:cNvCnPr/>
                            <wps:spPr>
                              <a:xfrm>
                                <a:off x="0" y="0"/>
                                <a:ext cx="539750" cy="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189.75pt;margin-top:10.95pt;height:0pt;width:42.5pt;z-index:251722752;mso-width-relative:page;mso-height-relative:page;" filled="f" stroked="t" coordsize="21600,21600" o:gfxdata="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NoG94LZAAAACQEAAA8AAAAAAAAAAQAgAAAAIgAAAGRycy9kb3du&#10;cmV2LnhtbFBLAQIUABQAAAAIAIdO4kBBuMAC/gEAAOsDAAAOAAAAAAAAAAEAIAAAACgBAABkcnMv&#10;ZTJvRG9jLnhtbFBLBQYAAAAABgAGAFkBAACYBQAAAAA=&#10;">
                      <v:fill on="f" focussize="0,0"/>
                      <v:stroke color="#000000" joinstyle="round" endarrow="block"/>
                      <v:imagedata o:title=""/>
                      <o:lock v:ext="edit" aspectratio="f"/>
                    </v:line>
                  </w:pict>
                </mc:Fallback>
              </mc:AlternateContent>
            </w:r>
          </w:p>
          <w:p>
            <w:pPr>
              <w:spacing w:line="480" w:lineRule="exact"/>
              <w:ind w:firstLine="420" w:firstLineChars="200"/>
              <w:rPr>
                <w:color w:val="auto"/>
              </w:rPr>
            </w:pPr>
            <w:r>
              <w:rPr>
                <w:color w:val="auto"/>
              </w:rPr>
              <mc:AlternateContent>
                <mc:Choice Requires="wps">
                  <w:drawing>
                    <wp:anchor distT="0" distB="0" distL="114300" distR="114300" simplePos="0" relativeHeight="251715584" behindDoc="0" locked="0" layoutInCell="1" allowOverlap="1">
                      <wp:simplePos x="0" y="0"/>
                      <wp:positionH relativeFrom="column">
                        <wp:posOffset>-59690</wp:posOffset>
                      </wp:positionH>
                      <wp:positionV relativeFrom="paragraph">
                        <wp:posOffset>300355</wp:posOffset>
                      </wp:positionV>
                      <wp:extent cx="852170" cy="297180"/>
                      <wp:effectExtent l="0" t="0" r="0" b="0"/>
                      <wp:wrapNone/>
                      <wp:docPr id="120" name="文本框 120"/>
                      <wp:cNvGraphicFramePr/>
                      <a:graphic xmlns:a="http://schemas.openxmlformats.org/drawingml/2006/main">
                        <a:graphicData uri="http://schemas.microsoft.com/office/word/2010/wordprocessingShape">
                          <wps:wsp>
                            <wps:cNvSpPr txBox="1"/>
                            <wps:spPr>
                              <a:xfrm>
                                <a:off x="0" y="0"/>
                                <a:ext cx="852170" cy="297180"/>
                              </a:xfrm>
                              <a:prstGeom prst="rect">
                                <a:avLst/>
                              </a:prstGeom>
                              <a:noFill/>
                              <a:ln>
                                <a:noFill/>
                              </a:ln>
                            </wps:spPr>
                            <wps:txbx>
                              <w:txbxContent>
                                <w:p>
                                  <w:pPr>
                                    <w:spacing w:line="0" w:lineRule="atLeast"/>
                                    <w:jc w:val="center"/>
                                    <w:rPr>
                                      <w:rFonts w:hint="eastAsia"/>
                                      <w:szCs w:val="21"/>
                                    </w:rPr>
                                  </w:pPr>
                                  <w:r>
                                    <w:rPr>
                                      <w:rFonts w:hint="eastAsia"/>
                                      <w:szCs w:val="21"/>
                                    </w:rPr>
                                    <w:t>路面工程</w:t>
                                  </w:r>
                                </w:p>
                              </w:txbxContent>
                            </wps:txbx>
                            <wps:bodyPr upright="1"/>
                          </wps:wsp>
                        </a:graphicData>
                      </a:graphic>
                    </wp:anchor>
                  </w:drawing>
                </mc:Choice>
                <mc:Fallback>
                  <w:pict>
                    <v:shape id="_x0000_s1026" o:spid="_x0000_s1026" o:spt="202" type="#_x0000_t202" style="position:absolute;left:0pt;margin-left:-4.7pt;margin-top:23.65pt;height:23.4pt;width:67.1pt;z-index:251715584;mso-width-relative:page;mso-height-relative:page;" filled="f" stroked="f" coordsize="21600,21600" o:gfxdata="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tpX0KtUAAAAI&#10;AQAADwAAAAAAAAABACAAAAAiAAAAZHJzL2Rvd25yZXYueG1sUEsBAhQAFAAAAAgAh07iQDFsfOyt&#10;AQAAUQMAAA4AAAAAAAAAAQAgAAAAJAEAAGRycy9lMm9Eb2MueG1sUEsFBgAAAAAGAAYAWQEAAEMF&#10;AAAAAA==&#10;">
                      <v:fill on="f" focussize="0,0"/>
                      <v:stroke on="f"/>
                      <v:imagedata o:title=""/>
                      <o:lock v:ext="edit" aspectratio="f"/>
                      <v:textbox>
                        <w:txbxContent>
                          <w:p>
                            <w:pPr>
                              <w:spacing w:line="0" w:lineRule="atLeast"/>
                              <w:jc w:val="center"/>
                              <w:rPr>
                                <w:rFonts w:hint="eastAsia"/>
                                <w:szCs w:val="21"/>
                              </w:rPr>
                            </w:pPr>
                            <w:r>
                              <w:rPr>
                                <w:rFonts w:hint="eastAsia"/>
                                <w:szCs w:val="21"/>
                              </w:rPr>
                              <w:t>路面工程</w:t>
                            </w:r>
                          </w:p>
                        </w:txbxContent>
                      </v:textbox>
                    </v:shape>
                  </w:pict>
                </mc:Fallback>
              </mc:AlternateContent>
            </w:r>
            <w:r>
              <w:rPr>
                <w:color w:val="auto"/>
              </w:rPr>
              <mc:AlternateContent>
                <mc:Choice Requires="wps">
                  <w:drawing>
                    <wp:anchor distT="0" distB="0" distL="114300" distR="114300" simplePos="0" relativeHeight="251716608" behindDoc="0" locked="0" layoutInCell="1" allowOverlap="1">
                      <wp:simplePos x="0" y="0"/>
                      <wp:positionH relativeFrom="column">
                        <wp:posOffset>-21590</wp:posOffset>
                      </wp:positionH>
                      <wp:positionV relativeFrom="paragraph">
                        <wp:posOffset>255905</wp:posOffset>
                      </wp:positionV>
                      <wp:extent cx="808990" cy="396240"/>
                      <wp:effectExtent l="4445" t="4445" r="5715" b="18415"/>
                      <wp:wrapNone/>
                      <wp:docPr id="129" name="椭圆 129"/>
                      <wp:cNvGraphicFramePr/>
                      <a:graphic xmlns:a="http://schemas.openxmlformats.org/drawingml/2006/main">
                        <a:graphicData uri="http://schemas.microsoft.com/office/word/2010/wordprocessingShape">
                          <wps:wsp>
                            <wps:cNvSpPr/>
                            <wps:spPr>
                              <a:xfrm>
                                <a:off x="0" y="0"/>
                                <a:ext cx="808990" cy="396240"/>
                              </a:xfrm>
                              <a:prstGeom prst="ellipse">
                                <a:avLst/>
                              </a:prstGeom>
                              <a:no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1.7pt;margin-top:20.15pt;height:31.2pt;width:63.7pt;z-index:251716608;mso-width-relative:page;mso-height-relative:page;" filled="f" stroked="t" coordsize="21600,21600" o:gfxdata="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H7i/PtcAAAAJAQAADwAAAAAAAAABACAAAAAiAAAAZHJzL2Rvd25yZXYueG1sUEsB&#10;AhQAFAAAAAgAh07iQGf2PI/2AQAA8QMAAA4AAAAAAAAAAQAgAAAAJgEAAGRycy9lMm9Eb2MueG1s&#10;UEsFBgAAAAAGAAYAWQEAAI4FAAAAAA==&#10;">
                      <v:fill on="f" focussize="0,0"/>
                      <v:stroke color="#000000" joinstyle="round"/>
                      <v:imagedata o:title=""/>
                      <o:lock v:ext="edit" aspectratio="f"/>
                    </v:shape>
                  </w:pict>
                </mc:Fallback>
              </mc:AlternateContent>
            </w:r>
            <w:r>
              <w:rPr>
                <w:color w:val="auto"/>
              </w:rPr>
              <mc:AlternateContent>
                <mc:Choice Requires="wps">
                  <w:drawing>
                    <wp:anchor distT="0" distB="0" distL="114300" distR="114300" simplePos="0" relativeHeight="251692032" behindDoc="0" locked="0" layoutInCell="1" allowOverlap="1">
                      <wp:simplePos x="0" y="0"/>
                      <wp:positionH relativeFrom="column">
                        <wp:posOffset>4380865</wp:posOffset>
                      </wp:positionH>
                      <wp:positionV relativeFrom="paragraph">
                        <wp:posOffset>260350</wp:posOffset>
                      </wp:positionV>
                      <wp:extent cx="776605" cy="396240"/>
                      <wp:effectExtent l="4445" t="5080" r="19050" b="17780"/>
                      <wp:wrapNone/>
                      <wp:docPr id="121" name="文本框 121"/>
                      <wp:cNvGraphicFramePr/>
                      <a:graphic xmlns:a="http://schemas.openxmlformats.org/drawingml/2006/main">
                        <a:graphicData uri="http://schemas.microsoft.com/office/word/2010/wordprocessingShape">
                          <wps:wsp>
                            <wps:cNvSpPr txBox="1"/>
                            <wps:spPr>
                              <a:xfrm>
                                <a:off x="0" y="0"/>
                                <a:ext cx="776605" cy="396240"/>
                              </a:xfrm>
                              <a:prstGeom prst="rect">
                                <a:avLst/>
                              </a:prstGeom>
                              <a:noFill/>
                              <a:ln w="9525" cap="flat" cmpd="sng">
                                <a:solidFill>
                                  <a:srgbClr val="000000"/>
                                </a:solidFill>
                                <a:prstDash val="lgDashDotDot"/>
                                <a:miter/>
                                <a:headEnd type="none" w="med" len="med"/>
                                <a:tailEnd type="none" w="med" len="med"/>
                              </a:ln>
                            </wps:spPr>
                            <wps:txbx>
                              <w:txbxContent>
                                <w:p>
                                  <w:pPr>
                                    <w:spacing w:line="0" w:lineRule="atLeast"/>
                                    <w:jc w:val="center"/>
                                  </w:pPr>
                                  <w:r>
                                    <w:rPr>
                                      <w:rFonts w:hint="eastAsia"/>
                                      <w:sz w:val="18"/>
                                      <w:szCs w:val="18"/>
                                    </w:rPr>
                                    <w:t>环境空气、声环境</w:t>
                                  </w:r>
                                </w:p>
                              </w:txbxContent>
                            </wps:txbx>
                            <wps:bodyPr lIns="72000" tIns="36000" rIns="0" bIns="0" upright="1"/>
                          </wps:wsp>
                        </a:graphicData>
                      </a:graphic>
                    </wp:anchor>
                  </w:drawing>
                </mc:Choice>
                <mc:Fallback>
                  <w:pict>
                    <v:shape id="_x0000_s1026" o:spid="_x0000_s1026" o:spt="202" type="#_x0000_t202" style="position:absolute;left:0pt;margin-left:344.95pt;margin-top:20.5pt;height:31.2pt;width:61.15pt;z-index:251692032;mso-width-relative:page;mso-height-relative:page;" filled="f" stroked="t" coordsize="21600,21600" o:gfxdata="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Cl49C/bAAAACgEAAA8AAAAAAAAAAQAgAAAAIgAAAGRycy9kb3ducmV2LnhtbFBLAQIUABQAAAAI&#10;AIdO4kB3Np0qIwIAAEMEAAAOAAAAAAAAAAEAIAAAACoBAABkcnMvZTJvRG9jLnhtbFBLBQYAAAAA&#10;BgAGAFkBAAC/BQAAAAA=&#10;">
                      <v:fill on="f" focussize="0,0"/>
                      <v:stroke color="#000000" joinstyle="miter" dashstyle="longDashDotDot"/>
                      <v:imagedata o:title=""/>
                      <o:lock v:ext="edit" aspectratio="f"/>
                      <v:textbox inset="2mm,1mm,0mm,0mm">
                        <w:txbxContent>
                          <w:p>
                            <w:pPr>
                              <w:spacing w:line="0" w:lineRule="atLeast"/>
                              <w:jc w:val="center"/>
                            </w:pPr>
                            <w:r>
                              <w:rPr>
                                <w:rFonts w:hint="eastAsia"/>
                                <w:sz w:val="18"/>
                                <w:szCs w:val="18"/>
                              </w:rPr>
                              <w:t>环境空气、声环境</w:t>
                            </w:r>
                          </w:p>
                        </w:txbxContent>
                      </v:textbox>
                    </v:shape>
                  </w:pict>
                </mc:Fallback>
              </mc:AlternateContent>
            </w:r>
            <w:r>
              <w:rPr>
                <w:color w:val="auto"/>
              </w:rPr>
              <mc:AlternateContent>
                <mc:Choice Requires="wps">
                  <w:drawing>
                    <wp:anchor distT="0" distB="0" distL="114300" distR="114300" simplePos="0" relativeHeight="251685888" behindDoc="0" locked="0" layoutInCell="1" allowOverlap="1">
                      <wp:simplePos x="0" y="0"/>
                      <wp:positionH relativeFrom="column">
                        <wp:posOffset>2679065</wp:posOffset>
                      </wp:positionH>
                      <wp:positionV relativeFrom="paragraph">
                        <wp:posOffset>239395</wp:posOffset>
                      </wp:positionV>
                      <wp:extent cx="1151890" cy="396240"/>
                      <wp:effectExtent l="4445" t="5080" r="5715" b="17780"/>
                      <wp:wrapNone/>
                      <wp:docPr id="123" name="文本框 123"/>
                      <wp:cNvGraphicFramePr/>
                      <a:graphic xmlns:a="http://schemas.openxmlformats.org/drawingml/2006/main">
                        <a:graphicData uri="http://schemas.microsoft.com/office/word/2010/wordprocessingShape">
                          <wps:wsp>
                            <wps:cNvSpPr txBox="1"/>
                            <wps:spPr>
                              <a:xfrm>
                                <a:off x="0" y="0"/>
                                <a:ext cx="1151890" cy="396240"/>
                              </a:xfrm>
                              <a:prstGeom prst="rect">
                                <a:avLst/>
                              </a:prstGeom>
                              <a:noFill/>
                              <a:ln w="9525" cap="flat" cmpd="sng">
                                <a:solidFill>
                                  <a:srgbClr val="000000"/>
                                </a:solidFill>
                                <a:prstDash val="dash"/>
                                <a:miter/>
                                <a:headEnd type="none" w="med" len="med"/>
                                <a:tailEnd type="none" w="med" len="med"/>
                              </a:ln>
                            </wps:spPr>
                            <wps:txbx>
                              <w:txbxContent>
                                <w:p>
                                  <w:pPr>
                                    <w:spacing w:before="120" w:beforeLines="50" w:line="0" w:lineRule="atLeast"/>
                                    <w:jc w:val="center"/>
                                  </w:pPr>
                                  <w:r>
                                    <w:rPr>
                                      <w:rFonts w:hint="eastAsia"/>
                                      <w:sz w:val="18"/>
                                      <w:szCs w:val="18"/>
                                    </w:rPr>
                                    <w:t>沥青烟气、施工噪声</w:t>
                                  </w:r>
                                </w:p>
                              </w:txbxContent>
                            </wps:txbx>
                            <wps:bodyPr lIns="72000" tIns="36000" rIns="0" bIns="0" upright="1"/>
                          </wps:wsp>
                        </a:graphicData>
                      </a:graphic>
                    </wp:anchor>
                  </w:drawing>
                </mc:Choice>
                <mc:Fallback>
                  <w:pict>
                    <v:shape id="_x0000_s1026" o:spid="_x0000_s1026" o:spt="202" type="#_x0000_t202" style="position:absolute;left:0pt;margin-left:210.95pt;margin-top:18.85pt;height:31.2pt;width:90.7pt;z-index:251685888;mso-width-relative:page;mso-height-relative:page;" filled="f" stroked="t" coordsize="21600,21600" o:gfxdata="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2T9ZsNkA&#10;AAAKAQAADwAAAAAAAAABACAAAAAiAAAAZHJzL2Rvd25yZXYueG1sUEsBAhQAFAAAAAgAh07iQLbb&#10;Vy4eAgAAPAQAAA4AAAAAAAAAAQAgAAAAKAEAAGRycy9lMm9Eb2MueG1sUEsFBgAAAAAGAAYAWQEA&#10;ALgFAAAAAA==&#10;">
                      <v:fill on="f" focussize="0,0"/>
                      <v:stroke color="#000000" joinstyle="miter" dashstyle="dash"/>
                      <v:imagedata o:title=""/>
                      <o:lock v:ext="edit" aspectratio="f"/>
                      <v:textbox inset="2mm,1mm,0mm,0mm">
                        <w:txbxContent>
                          <w:p>
                            <w:pPr>
                              <w:spacing w:before="120" w:beforeLines="50" w:line="0" w:lineRule="atLeast"/>
                              <w:jc w:val="center"/>
                            </w:pPr>
                            <w:r>
                              <w:rPr>
                                <w:rFonts w:hint="eastAsia"/>
                                <w:sz w:val="18"/>
                                <w:szCs w:val="18"/>
                              </w:rPr>
                              <w:t>沥青烟气、施工噪声</w:t>
                            </w:r>
                          </w:p>
                        </w:txbxContent>
                      </v:textbox>
                    </v:shape>
                  </w:pict>
                </mc:Fallback>
              </mc:AlternateContent>
            </w:r>
            <w:r>
              <w:rPr>
                <w:color w:val="auto"/>
              </w:rPr>
              <mc:AlternateContent>
                <mc:Choice Requires="wps">
                  <w:drawing>
                    <wp:anchor distT="0" distB="0" distL="114300" distR="114300" simplePos="0" relativeHeight="251679744" behindDoc="0" locked="0" layoutInCell="1" allowOverlap="1">
                      <wp:simplePos x="0" y="0"/>
                      <wp:positionH relativeFrom="column">
                        <wp:posOffset>1429385</wp:posOffset>
                      </wp:positionH>
                      <wp:positionV relativeFrom="paragraph">
                        <wp:posOffset>238760</wp:posOffset>
                      </wp:positionV>
                      <wp:extent cx="683895" cy="396240"/>
                      <wp:effectExtent l="4445" t="4445" r="16510" b="18415"/>
                      <wp:wrapNone/>
                      <wp:docPr id="124" name="文本框 124"/>
                      <wp:cNvGraphicFramePr/>
                      <a:graphic xmlns:a="http://schemas.openxmlformats.org/drawingml/2006/main">
                        <a:graphicData uri="http://schemas.microsoft.com/office/word/2010/wordprocessingShape">
                          <wps:wsp>
                            <wps:cNvSpPr txBox="1"/>
                            <wps:spPr>
                              <a:xfrm>
                                <a:off x="0" y="0"/>
                                <a:ext cx="683895" cy="396240"/>
                              </a:xfrm>
                              <a:prstGeom prst="rect">
                                <a:avLst/>
                              </a:prstGeom>
                              <a:noFill/>
                              <a:ln w="9525" cap="flat" cmpd="sng">
                                <a:solidFill>
                                  <a:srgbClr val="000000"/>
                                </a:solidFill>
                                <a:prstDash val="solid"/>
                                <a:miter/>
                                <a:headEnd type="none" w="med" len="med"/>
                                <a:tailEnd type="none" w="med" len="med"/>
                              </a:ln>
                            </wps:spPr>
                            <wps:txbx>
                              <w:txbxContent>
                                <w:p>
                                  <w:pPr>
                                    <w:spacing w:line="0" w:lineRule="atLeast"/>
                                    <w:jc w:val="center"/>
                                  </w:pPr>
                                  <w:r>
                                    <w:rPr>
                                      <w:rFonts w:hint="eastAsia"/>
                                      <w:sz w:val="18"/>
                                      <w:szCs w:val="18"/>
                                    </w:rPr>
                                    <w:t>沥青摊铺</w:t>
                                  </w:r>
                                </w:p>
                              </w:txbxContent>
                            </wps:txbx>
                            <wps:bodyPr lIns="91440" tIns="108000" rIns="91440" bIns="45720" upright="1"/>
                          </wps:wsp>
                        </a:graphicData>
                      </a:graphic>
                    </wp:anchor>
                  </w:drawing>
                </mc:Choice>
                <mc:Fallback>
                  <w:pict>
                    <v:shape id="_x0000_s1026" o:spid="_x0000_s1026" o:spt="202" type="#_x0000_t202" style="position:absolute;left:0pt;margin-left:112.55pt;margin-top:18.8pt;height:31.2pt;width:53.85pt;z-index:251679744;mso-width-relative:page;mso-height-relative:page;" filled="f" stroked="t" coordsize="21600,21600" o:gfxdata="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F&#10;VGZG1wAAAAoBAAAPAAAAAAAAAAEAIAAAACIAAABkcnMvZG93bnJldi54bWxQSwECFAAUAAAACACH&#10;TuJAZbRWfyUCAABFBAAADgAAAAAAAAABACAAAAAmAQAAZHJzL2Uyb0RvYy54bWxQSwUGAAAAAAYA&#10;BgBZAQAAvQUAAAAA&#10;">
                      <v:fill on="f" focussize="0,0"/>
                      <v:stroke color="#000000" joinstyle="miter"/>
                      <v:imagedata o:title=""/>
                      <o:lock v:ext="edit" aspectratio="f"/>
                      <v:textbox inset="2.54mm,3mm,2.54mm,1.27mm">
                        <w:txbxContent>
                          <w:p>
                            <w:pPr>
                              <w:spacing w:line="0" w:lineRule="atLeast"/>
                              <w:jc w:val="center"/>
                            </w:pPr>
                            <w:r>
                              <w:rPr>
                                <w:rFonts w:hint="eastAsia"/>
                                <w:sz w:val="18"/>
                                <w:szCs w:val="18"/>
                              </w:rPr>
                              <w:t>沥青摊铺</w:t>
                            </w:r>
                          </w:p>
                        </w:txbxContent>
                      </v:textbox>
                    </v:shape>
                  </w:pict>
                </mc:Fallback>
              </mc:AlternateContent>
            </w:r>
          </w:p>
          <w:p>
            <w:pPr>
              <w:spacing w:line="480" w:lineRule="exact"/>
              <w:ind w:firstLine="420" w:firstLineChars="200"/>
              <w:rPr>
                <w:color w:val="auto"/>
              </w:rPr>
            </w:pPr>
            <w:r>
              <w:rPr>
                <w:color w:val="auto"/>
              </w:rPr>
              <mc:AlternateContent>
                <mc:Choice Requires="wps">
                  <w:drawing>
                    <wp:anchor distT="0" distB="0" distL="114300" distR="114300" simplePos="0" relativeHeight="251704320" behindDoc="0" locked="0" layoutInCell="1" allowOverlap="1">
                      <wp:simplePos x="0" y="0"/>
                      <wp:positionH relativeFrom="column">
                        <wp:posOffset>3834765</wp:posOffset>
                      </wp:positionH>
                      <wp:positionV relativeFrom="paragraph">
                        <wp:posOffset>168275</wp:posOffset>
                      </wp:positionV>
                      <wp:extent cx="539750" cy="635"/>
                      <wp:effectExtent l="0" t="37465" r="12700" b="38100"/>
                      <wp:wrapNone/>
                      <wp:docPr id="125" name="直接连接符 125"/>
                      <wp:cNvGraphicFramePr/>
                      <a:graphic xmlns:a="http://schemas.openxmlformats.org/drawingml/2006/main">
                        <a:graphicData uri="http://schemas.microsoft.com/office/word/2010/wordprocessingShape">
                          <wps:wsp>
                            <wps:cNvCnPr/>
                            <wps:spPr>
                              <a:xfrm>
                                <a:off x="0" y="0"/>
                                <a:ext cx="539750" cy="63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301.95pt;margin-top:13.25pt;height:0.05pt;width:42.5pt;z-index:251704320;mso-width-relative:page;mso-height-relative:page;" filled="f" stroked="t" coordsize="21600,21600" o:gfxdata="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2A+Oi2QAAAAkBAAAPAAAAAAAAAAEAIAAAACIAAABkcnMvZG93&#10;bnJldi54bWxQSwECFAAUAAAACACHTuJAzJocD/8BAADtAwAADgAAAAAAAAABACAAAAAoAQAAZHJz&#10;L2Uyb0RvYy54bWxQSwUGAAAAAAYABgBZAQAAmQUAAAAA&#10;">
                      <v:fill on="f" focussize="0,0"/>
                      <v:stroke color="#000000" joinstyle="round" endarrow="block"/>
                      <v:imagedata o:title=""/>
                      <o:lock v:ext="edit" aspectratio="f"/>
                    </v:line>
                  </w:pict>
                </mc:Fallback>
              </mc:AlternateContent>
            </w:r>
            <w:r>
              <w:rPr>
                <w:color w:val="auto"/>
              </w:rPr>
              <mc:AlternateContent>
                <mc:Choice Requires="wps">
                  <w:drawing>
                    <wp:anchor distT="0" distB="0" distL="114300" distR="114300" simplePos="0" relativeHeight="251703296" behindDoc="0" locked="0" layoutInCell="1" allowOverlap="1">
                      <wp:simplePos x="0" y="0"/>
                      <wp:positionH relativeFrom="column">
                        <wp:posOffset>2115185</wp:posOffset>
                      </wp:positionH>
                      <wp:positionV relativeFrom="paragraph">
                        <wp:posOffset>168275</wp:posOffset>
                      </wp:positionV>
                      <wp:extent cx="539750" cy="635"/>
                      <wp:effectExtent l="0" t="37465" r="12700" b="38100"/>
                      <wp:wrapNone/>
                      <wp:docPr id="126" name="直接连接符 126"/>
                      <wp:cNvGraphicFramePr/>
                      <a:graphic xmlns:a="http://schemas.openxmlformats.org/drawingml/2006/main">
                        <a:graphicData uri="http://schemas.microsoft.com/office/word/2010/wordprocessingShape">
                          <wps:wsp>
                            <wps:cNvCnPr/>
                            <wps:spPr>
                              <a:xfrm>
                                <a:off x="0" y="0"/>
                                <a:ext cx="539750" cy="63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166.55pt;margin-top:13.25pt;height:0.05pt;width:42.5pt;z-index:251703296;mso-width-relative:page;mso-height-relative:page;" filled="f" stroked="t" coordsize="21600,21600" o:gfxdata="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Rv3I2QAAAAkBAAAPAAAAAAAAAAEAIAAAACIAAABkcnMvZG93&#10;bnJldi54bWxQSwECFAAUAAAACACHTuJAXDpWlv8BAADtAwAADgAAAAAAAAABACAAAAAoAQAAZHJz&#10;L2Uyb0RvYy54bWxQSwUGAAAAAAYABgBZAQAAmQUAAAAA&#10;">
                      <v:fill on="f" focussize="0,0"/>
                      <v:stroke color="#000000" joinstyle="round" endarrow="block"/>
                      <v:imagedata o:title=""/>
                      <o:lock v:ext="edit" aspectratio="f"/>
                    </v:line>
                  </w:pict>
                </mc:Fallback>
              </mc:AlternateContent>
            </w:r>
            <w:r>
              <w:rPr>
                <w:color w:val="auto"/>
              </w:rPr>
              <mc:AlternateContent>
                <mc:Choice Requires="wps">
                  <w:drawing>
                    <wp:anchor distT="0" distB="0" distL="114300" distR="114300" simplePos="0" relativeHeight="251702272" behindDoc="0" locked="0" layoutInCell="1" allowOverlap="1">
                      <wp:simplePos x="0" y="0"/>
                      <wp:positionH relativeFrom="column">
                        <wp:posOffset>788670</wp:posOffset>
                      </wp:positionH>
                      <wp:positionV relativeFrom="paragraph">
                        <wp:posOffset>159385</wp:posOffset>
                      </wp:positionV>
                      <wp:extent cx="652780" cy="635"/>
                      <wp:effectExtent l="0" t="37465" r="13970" b="38100"/>
                      <wp:wrapNone/>
                      <wp:docPr id="127" name="直接连接符 127"/>
                      <wp:cNvGraphicFramePr/>
                      <a:graphic xmlns:a="http://schemas.openxmlformats.org/drawingml/2006/main">
                        <a:graphicData uri="http://schemas.microsoft.com/office/word/2010/wordprocessingShape">
                          <wps:wsp>
                            <wps:cNvCnPr/>
                            <wps:spPr>
                              <a:xfrm>
                                <a:off x="0" y="0"/>
                                <a:ext cx="652780" cy="63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62.1pt;margin-top:12.55pt;height:0.05pt;width:51.4pt;z-index:251702272;mso-width-relative:page;mso-height-relative:page;" filled="f" stroked="t" coordsize="21600,21600" o:gfxdata="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eUC6o2QAAAAkBAAAPAAAAAAAAAAEAIAAAACIAAABkcnMvZG93&#10;bnJldi54bWxQSwECFAAUAAAACACHTuJAq55jtf8BAADtAwAADgAAAAAAAAABACAAAAAoAQAAZHJz&#10;L2Uyb0RvYy54bWxQSwUGAAAAAAYABgBZAQAAmQUAAAAA&#10;">
                      <v:fill on="f" focussize="0,0"/>
                      <v:stroke color="#000000" joinstyle="round" endarrow="block"/>
                      <v:imagedata o:title=""/>
                      <o:lock v:ext="edit" aspectratio="f"/>
                    </v:line>
                  </w:pict>
                </mc:Fallback>
              </mc:AlternateContent>
            </w:r>
          </w:p>
          <w:p>
            <w:pPr>
              <w:spacing w:line="480" w:lineRule="exact"/>
              <w:ind w:firstLine="420" w:firstLineChars="200"/>
              <w:rPr>
                <w:color w:val="auto"/>
              </w:rPr>
            </w:pPr>
            <w:r>
              <w:rPr>
                <w:color w:val="auto"/>
              </w:rPr>
              <mc:AlternateContent>
                <mc:Choice Requires="wps">
                  <w:drawing>
                    <wp:anchor distT="0" distB="0" distL="114300" distR="114300" simplePos="0" relativeHeight="251717632" behindDoc="0" locked="0" layoutInCell="1" allowOverlap="1">
                      <wp:simplePos x="0" y="0"/>
                      <wp:positionH relativeFrom="column">
                        <wp:posOffset>685800</wp:posOffset>
                      </wp:positionH>
                      <wp:positionV relativeFrom="paragraph">
                        <wp:posOffset>193675</wp:posOffset>
                      </wp:positionV>
                      <wp:extent cx="3657600" cy="268605"/>
                      <wp:effectExtent l="0" t="0" r="0" b="0"/>
                      <wp:wrapNone/>
                      <wp:docPr id="135" name="文本框 135"/>
                      <wp:cNvGraphicFramePr/>
                      <a:graphic xmlns:a="http://schemas.openxmlformats.org/drawingml/2006/main">
                        <a:graphicData uri="http://schemas.microsoft.com/office/word/2010/wordprocessingShape">
                          <wps:wsp>
                            <wps:cNvSpPr txBox="1"/>
                            <wps:spPr>
                              <a:xfrm>
                                <a:off x="0" y="0"/>
                                <a:ext cx="3657600" cy="268605"/>
                              </a:xfrm>
                              <a:prstGeom prst="rect">
                                <a:avLst/>
                              </a:prstGeom>
                              <a:noFill/>
                              <a:ln>
                                <a:noFill/>
                              </a:ln>
                            </wps:spPr>
                            <wps:txbx>
                              <w:txbxContent>
                                <w:p>
                                  <w:pPr>
                                    <w:spacing w:line="0" w:lineRule="atLeast"/>
                                    <w:ind w:firstLine="207" w:firstLineChars="98"/>
                                    <w:jc w:val="center"/>
                                    <w:rPr>
                                      <w:b/>
                                      <w:bCs/>
                                      <w:sz w:val="21"/>
                                      <w:szCs w:val="18"/>
                                    </w:rPr>
                                  </w:pPr>
                                  <w:r>
                                    <w:rPr>
                                      <w:rFonts w:hAnsi="宋体"/>
                                      <w:b/>
                                      <w:bCs/>
                                      <w:sz w:val="21"/>
                                      <w:szCs w:val="18"/>
                                    </w:rPr>
                                    <w:t>图</w:t>
                                  </w:r>
                                  <w:r>
                                    <w:rPr>
                                      <w:rFonts w:hint="eastAsia" w:hAnsi="宋体"/>
                                      <w:b/>
                                      <w:bCs/>
                                      <w:sz w:val="21"/>
                                      <w:szCs w:val="18"/>
                                      <w:lang w:val="en-US" w:eastAsia="zh-CN"/>
                                    </w:rPr>
                                    <w:t>2-8</w:t>
                                  </w:r>
                                  <w:r>
                                    <w:rPr>
                                      <w:b/>
                                      <w:bCs/>
                                      <w:sz w:val="21"/>
                                      <w:szCs w:val="18"/>
                                    </w:rPr>
                                    <w:t xml:space="preserve">  </w:t>
                                  </w:r>
                                  <w:r>
                                    <w:rPr>
                                      <w:rFonts w:hint="eastAsia"/>
                                      <w:b/>
                                      <w:bCs/>
                                      <w:sz w:val="21"/>
                                      <w:szCs w:val="18"/>
                                      <w:lang w:val="en-US" w:eastAsia="zh-CN"/>
                                    </w:rPr>
                                    <w:t>施工</w:t>
                                  </w:r>
                                  <w:r>
                                    <w:rPr>
                                      <w:rFonts w:hAnsi="宋体"/>
                                      <w:b/>
                                      <w:bCs/>
                                      <w:sz w:val="21"/>
                                      <w:szCs w:val="18"/>
                                    </w:rPr>
                                    <w:t>工艺流程及施工污染源分析</w:t>
                                  </w:r>
                                </w:p>
                              </w:txbxContent>
                            </wps:txbx>
                            <wps:bodyPr lIns="91440" tIns="0" rIns="91440" bIns="45720" upright="1"/>
                          </wps:wsp>
                        </a:graphicData>
                      </a:graphic>
                    </wp:anchor>
                  </w:drawing>
                </mc:Choice>
                <mc:Fallback>
                  <w:pict>
                    <v:shape id="_x0000_s1026" o:spid="_x0000_s1026" o:spt="202" type="#_x0000_t202" style="position:absolute;left:0pt;margin-left:54pt;margin-top:15.25pt;height:21.15pt;width:288pt;z-index:251717632;mso-width-relative:page;mso-height-relative:page;" filled="f" stroked="f" coordsize="21600,21600" o:gfxdata="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AwzIPw2AAAAAkBAAAPAAAAAAAAAAEAIAAAACIAAABkcnMvZG93&#10;bnJldi54bWxQSwECFAAUAAAACACHTuJAhQomR8cBAACCAwAADgAAAAAAAAABACAAAAAnAQAAZHJz&#10;L2Uyb0RvYy54bWxQSwUGAAAAAAYABgBZAQAAYAUAAAAA&#10;">
                      <v:fill on="f" focussize="0,0"/>
                      <v:stroke on="f"/>
                      <v:imagedata o:title=""/>
                      <o:lock v:ext="edit" aspectratio="f"/>
                      <v:textbox inset="2.54mm,0mm,2.54mm,1.27mm">
                        <w:txbxContent>
                          <w:p>
                            <w:pPr>
                              <w:spacing w:line="0" w:lineRule="atLeast"/>
                              <w:ind w:firstLine="207" w:firstLineChars="98"/>
                              <w:jc w:val="center"/>
                              <w:rPr>
                                <w:b/>
                                <w:bCs/>
                                <w:sz w:val="21"/>
                                <w:szCs w:val="18"/>
                              </w:rPr>
                            </w:pPr>
                            <w:r>
                              <w:rPr>
                                <w:rFonts w:hAnsi="宋体"/>
                                <w:b/>
                                <w:bCs/>
                                <w:sz w:val="21"/>
                                <w:szCs w:val="18"/>
                              </w:rPr>
                              <w:t>图</w:t>
                            </w:r>
                            <w:r>
                              <w:rPr>
                                <w:rFonts w:hint="eastAsia" w:hAnsi="宋体"/>
                                <w:b/>
                                <w:bCs/>
                                <w:sz w:val="21"/>
                                <w:szCs w:val="18"/>
                                <w:lang w:val="en-US" w:eastAsia="zh-CN"/>
                              </w:rPr>
                              <w:t>2-8</w:t>
                            </w:r>
                            <w:r>
                              <w:rPr>
                                <w:b/>
                                <w:bCs/>
                                <w:sz w:val="21"/>
                                <w:szCs w:val="18"/>
                              </w:rPr>
                              <w:t xml:space="preserve">  </w:t>
                            </w:r>
                            <w:r>
                              <w:rPr>
                                <w:rFonts w:hint="eastAsia"/>
                                <w:b/>
                                <w:bCs/>
                                <w:sz w:val="21"/>
                                <w:szCs w:val="18"/>
                                <w:lang w:val="en-US" w:eastAsia="zh-CN"/>
                              </w:rPr>
                              <w:t>施工</w:t>
                            </w:r>
                            <w:r>
                              <w:rPr>
                                <w:rFonts w:hAnsi="宋体"/>
                                <w:b/>
                                <w:bCs/>
                                <w:sz w:val="21"/>
                                <w:szCs w:val="18"/>
                              </w:rPr>
                              <w:t>工艺流程及施工污染源分析</w:t>
                            </w:r>
                          </w:p>
                        </w:txbxContent>
                      </v:textbox>
                    </v:shape>
                  </w:pict>
                </mc:Fallback>
              </mc:AlternateContent>
            </w:r>
          </w:p>
          <w:p>
            <w:pPr>
              <w:spacing w:line="480" w:lineRule="exact"/>
              <w:ind w:firstLine="420" w:firstLineChars="200"/>
              <w:rPr>
                <w:rFonts w:hint="eastAsia"/>
                <w:color w:val="auto"/>
                <w:lang w:val="en-US" w:eastAsia="zh-CN"/>
              </w:rPr>
            </w:pPr>
          </w:p>
          <w:p>
            <w:pPr>
              <w:spacing w:line="480" w:lineRule="exact"/>
              <w:ind w:firstLine="420" w:firstLineChars="200"/>
              <w:rPr>
                <w:rFonts w:hint="default" w:eastAsia="宋体"/>
                <w:color w:val="auto"/>
                <w:lang w:val="en-US" w:eastAsia="zh-CN"/>
              </w:rPr>
            </w:pPr>
            <w:r>
              <w:rPr>
                <w:color w:val="auto"/>
              </w:rPr>
              <mc:AlternateContent>
                <mc:Choice Requires="wps">
                  <w:drawing>
                    <wp:anchor distT="0" distB="0" distL="114300" distR="114300" simplePos="0" relativeHeight="251736064" behindDoc="0" locked="0" layoutInCell="1" allowOverlap="1">
                      <wp:simplePos x="0" y="0"/>
                      <wp:positionH relativeFrom="column">
                        <wp:posOffset>2846070</wp:posOffset>
                      </wp:positionH>
                      <wp:positionV relativeFrom="paragraph">
                        <wp:posOffset>231140</wp:posOffset>
                      </wp:positionV>
                      <wp:extent cx="1125220" cy="396240"/>
                      <wp:effectExtent l="4445" t="5080" r="13335" b="17780"/>
                      <wp:wrapNone/>
                      <wp:docPr id="130" name="文本框 130"/>
                      <wp:cNvGraphicFramePr/>
                      <a:graphic xmlns:a="http://schemas.openxmlformats.org/drawingml/2006/main">
                        <a:graphicData uri="http://schemas.microsoft.com/office/word/2010/wordprocessingShape">
                          <wps:wsp>
                            <wps:cNvSpPr txBox="1"/>
                            <wps:spPr>
                              <a:xfrm>
                                <a:off x="0" y="0"/>
                                <a:ext cx="1125220" cy="396240"/>
                              </a:xfrm>
                              <a:prstGeom prst="rect">
                                <a:avLst/>
                              </a:prstGeom>
                              <a:noFill/>
                              <a:ln w="9525" cap="flat" cmpd="sng">
                                <a:solidFill>
                                  <a:srgbClr val="000000"/>
                                </a:solidFill>
                                <a:prstDash val="dash"/>
                                <a:miter/>
                                <a:headEnd type="none" w="med" len="med"/>
                                <a:tailEnd type="none" w="med" len="med"/>
                              </a:ln>
                            </wps:spPr>
                            <wps:txbx>
                              <w:txbxContent>
                                <w:p>
                                  <w:pPr>
                                    <w:spacing w:line="0" w:lineRule="atLeast"/>
                                    <w:jc w:val="both"/>
                                    <w:rPr>
                                      <w:rFonts w:hint="default" w:eastAsia="宋体"/>
                                      <w:sz w:val="18"/>
                                      <w:szCs w:val="16"/>
                                      <w:lang w:val="en-US" w:eastAsia="zh-CN"/>
                                    </w:rPr>
                                  </w:pPr>
                                  <w:r>
                                    <w:rPr>
                                      <w:rFonts w:hint="eastAsia"/>
                                      <w:sz w:val="18"/>
                                      <w:szCs w:val="16"/>
                                      <w:lang w:val="en-US" w:eastAsia="zh-CN"/>
                                    </w:rPr>
                                    <w:t>扬尘、噪声、尾气</w:t>
                                  </w:r>
                                </w:p>
                              </w:txbxContent>
                            </wps:txbx>
                            <wps:bodyPr lIns="72000" tIns="108000" rIns="0" bIns="0" upright="1"/>
                          </wps:wsp>
                        </a:graphicData>
                      </a:graphic>
                    </wp:anchor>
                  </w:drawing>
                </mc:Choice>
                <mc:Fallback>
                  <w:pict>
                    <v:shape id="_x0000_s1026" o:spid="_x0000_s1026" o:spt="202" type="#_x0000_t202" style="position:absolute;left:0pt;margin-left:224.1pt;margin-top:18.2pt;height:31.2pt;width:88.6pt;z-index:251736064;mso-width-relative:page;mso-height-relative:page;" filled="f" stroked="t" coordsize="21600,21600" o:gfxdata="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HDJqZva&#10;AAAACQEAAA8AAAAAAAAAAQAgAAAAIgAAAGRycy9kb3ducmV2LnhtbFBLAQIUABQAAAAIAIdO4kBw&#10;fMWFHgIAAD0EAAAOAAAAAAAAAAEAIAAAACkBAABkcnMvZTJvRG9jLnhtbFBLBQYAAAAABgAGAFkB&#10;AAC5BQAAAAA=&#10;">
                      <v:fill on="f" focussize="0,0"/>
                      <v:stroke color="#000000" joinstyle="miter" dashstyle="dash"/>
                      <v:imagedata o:title=""/>
                      <o:lock v:ext="edit" aspectratio="f"/>
                      <v:textbox inset="2mm,3mm,0mm,0mm">
                        <w:txbxContent>
                          <w:p>
                            <w:pPr>
                              <w:spacing w:line="0" w:lineRule="atLeast"/>
                              <w:jc w:val="both"/>
                              <w:rPr>
                                <w:rFonts w:hint="default" w:eastAsia="宋体"/>
                                <w:sz w:val="18"/>
                                <w:szCs w:val="16"/>
                                <w:lang w:val="en-US" w:eastAsia="zh-CN"/>
                              </w:rPr>
                            </w:pPr>
                            <w:r>
                              <w:rPr>
                                <w:rFonts w:hint="eastAsia"/>
                                <w:sz w:val="18"/>
                                <w:szCs w:val="16"/>
                                <w:lang w:val="en-US" w:eastAsia="zh-CN"/>
                              </w:rPr>
                              <w:t>扬尘、噪声、尾气</w:t>
                            </w:r>
                          </w:p>
                        </w:txbxContent>
                      </v:textbox>
                    </v:shape>
                  </w:pict>
                </mc:Fallback>
              </mc:AlternateContent>
            </w:r>
          </w:p>
          <w:p>
            <w:pPr>
              <w:keepNext w:val="0"/>
              <w:keepLines w:val="0"/>
              <w:pageBreakBefore w:val="0"/>
              <w:widowControl w:val="0"/>
              <w:kinsoku/>
              <w:wordWrap/>
              <w:overflowPunct/>
              <w:topLinePunct w:val="0"/>
              <w:autoSpaceDE w:val="0"/>
              <w:autoSpaceDN w:val="0"/>
              <w:bidi w:val="0"/>
              <w:adjustRightInd/>
              <w:snapToGrid/>
              <w:spacing w:line="500" w:lineRule="exact"/>
              <w:ind w:firstLine="420" w:firstLineChars="200"/>
              <w:textAlignment w:val="auto"/>
              <w:rPr>
                <w:color w:val="auto"/>
              </w:rPr>
            </w:pPr>
            <w:r>
              <w:rPr>
                <w:color w:val="auto"/>
              </w:rPr>
              <mc:AlternateContent>
                <mc:Choice Requires="wps">
                  <w:drawing>
                    <wp:anchor distT="0" distB="0" distL="114300" distR="114300" simplePos="0" relativeHeight="251735040" behindDoc="0" locked="0" layoutInCell="1" allowOverlap="1">
                      <wp:simplePos x="0" y="0"/>
                      <wp:positionH relativeFrom="column">
                        <wp:posOffset>3376295</wp:posOffset>
                      </wp:positionH>
                      <wp:positionV relativeFrom="paragraph">
                        <wp:posOffset>311785</wp:posOffset>
                      </wp:positionV>
                      <wp:extent cx="8255" cy="193675"/>
                      <wp:effectExtent l="34925" t="0" r="33020" b="15875"/>
                      <wp:wrapNone/>
                      <wp:docPr id="131" name="直接连接符 131"/>
                      <wp:cNvGraphicFramePr/>
                      <a:graphic xmlns:a="http://schemas.openxmlformats.org/drawingml/2006/main">
                        <a:graphicData uri="http://schemas.microsoft.com/office/word/2010/wordprocessingShape">
                          <wps:wsp>
                            <wps:cNvCnPr/>
                            <wps:spPr>
                              <a:xfrm flipH="1" flipV="1">
                                <a:off x="0" y="0"/>
                                <a:ext cx="8255" cy="19367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flip:x y;margin-left:265.85pt;margin-top:24.55pt;height:15.25pt;width:0.65pt;z-index:251735040;mso-width-relative:page;mso-height-relative:page;" filled="f" stroked="t" coordsize="21600,21600" o:gfxdata="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jtAhOtoAAAAJAQAADwAAAAAAAAABACAA&#10;AAAiAAAAZHJzL2Rvd25yZXYueG1sUEsBAhQAFAAAAAgAh07iQPhBSN4LAgAAAgQAAA4AAAAAAAAA&#10;AQAgAAAAKQEAAGRycy9lMm9Eb2MueG1sUEsFBgAAAAAGAAYAWQEAAKYFAAAAAA==&#10;">
                      <v:fill on="f" focussize="0,0"/>
                      <v:stroke color="#000000" joinstyle="round" endarrow="block"/>
                      <v:imagedata o:title=""/>
                      <o:lock v:ext="edit" aspectratio="f"/>
                    </v:line>
                  </w:pict>
                </mc:Fallback>
              </mc:AlternateContent>
            </w:r>
          </w:p>
          <w:p>
            <w:pPr>
              <w:keepNext w:val="0"/>
              <w:keepLines w:val="0"/>
              <w:pageBreakBefore w:val="0"/>
              <w:widowControl w:val="0"/>
              <w:kinsoku/>
              <w:wordWrap/>
              <w:overflowPunct/>
              <w:topLinePunct w:val="0"/>
              <w:autoSpaceDE w:val="0"/>
              <w:autoSpaceDN w:val="0"/>
              <w:bidi w:val="0"/>
              <w:adjustRightInd/>
              <w:snapToGrid/>
              <w:spacing w:line="500" w:lineRule="exact"/>
              <w:ind w:firstLine="420" w:firstLineChars="200"/>
              <w:textAlignment w:val="auto"/>
              <w:rPr>
                <w:color w:val="auto"/>
              </w:rPr>
            </w:pPr>
            <w:r>
              <w:rPr>
                <w:color w:val="auto"/>
              </w:rPr>
              <mc:AlternateContent>
                <mc:Choice Requires="wps">
                  <w:drawing>
                    <wp:anchor distT="0" distB="0" distL="114300" distR="114300" simplePos="0" relativeHeight="251731968" behindDoc="0" locked="0" layoutInCell="1" allowOverlap="1">
                      <wp:simplePos x="0" y="0"/>
                      <wp:positionH relativeFrom="column">
                        <wp:posOffset>2700020</wp:posOffset>
                      </wp:positionH>
                      <wp:positionV relativeFrom="paragraph">
                        <wp:posOffset>184150</wp:posOffset>
                      </wp:positionV>
                      <wp:extent cx="1243965" cy="290830"/>
                      <wp:effectExtent l="4445" t="5080" r="8890" b="8890"/>
                      <wp:wrapNone/>
                      <wp:docPr id="132" name="文本框 132"/>
                      <wp:cNvGraphicFramePr/>
                      <a:graphic xmlns:a="http://schemas.openxmlformats.org/drawingml/2006/main">
                        <a:graphicData uri="http://schemas.microsoft.com/office/word/2010/wordprocessingShape">
                          <wps:wsp>
                            <wps:cNvSpPr txBox="1"/>
                            <wps:spPr>
                              <a:xfrm>
                                <a:off x="0" y="0"/>
                                <a:ext cx="1243965" cy="29083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lang w:val="en-US" w:eastAsia="zh-CN"/>
                                    </w:rPr>
                                    <w:t>过往车辆</w:t>
                                  </w:r>
                                </w:p>
                              </w:txbxContent>
                            </wps:txbx>
                            <wps:bodyPr upright="1"/>
                          </wps:wsp>
                        </a:graphicData>
                      </a:graphic>
                    </wp:anchor>
                  </w:drawing>
                </mc:Choice>
                <mc:Fallback>
                  <w:pict>
                    <v:shape id="_x0000_s1026" o:spid="_x0000_s1026" o:spt="202" type="#_x0000_t202" style="position:absolute;left:0pt;margin-left:212.6pt;margin-top:14.5pt;height:22.9pt;width:97.95pt;z-index:251731968;mso-width-relative:page;mso-height-relative:page;" fillcolor="#FFFFFF" filled="t" stroked="t" coordsize="21600,21600" o:gfxdata="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YDzJLdkAAAAJAQAADwAAAAAAAAAB&#10;ACAAAAAiAAAAZHJzL2Rvd25yZXYueG1sUEsBAhQAFAAAAAgAh07iQCCeU5gPAgAAOgQAAA4AAAAA&#10;AAAAAQAgAAAAKAEAAGRycy9lMm9Eb2MueG1sUEsFBgAAAAAGAAYAWQEAAKkFAAAAAA==&#10;">
                      <v:fill on="t" focussize="0,0"/>
                      <v:stroke color="#000000" joinstyle="miter"/>
                      <v:imagedata o:title=""/>
                      <o:lock v:ext="edit" aspectratio="f"/>
                      <v:textbox>
                        <w:txbxContent>
                          <w:p>
                            <w:pPr>
                              <w:jc w:val="center"/>
                              <w:rPr>
                                <w:rFonts w:hint="default" w:eastAsia="宋体"/>
                                <w:lang w:val="en-US" w:eastAsia="zh-CN"/>
                              </w:rPr>
                            </w:pPr>
                            <w:r>
                              <w:rPr>
                                <w:rFonts w:hint="eastAsia"/>
                                <w:lang w:val="en-US" w:eastAsia="zh-CN"/>
                              </w:rPr>
                              <w:t>过往车辆</w:t>
                            </w:r>
                          </w:p>
                        </w:txbxContent>
                      </v:textbox>
                    </v:shape>
                  </w:pict>
                </mc:Fallback>
              </mc:AlternateContent>
            </w:r>
          </w:p>
          <w:p>
            <w:pPr>
              <w:keepNext w:val="0"/>
              <w:keepLines w:val="0"/>
              <w:pageBreakBefore w:val="0"/>
              <w:widowControl w:val="0"/>
              <w:kinsoku/>
              <w:wordWrap/>
              <w:overflowPunct/>
              <w:topLinePunct w:val="0"/>
              <w:autoSpaceDE w:val="0"/>
              <w:autoSpaceDN w:val="0"/>
              <w:bidi w:val="0"/>
              <w:adjustRightInd/>
              <w:snapToGrid/>
              <w:spacing w:line="500" w:lineRule="exact"/>
              <w:ind w:firstLine="420" w:firstLineChars="200"/>
              <w:textAlignment w:val="auto"/>
              <w:rPr>
                <w:color w:val="auto"/>
              </w:rPr>
            </w:pPr>
            <w:r>
              <w:rPr>
                <w:color w:val="auto"/>
              </w:rPr>
              <mc:AlternateContent>
                <mc:Choice Requires="wps">
                  <w:drawing>
                    <wp:anchor distT="0" distB="0" distL="114300" distR="114300" simplePos="0" relativeHeight="251725824" behindDoc="0" locked="0" layoutInCell="1" allowOverlap="1">
                      <wp:simplePos x="0" y="0"/>
                      <wp:positionH relativeFrom="column">
                        <wp:posOffset>1021080</wp:posOffset>
                      </wp:positionH>
                      <wp:positionV relativeFrom="paragraph">
                        <wp:posOffset>52705</wp:posOffset>
                      </wp:positionV>
                      <wp:extent cx="343535" cy="1216660"/>
                      <wp:effectExtent l="4445" t="5080" r="13970" b="16510"/>
                      <wp:wrapNone/>
                      <wp:docPr id="133" name="文本框 133"/>
                      <wp:cNvGraphicFramePr/>
                      <a:graphic xmlns:a="http://schemas.openxmlformats.org/drawingml/2006/main">
                        <a:graphicData uri="http://schemas.microsoft.com/office/word/2010/wordprocessingShape">
                          <wps:wsp>
                            <wps:cNvSpPr txBox="1"/>
                            <wps:spPr>
                              <a:xfrm>
                                <a:off x="0" y="0"/>
                                <a:ext cx="343535" cy="121666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default" w:eastAsia="宋体"/>
                                      <w:lang w:val="en-US" w:eastAsia="zh-CN"/>
                                    </w:rPr>
                                  </w:pPr>
                                  <w:r>
                                    <w:rPr>
                                      <w:rFonts w:hint="eastAsia"/>
                                      <w:lang w:val="en-US" w:eastAsia="zh-CN"/>
                                    </w:rPr>
                                    <w:t>营运阶段</w:t>
                                  </w:r>
                                </w:p>
                              </w:txbxContent>
                            </wps:txbx>
                            <wps:bodyPr upright="1"/>
                          </wps:wsp>
                        </a:graphicData>
                      </a:graphic>
                    </wp:anchor>
                  </w:drawing>
                </mc:Choice>
                <mc:Fallback>
                  <w:pict>
                    <v:shape id="_x0000_s1026" o:spid="_x0000_s1026" o:spt="202" type="#_x0000_t202" style="position:absolute;left:0pt;margin-left:80.4pt;margin-top:4.15pt;height:95.8pt;width:27.05pt;z-index:251725824;mso-width-relative:page;mso-height-relative:page;" fillcolor="#FFFFFF" filled="t" stroked="t" coordsize="21600,21600" o:gfxdata="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5xLx39cAAAAJAQAADwAAAAAAAAABACAA&#10;AAAiAAAAZHJzL2Rvd25yZXYueG1sUEsBAhQAFAAAAAgAh07iQBHQXo8OAgAAOgQAAA4AAAAAAAAA&#10;AQAgAAAAJgEAAGRycy9lMm9Eb2MueG1sUEsFBgAAAAAGAAYAWQEAAKYFAAAAAA==&#10;">
                      <v:fill on="t" focussize="0,0"/>
                      <v:stroke color="#000000" joinstyle="miter"/>
                      <v:imagedata o:title=""/>
                      <o:lock v:ext="edit" aspectratio="f"/>
                      <v:textbox>
                        <w:txbxContent>
                          <w:p>
                            <w:pPr>
                              <w:rPr>
                                <w:rFonts w:hint="default" w:eastAsia="宋体"/>
                                <w:lang w:val="en-US" w:eastAsia="zh-CN"/>
                              </w:rPr>
                            </w:pPr>
                            <w:r>
                              <w:rPr>
                                <w:rFonts w:hint="eastAsia"/>
                                <w:lang w:val="en-US" w:eastAsia="zh-CN"/>
                              </w:rPr>
                              <w:t>营运阶段</w:t>
                            </w:r>
                          </w:p>
                        </w:txbxContent>
                      </v:textbox>
                    </v:shape>
                  </w:pict>
                </mc:Fallback>
              </mc:AlternateContent>
            </w:r>
            <w:r>
              <w:rPr>
                <w:color w:val="auto"/>
              </w:rPr>
              <mc:AlternateContent>
                <mc:Choice Requires="wps">
                  <w:drawing>
                    <wp:anchor distT="0" distB="0" distL="114300" distR="114300" simplePos="0" relativeHeight="251728896" behindDoc="0" locked="0" layoutInCell="1" allowOverlap="1">
                      <wp:simplePos x="0" y="0"/>
                      <wp:positionH relativeFrom="column">
                        <wp:posOffset>2026285</wp:posOffset>
                      </wp:positionH>
                      <wp:positionV relativeFrom="paragraph">
                        <wp:posOffset>29845</wp:posOffset>
                      </wp:positionV>
                      <wp:extent cx="652780" cy="635"/>
                      <wp:effectExtent l="0" t="37465" r="13970" b="38100"/>
                      <wp:wrapNone/>
                      <wp:docPr id="116" name="直接连接符 116"/>
                      <wp:cNvGraphicFramePr/>
                      <a:graphic xmlns:a="http://schemas.openxmlformats.org/drawingml/2006/main">
                        <a:graphicData uri="http://schemas.microsoft.com/office/word/2010/wordprocessingShape">
                          <wps:wsp>
                            <wps:cNvCnPr/>
                            <wps:spPr>
                              <a:xfrm>
                                <a:off x="0" y="0"/>
                                <a:ext cx="652780" cy="63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159.55pt;margin-top:2.35pt;height:0.05pt;width:51.4pt;z-index:251728896;mso-width-relative:page;mso-height-relative:page;" filled="f" stroked="t" coordsize="21600,21600" o:gfxdata="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DOeW/9gAAAAHAQAADwAAAAAAAAABACAAAAAiAAAAZHJzL2Rvd25y&#10;ZXYueG1sUEsBAhQAFAAAAAgAh07iQAAlHIT+AQAA7QMAAA4AAAAAAAAAAQAgAAAAJwEAAGRycy9l&#10;Mm9Eb2MueG1sUEsFBgAAAAAGAAYAWQEAAJcFAAAAAA==&#10;">
                      <v:fill on="f" focussize="0,0"/>
                      <v:stroke color="#000000" joinstyle="round" endarrow="block"/>
                      <v:imagedata o:title=""/>
                      <o:lock v:ext="edit" aspectratio="f"/>
                    </v:line>
                  </w:pict>
                </mc:Fallback>
              </mc:AlternateContent>
            </w:r>
            <w:r>
              <w:rPr>
                <w:color w:val="auto"/>
              </w:rPr>
              <mc:AlternateContent>
                <mc:Choice Requires="wps">
                  <w:drawing>
                    <wp:anchor distT="0" distB="0" distL="114300" distR="114300" simplePos="0" relativeHeight="251727872" behindDoc="0" locked="0" layoutInCell="1" allowOverlap="1">
                      <wp:simplePos x="0" y="0"/>
                      <wp:positionH relativeFrom="column">
                        <wp:posOffset>2026920</wp:posOffset>
                      </wp:positionH>
                      <wp:positionV relativeFrom="paragraph">
                        <wp:posOffset>20955</wp:posOffset>
                      </wp:positionV>
                      <wp:extent cx="635" cy="1297305"/>
                      <wp:effectExtent l="4445" t="0" r="13970" b="17145"/>
                      <wp:wrapNone/>
                      <wp:docPr id="117" name="直接连接符 117"/>
                      <wp:cNvGraphicFramePr/>
                      <a:graphic xmlns:a="http://schemas.openxmlformats.org/drawingml/2006/main">
                        <a:graphicData uri="http://schemas.microsoft.com/office/word/2010/wordprocessingShape">
                          <wps:wsp>
                            <wps:cNvCnPr/>
                            <wps:spPr>
                              <a:xfrm>
                                <a:off x="0" y="0"/>
                                <a:ext cx="635" cy="1297305"/>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159.6pt;margin-top:1.65pt;height:102.15pt;width:0.05pt;z-index:251727872;mso-width-relative:page;mso-height-relative:page;" filled="f" stroked="t" coordsize="21600,21600" o:gfxdata="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kOQyEdUAAAAJAQAADwAAAAAAAAABACAAAAAiAAAAZHJzL2Rvd25yZXYueG1sUEsB&#10;AhQAFAAAAAgAh07iQGwhQO74AQAA6gMAAA4AAAAAAAAAAQAgAAAAJAEAAGRycy9lMm9Eb2MueG1s&#10;UEsFBgAAAAAGAAYAWQEAAI4FAAAAAA==&#10;">
                      <v:fill on="f" focussize="0,0"/>
                      <v:stroke color="#000000" joinstyle="round"/>
                      <v:imagedata o:title=""/>
                      <o:lock v:ext="edit" aspectratio="f"/>
                    </v:line>
                  </w:pict>
                </mc:Fallback>
              </mc:AlternateContent>
            </w:r>
          </w:p>
          <w:p>
            <w:pPr>
              <w:keepNext w:val="0"/>
              <w:keepLines w:val="0"/>
              <w:pageBreakBefore w:val="0"/>
              <w:widowControl w:val="0"/>
              <w:kinsoku/>
              <w:wordWrap/>
              <w:overflowPunct/>
              <w:topLinePunct w:val="0"/>
              <w:autoSpaceDE w:val="0"/>
              <w:autoSpaceDN w:val="0"/>
              <w:bidi w:val="0"/>
              <w:adjustRightInd/>
              <w:snapToGrid/>
              <w:spacing w:line="500" w:lineRule="exact"/>
              <w:ind w:firstLine="420" w:firstLineChars="200"/>
              <w:textAlignment w:val="auto"/>
              <w:rPr>
                <w:color w:val="auto"/>
              </w:rPr>
            </w:pPr>
            <w:r>
              <w:rPr>
                <w:color w:val="auto"/>
              </w:rPr>
              <mc:AlternateContent>
                <mc:Choice Requires="wps">
                  <w:drawing>
                    <wp:anchor distT="0" distB="0" distL="114300" distR="114300" simplePos="0" relativeHeight="251732992" behindDoc="0" locked="0" layoutInCell="1" allowOverlap="1">
                      <wp:simplePos x="0" y="0"/>
                      <wp:positionH relativeFrom="column">
                        <wp:posOffset>2682240</wp:posOffset>
                      </wp:positionH>
                      <wp:positionV relativeFrom="paragraph">
                        <wp:posOffset>184150</wp:posOffset>
                      </wp:positionV>
                      <wp:extent cx="1243965" cy="290830"/>
                      <wp:effectExtent l="4445" t="5080" r="8890" b="8890"/>
                      <wp:wrapNone/>
                      <wp:docPr id="157" name="文本框 157"/>
                      <wp:cNvGraphicFramePr/>
                      <a:graphic xmlns:a="http://schemas.openxmlformats.org/drawingml/2006/main">
                        <a:graphicData uri="http://schemas.microsoft.com/office/word/2010/wordprocessingShape">
                          <wps:wsp>
                            <wps:cNvSpPr txBox="1"/>
                            <wps:spPr>
                              <a:xfrm>
                                <a:off x="0" y="0"/>
                                <a:ext cx="1243965" cy="29083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lang w:val="en-US" w:eastAsia="zh-CN"/>
                                    </w:rPr>
                                    <w:t>维护管理</w:t>
                                  </w:r>
                                </w:p>
                              </w:txbxContent>
                            </wps:txbx>
                            <wps:bodyPr upright="1"/>
                          </wps:wsp>
                        </a:graphicData>
                      </a:graphic>
                    </wp:anchor>
                  </w:drawing>
                </mc:Choice>
                <mc:Fallback>
                  <w:pict>
                    <v:shape id="_x0000_s1026" o:spid="_x0000_s1026" o:spt="202" type="#_x0000_t202" style="position:absolute;left:0pt;margin-left:211.2pt;margin-top:14.5pt;height:22.9pt;width:97.95pt;z-index:251732992;mso-width-relative:page;mso-height-relative:page;" fillcolor="#FFFFFF" filled="t" stroked="t" coordsize="21600,21600" o:gfxdata="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UTAzedkAAAAJAQAADwAAAAAAAAAB&#10;ACAAAAAiAAAAZHJzL2Rvd25yZXYueG1sUEsBAhQAFAAAAAgAh07iQJuC2l8PAgAAOgQAAA4AAAAA&#10;AAAAAQAgAAAAKAEAAGRycy9lMm9Eb2MueG1sUEsFBgAAAAAGAAYAWQEAAKkFAAAAAA==&#10;">
                      <v:fill on="t" focussize="0,0"/>
                      <v:stroke color="#000000" joinstyle="miter"/>
                      <v:imagedata o:title=""/>
                      <o:lock v:ext="edit" aspectratio="f"/>
                      <v:textbox>
                        <w:txbxContent>
                          <w:p>
                            <w:pPr>
                              <w:jc w:val="center"/>
                              <w:rPr>
                                <w:rFonts w:hint="default" w:eastAsia="宋体"/>
                                <w:lang w:val="en-US" w:eastAsia="zh-CN"/>
                              </w:rPr>
                            </w:pPr>
                            <w:r>
                              <w:rPr>
                                <w:rFonts w:hint="eastAsia"/>
                                <w:lang w:val="en-US" w:eastAsia="zh-CN"/>
                              </w:rPr>
                              <w:t>维护管理</w:t>
                            </w:r>
                          </w:p>
                        </w:txbxContent>
                      </v:textbox>
                    </v:shape>
                  </w:pict>
                </mc:Fallback>
              </mc:AlternateContent>
            </w:r>
          </w:p>
          <w:p>
            <w:pPr>
              <w:keepNext w:val="0"/>
              <w:keepLines w:val="0"/>
              <w:pageBreakBefore w:val="0"/>
              <w:widowControl w:val="0"/>
              <w:kinsoku/>
              <w:wordWrap/>
              <w:overflowPunct/>
              <w:topLinePunct w:val="0"/>
              <w:autoSpaceDE w:val="0"/>
              <w:autoSpaceDN w:val="0"/>
              <w:bidi w:val="0"/>
              <w:adjustRightInd/>
              <w:snapToGrid/>
              <w:spacing w:line="500" w:lineRule="exact"/>
              <w:ind w:firstLine="420" w:firstLineChars="200"/>
              <w:textAlignment w:val="auto"/>
              <w:rPr>
                <w:color w:val="auto"/>
              </w:rPr>
            </w:pPr>
            <w:r>
              <w:rPr>
                <w:color w:val="auto"/>
              </w:rPr>
              <mc:AlternateContent>
                <mc:Choice Requires="wps">
                  <w:drawing>
                    <wp:anchor distT="0" distB="0" distL="114300" distR="114300" simplePos="0" relativeHeight="251726848" behindDoc="0" locked="0" layoutInCell="1" allowOverlap="1">
                      <wp:simplePos x="0" y="0"/>
                      <wp:positionH relativeFrom="column">
                        <wp:posOffset>1374140</wp:posOffset>
                      </wp:positionH>
                      <wp:positionV relativeFrom="paragraph">
                        <wp:posOffset>20320</wp:posOffset>
                      </wp:positionV>
                      <wp:extent cx="652780" cy="635"/>
                      <wp:effectExtent l="0" t="37465" r="13970" b="38100"/>
                      <wp:wrapNone/>
                      <wp:docPr id="159" name="直接连接符 159"/>
                      <wp:cNvGraphicFramePr/>
                      <a:graphic xmlns:a="http://schemas.openxmlformats.org/drawingml/2006/main">
                        <a:graphicData uri="http://schemas.microsoft.com/office/word/2010/wordprocessingShape">
                          <wps:wsp>
                            <wps:cNvCnPr/>
                            <wps:spPr>
                              <a:xfrm>
                                <a:off x="0" y="0"/>
                                <a:ext cx="652780" cy="63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108.2pt;margin-top:1.6pt;height:0.05pt;width:51.4pt;z-index:251726848;mso-width-relative:page;mso-height-relative:page;" filled="f" stroked="t" coordsize="21600,21600" o:gfxdata="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hmsJitcAAAAHAQAADwAAAAAAAAABACAAAAAiAAAAZHJzL2Rvd25y&#10;ZXYueG1sUEsBAhQAFAAAAAgAh07iQB3Uhzn/AQAA7QMAAA4AAAAAAAAAAQAgAAAAJgEAAGRycy9l&#10;Mm9Eb2MueG1sUEsFBgAAAAAGAAYAWQEAAJcFAAAAAA==&#10;">
                      <v:fill on="f" focussize="0,0"/>
                      <v:stroke color="#000000" joinstyle="round" endarrow="block"/>
                      <v:imagedata o:title=""/>
                      <o:lock v:ext="edit" aspectratio="f"/>
                    </v:line>
                  </w:pict>
                </mc:Fallback>
              </mc:AlternateContent>
            </w:r>
            <w:r>
              <w:rPr>
                <w:color w:val="auto"/>
              </w:rPr>
              <mc:AlternateContent>
                <mc:Choice Requires="wps">
                  <w:drawing>
                    <wp:anchor distT="0" distB="0" distL="114300" distR="114300" simplePos="0" relativeHeight="251729920" behindDoc="0" locked="0" layoutInCell="1" allowOverlap="1">
                      <wp:simplePos x="0" y="0"/>
                      <wp:positionH relativeFrom="column">
                        <wp:posOffset>2035175</wp:posOffset>
                      </wp:positionH>
                      <wp:positionV relativeFrom="paragraph">
                        <wp:posOffset>21590</wp:posOffset>
                      </wp:positionV>
                      <wp:extent cx="652780" cy="635"/>
                      <wp:effectExtent l="0" t="37465" r="13970" b="38100"/>
                      <wp:wrapNone/>
                      <wp:docPr id="161" name="直接连接符 161"/>
                      <wp:cNvGraphicFramePr/>
                      <a:graphic xmlns:a="http://schemas.openxmlformats.org/drawingml/2006/main">
                        <a:graphicData uri="http://schemas.microsoft.com/office/word/2010/wordprocessingShape">
                          <wps:wsp>
                            <wps:cNvCnPr/>
                            <wps:spPr>
                              <a:xfrm>
                                <a:off x="0" y="0"/>
                                <a:ext cx="652780" cy="63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160.25pt;margin-top:1.7pt;height:0.05pt;width:51.4pt;z-index:251729920;mso-width-relative:page;mso-height-relative:page;" filled="f" stroked="t" coordsize="21600,21600" o:gfxdata="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8hvPm1wAAAAcBAAAPAAAAAAAAAAEAIAAAACIAAABkcnMvZG93bnJl&#10;di54bWxQSwECFAAUAAAACACHTuJAxADvcP4BAADtAwAADgAAAAAAAAABACAAAAAmAQAAZHJzL2Uy&#10;b0RvYy54bWxQSwUGAAAAAAYABgBZAQAAlgUAAAAA&#10;">
                      <v:fill on="f" focussize="0,0"/>
                      <v:stroke color="#000000" joinstyle="round" endarrow="block"/>
                      <v:imagedata o:title=""/>
                      <o:lock v:ext="edit" aspectratio="f"/>
                    </v:line>
                  </w:pict>
                </mc:Fallback>
              </mc:AlternateContent>
            </w:r>
          </w:p>
          <w:p>
            <w:pPr>
              <w:keepNext w:val="0"/>
              <w:keepLines w:val="0"/>
              <w:pageBreakBefore w:val="0"/>
              <w:widowControl w:val="0"/>
              <w:kinsoku/>
              <w:wordWrap/>
              <w:overflowPunct/>
              <w:topLinePunct w:val="0"/>
              <w:autoSpaceDE w:val="0"/>
              <w:autoSpaceDN w:val="0"/>
              <w:bidi w:val="0"/>
              <w:adjustRightInd/>
              <w:snapToGrid/>
              <w:spacing w:line="500" w:lineRule="exact"/>
              <w:ind w:firstLine="420" w:firstLineChars="200"/>
              <w:textAlignment w:val="auto"/>
              <w:rPr>
                <w:color w:val="auto"/>
              </w:rPr>
            </w:pPr>
            <w:r>
              <w:rPr>
                <w:color w:val="auto"/>
              </w:rPr>
              <mc:AlternateContent>
                <mc:Choice Requires="wps">
                  <w:drawing>
                    <wp:anchor distT="0" distB="0" distL="114300" distR="114300" simplePos="0" relativeHeight="251734016" behindDoc="0" locked="0" layoutInCell="1" allowOverlap="1">
                      <wp:simplePos x="0" y="0"/>
                      <wp:positionH relativeFrom="column">
                        <wp:posOffset>2700020</wp:posOffset>
                      </wp:positionH>
                      <wp:positionV relativeFrom="paragraph">
                        <wp:posOffset>210820</wp:posOffset>
                      </wp:positionV>
                      <wp:extent cx="1243965" cy="290830"/>
                      <wp:effectExtent l="4445" t="5080" r="8890" b="8890"/>
                      <wp:wrapNone/>
                      <wp:docPr id="158" name="文本框 158"/>
                      <wp:cNvGraphicFramePr/>
                      <a:graphic xmlns:a="http://schemas.openxmlformats.org/drawingml/2006/main">
                        <a:graphicData uri="http://schemas.microsoft.com/office/word/2010/wordprocessingShape">
                          <wps:wsp>
                            <wps:cNvSpPr txBox="1"/>
                            <wps:spPr>
                              <a:xfrm>
                                <a:off x="0" y="0"/>
                                <a:ext cx="1243965" cy="29083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lang w:val="en-US" w:eastAsia="zh-CN"/>
                                    </w:rPr>
                                    <w:t>绿化管护</w:t>
                                  </w:r>
                                </w:p>
                              </w:txbxContent>
                            </wps:txbx>
                            <wps:bodyPr upright="1"/>
                          </wps:wsp>
                        </a:graphicData>
                      </a:graphic>
                    </wp:anchor>
                  </w:drawing>
                </mc:Choice>
                <mc:Fallback>
                  <w:pict>
                    <v:shape id="_x0000_s1026" o:spid="_x0000_s1026" o:spt="202" type="#_x0000_t202" style="position:absolute;left:0pt;margin-left:212.6pt;margin-top:16.6pt;height:22.9pt;width:97.95pt;z-index:251734016;mso-width-relative:page;mso-height-relative:page;" fillcolor="#FFFFFF" filled="t" stroked="t" coordsize="21600,21600" o:gfxdata="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wPAW6NoAAAAJAQAADwAAAAAAAAAB&#10;ACAAAAAiAAAAZHJzL2Rvd25yZXYueG1sUEsBAhQAFAAAAAgAh07iQHUuXbYOAgAAOgQAAA4AAAAA&#10;AAAAAQAgAAAAKQEAAGRycy9lMm9Eb2MueG1sUEsFBgAAAAAGAAYAWQEAAKkFAAAAAA==&#10;">
                      <v:fill on="t" focussize="0,0"/>
                      <v:stroke color="#000000" joinstyle="miter"/>
                      <v:imagedata o:title=""/>
                      <o:lock v:ext="edit" aspectratio="f"/>
                      <v:textbox>
                        <w:txbxContent>
                          <w:p>
                            <w:pPr>
                              <w:jc w:val="center"/>
                              <w:rPr>
                                <w:rFonts w:hint="default" w:eastAsia="宋体"/>
                                <w:lang w:val="en-US" w:eastAsia="zh-CN"/>
                              </w:rPr>
                            </w:pPr>
                            <w:r>
                              <w:rPr>
                                <w:rFonts w:hint="eastAsia"/>
                                <w:lang w:val="en-US" w:eastAsia="zh-CN"/>
                              </w:rPr>
                              <w:t>绿化管护</w:t>
                            </w:r>
                          </w:p>
                        </w:txbxContent>
                      </v:textbox>
                    </v:shape>
                  </w:pict>
                </mc:Fallback>
              </mc:AlternateContent>
            </w:r>
          </w:p>
          <w:p>
            <w:pPr>
              <w:keepNext w:val="0"/>
              <w:keepLines w:val="0"/>
              <w:pageBreakBefore w:val="0"/>
              <w:widowControl w:val="0"/>
              <w:kinsoku/>
              <w:wordWrap/>
              <w:overflowPunct/>
              <w:topLinePunct w:val="0"/>
              <w:autoSpaceDE w:val="0"/>
              <w:autoSpaceDN w:val="0"/>
              <w:bidi w:val="0"/>
              <w:adjustRightInd/>
              <w:snapToGrid/>
              <w:spacing w:line="500" w:lineRule="exact"/>
              <w:ind w:firstLine="420" w:firstLineChars="200"/>
              <w:textAlignment w:val="auto"/>
              <w:rPr>
                <w:color w:val="auto"/>
              </w:rPr>
            </w:pPr>
            <w:r>
              <w:rPr>
                <w:color w:val="auto"/>
              </w:rPr>
              <mc:AlternateContent>
                <mc:Choice Requires="wps">
                  <w:drawing>
                    <wp:anchor distT="0" distB="0" distL="114300" distR="114300" simplePos="0" relativeHeight="251724800" behindDoc="0" locked="0" layoutInCell="1" allowOverlap="1">
                      <wp:simplePos x="0" y="0"/>
                      <wp:positionH relativeFrom="column">
                        <wp:posOffset>647065</wp:posOffset>
                      </wp:positionH>
                      <wp:positionV relativeFrom="paragraph">
                        <wp:posOffset>301625</wp:posOffset>
                      </wp:positionV>
                      <wp:extent cx="3657600" cy="268605"/>
                      <wp:effectExtent l="0" t="0" r="0" b="0"/>
                      <wp:wrapNone/>
                      <wp:docPr id="156" name="文本框 156"/>
                      <wp:cNvGraphicFramePr/>
                      <a:graphic xmlns:a="http://schemas.openxmlformats.org/drawingml/2006/main">
                        <a:graphicData uri="http://schemas.microsoft.com/office/word/2010/wordprocessingShape">
                          <wps:wsp>
                            <wps:cNvSpPr txBox="1"/>
                            <wps:spPr>
                              <a:xfrm>
                                <a:off x="0" y="0"/>
                                <a:ext cx="3657600" cy="268605"/>
                              </a:xfrm>
                              <a:prstGeom prst="rect">
                                <a:avLst/>
                              </a:prstGeom>
                              <a:noFill/>
                              <a:ln>
                                <a:noFill/>
                              </a:ln>
                            </wps:spPr>
                            <wps:txbx>
                              <w:txbxContent>
                                <w:p>
                                  <w:pPr>
                                    <w:spacing w:line="0" w:lineRule="atLeast"/>
                                    <w:ind w:firstLine="207" w:firstLineChars="98"/>
                                    <w:jc w:val="center"/>
                                    <w:rPr>
                                      <w:b/>
                                      <w:bCs/>
                                      <w:sz w:val="21"/>
                                      <w:szCs w:val="18"/>
                                    </w:rPr>
                                  </w:pPr>
                                  <w:r>
                                    <w:rPr>
                                      <w:rFonts w:hAnsi="宋体"/>
                                      <w:b/>
                                      <w:bCs/>
                                      <w:sz w:val="21"/>
                                      <w:szCs w:val="18"/>
                                    </w:rPr>
                                    <w:t>图</w:t>
                                  </w:r>
                                  <w:r>
                                    <w:rPr>
                                      <w:rFonts w:hint="eastAsia" w:hAnsi="宋体"/>
                                      <w:b/>
                                      <w:bCs/>
                                      <w:sz w:val="21"/>
                                      <w:szCs w:val="18"/>
                                      <w:lang w:val="en-US" w:eastAsia="zh-CN"/>
                                    </w:rPr>
                                    <w:t xml:space="preserve">2-9 </w:t>
                                  </w:r>
                                  <w:r>
                                    <w:rPr>
                                      <w:b/>
                                      <w:bCs/>
                                      <w:sz w:val="21"/>
                                      <w:szCs w:val="18"/>
                                    </w:rPr>
                                    <w:t xml:space="preserve"> </w:t>
                                  </w:r>
                                  <w:r>
                                    <w:rPr>
                                      <w:rFonts w:hint="eastAsia"/>
                                      <w:b/>
                                      <w:bCs/>
                                      <w:sz w:val="21"/>
                                      <w:szCs w:val="18"/>
                                      <w:lang w:val="en-US" w:eastAsia="zh-CN"/>
                                    </w:rPr>
                                    <w:t>营运期</w:t>
                                  </w:r>
                                  <w:r>
                                    <w:rPr>
                                      <w:rFonts w:hAnsi="宋体"/>
                                      <w:b/>
                                      <w:bCs/>
                                      <w:sz w:val="21"/>
                                      <w:szCs w:val="18"/>
                                    </w:rPr>
                                    <w:t>工艺流程及施工污染源分析</w:t>
                                  </w:r>
                                </w:p>
                              </w:txbxContent>
                            </wps:txbx>
                            <wps:bodyPr lIns="91440" tIns="0" rIns="91440" bIns="45720" upright="1"/>
                          </wps:wsp>
                        </a:graphicData>
                      </a:graphic>
                    </wp:anchor>
                  </w:drawing>
                </mc:Choice>
                <mc:Fallback>
                  <w:pict>
                    <v:shape id="_x0000_s1026" o:spid="_x0000_s1026" o:spt="202" type="#_x0000_t202" style="position:absolute;left:0pt;margin-left:50.95pt;margin-top:23.75pt;height:21.15pt;width:288pt;z-index:251724800;mso-width-relative:page;mso-height-relative:page;" filled="f" stroked="f" coordsize="21600,21600" o:gfxdata="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L7OjEHYAAAACQEAAA8AAAAAAAAAAQAgAAAAIgAAAGRycy9kb3du&#10;cmV2LnhtbFBLAQIUABQAAAAIAIdO4kAXjCD5xgEAAIIDAAAOAAAAAAAAAAEAIAAAACcBAABkcnMv&#10;ZTJvRG9jLnhtbFBLBQYAAAAABgAGAFkBAABfBQAAAAA=&#10;">
                      <v:fill on="f" focussize="0,0"/>
                      <v:stroke on="f"/>
                      <v:imagedata o:title=""/>
                      <o:lock v:ext="edit" aspectratio="f"/>
                      <v:textbox inset="2.54mm,0mm,2.54mm,1.27mm">
                        <w:txbxContent>
                          <w:p>
                            <w:pPr>
                              <w:spacing w:line="0" w:lineRule="atLeast"/>
                              <w:ind w:firstLine="207" w:firstLineChars="98"/>
                              <w:jc w:val="center"/>
                              <w:rPr>
                                <w:b/>
                                <w:bCs/>
                                <w:sz w:val="21"/>
                                <w:szCs w:val="18"/>
                              </w:rPr>
                            </w:pPr>
                            <w:r>
                              <w:rPr>
                                <w:rFonts w:hAnsi="宋体"/>
                                <w:b/>
                                <w:bCs/>
                                <w:sz w:val="21"/>
                                <w:szCs w:val="18"/>
                              </w:rPr>
                              <w:t>图</w:t>
                            </w:r>
                            <w:r>
                              <w:rPr>
                                <w:rFonts w:hint="eastAsia" w:hAnsi="宋体"/>
                                <w:b/>
                                <w:bCs/>
                                <w:sz w:val="21"/>
                                <w:szCs w:val="18"/>
                                <w:lang w:val="en-US" w:eastAsia="zh-CN"/>
                              </w:rPr>
                              <w:t xml:space="preserve">2-9 </w:t>
                            </w:r>
                            <w:r>
                              <w:rPr>
                                <w:b/>
                                <w:bCs/>
                                <w:sz w:val="21"/>
                                <w:szCs w:val="18"/>
                              </w:rPr>
                              <w:t xml:space="preserve"> </w:t>
                            </w:r>
                            <w:r>
                              <w:rPr>
                                <w:rFonts w:hint="eastAsia"/>
                                <w:b/>
                                <w:bCs/>
                                <w:sz w:val="21"/>
                                <w:szCs w:val="18"/>
                                <w:lang w:val="en-US" w:eastAsia="zh-CN"/>
                              </w:rPr>
                              <w:t>营运期</w:t>
                            </w:r>
                            <w:r>
                              <w:rPr>
                                <w:rFonts w:hAnsi="宋体"/>
                                <w:b/>
                                <w:bCs/>
                                <w:sz w:val="21"/>
                                <w:szCs w:val="18"/>
                              </w:rPr>
                              <w:t>工艺流程及施工污染源分析</w:t>
                            </w:r>
                          </w:p>
                        </w:txbxContent>
                      </v:textbox>
                    </v:shape>
                  </w:pict>
                </mc:Fallback>
              </mc:AlternateContent>
            </w:r>
            <w:r>
              <w:rPr>
                <w:color w:val="auto"/>
              </w:rPr>
              <mc:AlternateContent>
                <mc:Choice Requires="wps">
                  <w:drawing>
                    <wp:anchor distT="0" distB="0" distL="114300" distR="114300" simplePos="0" relativeHeight="251730944" behindDoc="0" locked="0" layoutInCell="1" allowOverlap="1">
                      <wp:simplePos x="0" y="0"/>
                      <wp:positionH relativeFrom="column">
                        <wp:posOffset>2035175</wp:posOffset>
                      </wp:positionH>
                      <wp:positionV relativeFrom="paragraph">
                        <wp:posOffset>56515</wp:posOffset>
                      </wp:positionV>
                      <wp:extent cx="652780" cy="635"/>
                      <wp:effectExtent l="0" t="37465" r="13970" b="38100"/>
                      <wp:wrapNone/>
                      <wp:docPr id="160" name="直接连接符 160"/>
                      <wp:cNvGraphicFramePr/>
                      <a:graphic xmlns:a="http://schemas.openxmlformats.org/drawingml/2006/main">
                        <a:graphicData uri="http://schemas.microsoft.com/office/word/2010/wordprocessingShape">
                          <wps:wsp>
                            <wps:cNvCnPr/>
                            <wps:spPr>
                              <a:xfrm>
                                <a:off x="0" y="0"/>
                                <a:ext cx="652780" cy="63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160.25pt;margin-top:4.45pt;height:0.05pt;width:51.4pt;z-index:251730944;mso-width-relative:page;mso-height-relative:page;" filled="f" stroked="t" coordsize="21600,21600" o:gfxdata="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h4RtFtgAAAAHAQAADwAAAAAAAAABACAAAAAiAAAAZHJzL2Rvd25y&#10;ZXYueG1sUEsBAhQAFAAAAAgAh07iQItiBrH+AQAA7QMAAA4AAAAAAAAAAQAgAAAAJwEAAGRycy9l&#10;Mm9Eb2MueG1sUEsFBgAAAAAGAAYAWQEAAJcFAAAAAA==&#10;">
                      <v:fill on="f" focussize="0,0"/>
                      <v:stroke color="#000000" joinstyle="round" endarrow="block"/>
                      <v:imagedata o:title=""/>
                      <o:lock v:ext="edit" aspectratio="f"/>
                    </v:line>
                  </w:pict>
                </mc:Fallback>
              </mc:AlternateContent>
            </w:r>
          </w:p>
          <w:p>
            <w:pPr>
              <w:keepNext w:val="0"/>
              <w:keepLines w:val="0"/>
              <w:pageBreakBefore w:val="0"/>
              <w:widowControl w:val="0"/>
              <w:kinsoku/>
              <w:wordWrap/>
              <w:overflowPunct/>
              <w:topLinePunct w:val="0"/>
              <w:autoSpaceDE w:val="0"/>
              <w:autoSpaceDN w:val="0"/>
              <w:bidi w:val="0"/>
              <w:adjustRightInd/>
              <w:snapToGrid/>
              <w:spacing w:line="500" w:lineRule="exact"/>
              <w:ind w:firstLine="420" w:firstLineChars="200"/>
              <w:textAlignment w:val="auto"/>
              <w:rPr>
                <w:rFonts w:hint="eastAsia"/>
                <w:color w:val="auto"/>
                <w:lang w:val="en-US" w:eastAsia="zh-CN"/>
              </w:rPr>
            </w:pPr>
          </w:p>
          <w:p>
            <w:pPr>
              <w:keepNext w:val="0"/>
              <w:keepLines w:val="0"/>
              <w:pageBreakBefore w:val="0"/>
              <w:widowControl w:val="0"/>
              <w:kinsoku/>
              <w:wordWrap/>
              <w:overflowPunct/>
              <w:topLinePunct w:val="0"/>
              <w:autoSpaceDE w:val="0"/>
              <w:autoSpaceDN w:val="0"/>
              <w:bidi w:val="0"/>
              <w:adjustRightInd/>
              <w:snapToGrid/>
              <w:spacing w:line="480" w:lineRule="atLeast"/>
              <w:ind w:firstLine="482" w:firstLineChars="200"/>
              <w:textAlignment w:val="auto"/>
              <w:rPr>
                <w:rFonts w:hint="eastAsia"/>
                <w:b/>
                <w:bCs/>
                <w:color w:val="auto"/>
                <w:sz w:val="24"/>
                <w:szCs w:val="24"/>
                <w:lang w:val="en-US" w:eastAsia="zh-CN"/>
              </w:rPr>
            </w:pPr>
            <w:r>
              <w:rPr>
                <w:rFonts w:hint="eastAsia"/>
                <w:b/>
                <w:bCs/>
                <w:color w:val="auto"/>
                <w:sz w:val="24"/>
                <w:szCs w:val="24"/>
                <w:lang w:val="en-US" w:eastAsia="zh-CN"/>
              </w:rPr>
              <w:t>工艺流程简述：</w:t>
            </w:r>
          </w:p>
          <w:p>
            <w:pPr>
              <w:keepNext w:val="0"/>
              <w:keepLines w:val="0"/>
              <w:pageBreakBefore w:val="0"/>
              <w:widowControl w:val="0"/>
              <w:kinsoku/>
              <w:wordWrap/>
              <w:overflowPunct/>
              <w:topLinePunct w:val="0"/>
              <w:autoSpaceDE w:val="0"/>
              <w:autoSpaceDN w:val="0"/>
              <w:bidi w:val="0"/>
              <w:adjustRightInd/>
              <w:snapToGrid/>
              <w:spacing w:line="480" w:lineRule="atLeast"/>
              <w:ind w:firstLine="482" w:firstLineChars="200"/>
              <w:textAlignment w:val="auto"/>
              <w:rPr>
                <w:b/>
                <w:bCs/>
                <w:color w:val="auto"/>
                <w:kern w:val="0"/>
                <w:sz w:val="24"/>
                <w:highlight w:val="none"/>
              </w:rPr>
            </w:pPr>
            <w:r>
              <w:rPr>
                <w:b/>
                <w:bCs/>
                <w:color w:val="auto"/>
                <w:kern w:val="0"/>
                <w:sz w:val="24"/>
                <w:highlight w:val="none"/>
              </w:rPr>
              <w:t>1、施工组织</w:t>
            </w:r>
          </w:p>
          <w:p>
            <w:pPr>
              <w:keepNext w:val="0"/>
              <w:keepLines w:val="0"/>
              <w:pageBreakBefore w:val="0"/>
              <w:widowControl w:val="0"/>
              <w:kinsoku/>
              <w:wordWrap/>
              <w:overflowPunct/>
              <w:topLinePunct w:val="0"/>
              <w:autoSpaceDE w:val="0"/>
              <w:autoSpaceDN w:val="0"/>
              <w:bidi w:val="0"/>
              <w:adjustRightInd/>
              <w:snapToGrid/>
              <w:spacing w:line="480" w:lineRule="atLeast"/>
              <w:ind w:firstLine="480" w:firstLineChars="200"/>
              <w:textAlignment w:val="auto"/>
              <w:rPr>
                <w:color w:val="auto"/>
                <w:kern w:val="0"/>
                <w:sz w:val="24"/>
                <w:highlight w:val="none"/>
              </w:rPr>
            </w:pPr>
            <w:r>
              <w:rPr>
                <w:color w:val="auto"/>
                <w:kern w:val="0"/>
                <w:sz w:val="24"/>
                <w:highlight w:val="none"/>
              </w:rPr>
              <w:t>做好施工前的征地工作；</w:t>
            </w:r>
            <w:r>
              <w:rPr>
                <w:rFonts w:hint="eastAsia"/>
                <w:color w:val="auto"/>
                <w:kern w:val="0"/>
                <w:sz w:val="24"/>
                <w:highlight w:val="none"/>
                <w:lang w:val="en-US" w:eastAsia="zh-CN"/>
              </w:rPr>
              <w:t>配备</w:t>
            </w:r>
            <w:r>
              <w:rPr>
                <w:color w:val="auto"/>
                <w:kern w:val="0"/>
                <w:sz w:val="24"/>
                <w:highlight w:val="none"/>
              </w:rPr>
              <w:t>必要的施工便道和交通疏散便道；施工分段进行；合理安排施工工序和时间，夜间居民区停止施工或禁止高噪声设备运行，以减少对附近居民生活的影响；加强施工单位与公安交警部门的配合，增强警力和临时设施，及时组织和疏导车流和人流；同时</w:t>
            </w:r>
            <w:r>
              <w:rPr>
                <w:rFonts w:hint="eastAsia"/>
                <w:color w:val="auto"/>
                <w:kern w:val="0"/>
                <w:sz w:val="24"/>
                <w:highlight w:val="none"/>
                <w:lang w:eastAsia="zh-CN"/>
              </w:rPr>
              <w:t>做好</w:t>
            </w:r>
            <w:r>
              <w:rPr>
                <w:color w:val="auto"/>
                <w:kern w:val="0"/>
                <w:sz w:val="24"/>
                <w:highlight w:val="none"/>
              </w:rPr>
              <w:t>施工安全监管工作，确保施工期间交通的畅通、安全。</w:t>
            </w:r>
          </w:p>
          <w:p>
            <w:pPr>
              <w:keepNext w:val="0"/>
              <w:keepLines w:val="0"/>
              <w:pageBreakBefore w:val="0"/>
              <w:widowControl w:val="0"/>
              <w:kinsoku/>
              <w:wordWrap/>
              <w:overflowPunct/>
              <w:topLinePunct w:val="0"/>
              <w:autoSpaceDE w:val="0"/>
              <w:autoSpaceDN w:val="0"/>
              <w:bidi w:val="0"/>
              <w:adjustRightInd/>
              <w:snapToGrid/>
              <w:spacing w:line="480" w:lineRule="atLeast"/>
              <w:ind w:firstLine="482" w:firstLineChars="200"/>
              <w:textAlignment w:val="auto"/>
              <w:rPr>
                <w:b/>
                <w:bCs/>
                <w:color w:val="auto"/>
                <w:kern w:val="0"/>
                <w:sz w:val="24"/>
                <w:highlight w:val="none"/>
              </w:rPr>
            </w:pPr>
            <w:r>
              <w:rPr>
                <w:b/>
                <w:bCs/>
                <w:color w:val="auto"/>
                <w:kern w:val="0"/>
                <w:sz w:val="24"/>
                <w:highlight w:val="none"/>
              </w:rPr>
              <w:t>2、路基工程（包括土石方、防护及排水、中小型构造物）</w:t>
            </w:r>
          </w:p>
          <w:p>
            <w:pPr>
              <w:keepNext w:val="0"/>
              <w:keepLines w:val="0"/>
              <w:pageBreakBefore w:val="0"/>
              <w:widowControl w:val="0"/>
              <w:kinsoku/>
              <w:wordWrap/>
              <w:overflowPunct/>
              <w:topLinePunct w:val="0"/>
              <w:autoSpaceDE w:val="0"/>
              <w:autoSpaceDN w:val="0"/>
              <w:bidi w:val="0"/>
              <w:adjustRightInd/>
              <w:snapToGrid/>
              <w:spacing w:line="480" w:lineRule="atLeast"/>
              <w:ind w:firstLine="480" w:firstLineChars="200"/>
              <w:textAlignment w:val="auto"/>
              <w:rPr>
                <w:color w:val="auto"/>
                <w:kern w:val="0"/>
                <w:sz w:val="24"/>
                <w:highlight w:val="none"/>
              </w:rPr>
            </w:pPr>
            <w:r>
              <w:rPr>
                <w:color w:val="auto"/>
                <w:kern w:val="0"/>
                <w:sz w:val="24"/>
                <w:highlight w:val="none"/>
              </w:rPr>
              <w:t>路基土石方施工主要采用机械化施工，就近取土或纵向调配利用的路段，要注意取土后的土地复垦</w:t>
            </w:r>
            <w:r>
              <w:rPr>
                <w:rFonts w:hint="eastAsia"/>
                <w:color w:val="auto"/>
                <w:kern w:val="0"/>
                <w:sz w:val="24"/>
                <w:highlight w:val="none"/>
                <w:lang w:val="en-US" w:eastAsia="zh-CN"/>
              </w:rPr>
              <w:t>；</w:t>
            </w:r>
            <w:r>
              <w:rPr>
                <w:color w:val="auto"/>
                <w:kern w:val="0"/>
                <w:sz w:val="24"/>
                <w:highlight w:val="none"/>
              </w:rPr>
              <w:t>在路基施工中，要高度重视新旧路结合部和填挖结合部位的处理，将其作为重点和难点工程，编制施工组织计划和施工方案。施工方案应包括弃方和借方实施细则。路基防护和排水工程应在路基土石方工程后期进行。雨季应采取临时措施，避免雨水对已开挖和填筑边坡的冲刷。</w:t>
            </w:r>
          </w:p>
          <w:p>
            <w:pPr>
              <w:keepNext w:val="0"/>
              <w:keepLines w:val="0"/>
              <w:pageBreakBefore w:val="0"/>
              <w:widowControl w:val="0"/>
              <w:kinsoku/>
              <w:wordWrap/>
              <w:overflowPunct/>
              <w:topLinePunct w:val="0"/>
              <w:autoSpaceDE w:val="0"/>
              <w:autoSpaceDN w:val="0"/>
              <w:bidi w:val="0"/>
              <w:adjustRightInd/>
              <w:snapToGrid/>
              <w:spacing w:line="480" w:lineRule="atLeast"/>
              <w:ind w:firstLine="482" w:firstLineChars="200"/>
              <w:textAlignment w:val="auto"/>
              <w:rPr>
                <w:b/>
                <w:bCs/>
                <w:color w:val="auto"/>
                <w:kern w:val="0"/>
                <w:sz w:val="24"/>
                <w:highlight w:val="none"/>
              </w:rPr>
            </w:pPr>
            <w:r>
              <w:rPr>
                <w:b/>
                <w:bCs/>
                <w:color w:val="auto"/>
                <w:kern w:val="0"/>
                <w:sz w:val="24"/>
                <w:highlight w:val="none"/>
              </w:rPr>
              <w:t>3、路面工程（包括底基层、基层、面层）</w:t>
            </w:r>
          </w:p>
          <w:p>
            <w:pPr>
              <w:keepNext w:val="0"/>
              <w:keepLines w:val="0"/>
              <w:pageBreakBefore w:val="0"/>
              <w:widowControl w:val="0"/>
              <w:kinsoku/>
              <w:wordWrap/>
              <w:overflowPunct/>
              <w:topLinePunct w:val="0"/>
              <w:autoSpaceDE w:val="0"/>
              <w:autoSpaceDN w:val="0"/>
              <w:bidi w:val="0"/>
              <w:adjustRightInd/>
              <w:snapToGrid/>
              <w:spacing w:line="480" w:lineRule="atLeast"/>
              <w:ind w:firstLine="480" w:firstLineChars="200"/>
              <w:textAlignment w:val="auto"/>
              <w:rPr>
                <w:color w:val="auto"/>
                <w:kern w:val="0"/>
                <w:sz w:val="24"/>
                <w:highlight w:val="none"/>
              </w:rPr>
            </w:pPr>
            <w:r>
              <w:rPr>
                <w:color w:val="auto"/>
                <w:kern w:val="0"/>
                <w:sz w:val="24"/>
                <w:highlight w:val="none"/>
              </w:rPr>
              <w:t>路面工程应在路基土石方、中小型构造物工程完成后立即开工。底基层的下层可采用路拌，然后摊铺碾压；基层和面层应采用集中搅和，汽车运输，摊铺机摊铺。</w:t>
            </w:r>
          </w:p>
          <w:p>
            <w:pPr>
              <w:pStyle w:val="5"/>
              <w:keepNext w:val="0"/>
              <w:keepLines w:val="0"/>
              <w:pageBreakBefore w:val="0"/>
              <w:widowControl w:val="0"/>
              <w:kinsoku/>
              <w:wordWrap/>
              <w:overflowPunct/>
              <w:topLinePunct w:val="0"/>
              <w:bidi w:val="0"/>
              <w:adjustRightInd/>
              <w:snapToGrid/>
              <w:spacing w:line="480" w:lineRule="atLeast"/>
              <w:ind w:firstLine="482"/>
              <w:textAlignment w:val="auto"/>
              <w:rPr>
                <w:color w:val="auto"/>
                <w:sz w:val="24"/>
                <w:highlight w:val="none"/>
              </w:rPr>
            </w:pPr>
            <w:r>
              <w:rPr>
                <w:color w:val="auto"/>
                <w:sz w:val="24"/>
                <w:highlight w:val="none"/>
              </w:rPr>
              <w:t>本工程施工不设稳定土拌和场、沥青混凝土拌和站，基层和底基层混合料经集中拌和后运输至工地，采用机械铺筑。</w:t>
            </w:r>
          </w:p>
          <w:p>
            <w:pPr>
              <w:pStyle w:val="5"/>
              <w:keepNext w:val="0"/>
              <w:keepLines w:val="0"/>
              <w:pageBreakBefore w:val="0"/>
              <w:widowControl w:val="0"/>
              <w:kinsoku/>
              <w:wordWrap/>
              <w:overflowPunct/>
              <w:topLinePunct w:val="0"/>
              <w:bidi w:val="0"/>
              <w:adjustRightInd/>
              <w:snapToGrid/>
              <w:spacing w:line="480" w:lineRule="atLeast"/>
              <w:ind w:firstLine="482"/>
              <w:textAlignment w:val="auto"/>
              <w:rPr>
                <w:rFonts w:hint="default" w:eastAsia="宋体"/>
                <w:b/>
                <w:bCs/>
                <w:color w:val="auto"/>
                <w:sz w:val="24"/>
                <w:highlight w:val="none"/>
                <w:lang w:val="en-US" w:eastAsia="zh-CN"/>
              </w:rPr>
            </w:pPr>
            <w:r>
              <w:rPr>
                <w:rFonts w:hint="eastAsia"/>
                <w:b/>
                <w:bCs/>
                <w:color w:val="auto"/>
                <w:sz w:val="24"/>
                <w:highlight w:val="none"/>
                <w:lang w:val="en-US" w:eastAsia="zh-CN"/>
              </w:rPr>
              <w:t>4</w:t>
            </w:r>
            <w:r>
              <w:rPr>
                <w:b/>
                <w:bCs/>
                <w:color w:val="auto"/>
                <w:sz w:val="24"/>
                <w:highlight w:val="none"/>
              </w:rPr>
              <w:t>、</w:t>
            </w:r>
            <w:r>
              <w:rPr>
                <w:rFonts w:hint="eastAsia"/>
                <w:b/>
                <w:bCs/>
                <w:color w:val="auto"/>
                <w:sz w:val="24"/>
                <w:highlight w:val="none"/>
                <w:lang w:val="en-US" w:eastAsia="zh-CN"/>
              </w:rPr>
              <w:t>桥梁施工</w:t>
            </w:r>
          </w:p>
          <w:p>
            <w:pPr>
              <w:pStyle w:val="5"/>
              <w:keepNext w:val="0"/>
              <w:keepLines w:val="0"/>
              <w:pageBreakBefore w:val="0"/>
              <w:widowControl w:val="0"/>
              <w:kinsoku/>
              <w:wordWrap/>
              <w:overflowPunct/>
              <w:topLinePunct w:val="0"/>
              <w:bidi w:val="0"/>
              <w:adjustRightInd/>
              <w:snapToGrid/>
              <w:spacing w:line="480" w:lineRule="atLeast"/>
              <w:ind w:firstLine="482"/>
              <w:textAlignment w:val="auto"/>
              <w:rPr>
                <w:rFonts w:hint="eastAsia" w:eastAsia="宋体"/>
                <w:b/>
                <w:bCs/>
                <w:color w:val="auto"/>
                <w:sz w:val="24"/>
                <w:highlight w:val="none"/>
                <w:lang w:eastAsia="zh-CN"/>
              </w:rPr>
            </w:pPr>
            <w:r>
              <w:rPr>
                <w:rFonts w:hint="eastAsia"/>
                <w:b/>
                <w:bCs/>
                <w:color w:val="auto"/>
                <w:sz w:val="24"/>
                <w:highlight w:val="none"/>
                <w:lang w:eastAsia="zh-CN"/>
              </w:rPr>
              <w:t>（</w:t>
            </w:r>
            <w:r>
              <w:rPr>
                <w:rFonts w:hint="eastAsia"/>
                <w:b/>
                <w:bCs/>
                <w:color w:val="auto"/>
                <w:sz w:val="24"/>
                <w:highlight w:val="none"/>
                <w:lang w:val="en-US" w:eastAsia="zh-CN"/>
              </w:rPr>
              <w:t>1</w:t>
            </w:r>
            <w:r>
              <w:rPr>
                <w:rFonts w:hint="eastAsia"/>
                <w:b/>
                <w:bCs/>
                <w:color w:val="auto"/>
                <w:sz w:val="24"/>
                <w:highlight w:val="none"/>
                <w:lang w:eastAsia="zh-CN"/>
              </w:rPr>
              <w:t>）</w:t>
            </w:r>
            <w:r>
              <w:rPr>
                <w:rFonts w:hint="eastAsia"/>
                <w:b/>
                <w:bCs/>
                <w:color w:val="auto"/>
                <w:sz w:val="24"/>
                <w:highlight w:val="none"/>
                <w:lang w:val="en-US" w:eastAsia="zh-CN"/>
              </w:rPr>
              <w:t>基础施工</w:t>
            </w:r>
          </w:p>
          <w:p>
            <w:pPr>
              <w:pStyle w:val="5"/>
              <w:keepNext w:val="0"/>
              <w:keepLines w:val="0"/>
              <w:pageBreakBefore w:val="0"/>
              <w:widowControl w:val="0"/>
              <w:kinsoku/>
              <w:wordWrap/>
              <w:overflowPunct/>
              <w:topLinePunct w:val="0"/>
              <w:bidi w:val="0"/>
              <w:adjustRightInd/>
              <w:snapToGrid/>
              <w:spacing w:line="480" w:lineRule="atLeast"/>
              <w:ind w:firstLine="482"/>
              <w:textAlignment w:val="auto"/>
              <w:rPr>
                <w:color w:val="auto"/>
                <w:sz w:val="24"/>
                <w:highlight w:val="none"/>
              </w:rPr>
            </w:pPr>
            <w:r>
              <w:rPr>
                <w:rFonts w:hint="default"/>
                <w:color w:val="auto"/>
                <w:sz w:val="24"/>
                <w:highlight w:val="none"/>
              </w:rPr>
              <w:t>钻孔桩采用挖埋护筒法施工，旋挖钻机成孔，汽车吊车配合钻机安装钢筋笼，混凝土由搅拌站集中供应，搅拌运输车运输，采用料斗直接灌注水下混凝土。</w:t>
            </w:r>
          </w:p>
          <w:p>
            <w:pPr>
              <w:spacing w:line="460" w:lineRule="exact"/>
              <w:ind w:firstLine="480"/>
              <w:rPr>
                <w:rFonts w:hint="default" w:ascii="Times New Roman" w:hAnsi="Times New Roman" w:cs="Times New Roman"/>
                <w:bCs/>
                <w:color w:val="auto"/>
                <w:sz w:val="24"/>
                <w:szCs w:val="20"/>
              </w:rPr>
            </w:pPr>
            <w:r>
              <w:rPr>
                <w:rFonts w:hint="default" w:ascii="Times New Roman" w:hAnsi="Times New Roman" w:cs="Times New Roman"/>
                <w:bCs/>
                <w:color w:val="auto"/>
                <w:sz w:val="24"/>
                <w:szCs w:val="20"/>
              </w:rPr>
              <w:t>①场地布置、桩孔位置的确定</w:t>
            </w:r>
          </w:p>
          <w:p>
            <w:pPr>
              <w:numPr>
                <w:ilvl w:val="0"/>
                <w:numId w:val="1"/>
              </w:numPr>
              <w:spacing w:line="460" w:lineRule="exact"/>
              <w:ind w:firstLine="480"/>
              <w:rPr>
                <w:rFonts w:hint="default" w:ascii="Times New Roman" w:hAnsi="Times New Roman" w:cs="Times New Roman"/>
                <w:bCs/>
                <w:sz w:val="24"/>
                <w:szCs w:val="20"/>
              </w:rPr>
            </w:pPr>
            <w:r>
              <w:rPr>
                <w:rFonts w:hint="default" w:ascii="Times New Roman" w:hAnsi="Times New Roman" w:cs="Times New Roman"/>
                <w:bCs/>
                <w:color w:val="auto"/>
                <w:sz w:val="24"/>
                <w:szCs w:val="20"/>
              </w:rPr>
              <w:t>场地平整、桩位放</w:t>
            </w:r>
            <w:r>
              <w:rPr>
                <w:rFonts w:hint="default" w:ascii="Times New Roman" w:hAnsi="Times New Roman" w:cs="Times New Roman"/>
                <w:bCs/>
                <w:sz w:val="24"/>
                <w:szCs w:val="20"/>
              </w:rPr>
              <w:t>样</w:t>
            </w:r>
          </w:p>
          <w:p>
            <w:pPr>
              <w:numPr>
                <w:ilvl w:val="0"/>
                <w:numId w:val="0"/>
              </w:numPr>
              <w:spacing w:line="460" w:lineRule="exact"/>
              <w:ind w:firstLine="480" w:firstLineChars="200"/>
              <w:rPr>
                <w:rFonts w:hint="default" w:ascii="Times New Roman" w:hAnsi="Times New Roman" w:cs="Times New Roman"/>
                <w:bCs/>
                <w:sz w:val="24"/>
                <w:szCs w:val="20"/>
              </w:rPr>
            </w:pPr>
            <w:r>
              <w:rPr>
                <w:rFonts w:hint="default" w:ascii="Times New Roman" w:hAnsi="Times New Roman" w:cs="Times New Roman"/>
                <w:bCs/>
                <w:sz w:val="24"/>
                <w:szCs w:val="20"/>
              </w:rPr>
              <w:t>首先整平场地，再按“从整体到局部的原则”进行桩基的位置放样。进行钻孔的标高放样时，应及时对放样的标高进行复核。采用全站仪准确放样各桩点的位置，使其误差在规范要求内。</w:t>
            </w:r>
          </w:p>
          <w:p>
            <w:pPr>
              <w:numPr>
                <w:ilvl w:val="0"/>
                <w:numId w:val="1"/>
              </w:numPr>
              <w:spacing w:line="460" w:lineRule="exact"/>
              <w:ind w:left="0" w:leftChars="0" w:firstLine="480" w:firstLineChars="0"/>
              <w:rPr>
                <w:rFonts w:hint="default" w:ascii="Times New Roman" w:hAnsi="Times New Roman" w:cs="Times New Roman"/>
                <w:bCs/>
                <w:sz w:val="24"/>
                <w:szCs w:val="20"/>
              </w:rPr>
            </w:pPr>
            <w:r>
              <w:rPr>
                <w:rFonts w:hint="default" w:ascii="Times New Roman" w:hAnsi="Times New Roman" w:cs="Times New Roman"/>
                <w:bCs/>
                <w:sz w:val="24"/>
                <w:szCs w:val="20"/>
              </w:rPr>
              <w:t xml:space="preserve">埋设钢护筒 </w:t>
            </w:r>
          </w:p>
          <w:p>
            <w:pPr>
              <w:numPr>
                <w:ilvl w:val="0"/>
                <w:numId w:val="0"/>
              </w:numPr>
              <w:spacing w:line="460" w:lineRule="exact"/>
              <w:ind w:firstLine="480" w:firstLineChars="200"/>
              <w:rPr>
                <w:rFonts w:hint="default" w:ascii="Times New Roman" w:hAnsi="Times New Roman" w:cs="Times New Roman"/>
                <w:bCs/>
                <w:sz w:val="24"/>
                <w:szCs w:val="20"/>
              </w:rPr>
            </w:pPr>
            <w:r>
              <w:rPr>
                <w:rFonts w:hint="default" w:ascii="Times New Roman" w:hAnsi="Times New Roman" w:cs="Times New Roman"/>
                <w:bCs/>
                <w:sz w:val="24"/>
                <w:szCs w:val="20"/>
              </w:rPr>
              <w:t>根据桩径不同，钢护筒采用δ=8～12mm的钢板制作，其内径大于设计桩径0.2～0.4m，护筒长度3-6m，根据地质条件适当加长护筒，保证护筒底坐落在密实底层上，防止护筒下沉及偏位。护筒顶高出施工地面0.5m，钢护筒四周用粘土夯实。埋设护筒时首先用旋挖钻机挖一个与护筒直径大小相等或略大的孔，孔深根据护筒长度确定，然后采用吊机将护筒安装在孔内，最后利用旋挖钻机或者挖掘机提供竖向力，将护筒压入孔内至孔底。护筒设置好到位后，顶面位置偏差不大于5cm，倾斜度小于1%。钢护筒周围和护筒底脚应紧密，不透水。为保证护筒周围不透水，采用粘土或者水泥砂浆填充护筒与孔壁的空隙。</w:t>
            </w:r>
          </w:p>
          <w:p>
            <w:pPr>
              <w:numPr>
                <w:ilvl w:val="0"/>
                <w:numId w:val="1"/>
              </w:numPr>
              <w:spacing w:line="460" w:lineRule="exact"/>
              <w:ind w:left="0" w:leftChars="0" w:firstLine="480" w:firstLineChars="0"/>
              <w:rPr>
                <w:rFonts w:hint="default" w:ascii="Times New Roman" w:hAnsi="Times New Roman" w:cs="Times New Roman"/>
                <w:bCs/>
                <w:sz w:val="24"/>
                <w:szCs w:val="20"/>
              </w:rPr>
            </w:pPr>
            <w:r>
              <w:rPr>
                <w:rFonts w:hint="default" w:ascii="Times New Roman" w:hAnsi="Times New Roman" w:cs="Times New Roman"/>
                <w:bCs/>
                <w:sz w:val="24"/>
                <w:szCs w:val="20"/>
              </w:rPr>
              <w:t>钻机就位</w:t>
            </w:r>
          </w:p>
          <w:p>
            <w:pPr>
              <w:numPr>
                <w:ilvl w:val="0"/>
                <w:numId w:val="0"/>
              </w:numPr>
              <w:spacing w:line="460" w:lineRule="exact"/>
              <w:ind w:firstLine="480" w:firstLineChars="200"/>
              <w:rPr>
                <w:rFonts w:hint="default" w:ascii="Times New Roman" w:hAnsi="Times New Roman" w:cs="Times New Roman"/>
                <w:bCs/>
                <w:sz w:val="24"/>
                <w:szCs w:val="20"/>
              </w:rPr>
            </w:pPr>
            <w:r>
              <w:rPr>
                <w:rFonts w:hint="default" w:ascii="Times New Roman" w:hAnsi="Times New Roman" w:cs="Times New Roman"/>
                <w:bCs/>
                <w:sz w:val="24"/>
                <w:szCs w:val="20"/>
              </w:rPr>
              <w:t>钻机就位时，要事先检查钻机的性能状态是否良好。保证钻机工作正常。保证桩位附近平整，把钻机开到桩位旁，钻头的中心正对桩位标注点，检查在回转半径范围内是否有障碍物影响回转。钻机前部孔口附近采取扩散应力措施，常用的措施为垫厚钢板。钻孔就位时保持底盘平稳、钻架直立、钻头中心对准桩位中心。确保在钻进过程中不发生倾斜和位移。</w:t>
            </w:r>
          </w:p>
          <w:p>
            <w:pPr>
              <w:spacing w:line="460" w:lineRule="exact"/>
              <w:ind w:firstLine="480"/>
              <w:rPr>
                <w:rFonts w:hint="default" w:ascii="Times New Roman" w:hAnsi="Times New Roman" w:cs="Times New Roman"/>
                <w:bCs/>
                <w:sz w:val="24"/>
                <w:szCs w:val="20"/>
              </w:rPr>
            </w:pPr>
            <w:r>
              <w:rPr>
                <w:rFonts w:hint="default" w:ascii="Times New Roman" w:hAnsi="Times New Roman" w:cs="Times New Roman"/>
                <w:bCs/>
                <w:sz w:val="24"/>
                <w:szCs w:val="20"/>
              </w:rPr>
              <w:t>②泥浆制备</w:t>
            </w:r>
          </w:p>
          <w:p>
            <w:pPr>
              <w:numPr>
                <w:ilvl w:val="0"/>
                <w:numId w:val="2"/>
              </w:numPr>
              <w:spacing w:line="460" w:lineRule="exact"/>
              <w:ind w:firstLine="480"/>
              <w:rPr>
                <w:rFonts w:hint="default" w:ascii="Times New Roman" w:hAnsi="Times New Roman" w:cs="Times New Roman"/>
                <w:bCs/>
                <w:sz w:val="24"/>
                <w:szCs w:val="20"/>
              </w:rPr>
            </w:pPr>
            <w:r>
              <w:rPr>
                <w:rFonts w:hint="default" w:ascii="Times New Roman" w:hAnsi="Times New Roman" w:cs="Times New Roman"/>
                <w:bCs/>
                <w:sz w:val="24"/>
                <w:szCs w:val="20"/>
              </w:rPr>
              <w:t>泥浆的原材料</w:t>
            </w:r>
          </w:p>
          <w:p>
            <w:pPr>
              <w:numPr>
                <w:ilvl w:val="0"/>
                <w:numId w:val="0"/>
              </w:numPr>
              <w:spacing w:line="460" w:lineRule="exact"/>
              <w:ind w:firstLine="480" w:firstLineChars="200"/>
              <w:rPr>
                <w:rFonts w:hint="default" w:ascii="Times New Roman" w:hAnsi="Times New Roman" w:cs="Times New Roman"/>
                <w:bCs/>
                <w:sz w:val="24"/>
                <w:szCs w:val="20"/>
              </w:rPr>
            </w:pPr>
            <w:r>
              <w:rPr>
                <w:rFonts w:hint="default" w:ascii="Times New Roman" w:hAnsi="Times New Roman" w:cs="Times New Roman"/>
                <w:bCs/>
                <w:sz w:val="24"/>
                <w:szCs w:val="20"/>
              </w:rPr>
              <w:t xml:space="preserve">稳定液应具有良好的物理性能、流变性能和稳定性能。主要指标为密度、粘度、PH值、含砂量等。泥浆用粘土应选择粘粒含量大于50%，塑性指标大于20，含砂量小于5%，二氧化硅与三氧化二铝含量的比值为3～4倍的粘土为宜。 </w:t>
            </w:r>
          </w:p>
          <w:p>
            <w:pPr>
              <w:numPr>
                <w:ilvl w:val="0"/>
                <w:numId w:val="2"/>
              </w:numPr>
              <w:spacing w:line="460" w:lineRule="exact"/>
              <w:ind w:left="0" w:leftChars="0" w:firstLine="480" w:firstLineChars="0"/>
              <w:rPr>
                <w:rFonts w:hint="default" w:ascii="Times New Roman" w:hAnsi="Times New Roman" w:cs="Times New Roman"/>
                <w:bCs/>
                <w:sz w:val="24"/>
                <w:szCs w:val="20"/>
              </w:rPr>
            </w:pPr>
            <w:r>
              <w:rPr>
                <w:rFonts w:hint="default" w:ascii="Times New Roman" w:hAnsi="Times New Roman" w:cs="Times New Roman"/>
                <w:bCs/>
                <w:sz w:val="24"/>
                <w:szCs w:val="20"/>
              </w:rPr>
              <w:t>泥浆的配合比</w:t>
            </w:r>
          </w:p>
          <w:p>
            <w:pPr>
              <w:numPr>
                <w:ilvl w:val="0"/>
                <w:numId w:val="0"/>
              </w:numPr>
              <w:spacing w:line="460" w:lineRule="exact"/>
              <w:ind w:firstLine="480" w:firstLineChars="200"/>
              <w:rPr>
                <w:rFonts w:hint="default" w:ascii="Times New Roman" w:hAnsi="Times New Roman" w:cs="Times New Roman"/>
                <w:bCs/>
                <w:sz w:val="24"/>
                <w:szCs w:val="20"/>
              </w:rPr>
            </w:pPr>
            <w:r>
              <w:rPr>
                <w:rFonts w:hint="default" w:ascii="Times New Roman" w:hAnsi="Times New Roman" w:cs="Times New Roman"/>
                <w:bCs/>
                <w:sz w:val="24"/>
                <w:szCs w:val="20"/>
              </w:rPr>
              <w:t>按地基土的性状、钻机和工程条件来定。一般100L的水需加8kg的膨润土，对于粘性土层，膨润土可降低到3～4kg。由于情况各异，稳定液的性能指标和配合比，必须根据地层特性、造孔方法、泥浆用途而有所变化。</w:t>
            </w:r>
          </w:p>
          <w:p>
            <w:pPr>
              <w:spacing w:line="460" w:lineRule="exact"/>
              <w:ind w:firstLine="480"/>
              <w:rPr>
                <w:rFonts w:hint="default" w:ascii="Times New Roman" w:hAnsi="Times New Roman" w:cs="Times New Roman"/>
                <w:bCs/>
                <w:sz w:val="24"/>
                <w:szCs w:val="20"/>
              </w:rPr>
            </w:pPr>
            <w:r>
              <w:rPr>
                <w:rFonts w:hint="default" w:ascii="Times New Roman" w:hAnsi="Times New Roman" w:cs="Times New Roman"/>
                <w:bCs/>
                <w:sz w:val="24"/>
                <w:szCs w:val="20"/>
              </w:rPr>
              <w:t>③钻进成孔</w:t>
            </w:r>
          </w:p>
          <w:p>
            <w:pPr>
              <w:spacing w:line="460" w:lineRule="exact"/>
              <w:ind w:firstLine="480"/>
              <w:rPr>
                <w:rFonts w:hint="default" w:ascii="Times New Roman" w:hAnsi="Times New Roman" w:cs="Times New Roman"/>
                <w:bCs/>
                <w:sz w:val="24"/>
                <w:szCs w:val="20"/>
              </w:rPr>
            </w:pPr>
            <w:r>
              <w:rPr>
                <w:rFonts w:hint="default" w:ascii="Times New Roman" w:hAnsi="Times New Roman" w:cs="Times New Roman"/>
                <w:bCs/>
                <w:sz w:val="24"/>
                <w:szCs w:val="20"/>
              </w:rPr>
              <w:t>钻孔前对钻孔的各项准备工作进行详细检查，钻孔时按设计资料及实际地质情况绘制地质剖面图，并与钻探资料比较。钻机安装检查合格，泥浆制备达到要求后，方可开钻。</w:t>
            </w:r>
          </w:p>
          <w:p>
            <w:pPr>
              <w:spacing w:line="460" w:lineRule="exact"/>
              <w:ind w:firstLine="480"/>
              <w:rPr>
                <w:rFonts w:hint="default" w:ascii="Times New Roman" w:hAnsi="Times New Roman" w:cs="Times New Roman"/>
                <w:bCs/>
                <w:sz w:val="24"/>
                <w:szCs w:val="20"/>
              </w:rPr>
            </w:pPr>
            <w:r>
              <w:rPr>
                <w:rFonts w:hint="default" w:ascii="Times New Roman" w:hAnsi="Times New Roman" w:cs="Times New Roman"/>
                <w:bCs/>
                <w:sz w:val="24"/>
                <w:szCs w:val="20"/>
              </w:rPr>
              <w:t>当钻孔至护筒底口以后，对护筒壁进行清理，然后提出钻头复测护筒底口中心坐标并取下加焊的翼板和钢丝绳刷。根据复测的底口中心坐标，决定是否要挪动钻机，然后重新下放钻头快速通过护筒底口3米后转入正常钻进，以免长时间扰动护筒底口。</w:t>
            </w:r>
          </w:p>
          <w:p>
            <w:pPr>
              <w:spacing w:line="460" w:lineRule="exact"/>
              <w:ind w:firstLine="480"/>
              <w:rPr>
                <w:rFonts w:hint="default" w:ascii="Times New Roman" w:hAnsi="Times New Roman" w:cs="Times New Roman"/>
                <w:bCs/>
                <w:sz w:val="24"/>
                <w:szCs w:val="20"/>
              </w:rPr>
            </w:pPr>
            <w:r>
              <w:rPr>
                <w:rFonts w:hint="default" w:ascii="Times New Roman" w:hAnsi="Times New Roman" w:cs="Times New Roman"/>
                <w:bCs/>
                <w:sz w:val="24"/>
                <w:szCs w:val="20"/>
              </w:rPr>
              <w:t>钻具加足够的配重块，钻孔时减压慢速钻进，钻压不得超过钻具重力之和(扣除浮力)的80％，并坚持每班检查钻机水平偏差以保证成孔垂直度和孔形。</w:t>
            </w:r>
          </w:p>
          <w:p>
            <w:pPr>
              <w:spacing w:line="460" w:lineRule="exact"/>
              <w:ind w:firstLine="480"/>
              <w:rPr>
                <w:rFonts w:hint="default" w:ascii="Times New Roman" w:hAnsi="Times New Roman" w:cs="Times New Roman"/>
                <w:bCs/>
                <w:sz w:val="24"/>
                <w:szCs w:val="20"/>
              </w:rPr>
            </w:pPr>
            <w:r>
              <w:rPr>
                <w:rFonts w:hint="default" w:ascii="Times New Roman" w:hAnsi="Times New Roman" w:cs="Times New Roman"/>
                <w:bCs/>
                <w:sz w:val="24"/>
                <w:szCs w:val="20"/>
              </w:rPr>
              <w:t>钻孔作业分班连续进行，如确因故须停止钻进时，将钻头提升放至护筒外或安全位置、以免发生埋钻事故，经常对钻孔泥浆抽检，不符合要求时要及时补充或调制泥浆。</w:t>
            </w:r>
          </w:p>
          <w:p>
            <w:pPr>
              <w:spacing w:line="460" w:lineRule="exact"/>
              <w:ind w:firstLine="480"/>
              <w:rPr>
                <w:rFonts w:hint="default" w:ascii="Times New Roman" w:hAnsi="Times New Roman" w:cs="Times New Roman"/>
                <w:bCs/>
                <w:sz w:val="24"/>
                <w:szCs w:val="20"/>
              </w:rPr>
            </w:pPr>
            <w:r>
              <w:rPr>
                <w:rFonts w:hint="default" w:ascii="Times New Roman" w:hAnsi="Times New Roman" w:cs="Times New Roman"/>
                <w:bCs/>
                <w:sz w:val="24"/>
                <w:szCs w:val="20"/>
              </w:rPr>
              <w:t>钻进成孔过程中，及时补充浆液量，使孔内泥浆面始终超过外侧地下水面2.5m以上，防止塌孔或涌沙现象发生。</w:t>
            </w:r>
          </w:p>
          <w:p>
            <w:pPr>
              <w:spacing w:line="460" w:lineRule="exact"/>
              <w:ind w:firstLine="480"/>
              <w:rPr>
                <w:rFonts w:hint="default" w:ascii="Times New Roman" w:hAnsi="Times New Roman" w:cs="Times New Roman"/>
                <w:bCs/>
                <w:sz w:val="24"/>
                <w:szCs w:val="20"/>
              </w:rPr>
            </w:pPr>
            <w:r>
              <w:rPr>
                <w:rFonts w:hint="default" w:ascii="Times New Roman" w:hAnsi="Times New Roman" w:cs="Times New Roman"/>
                <w:bCs/>
                <w:sz w:val="24"/>
                <w:szCs w:val="20"/>
              </w:rPr>
              <w:t>及时详细地填写钻孔施工记录，正常钻进时，参考地质资料掌握土层变化情况，及时捞取钻渣取样，判断土层，记入钻孔记录表。根据核对判定的土层及时调整钻进参数。</w:t>
            </w:r>
          </w:p>
          <w:p>
            <w:pPr>
              <w:spacing w:line="460" w:lineRule="exact"/>
              <w:ind w:firstLine="480"/>
              <w:rPr>
                <w:rFonts w:hint="default" w:ascii="Times New Roman" w:hAnsi="Times New Roman" w:cs="Times New Roman"/>
                <w:bCs/>
                <w:sz w:val="24"/>
                <w:szCs w:val="20"/>
              </w:rPr>
            </w:pPr>
            <w:r>
              <w:rPr>
                <w:rFonts w:hint="default" w:ascii="Times New Roman" w:hAnsi="Times New Roman" w:cs="Times New Roman"/>
                <w:bCs/>
                <w:sz w:val="24"/>
                <w:szCs w:val="20"/>
              </w:rPr>
              <w:t>④清孔</w:t>
            </w:r>
          </w:p>
          <w:p>
            <w:pPr>
              <w:spacing w:line="460" w:lineRule="exact"/>
              <w:ind w:firstLine="480"/>
              <w:rPr>
                <w:rFonts w:hint="default" w:ascii="Times New Roman" w:hAnsi="Times New Roman" w:cs="Times New Roman"/>
                <w:bCs/>
                <w:sz w:val="24"/>
                <w:szCs w:val="20"/>
              </w:rPr>
            </w:pPr>
            <w:r>
              <w:rPr>
                <w:rFonts w:hint="default" w:ascii="Times New Roman" w:hAnsi="Times New Roman" w:cs="Times New Roman"/>
                <w:bCs/>
                <w:sz w:val="24"/>
                <w:szCs w:val="20"/>
              </w:rPr>
              <w:t>钻孔至设计高程后进行清孔。清孔时及时向孔内注入清水或新鲜泥浆，以保持孔内水位不变，避免坍孔。抽渣直到达到规定的钻孔质量标准。</w:t>
            </w:r>
          </w:p>
          <w:p>
            <w:pPr>
              <w:spacing w:line="460" w:lineRule="exact"/>
              <w:ind w:firstLine="480"/>
              <w:rPr>
                <w:rFonts w:hint="default" w:ascii="Times New Roman" w:hAnsi="Times New Roman" w:cs="Times New Roman"/>
                <w:bCs/>
                <w:sz w:val="24"/>
                <w:szCs w:val="20"/>
              </w:rPr>
            </w:pPr>
            <w:r>
              <w:rPr>
                <w:rFonts w:hint="default" w:ascii="Times New Roman" w:hAnsi="Times New Roman" w:cs="Times New Roman"/>
                <w:bCs/>
                <w:sz w:val="24"/>
                <w:szCs w:val="20"/>
              </w:rPr>
              <w:t>严禁采用加深钻孔深度方法代替清孔作业。</w:t>
            </w:r>
          </w:p>
          <w:p>
            <w:pPr>
              <w:spacing w:line="460" w:lineRule="exact"/>
              <w:ind w:firstLine="480"/>
              <w:rPr>
                <w:rFonts w:hint="default" w:ascii="Times New Roman" w:hAnsi="Times New Roman" w:cs="Times New Roman"/>
                <w:bCs/>
                <w:sz w:val="24"/>
                <w:szCs w:val="20"/>
              </w:rPr>
            </w:pPr>
            <w:r>
              <w:rPr>
                <w:rFonts w:hint="default" w:ascii="Times New Roman" w:hAnsi="Times New Roman" w:cs="Times New Roman"/>
                <w:bCs/>
                <w:sz w:val="24"/>
                <w:szCs w:val="20"/>
              </w:rPr>
              <w:t>⑤钢筋笼制作、安装</w:t>
            </w:r>
          </w:p>
          <w:p>
            <w:pPr>
              <w:spacing w:line="460" w:lineRule="exact"/>
              <w:ind w:firstLine="480"/>
              <w:rPr>
                <w:rFonts w:hint="default" w:ascii="Times New Roman" w:hAnsi="Times New Roman" w:cs="Times New Roman"/>
                <w:bCs/>
                <w:sz w:val="24"/>
                <w:szCs w:val="20"/>
              </w:rPr>
            </w:pPr>
            <w:r>
              <w:rPr>
                <w:rFonts w:hint="default" w:ascii="Times New Roman" w:hAnsi="Times New Roman" w:cs="Times New Roman"/>
                <w:bCs/>
                <w:sz w:val="24"/>
                <w:szCs w:val="20"/>
              </w:rPr>
              <w:t>钻孔桩的钢筋笼在钢筋加工车间制作，钢筋笼加工确保主筋位置准确。制作安装时主筋接头按规范规定错开。将每根桩的钢筋笼按设计长度分节并编号，保证相邻节段可在胎架上对应配对绑扎。钢筋笼所用钢材有产品合格证和现场抽检复查资料，满足有关规范要求。钢筋笼吊装时配备专用托架，平板车运至现场，在孔口利用汽车吊吊放。声测管的安装，除在底节钢筋笼安装时焊接在钢筋笼上外，其余各节均预先绑扎在钢筋笼内。钢筋笼安装时用专用的起吊工具卡起吊，避免钢筋笼起吊变形过大。下放前检查钢筋笼垂直度，确保上、下节钢筋笼对接时中心线保持一致，主筋对位后使用直筒螺纹连接接头。两节笼对接时，上下节中心线保持一致，不得将偏斜、弯扭的钢筋笼安放入钻孔桩内。安装到位后及时固定，防止脱落，另外采取有效措施防止钢筋笼在混凝土灌注过程中上浮。钢筋笼安装就位后立即将钢筋笼中四根加长主筋与钢护筒顶部焊接固定，防止混凝土灌注过程中钢筋骨架上浮。</w:t>
            </w:r>
          </w:p>
          <w:p>
            <w:pPr>
              <w:spacing w:line="460" w:lineRule="exact"/>
              <w:ind w:firstLine="480"/>
              <w:rPr>
                <w:rFonts w:hint="default" w:ascii="Times New Roman" w:hAnsi="Times New Roman" w:cs="Times New Roman"/>
                <w:bCs/>
                <w:sz w:val="24"/>
                <w:szCs w:val="20"/>
              </w:rPr>
            </w:pPr>
            <w:r>
              <w:rPr>
                <w:rFonts w:hint="default" w:ascii="Times New Roman" w:hAnsi="Times New Roman" w:cs="Times New Roman"/>
                <w:bCs/>
                <w:sz w:val="24"/>
                <w:szCs w:val="20"/>
              </w:rPr>
              <w:t>⑥导管设置</w:t>
            </w:r>
          </w:p>
          <w:p>
            <w:pPr>
              <w:spacing w:line="460" w:lineRule="exact"/>
              <w:ind w:firstLine="480"/>
              <w:rPr>
                <w:rFonts w:hint="default" w:ascii="Times New Roman" w:hAnsi="Times New Roman" w:cs="Times New Roman"/>
                <w:bCs/>
                <w:sz w:val="24"/>
                <w:szCs w:val="20"/>
              </w:rPr>
            </w:pPr>
            <w:r>
              <w:rPr>
                <w:rFonts w:hint="default" w:ascii="Times New Roman" w:hAnsi="Times New Roman" w:cs="Times New Roman"/>
                <w:bCs/>
                <w:sz w:val="24"/>
                <w:szCs w:val="20"/>
              </w:rPr>
              <w:t>封孔采用垂直导管法。</w:t>
            </w:r>
          </w:p>
          <w:p>
            <w:pPr>
              <w:spacing w:line="460" w:lineRule="exact"/>
              <w:ind w:firstLine="480"/>
              <w:rPr>
                <w:rFonts w:hint="default" w:ascii="Times New Roman" w:hAnsi="Times New Roman" w:cs="Times New Roman"/>
                <w:bCs/>
                <w:sz w:val="24"/>
                <w:szCs w:val="20"/>
              </w:rPr>
            </w:pPr>
            <w:r>
              <w:rPr>
                <w:rFonts w:hint="default" w:ascii="Times New Roman" w:hAnsi="Times New Roman" w:cs="Times New Roman"/>
                <w:bCs/>
                <w:sz w:val="24"/>
                <w:szCs w:val="20"/>
              </w:rPr>
              <w:t>封孔导管使用前应预拼，并作水密试验，试压压力为孔底静水压力的1.5倍。严禁使用漏水的导管。</w:t>
            </w:r>
          </w:p>
          <w:p>
            <w:pPr>
              <w:spacing w:line="460" w:lineRule="exact"/>
              <w:ind w:firstLine="480"/>
              <w:rPr>
                <w:rFonts w:hint="default" w:ascii="Times New Roman" w:hAnsi="Times New Roman" w:cs="Times New Roman"/>
                <w:bCs/>
                <w:sz w:val="24"/>
                <w:szCs w:val="20"/>
              </w:rPr>
            </w:pPr>
            <w:r>
              <w:rPr>
                <w:rFonts w:hint="default" w:ascii="Times New Roman" w:hAnsi="Times New Roman" w:cs="Times New Roman"/>
                <w:bCs/>
                <w:sz w:val="24"/>
                <w:szCs w:val="20"/>
              </w:rPr>
              <w:t>导管内壁应光滑圆顺，内径一致，拼装时，轴线偏差不宜超过孔深的0.5%，亦不宜大于10cm。导管长度根据平台标高、孔底标高确定。</w:t>
            </w:r>
          </w:p>
          <w:p>
            <w:pPr>
              <w:spacing w:line="460" w:lineRule="exact"/>
              <w:ind w:firstLine="480"/>
              <w:rPr>
                <w:rFonts w:hint="default" w:ascii="Times New Roman" w:hAnsi="Times New Roman" w:cs="Times New Roman"/>
                <w:bCs/>
                <w:sz w:val="24"/>
                <w:szCs w:val="20"/>
              </w:rPr>
            </w:pPr>
            <w:r>
              <w:rPr>
                <w:rFonts w:hint="default" w:ascii="Times New Roman" w:hAnsi="Times New Roman" w:cs="Times New Roman"/>
                <w:bCs/>
                <w:sz w:val="24"/>
                <w:szCs w:val="20"/>
              </w:rPr>
              <w:t>导管预拼好后，进行编号、并用油漆在导管两侧做好刻度标记。作深度标尺，同时根据起吊高度进行分段，利用汽车吊机吊放，依次入孔，两段接头连接必须牢固，并确保水密。导管位置居于孔中，轴线顺直，稳步沉放，保证导管底口距孔底0.25～0.4m。</w:t>
            </w:r>
          </w:p>
          <w:p>
            <w:pPr>
              <w:spacing w:line="460" w:lineRule="exact"/>
              <w:ind w:firstLine="480"/>
              <w:rPr>
                <w:rFonts w:hint="default" w:ascii="Times New Roman" w:hAnsi="Times New Roman" w:cs="Times New Roman"/>
                <w:bCs/>
                <w:sz w:val="24"/>
                <w:szCs w:val="20"/>
              </w:rPr>
            </w:pPr>
            <w:r>
              <w:rPr>
                <w:rFonts w:hint="default" w:ascii="Times New Roman" w:hAnsi="Times New Roman" w:cs="Times New Roman"/>
                <w:bCs/>
                <w:sz w:val="24"/>
                <w:szCs w:val="20"/>
              </w:rPr>
              <w:t>导管上口设储料斗，储料数量应满足首批混凝土入孔后，导管埋入深度不得小于1m，并不宜大于3m。</w:t>
            </w:r>
          </w:p>
          <w:p>
            <w:pPr>
              <w:spacing w:line="460" w:lineRule="exact"/>
              <w:ind w:firstLine="480"/>
              <w:rPr>
                <w:rFonts w:hint="default" w:ascii="Times New Roman" w:hAnsi="Times New Roman" w:cs="Times New Roman"/>
                <w:bCs/>
                <w:sz w:val="24"/>
                <w:szCs w:val="20"/>
              </w:rPr>
            </w:pPr>
            <w:r>
              <w:rPr>
                <w:rFonts w:hint="default" w:ascii="Times New Roman" w:hAnsi="Times New Roman" w:cs="Times New Roman"/>
                <w:bCs/>
                <w:sz w:val="24"/>
                <w:szCs w:val="20"/>
              </w:rPr>
              <w:t>导管下放完毕后，应上下起落试一试，确保操作机构灵活。</w:t>
            </w:r>
          </w:p>
          <w:p>
            <w:pPr>
              <w:spacing w:line="460" w:lineRule="exact"/>
              <w:ind w:firstLine="480"/>
              <w:rPr>
                <w:rFonts w:hint="default" w:ascii="Times New Roman" w:hAnsi="Times New Roman" w:cs="Times New Roman"/>
                <w:bCs/>
                <w:sz w:val="24"/>
                <w:szCs w:val="20"/>
              </w:rPr>
            </w:pPr>
            <w:r>
              <w:rPr>
                <w:rFonts w:hint="default" w:ascii="Times New Roman" w:hAnsi="Times New Roman" w:cs="Times New Roman"/>
                <w:bCs/>
                <w:sz w:val="24"/>
                <w:szCs w:val="20"/>
              </w:rPr>
              <w:t>导管入孔后值班技术人员做好测量标记并测量孔深。</w:t>
            </w:r>
          </w:p>
          <w:p>
            <w:pPr>
              <w:spacing w:line="460" w:lineRule="exact"/>
              <w:ind w:firstLine="480"/>
              <w:rPr>
                <w:rFonts w:hint="default" w:ascii="Times New Roman" w:hAnsi="Times New Roman" w:cs="Times New Roman"/>
                <w:bCs/>
                <w:sz w:val="24"/>
                <w:szCs w:val="20"/>
              </w:rPr>
            </w:pPr>
            <w:r>
              <w:rPr>
                <w:rFonts w:hint="default" w:ascii="Times New Roman" w:hAnsi="Times New Roman" w:cs="Times New Roman"/>
                <w:bCs/>
                <w:sz w:val="24"/>
                <w:szCs w:val="20"/>
              </w:rPr>
              <w:t>⑦二次清孔</w:t>
            </w:r>
          </w:p>
          <w:p>
            <w:pPr>
              <w:spacing w:line="460" w:lineRule="exact"/>
              <w:ind w:firstLine="480"/>
              <w:rPr>
                <w:rFonts w:hint="default" w:ascii="Times New Roman" w:hAnsi="Times New Roman" w:cs="Times New Roman"/>
                <w:bCs/>
                <w:sz w:val="24"/>
                <w:szCs w:val="20"/>
                <w:lang w:val="en-US" w:eastAsia="zh-CN"/>
              </w:rPr>
            </w:pPr>
            <w:r>
              <w:rPr>
                <w:rFonts w:hint="default" w:ascii="Times New Roman" w:hAnsi="Times New Roman" w:cs="Times New Roman"/>
                <w:bCs/>
                <w:sz w:val="24"/>
                <w:szCs w:val="20"/>
              </w:rPr>
              <w:t>在钢筋笼和导管安放完毕后、灌注水下混凝土前，再次检测桩底沉渣厚度。若沉渣厚度超标，要立即进行第二次清孔，直至达到设计及规范要求，方可进行下道工序施工。</w:t>
            </w:r>
            <w:r>
              <w:rPr>
                <w:rFonts w:hint="default" w:ascii="Times New Roman" w:hAnsi="Times New Roman" w:cs="Times New Roman"/>
                <w:bCs/>
                <w:sz w:val="24"/>
                <w:szCs w:val="20"/>
                <w:lang w:val="en-US" w:eastAsia="zh-CN"/>
              </w:rPr>
              <w:t xml:space="preserve"> </w:t>
            </w:r>
          </w:p>
          <w:p>
            <w:pPr>
              <w:spacing w:line="460" w:lineRule="exact"/>
              <w:ind w:firstLine="480"/>
              <w:rPr>
                <w:rFonts w:hint="default" w:ascii="Times New Roman" w:hAnsi="Times New Roman" w:cs="Times New Roman"/>
                <w:bCs/>
                <w:sz w:val="24"/>
                <w:szCs w:val="20"/>
              </w:rPr>
            </w:pPr>
            <w:r>
              <w:rPr>
                <w:rFonts w:hint="default" w:ascii="Times New Roman" w:hAnsi="Times New Roman" w:cs="Times New Roman"/>
                <w:bCs/>
                <w:sz w:val="24"/>
                <w:szCs w:val="20"/>
              </w:rPr>
              <w:t>⑧灌注水下混凝土</w:t>
            </w:r>
          </w:p>
          <w:p>
            <w:pPr>
              <w:spacing w:line="460" w:lineRule="exact"/>
              <w:ind w:firstLine="480"/>
              <w:rPr>
                <w:rFonts w:hint="default" w:ascii="Times New Roman" w:hAnsi="Times New Roman" w:cs="Times New Roman"/>
                <w:bCs/>
                <w:sz w:val="24"/>
                <w:szCs w:val="20"/>
              </w:rPr>
            </w:pPr>
            <w:r>
              <w:rPr>
                <w:rFonts w:hint="default" w:ascii="Times New Roman" w:hAnsi="Times New Roman" w:cs="Times New Roman"/>
                <w:bCs/>
                <w:sz w:val="24"/>
                <w:szCs w:val="20"/>
              </w:rPr>
              <w:t>灌注前应做好水泥、砂、石料的准备和保证机械运转正常的检查工作。</w:t>
            </w:r>
          </w:p>
          <w:p>
            <w:pPr>
              <w:spacing w:line="460" w:lineRule="exact"/>
              <w:ind w:firstLine="480"/>
              <w:rPr>
                <w:rFonts w:hint="default" w:ascii="Times New Roman" w:hAnsi="Times New Roman" w:cs="Times New Roman"/>
                <w:bCs/>
                <w:sz w:val="24"/>
                <w:szCs w:val="20"/>
              </w:rPr>
            </w:pPr>
            <w:r>
              <w:rPr>
                <w:rFonts w:hint="default" w:ascii="Times New Roman" w:hAnsi="Times New Roman" w:cs="Times New Roman"/>
                <w:bCs/>
                <w:sz w:val="24"/>
                <w:szCs w:val="20"/>
              </w:rPr>
              <w:t>导管提升采用汽车吊，混凝土灌注前应认真检查。</w:t>
            </w:r>
          </w:p>
          <w:p>
            <w:pPr>
              <w:spacing w:line="460" w:lineRule="exact"/>
              <w:ind w:firstLine="480"/>
              <w:rPr>
                <w:rFonts w:hint="default" w:ascii="Times New Roman" w:hAnsi="Times New Roman" w:cs="Times New Roman"/>
                <w:bCs/>
                <w:sz w:val="24"/>
                <w:szCs w:val="20"/>
              </w:rPr>
            </w:pPr>
            <w:r>
              <w:rPr>
                <w:rFonts w:hint="default" w:ascii="Times New Roman" w:hAnsi="Times New Roman" w:cs="Times New Roman"/>
                <w:bCs/>
                <w:sz w:val="24"/>
                <w:szCs w:val="20"/>
              </w:rPr>
              <w:t>封孔导管口距孔底一般为25～40cm，采用导管内挂板测量。首批混凝土采用拔球法灌注时，铁板与储料斗底口之间应铺设一层塑料薄膜。首批灌注混凝土的数量应满足导管埋置深度(≥1.0m)和填充导管底部间隙的要求。</w:t>
            </w:r>
          </w:p>
          <w:p>
            <w:pPr>
              <w:spacing w:line="460" w:lineRule="exact"/>
              <w:ind w:firstLine="480"/>
              <w:rPr>
                <w:rFonts w:hint="default" w:ascii="Times New Roman" w:hAnsi="Times New Roman" w:cs="Times New Roman"/>
                <w:bCs/>
                <w:sz w:val="24"/>
                <w:szCs w:val="20"/>
              </w:rPr>
            </w:pPr>
            <w:r>
              <w:rPr>
                <w:rFonts w:hint="default" w:ascii="Times New Roman" w:hAnsi="Times New Roman" w:cs="Times New Roman"/>
                <w:bCs/>
                <w:sz w:val="24"/>
                <w:szCs w:val="20"/>
              </w:rPr>
              <w:t>混凝土采用拔球法施工，灌注开始后，应连续不断进行，中间不得停盘，并经常检查管内有无漏水现象。灌注混凝土时，混凝土的温度不应低于5℃，当气温低于0℃时，应采取保温措施。</w:t>
            </w:r>
          </w:p>
          <w:p>
            <w:pPr>
              <w:spacing w:line="460" w:lineRule="exact"/>
              <w:ind w:firstLine="480"/>
              <w:rPr>
                <w:rFonts w:hint="default" w:ascii="Times New Roman" w:hAnsi="Times New Roman" w:cs="Times New Roman"/>
                <w:bCs/>
                <w:sz w:val="24"/>
                <w:szCs w:val="20"/>
              </w:rPr>
            </w:pPr>
            <w:r>
              <w:rPr>
                <w:rFonts w:hint="default" w:ascii="Times New Roman" w:hAnsi="Times New Roman" w:cs="Times New Roman"/>
                <w:bCs/>
                <w:sz w:val="24"/>
                <w:szCs w:val="20"/>
              </w:rPr>
              <w:t>在灌注过程中，导管埋深按2～6m控制，灌注桩顶标高，应比设计标高高出1.0m左右。为防止钢筋骨架上浮，当灌注的混凝土顶面距钢筋骨架底部1.0m左右时，应降低混凝土的灌注速度，并随时观察，如钢筋笼有上浮现象，应立即采取加强固定措施进行处理。</w:t>
            </w:r>
          </w:p>
          <w:p>
            <w:pPr>
              <w:spacing w:line="460" w:lineRule="exact"/>
              <w:ind w:firstLine="480"/>
              <w:rPr>
                <w:rFonts w:hint="default" w:ascii="Times New Roman" w:hAnsi="Times New Roman" w:cs="Times New Roman"/>
                <w:bCs/>
                <w:sz w:val="24"/>
                <w:szCs w:val="20"/>
              </w:rPr>
            </w:pPr>
            <w:r>
              <w:rPr>
                <w:rFonts w:hint="default" w:ascii="Times New Roman" w:hAnsi="Times New Roman" w:cs="Times New Roman"/>
                <w:bCs/>
                <w:sz w:val="24"/>
                <w:szCs w:val="20"/>
              </w:rPr>
              <w:t>灌注过程中应设专人测量导管埋入深度，并作好混凝土灌注记录。遇有埋管等特殊情况，及时汇报，同时尽快处理。</w:t>
            </w:r>
          </w:p>
          <w:p>
            <w:pPr>
              <w:spacing w:line="460" w:lineRule="exact"/>
              <w:ind w:firstLine="480"/>
              <w:rPr>
                <w:rFonts w:hint="default" w:ascii="Times New Roman" w:hAnsi="Times New Roman" w:cs="Times New Roman"/>
                <w:bCs/>
                <w:sz w:val="24"/>
                <w:szCs w:val="20"/>
              </w:rPr>
            </w:pPr>
            <w:r>
              <w:rPr>
                <w:rFonts w:hint="default" w:ascii="Times New Roman" w:hAnsi="Times New Roman" w:cs="Times New Roman"/>
                <w:bCs/>
                <w:sz w:val="24"/>
                <w:szCs w:val="20"/>
              </w:rPr>
              <w:t>封孔混凝土顶面标高宜比设计桩顶标高提高1.0m左右，以便清除浮浆，确保混凝土质量。混凝土灌注完毕，将导管、漏斗、储灰斗、吊斗等清洗干净。为保证封孔质量，应注意天气预报，避免在大雨天气灌注混凝土。孔内溢浆通过泥浆处理器处理后回收利用。</w:t>
            </w:r>
          </w:p>
          <w:p>
            <w:pPr>
              <w:spacing w:line="460" w:lineRule="exact"/>
              <w:ind w:firstLine="480"/>
              <w:rPr>
                <w:rFonts w:hint="default" w:ascii="Times New Roman" w:hAnsi="Times New Roman" w:cs="Times New Roman"/>
                <w:bCs/>
                <w:sz w:val="24"/>
                <w:szCs w:val="20"/>
              </w:rPr>
            </w:pPr>
            <w:r>
              <w:rPr>
                <w:rFonts w:hint="default" w:ascii="Times New Roman" w:hAnsi="Times New Roman" w:cs="Times New Roman"/>
                <w:bCs/>
                <w:sz w:val="24"/>
                <w:szCs w:val="20"/>
              </w:rPr>
              <w:t>⑨桩质量检测</w:t>
            </w:r>
          </w:p>
          <w:p>
            <w:pPr>
              <w:pStyle w:val="5"/>
              <w:keepNext w:val="0"/>
              <w:keepLines w:val="0"/>
              <w:pageBreakBefore w:val="0"/>
              <w:widowControl w:val="0"/>
              <w:kinsoku/>
              <w:wordWrap/>
              <w:overflowPunct/>
              <w:topLinePunct w:val="0"/>
              <w:bidi w:val="0"/>
              <w:adjustRightInd/>
              <w:snapToGrid/>
              <w:spacing w:line="480" w:lineRule="atLeast"/>
              <w:ind w:firstLine="482"/>
              <w:textAlignment w:val="auto"/>
              <w:rPr>
                <w:color w:val="auto"/>
                <w:sz w:val="24"/>
                <w:highlight w:val="none"/>
              </w:rPr>
            </w:pPr>
            <w:r>
              <w:rPr>
                <w:rFonts w:hint="default" w:ascii="Times New Roman" w:hAnsi="Times New Roman" w:cs="Times New Roman"/>
                <w:bCs/>
                <w:sz w:val="24"/>
                <w:szCs w:val="20"/>
              </w:rPr>
              <w:t>所有钻孔桩桩身混凝土质量均作超声波检测，桩基施工过程及施工完成后均需对声测管进行有效保护，防止声测管种进入杂物堵管，影响桩基质量检测</w:t>
            </w:r>
            <w:r>
              <w:rPr>
                <w:rFonts w:hint="eastAsia" w:ascii="Times New Roman" w:hAnsi="Times New Roman" w:cs="Times New Roman"/>
                <w:bCs/>
                <w:sz w:val="24"/>
                <w:szCs w:val="20"/>
                <w:lang w:eastAsia="zh-CN"/>
              </w:rPr>
              <w:t>。</w:t>
            </w:r>
          </w:p>
          <w:p>
            <w:pPr>
              <w:pStyle w:val="5"/>
              <w:keepNext w:val="0"/>
              <w:keepLines w:val="0"/>
              <w:pageBreakBefore w:val="0"/>
              <w:widowControl w:val="0"/>
              <w:kinsoku/>
              <w:wordWrap/>
              <w:overflowPunct/>
              <w:topLinePunct w:val="0"/>
              <w:bidi w:val="0"/>
              <w:adjustRightInd/>
              <w:snapToGrid/>
              <w:spacing w:line="480" w:lineRule="atLeast"/>
              <w:ind w:firstLine="482"/>
              <w:textAlignment w:val="auto"/>
              <w:rPr>
                <w:rFonts w:hint="eastAsia" w:eastAsia="宋体"/>
                <w:b/>
                <w:bCs/>
                <w:color w:val="auto"/>
                <w:sz w:val="24"/>
                <w:highlight w:val="none"/>
                <w:lang w:eastAsia="zh-CN"/>
              </w:rPr>
            </w:pPr>
            <w:r>
              <w:rPr>
                <w:rFonts w:hint="eastAsia"/>
                <w:b/>
                <w:bCs/>
                <w:color w:val="auto"/>
                <w:sz w:val="24"/>
                <w:highlight w:val="none"/>
                <w:lang w:eastAsia="zh-CN"/>
              </w:rPr>
              <w:t>（</w:t>
            </w:r>
            <w:r>
              <w:rPr>
                <w:rFonts w:hint="eastAsia"/>
                <w:b/>
                <w:bCs/>
                <w:color w:val="auto"/>
                <w:sz w:val="24"/>
                <w:highlight w:val="none"/>
                <w:lang w:val="en-US" w:eastAsia="zh-CN"/>
              </w:rPr>
              <w:t>2</w:t>
            </w:r>
            <w:r>
              <w:rPr>
                <w:rFonts w:hint="eastAsia"/>
                <w:b/>
                <w:bCs/>
                <w:color w:val="auto"/>
                <w:sz w:val="24"/>
                <w:highlight w:val="none"/>
                <w:lang w:eastAsia="zh-CN"/>
              </w:rPr>
              <w:t>）</w:t>
            </w:r>
            <w:r>
              <w:rPr>
                <w:rFonts w:hint="default" w:ascii="Times New Roman" w:hAnsi="Times New Roman" w:cs="Times New Roman"/>
                <w:b/>
                <w:bCs w:val="0"/>
                <w:color w:val="auto"/>
                <w:sz w:val="24"/>
                <w:szCs w:val="20"/>
                <w:lang w:val="en-US" w:eastAsia="zh-CN"/>
              </w:rPr>
              <w:t>承台施工</w:t>
            </w:r>
          </w:p>
          <w:p>
            <w:pPr>
              <w:pStyle w:val="5"/>
              <w:keepNext w:val="0"/>
              <w:keepLines w:val="0"/>
              <w:pageBreakBefore w:val="0"/>
              <w:widowControl w:val="0"/>
              <w:kinsoku/>
              <w:wordWrap/>
              <w:overflowPunct/>
              <w:topLinePunct w:val="0"/>
              <w:autoSpaceDE/>
              <w:autoSpaceDN/>
              <w:bidi w:val="0"/>
              <w:adjustRightInd/>
              <w:snapToGrid/>
              <w:spacing w:line="480" w:lineRule="atLeast"/>
              <w:ind w:firstLine="482"/>
              <w:textAlignment w:val="auto"/>
              <w:rPr>
                <w:rFonts w:hint="default"/>
                <w:color w:val="auto"/>
                <w:sz w:val="24"/>
                <w:highlight w:val="none"/>
              </w:rPr>
            </w:pPr>
            <w:r>
              <w:rPr>
                <w:rFonts w:hint="default"/>
                <w:color w:val="auto"/>
                <w:sz w:val="24"/>
                <w:highlight w:val="none"/>
              </w:rPr>
              <w:t>①施工方法</w:t>
            </w:r>
          </w:p>
          <w:p>
            <w:pPr>
              <w:pStyle w:val="5"/>
              <w:keepNext w:val="0"/>
              <w:keepLines w:val="0"/>
              <w:pageBreakBefore w:val="0"/>
              <w:widowControl w:val="0"/>
              <w:kinsoku/>
              <w:wordWrap/>
              <w:overflowPunct/>
              <w:topLinePunct w:val="0"/>
              <w:autoSpaceDE/>
              <w:autoSpaceDN/>
              <w:bidi w:val="0"/>
              <w:adjustRightInd/>
              <w:snapToGrid/>
              <w:spacing w:line="480" w:lineRule="atLeast"/>
              <w:ind w:firstLine="482"/>
              <w:textAlignment w:val="auto"/>
              <w:rPr>
                <w:rFonts w:hint="default"/>
                <w:color w:val="auto"/>
                <w:sz w:val="24"/>
                <w:highlight w:val="none"/>
              </w:rPr>
            </w:pPr>
            <w:r>
              <w:rPr>
                <w:rFonts w:hint="default"/>
                <w:color w:val="auto"/>
                <w:sz w:val="24"/>
                <w:highlight w:val="none"/>
              </w:rPr>
              <w:t>陆地承台基坑采用挖掘机开挖，人工配合进行清土并确保基坑无积水，必要时在基坑外周设置降水井。承台钢筋人工绑扎，采用大块钢模板立模，混凝土采用混凝土运输车运输到位，泵送或溜槽入模，分层连续浇筑成型。体积较大的承台按照大体积混凝土组织施工，采取冷却水管、降低混凝土入模温度等措施控制混凝土的水化热，降低内外温差，防止开裂。</w:t>
            </w:r>
          </w:p>
          <w:p>
            <w:pPr>
              <w:pStyle w:val="5"/>
              <w:keepNext w:val="0"/>
              <w:keepLines w:val="0"/>
              <w:pageBreakBefore w:val="0"/>
              <w:widowControl w:val="0"/>
              <w:kinsoku/>
              <w:wordWrap/>
              <w:overflowPunct/>
              <w:topLinePunct w:val="0"/>
              <w:autoSpaceDE/>
              <w:autoSpaceDN/>
              <w:bidi w:val="0"/>
              <w:adjustRightInd/>
              <w:snapToGrid/>
              <w:spacing w:line="480" w:lineRule="atLeast"/>
              <w:ind w:firstLine="482"/>
              <w:textAlignment w:val="auto"/>
              <w:rPr>
                <w:rFonts w:hint="default"/>
                <w:color w:val="auto"/>
                <w:sz w:val="24"/>
                <w:highlight w:val="none"/>
              </w:rPr>
            </w:pPr>
            <w:r>
              <w:rPr>
                <w:rFonts w:hint="default"/>
                <w:color w:val="auto"/>
                <w:sz w:val="24"/>
                <w:highlight w:val="none"/>
              </w:rPr>
              <w:t>②工艺流程</w:t>
            </w:r>
          </w:p>
          <w:p>
            <w:pPr>
              <w:pStyle w:val="5"/>
              <w:keepNext w:val="0"/>
              <w:keepLines w:val="0"/>
              <w:pageBreakBefore w:val="0"/>
              <w:widowControl w:val="0"/>
              <w:kinsoku/>
              <w:wordWrap/>
              <w:overflowPunct/>
              <w:topLinePunct w:val="0"/>
              <w:autoSpaceDE/>
              <w:autoSpaceDN/>
              <w:bidi w:val="0"/>
              <w:adjustRightInd/>
              <w:snapToGrid/>
              <w:spacing w:line="480" w:lineRule="atLeast"/>
              <w:ind w:firstLine="482"/>
              <w:textAlignment w:val="auto"/>
              <w:rPr>
                <w:rFonts w:hint="default"/>
                <w:color w:val="auto"/>
                <w:sz w:val="24"/>
                <w:highlight w:val="none"/>
              </w:rPr>
            </w:pPr>
            <w:r>
              <w:rPr>
                <w:rFonts w:hint="default"/>
                <w:color w:val="auto"/>
                <w:sz w:val="24"/>
                <w:highlight w:val="none"/>
              </w:rPr>
              <w:t>基坑开挖</w:t>
            </w:r>
          </w:p>
          <w:p>
            <w:pPr>
              <w:pStyle w:val="5"/>
              <w:keepNext w:val="0"/>
              <w:keepLines w:val="0"/>
              <w:pageBreakBefore w:val="0"/>
              <w:widowControl w:val="0"/>
              <w:kinsoku/>
              <w:wordWrap/>
              <w:overflowPunct/>
              <w:topLinePunct w:val="0"/>
              <w:autoSpaceDE/>
              <w:autoSpaceDN/>
              <w:bidi w:val="0"/>
              <w:adjustRightInd/>
              <w:snapToGrid/>
              <w:spacing w:line="480" w:lineRule="atLeast"/>
              <w:ind w:firstLine="482"/>
              <w:textAlignment w:val="auto"/>
              <w:rPr>
                <w:rFonts w:hint="default"/>
                <w:color w:val="auto"/>
                <w:sz w:val="24"/>
                <w:highlight w:val="none"/>
              </w:rPr>
            </w:pPr>
            <w:r>
              <w:rPr>
                <w:rFonts w:hint="default"/>
                <w:color w:val="auto"/>
                <w:sz w:val="24"/>
                <w:highlight w:val="none"/>
              </w:rPr>
              <w:t>承台基坑开挖时，对桩头部位开挖时需特别小心，以免损伤桩头钢筋。</w:t>
            </w:r>
          </w:p>
          <w:p>
            <w:pPr>
              <w:pStyle w:val="5"/>
              <w:keepNext w:val="0"/>
              <w:keepLines w:val="0"/>
              <w:pageBreakBefore w:val="0"/>
              <w:widowControl w:val="0"/>
              <w:kinsoku/>
              <w:wordWrap/>
              <w:overflowPunct/>
              <w:topLinePunct w:val="0"/>
              <w:autoSpaceDE/>
              <w:autoSpaceDN/>
              <w:bidi w:val="0"/>
              <w:adjustRightInd/>
              <w:snapToGrid/>
              <w:spacing w:line="480" w:lineRule="atLeast"/>
              <w:ind w:firstLine="482"/>
              <w:textAlignment w:val="auto"/>
              <w:rPr>
                <w:rFonts w:hint="default"/>
                <w:color w:val="auto"/>
                <w:sz w:val="24"/>
                <w:highlight w:val="none"/>
              </w:rPr>
            </w:pPr>
            <w:r>
              <w:rPr>
                <w:rFonts w:hint="default"/>
                <w:color w:val="auto"/>
                <w:sz w:val="24"/>
                <w:highlight w:val="none"/>
              </w:rPr>
              <w:t>桩头处理、桩基检测</w:t>
            </w:r>
          </w:p>
          <w:p>
            <w:pPr>
              <w:pStyle w:val="5"/>
              <w:keepNext w:val="0"/>
              <w:keepLines w:val="0"/>
              <w:pageBreakBefore w:val="0"/>
              <w:widowControl w:val="0"/>
              <w:kinsoku/>
              <w:wordWrap/>
              <w:overflowPunct/>
              <w:topLinePunct w:val="0"/>
              <w:autoSpaceDE/>
              <w:autoSpaceDN/>
              <w:bidi w:val="0"/>
              <w:adjustRightInd/>
              <w:snapToGrid/>
              <w:spacing w:line="480" w:lineRule="atLeast"/>
              <w:ind w:firstLine="482"/>
              <w:textAlignment w:val="auto"/>
              <w:rPr>
                <w:rFonts w:hint="default"/>
                <w:color w:val="auto"/>
                <w:sz w:val="24"/>
                <w:highlight w:val="none"/>
              </w:rPr>
            </w:pPr>
            <w:r>
              <w:rPr>
                <w:rFonts w:hint="default"/>
                <w:color w:val="auto"/>
                <w:sz w:val="24"/>
                <w:highlight w:val="none"/>
              </w:rPr>
              <w:t>钻孔桩桩头采用机械凿除，预留设计要求的嵌入承台部分长度。凿除完毕后，整理桩基预留钢筋，对基坑底面进行平整，施工垫层。按要求对钻孔桩进行无损检测。</w:t>
            </w:r>
          </w:p>
          <w:p>
            <w:pPr>
              <w:pStyle w:val="5"/>
              <w:keepNext w:val="0"/>
              <w:keepLines w:val="0"/>
              <w:pageBreakBefore w:val="0"/>
              <w:widowControl w:val="0"/>
              <w:kinsoku/>
              <w:wordWrap/>
              <w:overflowPunct/>
              <w:topLinePunct w:val="0"/>
              <w:autoSpaceDE/>
              <w:autoSpaceDN/>
              <w:bidi w:val="0"/>
              <w:adjustRightInd/>
              <w:snapToGrid/>
              <w:spacing w:line="480" w:lineRule="atLeast"/>
              <w:ind w:firstLine="482"/>
              <w:textAlignment w:val="auto"/>
              <w:rPr>
                <w:rFonts w:hint="default"/>
                <w:color w:val="auto"/>
                <w:sz w:val="24"/>
                <w:highlight w:val="none"/>
              </w:rPr>
            </w:pPr>
            <w:r>
              <w:rPr>
                <w:rFonts w:hint="default"/>
                <w:color w:val="auto"/>
                <w:sz w:val="24"/>
                <w:highlight w:val="none"/>
              </w:rPr>
              <w:t>钢筋制作、安装</w:t>
            </w:r>
          </w:p>
          <w:p>
            <w:pPr>
              <w:pStyle w:val="5"/>
              <w:keepNext w:val="0"/>
              <w:keepLines w:val="0"/>
              <w:pageBreakBefore w:val="0"/>
              <w:widowControl w:val="0"/>
              <w:kinsoku/>
              <w:wordWrap/>
              <w:overflowPunct/>
              <w:topLinePunct w:val="0"/>
              <w:autoSpaceDE/>
              <w:autoSpaceDN/>
              <w:bidi w:val="0"/>
              <w:adjustRightInd/>
              <w:snapToGrid/>
              <w:spacing w:line="480" w:lineRule="atLeast"/>
              <w:ind w:firstLine="482"/>
              <w:textAlignment w:val="auto"/>
              <w:rPr>
                <w:rFonts w:hint="default"/>
                <w:color w:val="auto"/>
                <w:sz w:val="24"/>
                <w:highlight w:val="none"/>
              </w:rPr>
            </w:pPr>
            <w:r>
              <w:rPr>
                <w:rFonts w:hint="default"/>
                <w:color w:val="auto"/>
                <w:sz w:val="24"/>
                <w:highlight w:val="none"/>
              </w:rPr>
              <w:t>承台钢筋在钢筋加工车间下料并加工成型，用汽车运至现场后在基坑内绑扎。承台钢筋的安装严格按照施工图纸要求进行，钢筋间距及接头长度满足设计及规范要求，钢筋接头按规范要求错开。墩身预埋筋及其它预埋件按规定位置安装并固定牢靠。</w:t>
            </w:r>
          </w:p>
          <w:p>
            <w:pPr>
              <w:pStyle w:val="5"/>
              <w:keepNext w:val="0"/>
              <w:keepLines w:val="0"/>
              <w:pageBreakBefore w:val="0"/>
              <w:widowControl w:val="0"/>
              <w:kinsoku/>
              <w:wordWrap/>
              <w:overflowPunct/>
              <w:topLinePunct w:val="0"/>
              <w:autoSpaceDE/>
              <w:autoSpaceDN/>
              <w:bidi w:val="0"/>
              <w:adjustRightInd/>
              <w:snapToGrid/>
              <w:spacing w:line="480" w:lineRule="atLeast"/>
              <w:ind w:firstLine="482"/>
              <w:textAlignment w:val="auto"/>
              <w:rPr>
                <w:rFonts w:hint="default"/>
                <w:color w:val="auto"/>
                <w:sz w:val="24"/>
                <w:highlight w:val="none"/>
              </w:rPr>
            </w:pPr>
            <w:r>
              <w:rPr>
                <w:rFonts w:hint="default"/>
                <w:color w:val="auto"/>
                <w:sz w:val="24"/>
                <w:highlight w:val="none"/>
              </w:rPr>
              <w:t>模板安装</w:t>
            </w:r>
          </w:p>
          <w:p>
            <w:pPr>
              <w:pStyle w:val="5"/>
              <w:keepNext w:val="0"/>
              <w:keepLines w:val="0"/>
              <w:pageBreakBefore w:val="0"/>
              <w:widowControl w:val="0"/>
              <w:kinsoku/>
              <w:wordWrap/>
              <w:overflowPunct/>
              <w:topLinePunct w:val="0"/>
              <w:autoSpaceDE/>
              <w:autoSpaceDN/>
              <w:bidi w:val="0"/>
              <w:adjustRightInd/>
              <w:snapToGrid/>
              <w:spacing w:line="480" w:lineRule="atLeast"/>
              <w:ind w:firstLine="482"/>
              <w:textAlignment w:val="auto"/>
              <w:rPr>
                <w:rFonts w:hint="default"/>
                <w:color w:val="auto"/>
                <w:sz w:val="24"/>
                <w:highlight w:val="none"/>
              </w:rPr>
            </w:pPr>
            <w:r>
              <w:rPr>
                <w:rFonts w:hint="default"/>
                <w:color w:val="auto"/>
                <w:sz w:val="24"/>
                <w:highlight w:val="none"/>
              </w:rPr>
              <w:t>承台模板安装在承台钢筋安装完成且检查合格后进行，承台模板采用组合钢模板，用对拉丝杆及辅助支撑固定，保证足够的强度、刚度和平整度。模板在组拼场地分块组拼后，用汽车运到现场，用汽车起重机起吊安装，模板拼缝紧密，表面平整，支撑牢靠，表面涂刷脱模剂。模板安装就位后测量其中心位置及垂直度。使用过的模板要进行修理，达到平整度要求后才能倒用。</w:t>
            </w:r>
          </w:p>
          <w:p>
            <w:pPr>
              <w:pStyle w:val="5"/>
              <w:keepNext w:val="0"/>
              <w:keepLines w:val="0"/>
              <w:pageBreakBefore w:val="0"/>
              <w:widowControl w:val="0"/>
              <w:kinsoku/>
              <w:wordWrap/>
              <w:overflowPunct/>
              <w:topLinePunct w:val="0"/>
              <w:autoSpaceDE/>
              <w:autoSpaceDN/>
              <w:bidi w:val="0"/>
              <w:adjustRightInd/>
              <w:snapToGrid/>
              <w:spacing w:line="480" w:lineRule="atLeast"/>
              <w:ind w:firstLine="482"/>
              <w:textAlignment w:val="auto"/>
              <w:rPr>
                <w:rFonts w:hint="default"/>
                <w:color w:val="auto"/>
                <w:sz w:val="24"/>
                <w:highlight w:val="none"/>
              </w:rPr>
            </w:pPr>
            <w:r>
              <w:rPr>
                <w:rFonts w:hint="default"/>
                <w:color w:val="auto"/>
                <w:sz w:val="24"/>
                <w:highlight w:val="none"/>
              </w:rPr>
              <w:t>混凝土浇注及养护</w:t>
            </w:r>
          </w:p>
          <w:p>
            <w:pPr>
              <w:pStyle w:val="5"/>
              <w:keepNext w:val="0"/>
              <w:keepLines w:val="0"/>
              <w:pageBreakBefore w:val="0"/>
              <w:widowControl w:val="0"/>
              <w:kinsoku/>
              <w:wordWrap/>
              <w:overflowPunct/>
              <w:topLinePunct w:val="0"/>
              <w:autoSpaceDE/>
              <w:autoSpaceDN/>
              <w:bidi w:val="0"/>
              <w:adjustRightInd/>
              <w:snapToGrid/>
              <w:spacing w:line="480" w:lineRule="atLeast"/>
              <w:ind w:firstLine="482"/>
              <w:textAlignment w:val="auto"/>
              <w:rPr>
                <w:rFonts w:hint="default"/>
                <w:color w:val="auto"/>
                <w:sz w:val="24"/>
                <w:highlight w:val="none"/>
              </w:rPr>
            </w:pPr>
            <w:r>
              <w:rPr>
                <w:rFonts w:hint="default"/>
                <w:color w:val="auto"/>
                <w:sz w:val="24"/>
                <w:highlight w:val="none"/>
              </w:rPr>
              <w:t>采用薄层浇注方法，混凝土采用泵送或溜槽入模，混凝土浇筑严格控制分层厚度不大于30cm，且保证在初凝时间内上层混凝土必须覆盖下层混凝土，并加强混凝土振捣，确保混凝土密实。</w:t>
            </w:r>
          </w:p>
          <w:p>
            <w:pPr>
              <w:pStyle w:val="5"/>
              <w:keepNext w:val="0"/>
              <w:keepLines w:val="0"/>
              <w:pageBreakBefore w:val="0"/>
              <w:widowControl w:val="0"/>
              <w:kinsoku/>
              <w:wordWrap/>
              <w:overflowPunct/>
              <w:topLinePunct w:val="0"/>
              <w:autoSpaceDE/>
              <w:autoSpaceDN/>
              <w:bidi w:val="0"/>
              <w:adjustRightInd/>
              <w:snapToGrid/>
              <w:spacing w:line="480" w:lineRule="atLeast"/>
              <w:ind w:firstLine="482"/>
              <w:textAlignment w:val="auto"/>
              <w:rPr>
                <w:rFonts w:hint="default"/>
                <w:color w:val="auto"/>
                <w:sz w:val="24"/>
                <w:highlight w:val="none"/>
              </w:rPr>
            </w:pPr>
            <w:r>
              <w:rPr>
                <w:rFonts w:hint="default"/>
                <w:color w:val="auto"/>
                <w:sz w:val="24"/>
                <w:highlight w:val="none"/>
              </w:rPr>
              <w:t>混凝土浇注完毕初凝前采用二次赶压抹光，控制表面收缩裂纹，减少水分蒸发，改善养护。混凝土初凝后，加强保温保湿养护。</w:t>
            </w:r>
          </w:p>
          <w:p>
            <w:pPr>
              <w:pStyle w:val="5"/>
              <w:keepNext w:val="0"/>
              <w:keepLines w:val="0"/>
              <w:pageBreakBefore w:val="0"/>
              <w:widowControl w:val="0"/>
              <w:kinsoku/>
              <w:wordWrap/>
              <w:overflowPunct/>
              <w:topLinePunct w:val="0"/>
              <w:autoSpaceDE/>
              <w:autoSpaceDN/>
              <w:bidi w:val="0"/>
              <w:adjustRightInd/>
              <w:snapToGrid/>
              <w:spacing w:line="480" w:lineRule="atLeast"/>
              <w:ind w:firstLine="482"/>
              <w:textAlignment w:val="auto"/>
              <w:rPr>
                <w:rFonts w:hint="default"/>
                <w:color w:val="auto"/>
                <w:sz w:val="24"/>
                <w:highlight w:val="none"/>
              </w:rPr>
            </w:pPr>
            <w:r>
              <w:rPr>
                <w:rFonts w:hint="default"/>
                <w:color w:val="auto"/>
                <w:sz w:val="24"/>
                <w:highlight w:val="none"/>
              </w:rPr>
              <w:t>基坑回填</w:t>
            </w:r>
          </w:p>
          <w:p>
            <w:pPr>
              <w:pStyle w:val="5"/>
              <w:keepNext w:val="0"/>
              <w:keepLines w:val="0"/>
              <w:pageBreakBefore w:val="0"/>
              <w:widowControl w:val="0"/>
              <w:kinsoku/>
              <w:wordWrap/>
              <w:overflowPunct/>
              <w:topLinePunct w:val="0"/>
              <w:autoSpaceDE/>
              <w:autoSpaceDN/>
              <w:bidi w:val="0"/>
              <w:adjustRightInd/>
              <w:snapToGrid/>
              <w:spacing w:line="480" w:lineRule="atLeast"/>
              <w:ind w:firstLine="482"/>
              <w:textAlignment w:val="auto"/>
              <w:rPr>
                <w:color w:val="auto"/>
                <w:sz w:val="24"/>
                <w:highlight w:val="none"/>
              </w:rPr>
            </w:pPr>
            <w:r>
              <w:rPr>
                <w:rFonts w:hint="default"/>
                <w:color w:val="auto"/>
                <w:sz w:val="24"/>
                <w:highlight w:val="none"/>
              </w:rPr>
              <w:t>在基础脱模后尽早进行基坑回填。回填土土质满足设计和规范要求，施工时分层回填，分层夯实，基础四周同步进行。基坑内有积水时，需将积水排出，清淤后回填。</w:t>
            </w:r>
          </w:p>
          <w:p>
            <w:pPr>
              <w:pStyle w:val="5"/>
              <w:keepNext w:val="0"/>
              <w:keepLines w:val="0"/>
              <w:pageBreakBefore w:val="0"/>
              <w:widowControl w:val="0"/>
              <w:kinsoku/>
              <w:wordWrap/>
              <w:overflowPunct/>
              <w:topLinePunct w:val="0"/>
              <w:bidi w:val="0"/>
              <w:adjustRightInd/>
              <w:snapToGrid/>
              <w:spacing w:line="480" w:lineRule="atLeast"/>
              <w:ind w:firstLine="482"/>
              <w:textAlignment w:val="auto"/>
              <w:rPr>
                <w:rFonts w:hint="eastAsia" w:eastAsia="宋体"/>
                <w:b/>
                <w:bCs/>
                <w:color w:val="auto"/>
                <w:sz w:val="24"/>
                <w:highlight w:val="none"/>
                <w:lang w:eastAsia="zh-CN"/>
              </w:rPr>
            </w:pPr>
            <w:r>
              <w:rPr>
                <w:rFonts w:hint="eastAsia"/>
                <w:b/>
                <w:bCs/>
                <w:color w:val="auto"/>
                <w:sz w:val="24"/>
                <w:highlight w:val="none"/>
                <w:lang w:eastAsia="zh-CN"/>
              </w:rPr>
              <w:t>（</w:t>
            </w:r>
            <w:r>
              <w:rPr>
                <w:rFonts w:hint="eastAsia"/>
                <w:b/>
                <w:bCs/>
                <w:color w:val="auto"/>
                <w:sz w:val="24"/>
                <w:highlight w:val="none"/>
                <w:lang w:val="en-US" w:eastAsia="zh-CN"/>
              </w:rPr>
              <w:t>3</w:t>
            </w:r>
            <w:r>
              <w:rPr>
                <w:rFonts w:hint="eastAsia"/>
                <w:b/>
                <w:bCs/>
                <w:color w:val="auto"/>
                <w:sz w:val="24"/>
                <w:highlight w:val="none"/>
                <w:lang w:eastAsia="zh-CN"/>
              </w:rPr>
              <w:t>）</w:t>
            </w:r>
            <w:r>
              <w:rPr>
                <w:rFonts w:hint="eastAsia"/>
                <w:b/>
                <w:bCs/>
                <w:color w:val="auto"/>
                <w:sz w:val="24"/>
                <w:highlight w:val="none"/>
                <w:lang w:val="en-US" w:eastAsia="zh-CN"/>
              </w:rPr>
              <w:t>箱梁施工</w:t>
            </w:r>
          </w:p>
          <w:p>
            <w:pPr>
              <w:pStyle w:val="5"/>
              <w:keepNext w:val="0"/>
              <w:keepLines w:val="0"/>
              <w:pageBreakBefore w:val="0"/>
              <w:widowControl w:val="0"/>
              <w:kinsoku/>
              <w:wordWrap/>
              <w:overflowPunct/>
              <w:topLinePunct w:val="0"/>
              <w:bidi w:val="0"/>
              <w:adjustRightInd/>
              <w:snapToGrid/>
              <w:spacing w:line="480" w:lineRule="atLeast"/>
              <w:ind w:firstLine="482"/>
              <w:textAlignment w:val="auto"/>
              <w:rPr>
                <w:rFonts w:hint="default"/>
                <w:color w:val="auto"/>
                <w:sz w:val="24"/>
                <w:highlight w:val="none"/>
                <w:lang w:val="en-US" w:eastAsia="zh-CN"/>
              </w:rPr>
            </w:pPr>
            <w:r>
              <w:rPr>
                <w:rFonts w:hint="default"/>
                <w:color w:val="auto"/>
                <w:sz w:val="24"/>
                <w:highlight w:val="none"/>
              </w:rPr>
              <w:t>①</w:t>
            </w:r>
            <w:r>
              <w:rPr>
                <w:rFonts w:hint="default"/>
                <w:color w:val="auto"/>
                <w:sz w:val="24"/>
                <w:highlight w:val="none"/>
                <w:lang w:val="en-US" w:eastAsia="zh-CN"/>
              </w:rPr>
              <w:t>钢箱梁的制作</w:t>
            </w:r>
          </w:p>
          <w:p>
            <w:pPr>
              <w:pStyle w:val="5"/>
              <w:keepNext w:val="0"/>
              <w:keepLines w:val="0"/>
              <w:pageBreakBefore w:val="0"/>
              <w:widowControl w:val="0"/>
              <w:kinsoku/>
              <w:wordWrap/>
              <w:overflowPunct/>
              <w:topLinePunct w:val="0"/>
              <w:bidi w:val="0"/>
              <w:adjustRightInd/>
              <w:snapToGrid/>
              <w:spacing w:line="480" w:lineRule="atLeast"/>
              <w:ind w:firstLine="482"/>
              <w:textAlignment w:val="auto"/>
              <w:rPr>
                <w:rFonts w:hint="default"/>
                <w:color w:val="auto"/>
                <w:sz w:val="24"/>
                <w:highlight w:val="none"/>
                <w:lang w:val="en-US" w:eastAsia="zh-CN"/>
              </w:rPr>
            </w:pPr>
            <w:r>
              <w:rPr>
                <w:rFonts w:hint="default"/>
                <w:color w:val="auto"/>
                <w:sz w:val="24"/>
                <w:highlight w:val="none"/>
                <w:lang w:val="en-US" w:eastAsia="zh-CN"/>
              </w:rPr>
              <w:t>1）顶、底板制造工艺</w:t>
            </w:r>
          </w:p>
          <w:p>
            <w:pPr>
              <w:pStyle w:val="5"/>
              <w:keepNext w:val="0"/>
              <w:keepLines w:val="0"/>
              <w:pageBreakBefore w:val="0"/>
              <w:widowControl w:val="0"/>
              <w:kinsoku/>
              <w:wordWrap/>
              <w:overflowPunct/>
              <w:topLinePunct w:val="0"/>
              <w:bidi w:val="0"/>
              <w:adjustRightInd/>
              <w:snapToGrid/>
              <w:spacing w:line="480" w:lineRule="atLeast"/>
              <w:ind w:firstLine="482"/>
              <w:textAlignment w:val="auto"/>
              <w:rPr>
                <w:rFonts w:hint="default"/>
                <w:color w:val="auto"/>
                <w:sz w:val="24"/>
                <w:highlight w:val="none"/>
                <w:lang w:val="en-US" w:eastAsia="zh-CN"/>
              </w:rPr>
            </w:pPr>
            <w:r>
              <w:rPr>
                <w:rFonts w:hint="default"/>
                <w:color w:val="auto"/>
                <w:sz w:val="24"/>
                <w:highlight w:val="none"/>
                <w:lang w:val="en-US" w:eastAsia="zh-CN"/>
              </w:rPr>
              <w:t>U肋及I型肋整体长度为6m，按照不同顶板单元节段长度进行切割。在切割U肋时需要在切割线两边设置零时工艺定位板，切割完后将端口进行打磨处理，确保U肋端口的尺寸。</w:t>
            </w:r>
          </w:p>
          <w:p>
            <w:pPr>
              <w:pStyle w:val="5"/>
              <w:keepNext w:val="0"/>
              <w:keepLines w:val="0"/>
              <w:pageBreakBefore w:val="0"/>
              <w:widowControl w:val="0"/>
              <w:kinsoku/>
              <w:wordWrap/>
              <w:overflowPunct/>
              <w:topLinePunct w:val="0"/>
              <w:bidi w:val="0"/>
              <w:adjustRightInd/>
              <w:snapToGrid/>
              <w:spacing w:line="480" w:lineRule="atLeast"/>
              <w:ind w:firstLine="482"/>
              <w:textAlignment w:val="auto"/>
              <w:rPr>
                <w:rFonts w:hint="default"/>
                <w:color w:val="auto"/>
                <w:sz w:val="24"/>
                <w:highlight w:val="none"/>
                <w:lang w:val="en-US" w:eastAsia="zh-CN"/>
              </w:rPr>
            </w:pPr>
            <w:r>
              <w:rPr>
                <w:rFonts w:hint="default"/>
                <w:color w:val="auto"/>
                <w:sz w:val="24"/>
                <w:highlight w:val="none"/>
                <w:lang w:val="en-US" w:eastAsia="zh-CN"/>
              </w:rPr>
              <w:t>顶底板单元制作先将底板零件对接成整板单元再进行划U肋（底板则为I型肋）定位线，再将U肋（底板则为I型肋）在顶底板上定位并进行焊接，U肋（底板则为I型肋）在顶底板单元件两端预留200mm不焊接，便于工地U（I型肋）肋嵌补段的安装及焊接。</w:t>
            </w:r>
          </w:p>
          <w:p>
            <w:pPr>
              <w:pStyle w:val="5"/>
              <w:keepNext w:val="0"/>
              <w:keepLines w:val="0"/>
              <w:pageBreakBefore w:val="0"/>
              <w:widowControl w:val="0"/>
              <w:kinsoku/>
              <w:wordWrap/>
              <w:overflowPunct/>
              <w:topLinePunct w:val="0"/>
              <w:bidi w:val="0"/>
              <w:adjustRightInd/>
              <w:snapToGrid/>
              <w:spacing w:line="480" w:lineRule="atLeast"/>
              <w:ind w:firstLine="482"/>
              <w:textAlignment w:val="auto"/>
              <w:rPr>
                <w:rFonts w:hint="default"/>
                <w:color w:val="auto"/>
                <w:sz w:val="24"/>
                <w:highlight w:val="none"/>
                <w:lang w:val="en-US" w:eastAsia="zh-CN"/>
              </w:rPr>
            </w:pPr>
            <w:r>
              <w:rPr>
                <w:rFonts w:hint="default"/>
                <w:color w:val="auto"/>
                <w:sz w:val="24"/>
                <w:highlight w:val="none"/>
                <w:lang w:val="en-US" w:eastAsia="zh-CN"/>
              </w:rPr>
              <w:t>顶底板零件下料时板宽方向预留5mm，板长方向预留10mm。顶底板单元件制作完后整体连续拼装时切割到图纸理论尺寸。</w:t>
            </w:r>
          </w:p>
          <w:p>
            <w:pPr>
              <w:pStyle w:val="5"/>
              <w:keepNext w:val="0"/>
              <w:keepLines w:val="0"/>
              <w:pageBreakBefore w:val="0"/>
              <w:widowControl w:val="0"/>
              <w:kinsoku/>
              <w:wordWrap/>
              <w:overflowPunct/>
              <w:topLinePunct w:val="0"/>
              <w:bidi w:val="0"/>
              <w:adjustRightInd/>
              <w:snapToGrid/>
              <w:spacing w:line="480" w:lineRule="atLeast"/>
              <w:ind w:firstLine="482"/>
              <w:textAlignment w:val="auto"/>
              <w:rPr>
                <w:rFonts w:hint="default"/>
                <w:color w:val="auto"/>
                <w:sz w:val="24"/>
                <w:highlight w:val="none"/>
                <w:lang w:val="en-US" w:eastAsia="zh-CN"/>
              </w:rPr>
            </w:pPr>
            <w:r>
              <w:rPr>
                <w:rFonts w:hint="default"/>
                <w:color w:val="auto"/>
                <w:sz w:val="24"/>
                <w:highlight w:val="none"/>
                <w:lang w:val="en-US" w:eastAsia="zh-CN"/>
              </w:rPr>
              <w:t>2）横隔板制造工艺</w:t>
            </w:r>
          </w:p>
          <w:p>
            <w:pPr>
              <w:pStyle w:val="5"/>
              <w:keepNext w:val="0"/>
              <w:keepLines w:val="0"/>
              <w:pageBreakBefore w:val="0"/>
              <w:widowControl w:val="0"/>
              <w:kinsoku/>
              <w:wordWrap/>
              <w:overflowPunct/>
              <w:topLinePunct w:val="0"/>
              <w:bidi w:val="0"/>
              <w:adjustRightInd/>
              <w:snapToGrid/>
              <w:spacing w:line="480" w:lineRule="atLeast"/>
              <w:ind w:firstLine="482"/>
              <w:textAlignment w:val="auto"/>
              <w:rPr>
                <w:rFonts w:hint="default"/>
                <w:color w:val="auto"/>
                <w:sz w:val="24"/>
                <w:highlight w:val="none"/>
                <w:lang w:val="en-US" w:eastAsia="zh-CN"/>
              </w:rPr>
            </w:pPr>
            <w:r>
              <w:rPr>
                <w:rFonts w:hint="default"/>
                <w:color w:val="auto"/>
                <w:sz w:val="24"/>
                <w:highlight w:val="none"/>
                <w:lang w:val="en-US" w:eastAsia="zh-CN"/>
              </w:rPr>
              <w:t>横隔板采用数控精密下料。隔板上的人孔圈板及加劲板采用多头下料，并采用分两节下料以火焰按放样线进行弯曲。</w:t>
            </w:r>
          </w:p>
          <w:p>
            <w:pPr>
              <w:pStyle w:val="5"/>
              <w:keepNext w:val="0"/>
              <w:keepLines w:val="0"/>
              <w:pageBreakBefore w:val="0"/>
              <w:widowControl w:val="0"/>
              <w:kinsoku/>
              <w:wordWrap/>
              <w:overflowPunct/>
              <w:topLinePunct w:val="0"/>
              <w:bidi w:val="0"/>
              <w:adjustRightInd/>
              <w:snapToGrid/>
              <w:spacing w:line="480" w:lineRule="atLeast"/>
              <w:ind w:firstLine="482"/>
              <w:textAlignment w:val="auto"/>
              <w:rPr>
                <w:rFonts w:hint="default"/>
                <w:color w:val="auto"/>
                <w:sz w:val="24"/>
                <w:highlight w:val="none"/>
                <w:lang w:val="en-US" w:eastAsia="zh-CN"/>
              </w:rPr>
            </w:pPr>
            <w:r>
              <w:rPr>
                <w:rFonts w:hint="default"/>
                <w:color w:val="auto"/>
                <w:sz w:val="24"/>
                <w:highlight w:val="none"/>
                <w:lang w:val="en-US" w:eastAsia="zh-CN"/>
              </w:rPr>
              <w:t>在横隔板上划出加劲板的定位线，完成组焊并矫正合格。焊接时两侧对称施焊。</w:t>
            </w:r>
          </w:p>
          <w:p>
            <w:pPr>
              <w:pStyle w:val="5"/>
              <w:keepNext w:val="0"/>
              <w:keepLines w:val="0"/>
              <w:pageBreakBefore w:val="0"/>
              <w:widowControl w:val="0"/>
              <w:kinsoku/>
              <w:wordWrap/>
              <w:overflowPunct/>
              <w:topLinePunct w:val="0"/>
              <w:bidi w:val="0"/>
              <w:adjustRightInd/>
              <w:snapToGrid/>
              <w:spacing w:line="480" w:lineRule="atLeast"/>
              <w:ind w:firstLine="482"/>
              <w:textAlignment w:val="auto"/>
              <w:rPr>
                <w:rFonts w:hint="default"/>
                <w:color w:val="auto"/>
                <w:sz w:val="24"/>
                <w:highlight w:val="none"/>
                <w:lang w:val="en-US" w:eastAsia="zh-CN"/>
              </w:rPr>
            </w:pPr>
            <w:r>
              <w:rPr>
                <w:rFonts w:hint="default"/>
                <w:color w:val="auto"/>
                <w:sz w:val="24"/>
                <w:highlight w:val="none"/>
                <w:lang w:val="en-US" w:eastAsia="zh-CN"/>
              </w:rPr>
              <w:t>3）腹板制造工艺</w:t>
            </w:r>
          </w:p>
          <w:p>
            <w:pPr>
              <w:pStyle w:val="5"/>
              <w:keepNext w:val="0"/>
              <w:keepLines w:val="0"/>
              <w:pageBreakBefore w:val="0"/>
              <w:widowControl w:val="0"/>
              <w:kinsoku/>
              <w:wordWrap/>
              <w:overflowPunct/>
              <w:topLinePunct w:val="0"/>
              <w:bidi w:val="0"/>
              <w:adjustRightInd/>
              <w:snapToGrid/>
              <w:spacing w:line="480" w:lineRule="atLeast"/>
              <w:ind w:firstLine="482"/>
              <w:textAlignment w:val="auto"/>
              <w:rPr>
                <w:rFonts w:hint="default"/>
                <w:color w:val="auto"/>
                <w:sz w:val="24"/>
                <w:highlight w:val="none"/>
                <w:lang w:val="en-US" w:eastAsia="zh-CN"/>
              </w:rPr>
            </w:pPr>
            <w:r>
              <w:rPr>
                <w:rFonts w:hint="default"/>
                <w:color w:val="auto"/>
                <w:sz w:val="24"/>
                <w:highlight w:val="none"/>
                <w:lang w:val="en-US" w:eastAsia="zh-CN"/>
              </w:rPr>
              <w:t>在腹板上划出竖向加劲板的定位线，完成组焊并矫正合格。考虑到安装困难，先将腹板水平加劲肋定位到隔板孔内，再将腹板定位并与底板焊接，最后将水平加劲肋定位到腹板上进行对称焊接。</w:t>
            </w:r>
          </w:p>
          <w:p>
            <w:pPr>
              <w:pStyle w:val="5"/>
              <w:keepNext w:val="0"/>
              <w:keepLines w:val="0"/>
              <w:pageBreakBefore w:val="0"/>
              <w:widowControl w:val="0"/>
              <w:kinsoku/>
              <w:wordWrap/>
              <w:overflowPunct/>
              <w:topLinePunct w:val="0"/>
              <w:bidi w:val="0"/>
              <w:adjustRightInd/>
              <w:snapToGrid/>
              <w:spacing w:line="480" w:lineRule="atLeast"/>
              <w:ind w:firstLine="482"/>
              <w:textAlignment w:val="auto"/>
              <w:rPr>
                <w:rFonts w:hint="default"/>
                <w:color w:val="auto"/>
                <w:sz w:val="24"/>
                <w:highlight w:val="none"/>
                <w:lang w:val="en-US" w:eastAsia="zh-CN"/>
              </w:rPr>
            </w:pPr>
            <w:r>
              <w:rPr>
                <w:rFonts w:hint="default"/>
                <w:color w:val="auto"/>
                <w:sz w:val="24"/>
                <w:highlight w:val="none"/>
                <w:lang w:val="en-US" w:eastAsia="zh-CN"/>
              </w:rPr>
              <w:t xml:space="preserve">腹板下料时，长度方向留30mm修割余量，宽度方向预留10mm收缩及修割余量。 </w:t>
            </w:r>
          </w:p>
          <w:p>
            <w:pPr>
              <w:pStyle w:val="5"/>
              <w:keepNext w:val="0"/>
              <w:keepLines w:val="0"/>
              <w:pageBreakBefore w:val="0"/>
              <w:widowControl w:val="0"/>
              <w:kinsoku/>
              <w:wordWrap/>
              <w:overflowPunct/>
              <w:topLinePunct w:val="0"/>
              <w:bidi w:val="0"/>
              <w:adjustRightInd/>
              <w:snapToGrid/>
              <w:spacing w:line="480" w:lineRule="atLeast"/>
              <w:ind w:firstLine="482"/>
              <w:textAlignment w:val="auto"/>
              <w:rPr>
                <w:rFonts w:hint="default"/>
                <w:color w:val="auto"/>
                <w:sz w:val="24"/>
                <w:highlight w:val="none"/>
                <w:lang w:val="en-US" w:eastAsia="zh-CN"/>
              </w:rPr>
            </w:pPr>
            <w:r>
              <w:rPr>
                <w:rFonts w:hint="default"/>
                <w:color w:val="auto"/>
                <w:sz w:val="24"/>
                <w:highlight w:val="none"/>
                <w:lang w:val="en-US" w:eastAsia="zh-CN"/>
              </w:rPr>
              <w:t>4）悬臂段制造</w:t>
            </w:r>
          </w:p>
          <w:p>
            <w:pPr>
              <w:pStyle w:val="5"/>
              <w:keepNext w:val="0"/>
              <w:keepLines w:val="0"/>
              <w:pageBreakBefore w:val="0"/>
              <w:widowControl w:val="0"/>
              <w:kinsoku/>
              <w:wordWrap/>
              <w:overflowPunct/>
              <w:topLinePunct w:val="0"/>
              <w:bidi w:val="0"/>
              <w:adjustRightInd/>
              <w:snapToGrid/>
              <w:spacing w:line="480" w:lineRule="atLeast"/>
              <w:ind w:firstLine="482"/>
              <w:textAlignment w:val="auto"/>
              <w:rPr>
                <w:rFonts w:hint="default"/>
                <w:color w:val="auto"/>
                <w:sz w:val="24"/>
                <w:highlight w:val="none"/>
                <w:lang w:val="en-US" w:eastAsia="zh-CN"/>
              </w:rPr>
            </w:pPr>
            <w:r>
              <w:rPr>
                <w:rFonts w:hint="default"/>
                <w:color w:val="auto"/>
                <w:sz w:val="24"/>
                <w:highlight w:val="none"/>
                <w:lang w:val="en-US" w:eastAsia="zh-CN"/>
              </w:rPr>
              <w:t>悬臂段部分包括挑臂顶板单元、挑臂底板单元、挑臂隔板单元、挑臂腹板单元、装饰板单元。</w:t>
            </w:r>
          </w:p>
          <w:p>
            <w:pPr>
              <w:pStyle w:val="5"/>
              <w:keepNext w:val="0"/>
              <w:keepLines w:val="0"/>
              <w:pageBreakBefore w:val="0"/>
              <w:widowControl w:val="0"/>
              <w:kinsoku/>
              <w:wordWrap/>
              <w:overflowPunct/>
              <w:topLinePunct w:val="0"/>
              <w:bidi w:val="0"/>
              <w:adjustRightInd/>
              <w:snapToGrid/>
              <w:spacing w:line="480" w:lineRule="atLeast"/>
              <w:ind w:firstLine="482"/>
              <w:textAlignment w:val="auto"/>
              <w:rPr>
                <w:rFonts w:hint="default"/>
                <w:color w:val="auto"/>
                <w:sz w:val="24"/>
                <w:highlight w:val="none"/>
                <w:lang w:val="en-US" w:eastAsia="zh-CN"/>
              </w:rPr>
            </w:pPr>
            <w:r>
              <w:rPr>
                <w:rFonts w:hint="default"/>
                <w:color w:val="auto"/>
                <w:sz w:val="24"/>
                <w:highlight w:val="none"/>
                <w:lang w:val="en-US" w:eastAsia="zh-CN"/>
              </w:rPr>
              <w:t>挑臂顶板单元制造同顶、底板制造。</w:t>
            </w:r>
          </w:p>
          <w:p>
            <w:pPr>
              <w:pStyle w:val="5"/>
              <w:keepNext w:val="0"/>
              <w:keepLines w:val="0"/>
              <w:pageBreakBefore w:val="0"/>
              <w:widowControl w:val="0"/>
              <w:kinsoku/>
              <w:wordWrap/>
              <w:overflowPunct/>
              <w:topLinePunct w:val="0"/>
              <w:bidi w:val="0"/>
              <w:adjustRightInd/>
              <w:snapToGrid/>
              <w:spacing w:line="480" w:lineRule="atLeast"/>
              <w:ind w:firstLine="482"/>
              <w:textAlignment w:val="auto"/>
              <w:rPr>
                <w:rFonts w:hint="default"/>
                <w:color w:val="auto"/>
                <w:sz w:val="24"/>
                <w:highlight w:val="none"/>
                <w:lang w:val="en-US" w:eastAsia="zh-CN"/>
              </w:rPr>
            </w:pPr>
            <w:r>
              <w:rPr>
                <w:rFonts w:hint="default"/>
                <w:color w:val="auto"/>
                <w:sz w:val="24"/>
                <w:highlight w:val="none"/>
                <w:lang w:val="en-US" w:eastAsia="zh-CN"/>
              </w:rPr>
              <w:t>挑臂隔板采用数控精密下料。在挑臂底板上划出挑臂隔板的定位线，组焊成倒T字并矫正合格。焊接时两侧对称施焊。</w:t>
            </w:r>
          </w:p>
          <w:p>
            <w:pPr>
              <w:pStyle w:val="5"/>
              <w:keepNext w:val="0"/>
              <w:keepLines w:val="0"/>
              <w:pageBreakBefore w:val="0"/>
              <w:widowControl w:val="0"/>
              <w:kinsoku/>
              <w:wordWrap/>
              <w:overflowPunct/>
              <w:topLinePunct w:val="0"/>
              <w:bidi w:val="0"/>
              <w:adjustRightInd/>
              <w:snapToGrid/>
              <w:spacing w:line="480" w:lineRule="atLeast"/>
              <w:ind w:firstLine="482"/>
              <w:textAlignment w:val="auto"/>
              <w:rPr>
                <w:rFonts w:hint="default"/>
                <w:color w:val="auto"/>
                <w:sz w:val="24"/>
                <w:highlight w:val="none"/>
                <w:lang w:val="en-US" w:eastAsia="zh-CN"/>
              </w:rPr>
            </w:pPr>
            <w:r>
              <w:rPr>
                <w:rFonts w:hint="default"/>
                <w:color w:val="auto"/>
                <w:sz w:val="24"/>
                <w:highlight w:val="none"/>
                <w:lang w:val="en-US" w:eastAsia="zh-CN"/>
              </w:rPr>
              <w:t>悬臂段组装顺序：首先组装挑臂顶板单元，然后依次组装与挑臂底板组焊完成的挑臂隔板单元、挑臂腹板单元、装饰板单元。其中，装饰板单元分为装饰板1和装饰板2两部分，装饰板1与悬臂段各单元组装为整体，装饰板2暂不装，待悬臂段与钢箱梁主体工地焊接完毕后再装。</w:t>
            </w:r>
          </w:p>
          <w:p>
            <w:pPr>
              <w:pStyle w:val="5"/>
              <w:keepNext w:val="0"/>
              <w:keepLines w:val="0"/>
              <w:pageBreakBefore w:val="0"/>
              <w:widowControl w:val="0"/>
              <w:kinsoku/>
              <w:wordWrap/>
              <w:overflowPunct/>
              <w:topLinePunct w:val="0"/>
              <w:bidi w:val="0"/>
              <w:adjustRightInd/>
              <w:snapToGrid/>
              <w:spacing w:line="480" w:lineRule="atLeast"/>
              <w:ind w:firstLine="482"/>
              <w:textAlignment w:val="auto"/>
              <w:rPr>
                <w:rFonts w:hint="default"/>
                <w:color w:val="auto"/>
                <w:sz w:val="24"/>
                <w:highlight w:val="none"/>
                <w:lang w:val="en-US" w:eastAsia="zh-CN"/>
              </w:rPr>
            </w:pPr>
            <w:r>
              <w:rPr>
                <w:rFonts w:hint="default"/>
                <w:color w:val="auto"/>
                <w:sz w:val="24"/>
                <w:highlight w:val="none"/>
                <w:lang w:val="en-US" w:eastAsia="zh-CN"/>
              </w:rPr>
              <w:t>5）嵌补段制造</w:t>
            </w:r>
          </w:p>
          <w:p>
            <w:pPr>
              <w:pStyle w:val="5"/>
              <w:keepNext w:val="0"/>
              <w:keepLines w:val="0"/>
              <w:pageBreakBefore w:val="0"/>
              <w:widowControl w:val="0"/>
              <w:kinsoku/>
              <w:wordWrap/>
              <w:overflowPunct/>
              <w:topLinePunct w:val="0"/>
              <w:bidi w:val="0"/>
              <w:adjustRightInd/>
              <w:snapToGrid/>
              <w:spacing w:line="480" w:lineRule="atLeast"/>
              <w:ind w:firstLine="482"/>
              <w:textAlignment w:val="auto"/>
              <w:rPr>
                <w:rFonts w:hint="default"/>
                <w:color w:val="auto"/>
                <w:sz w:val="24"/>
                <w:highlight w:val="none"/>
                <w:lang w:val="en-US" w:eastAsia="zh-CN"/>
              </w:rPr>
            </w:pPr>
            <w:r>
              <w:rPr>
                <w:rFonts w:hint="default"/>
                <w:color w:val="auto"/>
                <w:sz w:val="24"/>
                <w:highlight w:val="none"/>
                <w:lang w:val="en-US" w:eastAsia="zh-CN"/>
              </w:rPr>
              <w:t>钢箱梁嵌补段分顶板U肋嵌补段、顶底板及腹板水平I型肋嵌补段。嵌补段单件长度为400mm，制造时长度方向留10mm余量，根据现场大拼的实际情况进行配切，并开坡口。嵌补段安装焊缝均为Ⅰ级全熔透焊缝。</w:t>
            </w:r>
          </w:p>
          <w:p>
            <w:pPr>
              <w:pStyle w:val="5"/>
              <w:keepNext w:val="0"/>
              <w:keepLines w:val="0"/>
              <w:pageBreakBefore w:val="0"/>
              <w:widowControl w:val="0"/>
              <w:kinsoku/>
              <w:wordWrap/>
              <w:overflowPunct/>
              <w:topLinePunct w:val="0"/>
              <w:bidi w:val="0"/>
              <w:adjustRightInd/>
              <w:snapToGrid/>
              <w:spacing w:line="480" w:lineRule="atLeast"/>
              <w:ind w:firstLine="482"/>
              <w:textAlignment w:val="auto"/>
              <w:rPr>
                <w:rFonts w:hint="default"/>
                <w:color w:val="auto"/>
                <w:sz w:val="24"/>
                <w:highlight w:val="none"/>
                <w:lang w:val="en-US" w:eastAsia="zh-CN"/>
              </w:rPr>
            </w:pPr>
            <w:r>
              <w:rPr>
                <w:rFonts w:hint="default"/>
                <w:color w:val="auto"/>
                <w:sz w:val="24"/>
                <w:highlight w:val="none"/>
              </w:rPr>
              <w:t>②</w:t>
            </w:r>
            <w:r>
              <w:rPr>
                <w:rFonts w:hint="default"/>
                <w:color w:val="auto"/>
                <w:sz w:val="24"/>
                <w:highlight w:val="none"/>
                <w:lang w:val="en-US" w:eastAsia="zh-CN"/>
              </w:rPr>
              <w:t>钢箱梁连续拼装</w:t>
            </w:r>
          </w:p>
          <w:p>
            <w:pPr>
              <w:pStyle w:val="5"/>
              <w:keepNext w:val="0"/>
              <w:keepLines w:val="0"/>
              <w:pageBreakBefore w:val="0"/>
              <w:widowControl w:val="0"/>
              <w:kinsoku/>
              <w:wordWrap/>
              <w:overflowPunct/>
              <w:topLinePunct w:val="0"/>
              <w:bidi w:val="0"/>
              <w:adjustRightInd/>
              <w:snapToGrid/>
              <w:spacing w:line="480" w:lineRule="atLeast"/>
              <w:ind w:firstLine="482"/>
              <w:textAlignment w:val="auto"/>
              <w:rPr>
                <w:rFonts w:hint="default"/>
                <w:color w:val="auto"/>
                <w:sz w:val="24"/>
                <w:highlight w:val="none"/>
                <w:lang w:val="en-US" w:eastAsia="zh-CN"/>
              </w:rPr>
            </w:pPr>
            <w:r>
              <w:rPr>
                <w:rFonts w:hint="default"/>
                <w:color w:val="auto"/>
                <w:sz w:val="24"/>
                <w:highlight w:val="none"/>
                <w:lang w:val="en-US" w:eastAsia="zh-CN"/>
              </w:rPr>
              <w:t>1）纵向拼装</w:t>
            </w:r>
          </w:p>
          <w:p>
            <w:pPr>
              <w:pStyle w:val="5"/>
              <w:keepNext w:val="0"/>
              <w:keepLines w:val="0"/>
              <w:pageBreakBefore w:val="0"/>
              <w:widowControl w:val="0"/>
              <w:kinsoku/>
              <w:wordWrap/>
              <w:overflowPunct/>
              <w:topLinePunct w:val="0"/>
              <w:bidi w:val="0"/>
              <w:adjustRightInd/>
              <w:snapToGrid/>
              <w:spacing w:line="480" w:lineRule="atLeast"/>
              <w:ind w:firstLine="482"/>
              <w:textAlignment w:val="auto"/>
              <w:rPr>
                <w:rFonts w:hint="default"/>
                <w:color w:val="auto"/>
                <w:sz w:val="24"/>
                <w:highlight w:val="none"/>
                <w:lang w:val="en-US" w:eastAsia="zh-CN"/>
              </w:rPr>
            </w:pPr>
            <w:r>
              <w:rPr>
                <w:rFonts w:hint="default"/>
                <w:color w:val="auto"/>
                <w:sz w:val="24"/>
                <w:highlight w:val="none"/>
                <w:lang w:val="en-US" w:eastAsia="zh-CN"/>
              </w:rPr>
              <w:t>钢箱梁纵向分12个大节段，依次从第一节段底板单元上胎架顺桥向分组连续匹配拼装。</w:t>
            </w:r>
          </w:p>
          <w:p>
            <w:pPr>
              <w:pStyle w:val="5"/>
              <w:keepNext w:val="0"/>
              <w:keepLines w:val="0"/>
              <w:pageBreakBefore w:val="0"/>
              <w:widowControl w:val="0"/>
              <w:kinsoku/>
              <w:wordWrap/>
              <w:overflowPunct/>
              <w:topLinePunct w:val="0"/>
              <w:bidi w:val="0"/>
              <w:adjustRightInd/>
              <w:snapToGrid/>
              <w:spacing w:line="480" w:lineRule="atLeast"/>
              <w:ind w:firstLine="482"/>
              <w:textAlignment w:val="auto"/>
              <w:rPr>
                <w:rFonts w:hint="default"/>
                <w:color w:val="auto"/>
                <w:sz w:val="24"/>
                <w:highlight w:val="none"/>
                <w:lang w:val="en-US" w:eastAsia="zh-CN"/>
              </w:rPr>
            </w:pPr>
            <w:r>
              <w:rPr>
                <w:rFonts w:hint="default"/>
                <w:color w:val="auto"/>
                <w:sz w:val="24"/>
                <w:highlight w:val="none"/>
                <w:lang w:val="en-US" w:eastAsia="zh-CN"/>
              </w:rPr>
              <w:t>2）横向拼装</w:t>
            </w:r>
          </w:p>
          <w:p>
            <w:pPr>
              <w:pStyle w:val="5"/>
              <w:keepNext w:val="0"/>
              <w:keepLines w:val="0"/>
              <w:pageBreakBefore w:val="0"/>
              <w:widowControl w:val="0"/>
              <w:kinsoku/>
              <w:wordWrap/>
              <w:overflowPunct/>
              <w:topLinePunct w:val="0"/>
              <w:bidi w:val="0"/>
              <w:adjustRightInd/>
              <w:snapToGrid/>
              <w:spacing w:line="480" w:lineRule="atLeast"/>
              <w:ind w:firstLine="482"/>
              <w:textAlignment w:val="auto"/>
              <w:rPr>
                <w:rFonts w:hint="default"/>
                <w:color w:val="auto"/>
                <w:sz w:val="24"/>
                <w:highlight w:val="none"/>
                <w:lang w:val="en-US" w:eastAsia="zh-CN"/>
              </w:rPr>
            </w:pPr>
            <w:r>
              <w:rPr>
                <w:rFonts w:hint="default"/>
                <w:color w:val="auto"/>
                <w:sz w:val="24"/>
                <w:highlight w:val="none"/>
                <w:lang w:val="en-US" w:eastAsia="zh-CN"/>
              </w:rPr>
              <w:t>钢箱梁横向采用正装法。首先组装底板单元，然后依次组装横隔板单元、腹板I型肋、腹板、顶板单元，最后安装组装成整体的悬臂段。在设好拱度的拼装胎架上将各个单元件组拼焊接成钢箱梁主体部分，组焊完成后矫正，并在台架上焊接。</w:t>
            </w:r>
          </w:p>
          <w:p>
            <w:pPr>
              <w:pStyle w:val="5"/>
              <w:keepNext w:val="0"/>
              <w:keepLines w:val="0"/>
              <w:pageBreakBefore w:val="0"/>
              <w:widowControl w:val="0"/>
              <w:kinsoku/>
              <w:wordWrap/>
              <w:overflowPunct/>
              <w:topLinePunct w:val="0"/>
              <w:bidi w:val="0"/>
              <w:adjustRightInd/>
              <w:snapToGrid/>
              <w:spacing w:line="480" w:lineRule="atLeast"/>
              <w:ind w:firstLine="482"/>
              <w:textAlignment w:val="auto"/>
              <w:rPr>
                <w:rFonts w:hint="default"/>
                <w:color w:val="auto"/>
                <w:sz w:val="24"/>
                <w:highlight w:val="none"/>
                <w:lang w:val="en-US" w:eastAsia="zh-CN"/>
              </w:rPr>
            </w:pPr>
            <w:r>
              <w:rPr>
                <w:rFonts w:hint="default"/>
                <w:color w:val="auto"/>
                <w:sz w:val="24"/>
                <w:highlight w:val="none"/>
                <w:lang w:val="en-US" w:eastAsia="zh-CN"/>
              </w:rPr>
              <w:t>每组钢箱梁拼装完毕，各项指标检查合格后方可拆装发运到工地。工地焊缝区域使用手工除锈或工具除锈的方式进行此处焊接前的清洁处理。</w:t>
            </w:r>
          </w:p>
          <w:p>
            <w:pPr>
              <w:pStyle w:val="5"/>
              <w:keepNext w:val="0"/>
              <w:keepLines w:val="0"/>
              <w:pageBreakBefore w:val="0"/>
              <w:widowControl w:val="0"/>
              <w:kinsoku/>
              <w:wordWrap/>
              <w:overflowPunct/>
              <w:topLinePunct w:val="0"/>
              <w:bidi w:val="0"/>
              <w:adjustRightInd/>
              <w:snapToGrid/>
              <w:spacing w:line="480" w:lineRule="atLeast"/>
              <w:ind w:firstLine="482"/>
              <w:textAlignment w:val="auto"/>
              <w:rPr>
                <w:rFonts w:hint="default"/>
                <w:color w:val="auto"/>
                <w:sz w:val="24"/>
                <w:highlight w:val="none"/>
                <w:lang w:eastAsia="zh-CN"/>
              </w:rPr>
            </w:pPr>
            <w:r>
              <w:rPr>
                <w:rFonts w:hint="default"/>
                <w:color w:val="auto"/>
                <w:sz w:val="24"/>
                <w:highlight w:val="none"/>
              </w:rPr>
              <w:t>③</w:t>
            </w:r>
            <w:r>
              <w:rPr>
                <w:rFonts w:hint="default"/>
                <w:color w:val="auto"/>
                <w:sz w:val="24"/>
                <w:highlight w:val="none"/>
                <w:lang w:val="en-US" w:eastAsia="zh-CN"/>
              </w:rPr>
              <w:t>质量检测</w:t>
            </w:r>
          </w:p>
          <w:p>
            <w:pPr>
              <w:pStyle w:val="5"/>
              <w:keepNext w:val="0"/>
              <w:keepLines w:val="0"/>
              <w:pageBreakBefore w:val="0"/>
              <w:widowControl w:val="0"/>
              <w:kinsoku/>
              <w:wordWrap/>
              <w:overflowPunct/>
              <w:topLinePunct w:val="0"/>
              <w:bidi w:val="0"/>
              <w:adjustRightInd/>
              <w:snapToGrid/>
              <w:spacing w:line="480" w:lineRule="atLeast"/>
              <w:ind w:firstLine="482"/>
              <w:textAlignment w:val="auto"/>
              <w:rPr>
                <w:rFonts w:hint="default"/>
                <w:color w:val="auto"/>
                <w:sz w:val="24"/>
                <w:highlight w:val="none"/>
              </w:rPr>
            </w:pPr>
            <w:r>
              <w:rPr>
                <w:rFonts w:hint="default"/>
                <w:color w:val="auto"/>
                <w:sz w:val="24"/>
                <w:highlight w:val="none"/>
              </w:rPr>
              <w:t>④运输及现场安装方案</w:t>
            </w:r>
          </w:p>
          <w:p>
            <w:pPr>
              <w:pStyle w:val="5"/>
              <w:keepNext w:val="0"/>
              <w:keepLines w:val="0"/>
              <w:pageBreakBefore w:val="0"/>
              <w:widowControl w:val="0"/>
              <w:kinsoku/>
              <w:wordWrap/>
              <w:overflowPunct/>
              <w:topLinePunct w:val="0"/>
              <w:bidi w:val="0"/>
              <w:adjustRightInd/>
              <w:snapToGrid/>
              <w:spacing w:line="480" w:lineRule="atLeast"/>
              <w:ind w:firstLine="482"/>
              <w:textAlignment w:val="auto"/>
              <w:rPr>
                <w:rFonts w:hint="default"/>
                <w:color w:val="auto"/>
                <w:sz w:val="24"/>
                <w:highlight w:val="none"/>
              </w:rPr>
            </w:pPr>
            <w:r>
              <w:rPr>
                <w:rFonts w:hint="default"/>
                <w:color w:val="auto"/>
                <w:sz w:val="24"/>
                <w:highlight w:val="none"/>
                <w:lang w:val="en-US" w:eastAsia="zh-CN"/>
              </w:rPr>
              <w:t>1）</w:t>
            </w:r>
            <w:r>
              <w:rPr>
                <w:rFonts w:hint="default"/>
                <w:color w:val="auto"/>
                <w:sz w:val="24"/>
                <w:highlight w:val="none"/>
              </w:rPr>
              <w:t>箱形梁发运时，对工地二次焊接部位用塑料或其他柔软物单独进行防护包装，装车时杆件与车间用木料隔开，防止杆件表面损坏； 该种包装发运形式主要用于大件；打捆发运的杆件多种杆件打捆由设计人员设计包装图，相同或类似的杆件用铁丝捆扎在一起，形成一个发运起吊单元，中小形板件。</w:t>
            </w:r>
          </w:p>
          <w:p>
            <w:pPr>
              <w:pStyle w:val="5"/>
              <w:keepNext w:val="0"/>
              <w:keepLines w:val="0"/>
              <w:pageBreakBefore w:val="0"/>
              <w:widowControl w:val="0"/>
              <w:kinsoku/>
              <w:wordWrap/>
              <w:overflowPunct/>
              <w:topLinePunct w:val="0"/>
              <w:bidi w:val="0"/>
              <w:adjustRightInd/>
              <w:snapToGrid/>
              <w:spacing w:line="480" w:lineRule="atLeast"/>
              <w:ind w:firstLine="482"/>
              <w:textAlignment w:val="auto"/>
              <w:rPr>
                <w:color w:val="auto"/>
                <w:sz w:val="24"/>
                <w:highlight w:val="none"/>
              </w:rPr>
            </w:pPr>
            <w:r>
              <w:rPr>
                <w:rFonts w:hint="default"/>
                <w:color w:val="auto"/>
                <w:sz w:val="24"/>
                <w:highlight w:val="none"/>
                <w:lang w:val="en-US" w:eastAsia="zh-CN"/>
              </w:rPr>
              <w:t>2）临时支墩制作→安装临时支墩→钢箱梁定位线放样→钢箱梁运到桥位→吊装钢箱梁→钢箱梁定位→拆出临时支墩。</w:t>
            </w:r>
          </w:p>
          <w:p>
            <w:pPr>
              <w:pStyle w:val="5"/>
              <w:keepNext w:val="0"/>
              <w:keepLines w:val="0"/>
              <w:pageBreakBefore w:val="0"/>
              <w:widowControl w:val="0"/>
              <w:kinsoku/>
              <w:wordWrap/>
              <w:overflowPunct/>
              <w:topLinePunct w:val="0"/>
              <w:bidi w:val="0"/>
              <w:adjustRightInd/>
              <w:snapToGrid/>
              <w:spacing w:line="480" w:lineRule="atLeast"/>
              <w:ind w:firstLine="482"/>
              <w:textAlignment w:val="auto"/>
              <w:rPr>
                <w:b/>
                <w:bCs/>
                <w:color w:val="auto"/>
                <w:sz w:val="24"/>
                <w:highlight w:val="none"/>
              </w:rPr>
            </w:pPr>
            <w:r>
              <w:rPr>
                <w:rFonts w:hint="eastAsia"/>
                <w:b/>
                <w:bCs/>
                <w:color w:val="auto"/>
                <w:sz w:val="24"/>
                <w:highlight w:val="none"/>
                <w:lang w:val="en-US" w:eastAsia="zh-CN"/>
              </w:rPr>
              <w:t>5</w:t>
            </w:r>
            <w:r>
              <w:rPr>
                <w:b/>
                <w:bCs/>
                <w:color w:val="auto"/>
                <w:sz w:val="24"/>
                <w:highlight w:val="none"/>
              </w:rPr>
              <w:t>、沿线设施</w:t>
            </w:r>
          </w:p>
          <w:p>
            <w:pPr>
              <w:pStyle w:val="5"/>
              <w:keepNext w:val="0"/>
              <w:keepLines w:val="0"/>
              <w:pageBreakBefore w:val="0"/>
              <w:widowControl w:val="0"/>
              <w:kinsoku/>
              <w:wordWrap/>
              <w:overflowPunct/>
              <w:topLinePunct w:val="0"/>
              <w:bidi w:val="0"/>
              <w:adjustRightInd/>
              <w:snapToGrid/>
              <w:spacing w:line="480" w:lineRule="atLeast"/>
              <w:ind w:firstLine="482"/>
              <w:textAlignment w:val="auto"/>
              <w:rPr>
                <w:color w:val="auto"/>
                <w:sz w:val="24"/>
                <w:highlight w:val="none"/>
              </w:rPr>
            </w:pPr>
            <w:r>
              <w:rPr>
                <w:color w:val="auto"/>
                <w:sz w:val="24"/>
                <w:highlight w:val="none"/>
              </w:rPr>
              <w:t>沿线设施包括护栏、标志、标线、里程碑、百米桩等工程，属于收尾工程。</w:t>
            </w:r>
          </w:p>
          <w:p>
            <w:pPr>
              <w:pStyle w:val="5"/>
              <w:keepNext w:val="0"/>
              <w:keepLines w:val="0"/>
              <w:pageBreakBefore w:val="0"/>
              <w:widowControl w:val="0"/>
              <w:kinsoku/>
              <w:wordWrap/>
              <w:overflowPunct/>
              <w:topLinePunct w:val="0"/>
              <w:bidi w:val="0"/>
              <w:adjustRightInd/>
              <w:snapToGrid/>
              <w:spacing w:line="480" w:lineRule="atLeast"/>
              <w:ind w:firstLine="482"/>
              <w:textAlignment w:val="auto"/>
              <w:rPr>
                <w:b/>
                <w:bCs/>
                <w:color w:val="auto"/>
                <w:sz w:val="24"/>
                <w:highlight w:val="none"/>
              </w:rPr>
            </w:pPr>
            <w:r>
              <w:rPr>
                <w:rFonts w:hint="eastAsia"/>
                <w:b/>
                <w:bCs/>
                <w:color w:val="auto"/>
                <w:sz w:val="24"/>
                <w:highlight w:val="none"/>
                <w:lang w:val="en-US" w:eastAsia="zh-CN"/>
              </w:rPr>
              <w:t>6</w:t>
            </w:r>
            <w:r>
              <w:rPr>
                <w:b/>
                <w:bCs/>
                <w:color w:val="auto"/>
                <w:sz w:val="24"/>
                <w:highlight w:val="none"/>
              </w:rPr>
              <w:t>、材料供应和运输</w:t>
            </w:r>
          </w:p>
          <w:p>
            <w:pPr>
              <w:pStyle w:val="5"/>
              <w:keepNext w:val="0"/>
              <w:keepLines w:val="0"/>
              <w:pageBreakBefore w:val="0"/>
              <w:widowControl w:val="0"/>
              <w:kinsoku/>
              <w:wordWrap/>
              <w:overflowPunct/>
              <w:topLinePunct w:val="0"/>
              <w:bidi w:val="0"/>
              <w:adjustRightInd/>
              <w:snapToGrid/>
              <w:spacing w:line="480" w:lineRule="atLeast"/>
              <w:ind w:firstLine="482"/>
              <w:textAlignment w:val="auto"/>
              <w:rPr>
                <w:color w:val="auto"/>
                <w:sz w:val="24"/>
                <w:highlight w:val="none"/>
              </w:rPr>
            </w:pPr>
            <w:r>
              <w:rPr>
                <w:color w:val="auto"/>
                <w:sz w:val="24"/>
                <w:highlight w:val="none"/>
              </w:rPr>
              <w:t>对于钢材、木料、水泥、沥青等主要外购材料和地方材料，根据设计要求和施工组织计划，应保证质量、准确及时、供应及时、供应到位、应由业主或承包商和供应商签订供应合同。</w:t>
            </w:r>
          </w:p>
          <w:p>
            <w:pPr>
              <w:pStyle w:val="5"/>
              <w:keepNext w:val="0"/>
              <w:keepLines w:val="0"/>
              <w:pageBreakBefore w:val="0"/>
              <w:widowControl w:val="0"/>
              <w:kinsoku/>
              <w:wordWrap/>
              <w:overflowPunct/>
              <w:topLinePunct w:val="0"/>
              <w:bidi w:val="0"/>
              <w:adjustRightInd/>
              <w:snapToGrid/>
              <w:spacing w:line="480" w:lineRule="atLeast"/>
              <w:ind w:left="0" w:leftChars="0" w:firstLine="480" w:firstLineChars="200"/>
              <w:textAlignment w:val="auto"/>
              <w:rPr>
                <w:color w:val="auto"/>
                <w:sz w:val="24"/>
                <w:highlight w:val="none"/>
              </w:rPr>
            </w:pPr>
            <w:r>
              <w:rPr>
                <w:color w:val="auto"/>
                <w:sz w:val="24"/>
                <w:highlight w:val="none"/>
              </w:rPr>
              <w:t>对于外购材料一般可采用汽车运输，施工单位对各种材料的规格、用量、供货时间和临时堆放场地等应拟出</w:t>
            </w:r>
            <w:r>
              <w:rPr>
                <w:rFonts w:hint="eastAsia"/>
                <w:color w:val="auto"/>
                <w:sz w:val="24"/>
                <w:highlight w:val="none"/>
                <w:lang w:eastAsia="zh-CN"/>
              </w:rPr>
              <w:t>合理地安排</w:t>
            </w:r>
            <w:r>
              <w:rPr>
                <w:color w:val="auto"/>
                <w:sz w:val="24"/>
                <w:highlight w:val="none"/>
              </w:rPr>
              <w:t>计划。</w:t>
            </w:r>
          </w:p>
          <w:p>
            <w:pPr>
              <w:pStyle w:val="5"/>
              <w:keepNext w:val="0"/>
              <w:keepLines w:val="0"/>
              <w:pageBreakBefore w:val="0"/>
              <w:widowControl w:val="0"/>
              <w:kinsoku/>
              <w:wordWrap/>
              <w:overflowPunct/>
              <w:topLinePunct w:val="0"/>
              <w:autoSpaceDE/>
              <w:autoSpaceDN/>
              <w:bidi w:val="0"/>
              <w:adjustRightInd/>
              <w:snapToGrid/>
              <w:spacing w:line="480" w:lineRule="atLeast"/>
              <w:ind w:firstLine="482"/>
              <w:textAlignment w:val="auto"/>
              <w:rPr>
                <w:b/>
                <w:bCs/>
                <w:color w:val="auto"/>
                <w:sz w:val="24"/>
                <w:highlight w:val="none"/>
              </w:rPr>
            </w:pPr>
            <w:r>
              <w:rPr>
                <w:rFonts w:hint="eastAsia"/>
                <w:b/>
                <w:bCs/>
                <w:color w:val="auto"/>
                <w:sz w:val="24"/>
                <w:highlight w:val="none"/>
                <w:lang w:val="en-US" w:eastAsia="zh-CN"/>
              </w:rPr>
              <w:t>7</w:t>
            </w:r>
            <w:r>
              <w:rPr>
                <w:b/>
                <w:bCs/>
                <w:color w:val="auto"/>
                <w:sz w:val="24"/>
                <w:highlight w:val="none"/>
              </w:rPr>
              <w:t>、临时工程</w:t>
            </w:r>
          </w:p>
          <w:p>
            <w:pPr>
              <w:pStyle w:val="5"/>
              <w:keepNext w:val="0"/>
              <w:keepLines w:val="0"/>
              <w:pageBreakBefore w:val="0"/>
              <w:widowControl w:val="0"/>
              <w:kinsoku/>
              <w:wordWrap/>
              <w:overflowPunct/>
              <w:topLinePunct w:val="0"/>
              <w:autoSpaceDE/>
              <w:autoSpaceDN/>
              <w:bidi w:val="0"/>
              <w:adjustRightInd/>
              <w:snapToGrid/>
              <w:spacing w:line="480" w:lineRule="atLeast"/>
              <w:ind w:firstLine="482"/>
              <w:textAlignment w:val="auto"/>
              <w:rPr>
                <w:color w:val="auto"/>
                <w:sz w:val="24"/>
                <w:highlight w:val="none"/>
              </w:rPr>
            </w:pPr>
            <w:r>
              <w:rPr>
                <w:color w:val="auto"/>
                <w:sz w:val="24"/>
                <w:highlight w:val="none"/>
              </w:rPr>
              <w:t>根据本项目的工程实际情况，全局性和局部性的主要临时工程包括以下几部分：</w:t>
            </w:r>
          </w:p>
          <w:p>
            <w:pPr>
              <w:pStyle w:val="5"/>
              <w:keepNext w:val="0"/>
              <w:keepLines w:val="0"/>
              <w:pageBreakBefore w:val="0"/>
              <w:widowControl w:val="0"/>
              <w:kinsoku/>
              <w:wordWrap/>
              <w:overflowPunct/>
              <w:topLinePunct w:val="0"/>
              <w:autoSpaceDE/>
              <w:autoSpaceDN/>
              <w:bidi w:val="0"/>
              <w:adjustRightInd/>
              <w:snapToGrid/>
              <w:spacing w:line="480" w:lineRule="atLeast"/>
              <w:ind w:firstLine="482"/>
              <w:textAlignment w:val="auto"/>
              <w:rPr>
                <w:color w:val="auto"/>
                <w:sz w:val="24"/>
                <w:highlight w:val="none"/>
              </w:rPr>
            </w:pPr>
            <w:r>
              <w:rPr>
                <w:color w:val="auto"/>
                <w:sz w:val="24"/>
                <w:highlight w:val="none"/>
              </w:rPr>
              <w:t>1）水：全线施工及生活用水应通过从</w:t>
            </w:r>
            <w:r>
              <w:rPr>
                <w:rFonts w:hint="eastAsia"/>
                <w:color w:val="auto"/>
                <w:sz w:val="24"/>
                <w:highlight w:val="none"/>
                <w:lang w:val="en-US" w:eastAsia="zh-CN"/>
              </w:rPr>
              <w:t>高新区</w:t>
            </w:r>
            <w:r>
              <w:rPr>
                <w:color w:val="auto"/>
                <w:sz w:val="24"/>
                <w:highlight w:val="none"/>
              </w:rPr>
              <w:t>及沿线村庄运输，并辅之以临时储水及输水设施。</w:t>
            </w:r>
          </w:p>
          <w:p>
            <w:pPr>
              <w:pStyle w:val="5"/>
              <w:keepNext w:val="0"/>
              <w:keepLines w:val="0"/>
              <w:pageBreakBefore w:val="0"/>
              <w:widowControl w:val="0"/>
              <w:kinsoku/>
              <w:wordWrap/>
              <w:overflowPunct/>
              <w:topLinePunct w:val="0"/>
              <w:bidi w:val="0"/>
              <w:adjustRightInd/>
              <w:snapToGrid/>
              <w:spacing w:line="480" w:lineRule="atLeast"/>
              <w:ind w:firstLine="482"/>
              <w:textAlignment w:val="auto"/>
              <w:rPr>
                <w:color w:val="auto"/>
                <w:sz w:val="24"/>
                <w:highlight w:val="none"/>
              </w:rPr>
            </w:pPr>
            <w:r>
              <w:rPr>
                <w:color w:val="auto"/>
                <w:sz w:val="24"/>
                <w:highlight w:val="none"/>
              </w:rPr>
              <w:t>2）电：工程用电除施工单位自备发电设备外，一般由建设单位与电力部门协商在相应的施工现场设置变电站来满足施工用电。设置原则是在用电较集中以及电网距离较近的工程处设置，但是鉴于全线工程多而分散以及电网供电可能出现不正常现象，各个施工单位都必须配备发电设备。</w:t>
            </w:r>
          </w:p>
          <w:p>
            <w:pPr>
              <w:pStyle w:val="5"/>
              <w:keepNext w:val="0"/>
              <w:keepLines w:val="0"/>
              <w:pageBreakBefore w:val="0"/>
              <w:widowControl w:val="0"/>
              <w:kinsoku/>
              <w:wordWrap/>
              <w:overflowPunct/>
              <w:topLinePunct w:val="0"/>
              <w:bidi w:val="0"/>
              <w:adjustRightInd/>
              <w:snapToGrid/>
              <w:spacing w:line="480" w:lineRule="atLeast"/>
              <w:ind w:firstLine="482"/>
              <w:textAlignment w:val="auto"/>
              <w:rPr>
                <w:color w:val="auto"/>
                <w:sz w:val="24"/>
                <w:highlight w:val="none"/>
              </w:rPr>
            </w:pPr>
            <w:r>
              <w:rPr>
                <w:color w:val="auto"/>
                <w:sz w:val="24"/>
                <w:highlight w:val="none"/>
              </w:rPr>
              <w:t>3）通讯：为便于指挥部与各工程点联系，设置临时通讯线路并辅之以移动通讯。</w:t>
            </w:r>
          </w:p>
          <w:p>
            <w:pPr>
              <w:pStyle w:val="5"/>
              <w:keepNext w:val="0"/>
              <w:keepLines w:val="0"/>
              <w:pageBreakBefore w:val="0"/>
              <w:widowControl w:val="0"/>
              <w:kinsoku/>
              <w:wordWrap/>
              <w:overflowPunct/>
              <w:topLinePunct w:val="0"/>
              <w:bidi w:val="0"/>
              <w:adjustRightInd/>
              <w:snapToGrid/>
              <w:spacing w:line="480" w:lineRule="atLeast"/>
              <w:ind w:firstLine="482"/>
              <w:textAlignment w:val="auto"/>
              <w:rPr>
                <w:color w:val="auto"/>
                <w:sz w:val="24"/>
                <w:highlight w:val="none"/>
              </w:rPr>
            </w:pPr>
            <w:r>
              <w:rPr>
                <w:color w:val="auto"/>
                <w:sz w:val="24"/>
                <w:highlight w:val="none"/>
              </w:rPr>
              <w:t>4）拌合厂：本工程施工不设稳定土拌和场、沥青混凝土拌和站，基层和底基层混合料经集中拌和后运输至工地。</w:t>
            </w:r>
          </w:p>
          <w:p>
            <w:pPr>
              <w:pStyle w:val="5"/>
              <w:keepNext w:val="0"/>
              <w:keepLines w:val="0"/>
              <w:pageBreakBefore w:val="0"/>
              <w:widowControl w:val="0"/>
              <w:kinsoku/>
              <w:wordWrap/>
              <w:overflowPunct/>
              <w:topLinePunct w:val="0"/>
              <w:bidi w:val="0"/>
              <w:adjustRightInd/>
              <w:snapToGrid/>
              <w:spacing w:line="480" w:lineRule="atLeast"/>
              <w:ind w:firstLine="482"/>
              <w:textAlignment w:val="auto"/>
              <w:rPr>
                <w:color w:val="auto"/>
                <w:sz w:val="24"/>
                <w:highlight w:val="none"/>
              </w:rPr>
            </w:pPr>
            <w:r>
              <w:rPr>
                <w:color w:val="auto"/>
                <w:sz w:val="24"/>
                <w:highlight w:val="none"/>
              </w:rPr>
              <w:t>5）</w:t>
            </w:r>
            <w:r>
              <w:rPr>
                <w:rFonts w:hint="eastAsia"/>
                <w:color w:val="auto"/>
                <w:sz w:val="24"/>
                <w:highlight w:val="none"/>
              </w:rPr>
              <w:t>施工营地：</w:t>
            </w:r>
            <w:r>
              <w:rPr>
                <w:color w:val="auto"/>
                <w:sz w:val="24"/>
                <w:szCs w:val="24"/>
                <w:highlight w:val="none"/>
              </w:rPr>
              <w:t>本项目施工营地位于</w:t>
            </w:r>
            <w:r>
              <w:rPr>
                <w:rFonts w:hint="eastAsia"/>
                <w:color w:val="auto"/>
                <w:sz w:val="24"/>
                <w:szCs w:val="24"/>
                <w:highlight w:val="none"/>
                <w:lang w:val="en-US" w:eastAsia="zh-CN"/>
              </w:rPr>
              <w:t>项目道路附近，具体位置见附图2</w:t>
            </w:r>
            <w:r>
              <w:rPr>
                <w:rFonts w:hint="eastAsia"/>
                <w:color w:val="auto"/>
                <w:sz w:val="24"/>
                <w:szCs w:val="24"/>
                <w:highlight w:val="none"/>
              </w:rPr>
              <w:t>。</w:t>
            </w:r>
          </w:p>
          <w:p>
            <w:pPr>
              <w:keepNext w:val="0"/>
              <w:keepLines w:val="0"/>
              <w:pageBreakBefore w:val="0"/>
              <w:widowControl w:val="0"/>
              <w:kinsoku/>
              <w:wordWrap/>
              <w:overflowPunct/>
              <w:topLinePunct w:val="0"/>
              <w:bidi w:val="0"/>
              <w:adjustRightInd/>
              <w:snapToGrid/>
              <w:spacing w:line="480" w:lineRule="atLeast"/>
              <w:ind w:firstLine="482" w:firstLineChars="200"/>
              <w:textAlignment w:val="auto"/>
              <w:rPr>
                <w:b/>
                <w:color w:val="auto"/>
                <w:sz w:val="24"/>
                <w:highlight w:val="none"/>
              </w:rPr>
            </w:pPr>
            <w:r>
              <w:rPr>
                <w:rFonts w:hint="eastAsia"/>
                <w:b/>
                <w:color w:val="auto"/>
                <w:sz w:val="24"/>
                <w:highlight w:val="none"/>
                <w:lang w:val="en-US" w:eastAsia="zh-CN"/>
              </w:rPr>
              <w:t>8</w:t>
            </w:r>
            <w:r>
              <w:rPr>
                <w:b/>
                <w:color w:val="auto"/>
                <w:sz w:val="24"/>
                <w:highlight w:val="none"/>
              </w:rPr>
              <w:t>、工期安排</w:t>
            </w:r>
          </w:p>
          <w:p>
            <w:pPr>
              <w:adjustRightInd w:val="0"/>
              <w:snapToGrid w:val="0"/>
              <w:spacing w:line="480" w:lineRule="exact"/>
              <w:ind w:firstLine="480" w:firstLineChars="200"/>
              <w:rPr>
                <w:rFonts w:hint="eastAsia"/>
                <w:color w:val="auto"/>
                <w:sz w:val="24"/>
                <w:szCs w:val="24"/>
                <w:lang w:val="en-US" w:eastAsia="zh-CN"/>
              </w:rPr>
            </w:pPr>
            <w:r>
              <w:rPr>
                <w:rFonts w:hint="eastAsia"/>
                <w:color w:val="auto"/>
                <w:sz w:val="24"/>
                <w:szCs w:val="24"/>
                <w:lang w:val="en-US" w:eastAsia="zh-CN"/>
              </w:rPr>
              <w:t>本项目计划2023年4月份开始施工，2024年10月份完工，施工期18个月。</w:t>
            </w:r>
          </w:p>
          <w:p>
            <w:pPr>
              <w:adjustRightInd w:val="0"/>
              <w:snapToGrid w:val="0"/>
              <w:spacing w:line="480" w:lineRule="exact"/>
              <w:ind w:firstLine="480" w:firstLineChars="200"/>
              <w:rPr>
                <w:rFonts w:hint="eastAsia"/>
                <w:color w:val="auto"/>
                <w:sz w:val="24"/>
                <w:szCs w:val="24"/>
                <w:lang w:val="en-US" w:eastAsia="zh-CN"/>
              </w:rPr>
            </w:pPr>
          </w:p>
          <w:p>
            <w:pPr>
              <w:adjustRightInd w:val="0"/>
              <w:snapToGrid w:val="0"/>
              <w:spacing w:line="480" w:lineRule="exact"/>
              <w:ind w:firstLine="480" w:firstLineChars="200"/>
              <w:rPr>
                <w:rFonts w:hint="eastAsia"/>
                <w:color w:val="auto"/>
                <w:sz w:val="24"/>
                <w:szCs w:val="24"/>
                <w:lang w:val="en-US" w:eastAsia="zh-CN"/>
              </w:rPr>
            </w:pPr>
          </w:p>
          <w:p>
            <w:pPr>
              <w:adjustRightInd w:val="0"/>
              <w:snapToGrid w:val="0"/>
              <w:spacing w:line="480" w:lineRule="exact"/>
              <w:ind w:firstLine="480" w:firstLineChars="200"/>
              <w:rPr>
                <w:rFonts w:hint="eastAsia"/>
                <w:color w:val="auto"/>
                <w:sz w:val="24"/>
                <w:szCs w:val="24"/>
                <w:lang w:val="en-US" w:eastAsia="zh-CN"/>
              </w:rPr>
            </w:pPr>
          </w:p>
          <w:p>
            <w:pPr>
              <w:adjustRightInd w:val="0"/>
              <w:snapToGrid w:val="0"/>
              <w:spacing w:line="480" w:lineRule="exact"/>
              <w:ind w:firstLine="480" w:firstLineChars="200"/>
              <w:rPr>
                <w:rFonts w:hint="eastAsia"/>
                <w:color w:val="auto"/>
                <w:sz w:val="24"/>
                <w:szCs w:val="24"/>
                <w:lang w:val="en-US" w:eastAsia="zh-CN"/>
              </w:rPr>
            </w:pPr>
          </w:p>
          <w:p>
            <w:pPr>
              <w:adjustRightInd w:val="0"/>
              <w:snapToGrid w:val="0"/>
              <w:spacing w:line="480" w:lineRule="exact"/>
              <w:ind w:firstLine="480" w:firstLineChars="200"/>
              <w:rPr>
                <w:rFonts w:hint="eastAsia"/>
                <w:color w:val="auto"/>
                <w:sz w:val="24"/>
                <w:szCs w:val="24"/>
                <w:lang w:val="en-US" w:eastAsia="zh-CN"/>
              </w:rPr>
            </w:pPr>
          </w:p>
          <w:p>
            <w:pPr>
              <w:adjustRightInd w:val="0"/>
              <w:snapToGrid w:val="0"/>
              <w:spacing w:line="480" w:lineRule="exact"/>
              <w:ind w:firstLine="480" w:firstLineChars="200"/>
              <w:rPr>
                <w:rFonts w:hint="eastAsia"/>
                <w:color w:val="auto"/>
                <w:sz w:val="24"/>
                <w:szCs w:val="24"/>
                <w:lang w:val="en-US" w:eastAsia="zh-CN"/>
              </w:rPr>
            </w:pPr>
          </w:p>
          <w:p>
            <w:pPr>
              <w:adjustRightInd w:val="0"/>
              <w:snapToGrid w:val="0"/>
              <w:spacing w:line="480" w:lineRule="exact"/>
              <w:ind w:firstLine="480" w:firstLineChars="200"/>
              <w:rPr>
                <w:rFonts w:hint="eastAsia"/>
                <w:color w:val="auto"/>
                <w:sz w:val="24"/>
                <w:szCs w:val="24"/>
                <w:lang w:val="en-US" w:eastAsia="zh-CN"/>
              </w:rPr>
            </w:pPr>
          </w:p>
          <w:p>
            <w:pPr>
              <w:adjustRightInd w:val="0"/>
              <w:snapToGrid w:val="0"/>
              <w:spacing w:line="480" w:lineRule="exact"/>
              <w:ind w:firstLine="480" w:firstLineChars="200"/>
              <w:rPr>
                <w:rFonts w:hint="eastAsia"/>
                <w:color w:val="auto"/>
                <w:sz w:val="24"/>
                <w:szCs w:val="24"/>
                <w:lang w:val="en-US" w:eastAsia="zh-CN"/>
              </w:rPr>
            </w:pPr>
          </w:p>
          <w:p>
            <w:pPr>
              <w:adjustRightInd w:val="0"/>
              <w:snapToGrid w:val="0"/>
              <w:spacing w:line="480" w:lineRule="exact"/>
              <w:ind w:firstLine="480" w:firstLineChars="200"/>
              <w:rPr>
                <w:rFonts w:hint="eastAsia"/>
                <w:color w:val="auto"/>
                <w:sz w:val="24"/>
                <w:szCs w:val="24"/>
                <w:lang w:val="en-US" w:eastAsia="zh-CN"/>
              </w:rPr>
            </w:pPr>
          </w:p>
          <w:p>
            <w:pPr>
              <w:adjustRightInd w:val="0"/>
              <w:snapToGrid w:val="0"/>
              <w:spacing w:line="480" w:lineRule="exact"/>
              <w:ind w:firstLine="480" w:firstLineChars="200"/>
              <w:rPr>
                <w:rFonts w:hint="default" w:ascii="宋体" w:hAnsi="宋体"/>
                <w:kern w:val="0"/>
                <w:sz w:val="24"/>
                <w:szCs w:val="24"/>
                <w:lang w:val="en-US"/>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83" w:hRule="atLeast"/>
          <w:jc w:val="center"/>
        </w:trPr>
        <w:tc>
          <w:tcPr>
            <w:tcW w:w="832" w:type="dxa"/>
            <w:tcBorders>
              <w:top w:val="single" w:color="auto" w:sz="4" w:space="0"/>
              <w:left w:val="single" w:color="auto" w:sz="8" w:space="0"/>
              <w:bottom w:val="single" w:color="auto" w:sz="8" w:space="0"/>
              <w:right w:val="single" w:color="auto" w:sz="4" w:space="0"/>
            </w:tcBorders>
            <w:vAlign w:val="center"/>
          </w:tcPr>
          <w:p>
            <w:pPr>
              <w:adjustRightInd w:val="0"/>
              <w:snapToGrid w:val="0"/>
              <w:jc w:val="center"/>
              <w:rPr>
                <w:rFonts w:ascii="宋体" w:hAnsi="宋体"/>
                <w:kern w:val="0"/>
              </w:rPr>
            </w:pPr>
            <w:r>
              <w:rPr>
                <w:rFonts w:hint="eastAsia" w:ascii="宋体" w:hAnsi="宋体"/>
                <w:kern w:val="0"/>
              </w:rPr>
              <w:t>其他</w:t>
            </w:r>
          </w:p>
        </w:tc>
        <w:tc>
          <w:tcPr>
            <w:tcW w:w="8549" w:type="dxa"/>
            <w:tcBorders>
              <w:top w:val="single" w:color="auto" w:sz="4" w:space="0"/>
              <w:left w:val="single" w:color="auto" w:sz="4" w:space="0"/>
              <w:bottom w:val="single" w:color="auto" w:sz="8" w:space="0"/>
              <w:right w:val="single" w:color="auto" w:sz="8" w:space="0"/>
            </w:tcBorders>
            <w:vAlign w:val="center"/>
          </w:tcPr>
          <w:p>
            <w:pPr>
              <w:adjustRightInd w:val="0"/>
              <w:snapToGrid w:val="0"/>
              <w:spacing w:line="480" w:lineRule="exact"/>
              <w:ind w:firstLine="480" w:firstLineChars="200"/>
              <w:rPr>
                <w:rFonts w:hint="eastAsia"/>
                <w:kern w:val="0"/>
                <w:sz w:val="24"/>
                <w:szCs w:val="24"/>
                <w:lang w:eastAsia="zh-CN"/>
              </w:rPr>
            </w:pPr>
          </w:p>
          <w:p>
            <w:pPr>
              <w:adjustRightInd w:val="0"/>
              <w:snapToGrid w:val="0"/>
              <w:spacing w:line="480" w:lineRule="exact"/>
              <w:ind w:firstLine="480" w:firstLineChars="200"/>
              <w:rPr>
                <w:rFonts w:hint="eastAsia"/>
                <w:kern w:val="0"/>
                <w:sz w:val="24"/>
                <w:szCs w:val="24"/>
                <w:lang w:eastAsia="zh-CN"/>
              </w:rPr>
            </w:pPr>
          </w:p>
          <w:p>
            <w:pPr>
              <w:adjustRightInd w:val="0"/>
              <w:snapToGrid w:val="0"/>
              <w:spacing w:line="480" w:lineRule="exact"/>
              <w:ind w:firstLine="480" w:firstLineChars="200"/>
              <w:rPr>
                <w:rFonts w:hint="eastAsia"/>
                <w:kern w:val="0"/>
                <w:sz w:val="24"/>
                <w:szCs w:val="24"/>
                <w:lang w:eastAsia="zh-CN"/>
              </w:rPr>
            </w:pPr>
          </w:p>
          <w:p>
            <w:pPr>
              <w:adjustRightInd w:val="0"/>
              <w:snapToGrid w:val="0"/>
              <w:spacing w:line="480" w:lineRule="exact"/>
              <w:ind w:firstLine="480" w:firstLineChars="200"/>
              <w:rPr>
                <w:rFonts w:hint="eastAsia"/>
                <w:kern w:val="0"/>
                <w:sz w:val="24"/>
                <w:szCs w:val="24"/>
                <w:lang w:eastAsia="zh-CN"/>
              </w:rPr>
            </w:pPr>
          </w:p>
          <w:p>
            <w:pPr>
              <w:adjustRightInd w:val="0"/>
              <w:snapToGrid w:val="0"/>
              <w:spacing w:line="480" w:lineRule="exact"/>
              <w:ind w:firstLine="480" w:firstLineChars="200"/>
              <w:rPr>
                <w:rFonts w:hint="eastAsia"/>
                <w:kern w:val="0"/>
                <w:sz w:val="24"/>
                <w:szCs w:val="24"/>
                <w:lang w:eastAsia="zh-CN"/>
              </w:rPr>
            </w:pPr>
          </w:p>
          <w:p>
            <w:pPr>
              <w:adjustRightInd w:val="0"/>
              <w:snapToGrid w:val="0"/>
              <w:spacing w:line="480" w:lineRule="exact"/>
              <w:ind w:firstLine="480" w:firstLineChars="200"/>
              <w:rPr>
                <w:rFonts w:hint="eastAsia"/>
                <w:kern w:val="0"/>
                <w:sz w:val="24"/>
                <w:szCs w:val="24"/>
                <w:lang w:eastAsia="zh-CN"/>
              </w:rPr>
            </w:pPr>
          </w:p>
          <w:p>
            <w:pPr>
              <w:adjustRightInd w:val="0"/>
              <w:snapToGrid w:val="0"/>
              <w:spacing w:line="480" w:lineRule="exact"/>
              <w:ind w:firstLine="480" w:firstLineChars="200"/>
              <w:rPr>
                <w:rFonts w:hint="eastAsia"/>
                <w:kern w:val="0"/>
                <w:sz w:val="24"/>
                <w:szCs w:val="24"/>
                <w:lang w:eastAsia="zh-CN"/>
              </w:rPr>
            </w:pPr>
          </w:p>
          <w:p>
            <w:pPr>
              <w:adjustRightInd w:val="0"/>
              <w:snapToGrid w:val="0"/>
              <w:spacing w:line="480" w:lineRule="exact"/>
              <w:ind w:firstLine="480" w:firstLineChars="200"/>
              <w:rPr>
                <w:rFonts w:hint="eastAsia"/>
                <w:kern w:val="0"/>
                <w:sz w:val="24"/>
                <w:szCs w:val="24"/>
                <w:lang w:eastAsia="zh-CN"/>
              </w:rPr>
            </w:pPr>
            <w:r>
              <w:rPr>
                <w:rFonts w:hint="eastAsia"/>
                <w:kern w:val="0"/>
                <w:sz w:val="24"/>
                <w:szCs w:val="24"/>
                <w:lang w:eastAsia="zh-CN"/>
              </w:rPr>
              <w:t>本项目路线沿旧路，路线走向单一，因此不对路线进行比选，仅对路面结构进行比选。</w:t>
            </w:r>
          </w:p>
          <w:p>
            <w:pPr>
              <w:adjustRightInd w:val="0"/>
              <w:snapToGrid w:val="0"/>
              <w:spacing w:line="480" w:lineRule="exact"/>
              <w:ind w:firstLine="480" w:firstLineChars="200"/>
              <w:rPr>
                <w:rFonts w:hint="eastAsia"/>
                <w:kern w:val="0"/>
                <w:sz w:val="24"/>
                <w:szCs w:val="24"/>
                <w:lang w:eastAsia="zh-CN"/>
              </w:rPr>
            </w:pPr>
            <w:r>
              <w:rPr>
                <w:rFonts w:hint="eastAsia"/>
                <w:kern w:val="0"/>
                <w:sz w:val="24"/>
                <w:szCs w:val="24"/>
                <w:lang w:eastAsia="zh-CN"/>
              </w:rPr>
              <w:t>本项目通过对两种路面的施工水平、使用现状、破坏现状、养护状况、养护费用进行全面调查，综合考虑当地气候条件、土基状况、交通量大小、施工技术水平等因素，对两种路面结构进行经济、技术、社会影响等方面的综合比较。沥青混凝土路面具有抗滑、密水、无接缝、平整度高、行车舒适，施工中受制约的条件较少、易维修和养护等优点，对超载现象不像水泥砼路面那么敏感，但沥青砼路面也有平时维修费用较高等缺点。水泥混凝土路面具有刚度大、承载能力强、稳定性好、使用期限长、平时养护工作量小和养护费用比沥青路面少等优点，但对路基稳定性要求较高，施工制约条件相对较多，一旦发生毁坏修复比较困难。</w:t>
            </w:r>
          </w:p>
          <w:p>
            <w:pPr>
              <w:adjustRightInd w:val="0"/>
              <w:snapToGrid w:val="0"/>
              <w:spacing w:line="480" w:lineRule="exact"/>
              <w:ind w:firstLine="480" w:firstLineChars="200"/>
              <w:rPr>
                <w:rFonts w:hint="eastAsia"/>
                <w:kern w:val="0"/>
                <w:sz w:val="24"/>
                <w:szCs w:val="24"/>
                <w:lang w:eastAsia="zh-CN"/>
              </w:rPr>
            </w:pPr>
            <w:r>
              <w:rPr>
                <w:rFonts w:hint="eastAsia"/>
                <w:kern w:val="0"/>
                <w:sz w:val="24"/>
                <w:szCs w:val="24"/>
                <w:lang w:eastAsia="zh-CN"/>
              </w:rPr>
              <w:t>综上所述，从行车性能、温度、水文地质条件、工程造价、施工工期及施工质量等方面考虑，本项目采用沥青混凝土路面</w:t>
            </w:r>
          </w:p>
          <w:p>
            <w:pPr>
              <w:adjustRightInd w:val="0"/>
              <w:snapToGrid w:val="0"/>
              <w:spacing w:line="480" w:lineRule="exact"/>
              <w:ind w:firstLine="480" w:firstLineChars="200"/>
              <w:rPr>
                <w:rFonts w:hint="eastAsia"/>
                <w:kern w:val="0"/>
                <w:sz w:val="24"/>
                <w:szCs w:val="24"/>
                <w:lang w:val="en-US" w:eastAsia="zh-CN"/>
              </w:rPr>
            </w:pPr>
          </w:p>
          <w:p>
            <w:pPr>
              <w:adjustRightInd w:val="0"/>
              <w:snapToGrid w:val="0"/>
              <w:spacing w:line="480" w:lineRule="exact"/>
              <w:ind w:firstLine="480" w:firstLineChars="200"/>
              <w:rPr>
                <w:rFonts w:hint="eastAsia"/>
                <w:kern w:val="0"/>
                <w:sz w:val="24"/>
                <w:szCs w:val="24"/>
                <w:lang w:val="en-US" w:eastAsia="zh-CN"/>
              </w:rPr>
            </w:pPr>
          </w:p>
          <w:p>
            <w:pPr>
              <w:adjustRightInd w:val="0"/>
              <w:snapToGrid w:val="0"/>
              <w:spacing w:line="480" w:lineRule="exact"/>
              <w:ind w:firstLine="480" w:firstLineChars="200"/>
              <w:rPr>
                <w:rFonts w:hint="eastAsia"/>
                <w:kern w:val="0"/>
                <w:sz w:val="24"/>
                <w:szCs w:val="24"/>
                <w:lang w:val="en-US" w:eastAsia="zh-CN"/>
              </w:rPr>
            </w:pPr>
          </w:p>
          <w:p>
            <w:pPr>
              <w:adjustRightInd w:val="0"/>
              <w:snapToGrid w:val="0"/>
              <w:spacing w:line="480" w:lineRule="exact"/>
              <w:ind w:firstLine="480" w:firstLineChars="200"/>
              <w:rPr>
                <w:rFonts w:hint="eastAsia"/>
                <w:kern w:val="0"/>
                <w:sz w:val="24"/>
                <w:szCs w:val="24"/>
                <w:lang w:val="en-US" w:eastAsia="zh-CN"/>
              </w:rPr>
            </w:pPr>
          </w:p>
          <w:p>
            <w:pPr>
              <w:adjustRightInd w:val="0"/>
              <w:snapToGrid w:val="0"/>
              <w:spacing w:line="480" w:lineRule="exact"/>
              <w:ind w:firstLine="480" w:firstLineChars="200"/>
              <w:rPr>
                <w:rFonts w:hint="eastAsia"/>
                <w:kern w:val="0"/>
                <w:sz w:val="24"/>
                <w:szCs w:val="24"/>
                <w:lang w:val="en-US" w:eastAsia="zh-CN"/>
              </w:rPr>
            </w:pPr>
          </w:p>
          <w:p>
            <w:pPr>
              <w:adjustRightInd w:val="0"/>
              <w:snapToGrid w:val="0"/>
              <w:spacing w:line="480" w:lineRule="exact"/>
              <w:ind w:firstLine="480" w:firstLineChars="200"/>
              <w:rPr>
                <w:rFonts w:hint="eastAsia"/>
                <w:kern w:val="0"/>
                <w:sz w:val="24"/>
                <w:szCs w:val="24"/>
                <w:lang w:val="en-US" w:eastAsia="zh-CN"/>
              </w:rPr>
            </w:pPr>
          </w:p>
          <w:p>
            <w:pPr>
              <w:adjustRightInd w:val="0"/>
              <w:snapToGrid w:val="0"/>
              <w:spacing w:line="480" w:lineRule="exact"/>
              <w:ind w:firstLine="480" w:firstLineChars="200"/>
              <w:rPr>
                <w:rFonts w:hint="eastAsia"/>
                <w:kern w:val="0"/>
                <w:sz w:val="24"/>
                <w:szCs w:val="24"/>
                <w:lang w:val="en-US" w:eastAsia="zh-CN"/>
              </w:rPr>
            </w:pPr>
          </w:p>
          <w:p>
            <w:pPr>
              <w:adjustRightInd w:val="0"/>
              <w:snapToGrid w:val="0"/>
              <w:spacing w:line="480" w:lineRule="exact"/>
              <w:ind w:firstLine="420" w:firstLineChars="200"/>
              <w:rPr>
                <w:rFonts w:hint="default"/>
                <w:kern w:val="0"/>
                <w:lang w:val="en-US"/>
              </w:rPr>
            </w:pPr>
          </w:p>
        </w:tc>
      </w:tr>
    </w:tbl>
    <w:p>
      <w:pPr>
        <w:spacing w:line="100" w:lineRule="exact"/>
      </w:pPr>
    </w:p>
    <w:p>
      <w:pPr>
        <w:sectPr>
          <w:pgSz w:w="11906" w:h="16838"/>
          <w:pgMar w:top="1701" w:right="1531" w:bottom="1701" w:left="1531" w:header="1134" w:footer="992" w:gutter="0"/>
          <w:pgBorders>
            <w:top w:val="none" w:sz="0" w:space="0"/>
            <w:left w:val="none" w:sz="0" w:space="0"/>
            <w:bottom w:val="none" w:sz="0" w:space="0"/>
            <w:right w:val="none" w:sz="0" w:space="0"/>
          </w:pgBorders>
          <w:cols w:space="425" w:num="1"/>
          <w:docGrid w:type="lines" w:linePitch="312" w:charSpace="0"/>
        </w:sectPr>
      </w:pPr>
    </w:p>
    <w:p>
      <w:pPr>
        <w:pStyle w:val="19"/>
        <w:jc w:val="center"/>
        <w:outlineLvl w:val="0"/>
        <w:rPr>
          <w:rFonts w:ascii="黑体" w:hAnsi="黑体" w:eastAsia="黑体"/>
          <w:sz w:val="30"/>
          <w:szCs w:val="30"/>
        </w:rPr>
      </w:pPr>
      <w:r>
        <w:rPr>
          <w:rFonts w:hint="eastAsia" w:ascii="黑体" w:hAnsi="黑体" w:eastAsia="黑体"/>
          <w:sz w:val="30"/>
          <w:szCs w:val="30"/>
        </w:rPr>
        <w:t>三、</w:t>
      </w:r>
      <w:r>
        <w:rPr>
          <w:rFonts w:hint="eastAsia" w:ascii="黑体" w:hAnsi="黑体" w:eastAsia="黑体"/>
          <w:snapToGrid w:val="0"/>
          <w:sz w:val="30"/>
          <w:szCs w:val="30"/>
        </w:rPr>
        <w:t>生态环境现状、保护目标及评价标准</w:t>
      </w:r>
    </w:p>
    <w:tbl>
      <w:tblPr>
        <w:tblStyle w:val="21"/>
        <w:tblW w:w="946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99"/>
        <w:gridCol w:w="876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99" w:type="dxa"/>
            <w:vAlign w:val="center"/>
          </w:tcPr>
          <w:p>
            <w:pPr>
              <w:adjustRightInd w:val="0"/>
              <w:snapToGrid w:val="0"/>
              <w:jc w:val="center"/>
              <w:rPr>
                <w:rFonts w:ascii="宋体" w:hAnsi="宋体" w:cs="宋体"/>
                <w:kern w:val="0"/>
              </w:rPr>
            </w:pPr>
            <w:r>
              <w:rPr>
                <w:rFonts w:hint="eastAsia" w:ascii="宋体" w:hAnsi="宋体" w:cs="宋体"/>
                <w:kern w:val="0"/>
              </w:rPr>
              <w:t>生态环境现状</w:t>
            </w:r>
          </w:p>
        </w:tc>
        <w:tc>
          <w:tcPr>
            <w:tcW w:w="8762" w:type="dxa"/>
            <w:vAlign w:val="center"/>
          </w:tcPr>
          <w:p>
            <w:pPr>
              <w:adjustRightInd w:val="0"/>
              <w:snapToGrid w:val="0"/>
              <w:spacing w:line="480" w:lineRule="exact"/>
              <w:ind w:firstLine="482" w:firstLineChars="200"/>
              <w:rPr>
                <w:b/>
                <w:bCs/>
                <w:color w:val="auto"/>
                <w:kern w:val="0"/>
                <w:sz w:val="24"/>
              </w:rPr>
            </w:pPr>
            <w:r>
              <w:rPr>
                <w:b/>
                <w:bCs/>
                <w:color w:val="auto"/>
                <w:kern w:val="0"/>
                <w:sz w:val="24"/>
              </w:rPr>
              <w:t>1、山西省主体功能区规划</w:t>
            </w:r>
          </w:p>
          <w:p>
            <w:pPr>
              <w:adjustRightInd w:val="0"/>
              <w:snapToGrid w:val="0"/>
              <w:spacing w:line="480" w:lineRule="exact"/>
              <w:ind w:firstLine="480" w:firstLineChars="200"/>
              <w:rPr>
                <w:color w:val="auto"/>
                <w:kern w:val="0"/>
                <w:sz w:val="24"/>
              </w:rPr>
            </w:pPr>
            <w:r>
              <w:rPr>
                <w:color w:val="auto"/>
                <w:kern w:val="0"/>
                <w:sz w:val="24"/>
              </w:rPr>
              <w:t>根据《山西省主体功能区规划》（山西省人民政府，晋政发[2014]9号，2014年4月10日），山西省主体功能区的划分包括国家级主体功能区的落实、省级主体功能区的划分两个层面，分别包括重点开发区域、限制开发的农产品主产区、限制开发的重点生态功能区和禁止开发区域四类区域。</w:t>
            </w:r>
          </w:p>
          <w:p>
            <w:pPr>
              <w:adjustRightInd w:val="0"/>
              <w:snapToGrid w:val="0"/>
              <w:spacing w:line="480" w:lineRule="exact"/>
              <w:ind w:firstLine="480" w:firstLineChars="200"/>
              <w:rPr>
                <w:rFonts w:hint="default"/>
                <w:kern w:val="0"/>
                <w:sz w:val="24"/>
                <w:lang w:val="en-US"/>
              </w:rPr>
            </w:pPr>
            <w:r>
              <w:rPr>
                <w:rFonts w:hint="eastAsia"/>
                <w:kern w:val="0"/>
                <w:sz w:val="24"/>
              </w:rPr>
              <w:t>“五台县湖滨大街西延等三条道路管网建设项目”</w:t>
            </w:r>
            <w:r>
              <w:rPr>
                <w:kern w:val="0"/>
                <w:sz w:val="24"/>
              </w:rPr>
              <w:t>建设地点位于山西省</w:t>
            </w:r>
            <w:r>
              <w:rPr>
                <w:rFonts w:hint="eastAsia"/>
                <w:kern w:val="0"/>
                <w:sz w:val="24"/>
                <w:lang w:val="en-US" w:eastAsia="zh-CN"/>
              </w:rPr>
              <w:t>忻州</w:t>
            </w:r>
            <w:r>
              <w:rPr>
                <w:kern w:val="0"/>
                <w:sz w:val="24"/>
              </w:rPr>
              <w:t>市</w:t>
            </w:r>
            <w:r>
              <w:rPr>
                <w:rFonts w:hint="eastAsia"/>
                <w:kern w:val="0"/>
                <w:sz w:val="24"/>
                <w:lang w:val="en-US" w:eastAsia="zh-CN"/>
              </w:rPr>
              <w:t>五台</w:t>
            </w:r>
            <w:r>
              <w:rPr>
                <w:kern w:val="0"/>
                <w:sz w:val="24"/>
              </w:rPr>
              <w:t>县</w:t>
            </w:r>
            <w:r>
              <w:rPr>
                <w:rFonts w:hint="eastAsia"/>
                <w:kern w:val="0"/>
                <w:sz w:val="24"/>
                <w:lang w:val="en-US" w:eastAsia="zh-CN"/>
              </w:rPr>
              <w:t>中心城区</w:t>
            </w:r>
            <w:r>
              <w:rPr>
                <w:kern w:val="0"/>
                <w:sz w:val="24"/>
              </w:rPr>
              <w:t>，</w:t>
            </w:r>
            <w:r>
              <w:rPr>
                <w:rFonts w:hint="eastAsia"/>
                <w:kern w:val="0"/>
                <w:sz w:val="24"/>
                <w:lang w:val="en-US" w:eastAsia="zh-CN"/>
              </w:rPr>
              <w:t>五台县属于</w:t>
            </w:r>
            <w:r>
              <w:rPr>
                <w:kern w:val="0"/>
                <w:sz w:val="24"/>
                <w:lang w:val="en-US" w:eastAsia="zh-CN"/>
              </w:rPr>
              <w:t>省级</w:t>
            </w:r>
            <w:r>
              <w:rPr>
                <w:rFonts w:hint="eastAsia"/>
                <w:kern w:val="0"/>
                <w:sz w:val="24"/>
                <w:lang w:val="en-US" w:eastAsia="zh-CN"/>
              </w:rPr>
              <w:t>限制开发的</w:t>
            </w:r>
            <w:r>
              <w:rPr>
                <w:kern w:val="0"/>
                <w:sz w:val="24"/>
                <w:lang w:val="en-US" w:eastAsia="zh-CN"/>
              </w:rPr>
              <w:t>重点生态功能区</w:t>
            </w:r>
            <w:r>
              <w:rPr>
                <w:rFonts w:hint="eastAsia"/>
                <w:kern w:val="0"/>
                <w:sz w:val="24"/>
                <w:lang w:val="en-US" w:eastAsia="zh-CN"/>
              </w:rPr>
              <w:t>，</w:t>
            </w:r>
            <w:r>
              <w:rPr>
                <w:rFonts w:hint="eastAsia"/>
                <w:kern w:val="0"/>
                <w:sz w:val="24"/>
              </w:rPr>
              <w:t>五台县</w:t>
            </w:r>
            <w:r>
              <w:rPr>
                <w:rFonts w:hint="eastAsia"/>
                <w:kern w:val="0"/>
                <w:sz w:val="24"/>
                <w:lang w:val="en-US" w:eastAsia="zh-CN"/>
              </w:rPr>
              <w:t>台城镇</w:t>
            </w:r>
            <w:r>
              <w:rPr>
                <w:kern w:val="0"/>
                <w:sz w:val="24"/>
              </w:rPr>
              <w:t>属于</w:t>
            </w:r>
            <w:r>
              <w:rPr>
                <w:kern w:val="0"/>
                <w:sz w:val="24"/>
                <w:lang w:val="en-US" w:eastAsia="zh-CN"/>
              </w:rPr>
              <w:t>省级重点生态功能区</w:t>
            </w:r>
            <w:r>
              <w:rPr>
                <w:rFonts w:hint="eastAsia"/>
                <w:kern w:val="0"/>
                <w:sz w:val="24"/>
                <w:lang w:val="en-US" w:eastAsia="zh-CN"/>
              </w:rPr>
              <w:t>中的重点开发城镇。</w:t>
            </w:r>
          </w:p>
          <w:p>
            <w:pPr>
              <w:adjustRightInd w:val="0"/>
              <w:snapToGrid w:val="0"/>
              <w:spacing w:line="480" w:lineRule="exact"/>
              <w:ind w:firstLine="480" w:firstLineChars="200"/>
              <w:rPr>
                <w:kern w:val="0"/>
                <w:sz w:val="24"/>
              </w:rPr>
            </w:pPr>
            <w:r>
              <w:rPr>
                <w:kern w:val="0"/>
                <w:sz w:val="24"/>
                <w:lang w:val="en-US" w:eastAsia="zh-CN"/>
              </w:rPr>
              <w:t>在限制开发的农产品主产区和省级重点生态功能区范围内，选择62个县城所在镇和89个经济基础较好、发展潜力较大的重点城镇（乡）进行重点开发，形成散布全省的“点状开发”格局</w:t>
            </w:r>
            <w:r>
              <w:rPr>
                <w:rFonts w:hint="eastAsia"/>
                <w:kern w:val="0"/>
                <w:sz w:val="24"/>
                <w:lang w:val="en-US" w:eastAsia="zh-CN"/>
              </w:rPr>
              <w:t>。</w:t>
            </w:r>
          </w:p>
          <w:p>
            <w:pPr>
              <w:adjustRightInd w:val="0"/>
              <w:snapToGrid w:val="0"/>
              <w:spacing w:line="480" w:lineRule="exact"/>
              <w:ind w:firstLine="480" w:firstLineChars="200"/>
              <w:rPr>
                <w:kern w:val="0"/>
                <w:sz w:val="24"/>
              </w:rPr>
            </w:pPr>
            <w:r>
              <w:rPr>
                <w:rFonts w:hint="eastAsia"/>
                <w:kern w:val="0"/>
                <w:sz w:val="24"/>
                <w:lang w:val="en-US" w:eastAsia="zh-CN"/>
              </w:rPr>
              <w:t>重点开发城镇的功能定位、发展方向</w:t>
            </w:r>
            <w:r>
              <w:rPr>
                <w:kern w:val="0"/>
                <w:sz w:val="24"/>
              </w:rPr>
              <w:t>。</w:t>
            </w:r>
          </w:p>
          <w:p>
            <w:pPr>
              <w:adjustRightInd w:val="0"/>
              <w:snapToGrid w:val="0"/>
              <w:spacing w:line="480" w:lineRule="exact"/>
              <w:ind w:firstLine="482" w:firstLineChars="200"/>
              <w:rPr>
                <w:b w:val="0"/>
                <w:bCs w:val="0"/>
                <w:kern w:val="0"/>
                <w:sz w:val="24"/>
              </w:rPr>
            </w:pPr>
            <w:r>
              <w:rPr>
                <w:b/>
                <w:bCs/>
                <w:kern w:val="0"/>
                <w:sz w:val="24"/>
              </w:rPr>
              <w:t>功能定位：</w:t>
            </w:r>
            <w:r>
              <w:rPr>
                <w:b w:val="0"/>
                <w:bCs w:val="0"/>
                <w:kern w:val="0"/>
                <w:sz w:val="24"/>
                <w:lang w:val="en-US" w:eastAsia="zh-CN"/>
              </w:rPr>
              <w:t>县域人口、经济和公共服务的重要聚集区</w:t>
            </w:r>
            <w:r>
              <w:rPr>
                <w:b w:val="0"/>
                <w:bCs w:val="0"/>
                <w:kern w:val="0"/>
                <w:sz w:val="24"/>
              </w:rPr>
              <w:t>。</w:t>
            </w:r>
          </w:p>
          <w:p>
            <w:pPr>
              <w:adjustRightInd w:val="0"/>
              <w:snapToGrid w:val="0"/>
              <w:spacing w:line="480" w:lineRule="exact"/>
              <w:ind w:firstLine="482" w:firstLineChars="200"/>
              <w:rPr>
                <w:b/>
                <w:bCs/>
                <w:kern w:val="0"/>
                <w:sz w:val="24"/>
              </w:rPr>
            </w:pPr>
            <w:r>
              <w:rPr>
                <w:b/>
                <w:bCs/>
                <w:kern w:val="0"/>
                <w:sz w:val="24"/>
              </w:rPr>
              <w:t>发展方向：</w:t>
            </w:r>
          </w:p>
          <w:p>
            <w:pPr>
              <w:adjustRightInd w:val="0"/>
              <w:snapToGrid w:val="0"/>
              <w:spacing w:line="480" w:lineRule="exact"/>
              <w:ind w:firstLine="480" w:firstLineChars="200"/>
              <w:rPr>
                <w:kern w:val="0"/>
                <w:sz w:val="24"/>
              </w:rPr>
            </w:pPr>
            <w:r>
              <w:rPr>
                <w:kern w:val="0"/>
                <w:sz w:val="24"/>
              </w:rPr>
              <w:t>——</w:t>
            </w:r>
            <w:r>
              <w:rPr>
                <w:kern w:val="0"/>
                <w:sz w:val="24"/>
                <w:lang w:val="en-US" w:eastAsia="zh-CN"/>
              </w:rPr>
              <w:t>以县城、重点镇和产业园区为依托，加强城镇基础设施建设，完善配套设施，增强公共服务功能，承接周边农业人口转移</w:t>
            </w:r>
            <w:r>
              <w:rPr>
                <w:kern w:val="0"/>
                <w:sz w:val="24"/>
              </w:rPr>
              <w:t>。</w:t>
            </w:r>
          </w:p>
          <w:p>
            <w:pPr>
              <w:adjustRightInd w:val="0"/>
              <w:snapToGrid w:val="0"/>
              <w:spacing w:line="480" w:lineRule="exact"/>
              <w:ind w:firstLine="480" w:firstLineChars="200"/>
              <w:rPr>
                <w:kern w:val="0"/>
                <w:sz w:val="24"/>
              </w:rPr>
            </w:pPr>
            <w:r>
              <w:rPr>
                <w:kern w:val="0"/>
                <w:sz w:val="24"/>
              </w:rPr>
              <w:t>——</w:t>
            </w:r>
            <w:r>
              <w:rPr>
                <w:rFonts w:hint="eastAsia"/>
                <w:kern w:val="0"/>
                <w:sz w:val="24"/>
              </w:rPr>
              <w:t>重点发展特色优势产业、农林产品精深加工业，因地制宜发展旅游、文化、商贸等服务业，适度开发矿产资源</w:t>
            </w:r>
            <w:r>
              <w:rPr>
                <w:kern w:val="0"/>
                <w:sz w:val="24"/>
              </w:rPr>
              <w:t>。</w:t>
            </w:r>
          </w:p>
          <w:p>
            <w:pPr>
              <w:adjustRightInd w:val="0"/>
              <w:snapToGrid w:val="0"/>
              <w:spacing w:line="480" w:lineRule="exact"/>
              <w:ind w:firstLine="480" w:firstLineChars="200"/>
              <w:rPr>
                <w:kern w:val="0"/>
                <w:sz w:val="24"/>
              </w:rPr>
            </w:pPr>
            <w:r>
              <w:rPr>
                <w:kern w:val="0"/>
                <w:sz w:val="24"/>
              </w:rPr>
              <w:t>——</w:t>
            </w:r>
            <w:r>
              <w:rPr>
                <w:kern w:val="0"/>
                <w:sz w:val="24"/>
                <w:lang w:val="en-US" w:eastAsia="zh-CN"/>
              </w:rPr>
              <w:t>科学规划建设县域产业园区，按照循环经济模式发展优势资源加工产业，积极发展劳动密集型产业，严格限制高污染、高能耗产业。</w:t>
            </w:r>
          </w:p>
          <w:p>
            <w:pPr>
              <w:adjustRightInd w:val="0"/>
              <w:snapToGrid w:val="0"/>
              <w:spacing w:line="480" w:lineRule="exact"/>
              <w:ind w:firstLine="480" w:firstLineChars="200"/>
              <w:rPr>
                <w:kern w:val="0"/>
                <w:sz w:val="24"/>
              </w:rPr>
            </w:pPr>
            <w:r>
              <w:rPr>
                <w:kern w:val="0"/>
                <w:sz w:val="24"/>
              </w:rPr>
              <w:t>——</w:t>
            </w:r>
            <w:r>
              <w:rPr>
                <w:kern w:val="0"/>
                <w:sz w:val="24"/>
                <w:lang w:val="en-US" w:eastAsia="zh-CN"/>
              </w:rPr>
              <w:t>控制开发强度，合理利用土地、水资源，避免过度开发</w:t>
            </w:r>
            <w:r>
              <w:rPr>
                <w:kern w:val="0"/>
                <w:sz w:val="24"/>
              </w:rPr>
              <w:t>。</w:t>
            </w:r>
          </w:p>
          <w:p>
            <w:pPr>
              <w:adjustRightInd w:val="0"/>
              <w:snapToGrid w:val="0"/>
              <w:spacing w:line="480" w:lineRule="exact"/>
              <w:ind w:firstLine="480" w:firstLineChars="200"/>
              <w:rPr>
                <w:sz w:val="24"/>
              </w:rPr>
            </w:pPr>
            <w:r>
              <w:rPr>
                <w:rFonts w:hint="eastAsia"/>
                <w:sz w:val="24"/>
                <w:lang w:val="en-US" w:eastAsia="zh-CN"/>
              </w:rPr>
              <w:t>本项目为</w:t>
            </w:r>
            <w:r>
              <w:rPr>
                <w:rFonts w:hint="eastAsia"/>
                <w:kern w:val="0"/>
                <w:sz w:val="24"/>
              </w:rPr>
              <w:t>“五台县湖滨大街西延等三条道路管网建设项目”</w:t>
            </w:r>
            <w:r>
              <w:rPr>
                <w:rFonts w:hint="eastAsia"/>
                <w:kern w:val="0"/>
                <w:sz w:val="24"/>
                <w:lang w:eastAsia="zh-CN"/>
              </w:rPr>
              <w:t>，</w:t>
            </w:r>
            <w:r>
              <w:rPr>
                <w:rFonts w:hint="eastAsia"/>
                <w:kern w:val="0"/>
                <w:sz w:val="24"/>
                <w:lang w:val="en-US" w:eastAsia="zh-CN"/>
              </w:rPr>
              <w:t>其中：</w:t>
            </w:r>
            <w:r>
              <w:rPr>
                <w:rFonts w:hint="eastAsia"/>
                <w:sz w:val="24"/>
                <w:lang w:val="en-US" w:eastAsia="zh-CN"/>
              </w:rPr>
              <w:t>东外环路作为城南区对外交通的一条主要通道，是规划路网中的一环；文昌路作为中心城区南北向的主要通道，是规划路网中的一纵；湖滨大街作为中心城区东西向的主要通道，是规划路网中的一横。现状湖滨大街、文昌路均为断头道路，东外环路路面较窄，已远远不能满足五台县对外的交通需求；因此，本项目的实施将促进《五台县县城总体规划》（2012~2030）中“道路交通规划”的实施，项目建设完成后对五台县中心城区道路网的完善具有重要意义。同时本项目涉及城市集中供热、供气、雨污水分流、再生水管网、绿化等工程建设，对区域生态环境质量的改善具有促进作用。</w:t>
            </w:r>
            <w:r>
              <w:rPr>
                <w:rFonts w:hint="eastAsia"/>
                <w:sz w:val="24"/>
              </w:rPr>
              <w:t>因此本项目的建设与区域主体功能的定位和发展方向</w:t>
            </w:r>
            <w:r>
              <w:rPr>
                <w:rFonts w:hint="eastAsia"/>
                <w:sz w:val="24"/>
                <w:lang w:val="en-US" w:eastAsia="zh-CN"/>
              </w:rPr>
              <w:t>相符</w:t>
            </w:r>
            <w:r>
              <w:rPr>
                <w:rFonts w:hint="eastAsia"/>
                <w:sz w:val="24"/>
              </w:rPr>
              <w:t>。</w:t>
            </w:r>
          </w:p>
          <w:p>
            <w:pPr>
              <w:adjustRightInd w:val="0"/>
              <w:snapToGrid w:val="0"/>
              <w:spacing w:line="480" w:lineRule="exact"/>
              <w:ind w:firstLine="480" w:firstLineChars="200"/>
              <w:rPr>
                <w:color w:val="auto"/>
                <w:kern w:val="0"/>
                <w:sz w:val="24"/>
              </w:rPr>
            </w:pPr>
            <w:r>
              <w:rPr>
                <w:color w:val="auto"/>
                <w:kern w:val="0"/>
                <w:sz w:val="24"/>
              </w:rPr>
              <w:t>本项目与山西省主体功能区规划相对位置见附图8。</w:t>
            </w:r>
          </w:p>
          <w:p>
            <w:pPr>
              <w:adjustRightInd w:val="0"/>
              <w:snapToGrid w:val="0"/>
              <w:spacing w:line="480" w:lineRule="exact"/>
              <w:ind w:firstLine="482" w:firstLineChars="200"/>
              <w:rPr>
                <w:b/>
                <w:bCs/>
                <w:kern w:val="0"/>
                <w:sz w:val="24"/>
              </w:rPr>
            </w:pPr>
            <w:r>
              <w:rPr>
                <w:b/>
                <w:bCs/>
                <w:kern w:val="0"/>
                <w:sz w:val="24"/>
              </w:rPr>
              <w:t>2、</w:t>
            </w:r>
            <w:r>
              <w:rPr>
                <w:rFonts w:hint="eastAsia"/>
                <w:b/>
                <w:bCs/>
                <w:kern w:val="0"/>
                <w:sz w:val="24"/>
                <w:lang w:val="en-US" w:eastAsia="zh-CN"/>
              </w:rPr>
              <w:t>五台</w:t>
            </w:r>
            <w:r>
              <w:rPr>
                <w:b/>
                <w:bCs/>
                <w:kern w:val="0"/>
                <w:sz w:val="24"/>
              </w:rPr>
              <w:t>县生态功能区划</w:t>
            </w:r>
          </w:p>
          <w:p>
            <w:pPr>
              <w:adjustRightInd w:val="0"/>
              <w:snapToGrid w:val="0"/>
              <w:spacing w:line="480" w:lineRule="exact"/>
              <w:ind w:firstLine="480" w:firstLineChars="200"/>
              <w:rPr>
                <w:kern w:val="0"/>
                <w:sz w:val="24"/>
              </w:rPr>
            </w:pPr>
            <w:r>
              <w:rPr>
                <w:rFonts w:hint="eastAsia"/>
                <w:kern w:val="0"/>
                <w:sz w:val="24"/>
              </w:rPr>
              <w:t>“五台县湖滨大街西延等三条道路管网建设项目”</w:t>
            </w:r>
            <w:r>
              <w:rPr>
                <w:kern w:val="0"/>
                <w:sz w:val="24"/>
              </w:rPr>
              <w:t>建设地点位于山西省</w:t>
            </w:r>
            <w:r>
              <w:rPr>
                <w:rFonts w:hint="eastAsia"/>
                <w:kern w:val="0"/>
                <w:sz w:val="24"/>
                <w:lang w:val="en-US" w:eastAsia="zh-CN"/>
              </w:rPr>
              <w:t>忻州</w:t>
            </w:r>
            <w:r>
              <w:rPr>
                <w:kern w:val="0"/>
                <w:sz w:val="24"/>
              </w:rPr>
              <w:t>市</w:t>
            </w:r>
            <w:r>
              <w:rPr>
                <w:rFonts w:hint="eastAsia"/>
                <w:kern w:val="0"/>
                <w:sz w:val="24"/>
                <w:lang w:val="en-US" w:eastAsia="zh-CN"/>
              </w:rPr>
              <w:t>五台</w:t>
            </w:r>
            <w:r>
              <w:rPr>
                <w:kern w:val="0"/>
                <w:sz w:val="24"/>
              </w:rPr>
              <w:t>县</w:t>
            </w:r>
            <w:r>
              <w:rPr>
                <w:rFonts w:hint="eastAsia"/>
                <w:kern w:val="0"/>
                <w:sz w:val="24"/>
                <w:lang w:val="en-US" w:eastAsia="zh-CN"/>
              </w:rPr>
              <w:t>中心城区</w:t>
            </w:r>
            <w:r>
              <w:rPr>
                <w:kern w:val="0"/>
                <w:sz w:val="24"/>
              </w:rPr>
              <w:t>，根据《</w:t>
            </w:r>
            <w:r>
              <w:rPr>
                <w:rFonts w:hint="eastAsia"/>
                <w:kern w:val="0"/>
                <w:sz w:val="24"/>
                <w:lang w:val="en-US" w:eastAsia="zh-CN"/>
              </w:rPr>
              <w:t>五台</w:t>
            </w:r>
            <w:r>
              <w:rPr>
                <w:kern w:val="0"/>
                <w:sz w:val="24"/>
              </w:rPr>
              <w:t>县生态功能区划》，本项目所在区域属于</w:t>
            </w:r>
            <w:r>
              <w:rPr>
                <w:rFonts w:hint="eastAsia"/>
                <w:color w:val="auto"/>
                <w:kern w:val="0"/>
                <w:sz w:val="24"/>
              </w:rPr>
              <w:t>Ⅳ五台山坳陷盆地水土保持生态功能区；该区包括台城镇、东雷、阳白、沟南西部、东冶镇中部及北部、茹村中部及北部、蒋坊中西部及南部、豆村镇南部，总面积691.8km</w:t>
            </w:r>
            <w:r>
              <w:rPr>
                <w:rFonts w:hint="eastAsia"/>
                <w:color w:val="auto"/>
                <w:kern w:val="0"/>
                <w:sz w:val="24"/>
                <w:vertAlign w:val="superscript"/>
              </w:rPr>
              <w:t>2</w:t>
            </w:r>
            <w:r>
              <w:rPr>
                <w:rFonts w:hint="eastAsia"/>
                <w:color w:val="auto"/>
                <w:kern w:val="0"/>
                <w:sz w:val="24"/>
              </w:rPr>
              <w:t>。占县域面积24.2%。</w:t>
            </w:r>
          </w:p>
          <w:p>
            <w:pPr>
              <w:adjustRightInd w:val="0"/>
              <w:snapToGrid w:val="0"/>
              <w:spacing w:line="480" w:lineRule="exact"/>
              <w:ind w:firstLine="480" w:firstLineChars="200"/>
              <w:rPr>
                <w:rFonts w:hint="default" w:eastAsia="宋体"/>
                <w:kern w:val="0"/>
                <w:sz w:val="24"/>
                <w:lang w:val="en-US" w:eastAsia="zh-CN"/>
              </w:rPr>
            </w:pPr>
            <w:r>
              <w:rPr>
                <w:rFonts w:hint="eastAsia"/>
                <w:kern w:val="0"/>
                <w:sz w:val="24"/>
                <w:lang w:val="en-US" w:eastAsia="zh-CN"/>
              </w:rPr>
              <w:t>该区主要的生态系统类型为农田生态系统和草地生态系统，植被类型主要以低覆度草和栽培植被为主，还有少量的林地零散分布；年降雨量为350-600mm，地势在800-1500m之间；地貌类型主要为中起伏侵蚀中低山、非粮峁黄土丘陵、冲洪积起伏平原，寒武纪地层和古元古界、第四系地层上更新统地层、全新统地层，土壤主要有山地褐土、淡褐土、淡褐土性土、草甸褐土，系统的主要生态服务功能为水土保持。</w:t>
            </w:r>
          </w:p>
          <w:p>
            <w:pPr>
              <w:adjustRightInd w:val="0"/>
              <w:snapToGrid w:val="0"/>
              <w:spacing w:line="480" w:lineRule="exact"/>
              <w:ind w:firstLine="482" w:firstLineChars="200"/>
              <w:rPr>
                <w:rFonts w:hint="default" w:eastAsia="宋体"/>
                <w:kern w:val="0"/>
                <w:sz w:val="24"/>
                <w:lang w:val="en-US" w:eastAsia="zh-CN"/>
              </w:rPr>
            </w:pPr>
            <w:r>
              <w:rPr>
                <w:rFonts w:hint="eastAsia"/>
                <w:b/>
                <w:bCs/>
                <w:kern w:val="0"/>
                <w:sz w:val="24"/>
                <w:lang w:val="en-US" w:eastAsia="zh-CN"/>
              </w:rPr>
              <w:t>该区的主要生态环境问题：</w:t>
            </w:r>
            <w:r>
              <w:rPr>
                <w:rFonts w:hint="eastAsia"/>
                <w:kern w:val="0"/>
                <w:sz w:val="24"/>
                <w:lang w:val="en-US" w:eastAsia="zh-CN"/>
              </w:rPr>
              <w:t>①五台县建成区位于该区内，其周边的工矿企业对该区域空气、水环境造成了污染，对地表、地下水和生态环境造成危害；②城区集中供热、集中供气和污水、垃圾集中处理等基础设施建设缓慢，导致城区环境空气质量和滹沱河水质严重超标；③城市水源井分布于城区和周边地带，易受人为活动的干扰，供水绝对安全得不到保证；④农业生产活动破坏植被，植被覆盖度低的区域有一定的水土流失现象，降低了土壤的服务功能；⑤农业耕作活动过程中过量使用化肥、农药及农膜等残留物影响土壤生态环境和造成面源污染，对地表水质产生影响；⑥农村居民区生活废弃物的排放和畜禽养殖产生的粪便对自身居住环境的影响。</w:t>
            </w:r>
          </w:p>
          <w:p>
            <w:pPr>
              <w:adjustRightInd w:val="0"/>
              <w:snapToGrid w:val="0"/>
              <w:spacing w:line="480" w:lineRule="exact"/>
              <w:ind w:firstLine="482" w:firstLineChars="200"/>
              <w:rPr>
                <w:rFonts w:hint="default"/>
                <w:kern w:val="0"/>
                <w:sz w:val="24"/>
                <w:lang w:val="en-US"/>
              </w:rPr>
            </w:pPr>
            <w:r>
              <w:rPr>
                <w:rFonts w:hint="eastAsia"/>
                <w:b/>
                <w:bCs/>
                <w:kern w:val="0"/>
                <w:sz w:val="24"/>
                <w:lang w:val="en-US" w:eastAsia="zh-CN"/>
              </w:rPr>
              <w:t>该区生态系统的保护措施和发展方向：</w:t>
            </w:r>
            <w:r>
              <w:rPr>
                <w:rFonts w:hint="eastAsia"/>
                <w:kern w:val="0"/>
                <w:sz w:val="24"/>
                <w:lang w:val="en-US" w:eastAsia="zh-CN"/>
              </w:rPr>
              <w:t>①城区要确保一定比例的公共绿地和生态用地，加强县城公园、绿化带、片林、草坪的建设与保护，大力推广庭院绿化和美化；②加大对城区环保基础设施建设的投入，集中财力物力，尽快完成集中供气供热工程并发挥效益，改善城区大气环境质量；③加快区内排污管网和垃圾无害化处置场建设，为污水处理厂正常运行和垃圾有序堆存提供条件；④依据水源地环境保护规划及保护区划分登记对水源地进行严格保护；⑤对于水土流失相对较重的区域，实施小流域治理和植树造林等生态恢复工程，加强植草、植树护岸林带建设注重效果，对已完成的工程要加大管护力度；⑥河岸两侧的耕地尽快实施测土配方施肥、施药工程，合理的使用化肥和农药；⑦科学实施种植养殖业，推动沼气与太阳能清洁能源的建设工程，并将其作为新农村建设的基础性工作，为解决农村环境污染和实现农村经济高效增长创造条件。</w:t>
            </w:r>
          </w:p>
          <w:p>
            <w:pPr>
              <w:adjustRightInd w:val="0"/>
              <w:snapToGrid w:val="0"/>
              <w:spacing w:line="480" w:lineRule="exact"/>
              <w:ind w:firstLine="480" w:firstLineChars="200"/>
              <w:rPr>
                <w:kern w:val="0"/>
                <w:sz w:val="24"/>
              </w:rPr>
            </w:pPr>
            <w:r>
              <w:rPr>
                <w:rFonts w:hint="eastAsia"/>
                <w:sz w:val="24"/>
                <w:lang w:val="en-US" w:eastAsia="zh-CN"/>
              </w:rPr>
              <w:t>本项目为</w:t>
            </w:r>
            <w:r>
              <w:rPr>
                <w:rFonts w:hint="eastAsia"/>
                <w:kern w:val="0"/>
                <w:sz w:val="24"/>
              </w:rPr>
              <w:t>“五台县湖滨大街西延等三条道路管网建设项目”</w:t>
            </w:r>
            <w:r>
              <w:rPr>
                <w:rFonts w:hint="eastAsia"/>
                <w:kern w:val="0"/>
                <w:sz w:val="24"/>
                <w:lang w:eastAsia="zh-CN"/>
              </w:rPr>
              <w:t>，</w:t>
            </w:r>
            <w:r>
              <w:rPr>
                <w:rFonts w:hint="eastAsia"/>
                <w:kern w:val="0"/>
                <w:sz w:val="24"/>
                <w:lang w:val="en-US" w:eastAsia="zh-CN"/>
              </w:rPr>
              <w:t>其中：</w:t>
            </w:r>
            <w:r>
              <w:rPr>
                <w:rFonts w:hint="eastAsia"/>
                <w:sz w:val="24"/>
                <w:lang w:val="en-US" w:eastAsia="zh-CN"/>
              </w:rPr>
              <w:t>东外环路作为城南区对外交通的一条主要通道，是规划路网中的一环；文昌路作为中心城区南北向的主要通道，是规划路网中的一纵；湖滨大街作为中心城区东西向的主要通道，是规划路网中的一横。现状湖滨大街、文昌路均为断头道路，东外环路路面较窄，已远远不能满足五台县对外的交通需求；因此，本项目的实施将促进《五台县县城总体规划》（2012~2030）中“道路交通规划”的实施，项目建设完成后对五台县中心城区道路网的完善具有重要意义。同时本项目涉及城市集中供热、供气、雨污水分流、再生水管网、绿化等工程建设，对区域生态环境质量的改善具有促进作用。</w:t>
            </w:r>
            <w:r>
              <w:rPr>
                <w:rFonts w:hint="eastAsia"/>
                <w:sz w:val="24"/>
              </w:rPr>
              <w:t>因此本项目的建设与Ⅳ五台山坳陷盆地水土保持生态功能区的保护措施和发展方向</w:t>
            </w:r>
            <w:r>
              <w:rPr>
                <w:rFonts w:hint="eastAsia"/>
                <w:sz w:val="24"/>
                <w:lang w:val="en-US" w:eastAsia="zh-CN"/>
              </w:rPr>
              <w:t>相符</w:t>
            </w:r>
            <w:r>
              <w:rPr>
                <w:rFonts w:hint="eastAsia"/>
                <w:sz w:val="24"/>
              </w:rPr>
              <w:t>。</w:t>
            </w:r>
          </w:p>
          <w:p>
            <w:pPr>
              <w:adjustRightInd w:val="0"/>
              <w:snapToGrid w:val="0"/>
              <w:spacing w:line="480" w:lineRule="exact"/>
              <w:ind w:firstLine="480" w:firstLineChars="200"/>
              <w:rPr>
                <w:kern w:val="0"/>
                <w:sz w:val="24"/>
              </w:rPr>
            </w:pPr>
            <w:r>
              <w:rPr>
                <w:kern w:val="0"/>
                <w:sz w:val="24"/>
              </w:rPr>
              <w:t>本项目与</w:t>
            </w:r>
            <w:r>
              <w:rPr>
                <w:rFonts w:hint="eastAsia"/>
                <w:kern w:val="0"/>
                <w:sz w:val="24"/>
                <w:lang w:val="en-US" w:eastAsia="zh-CN"/>
              </w:rPr>
              <w:t>五台</w:t>
            </w:r>
            <w:r>
              <w:rPr>
                <w:kern w:val="0"/>
                <w:sz w:val="24"/>
              </w:rPr>
              <w:t>县生态功能区划相对位置关系见附图9。</w:t>
            </w:r>
          </w:p>
          <w:p>
            <w:pPr>
              <w:adjustRightInd w:val="0"/>
              <w:snapToGrid w:val="0"/>
              <w:spacing w:line="480" w:lineRule="exact"/>
              <w:ind w:firstLine="482" w:firstLineChars="200"/>
              <w:rPr>
                <w:b/>
                <w:bCs/>
                <w:kern w:val="0"/>
                <w:sz w:val="24"/>
              </w:rPr>
            </w:pPr>
            <w:r>
              <w:rPr>
                <w:rFonts w:hint="eastAsia"/>
                <w:b/>
                <w:bCs/>
                <w:kern w:val="0"/>
                <w:sz w:val="24"/>
                <w:lang w:val="en-US" w:eastAsia="zh-CN"/>
              </w:rPr>
              <w:t>3</w:t>
            </w:r>
            <w:r>
              <w:rPr>
                <w:b/>
                <w:bCs/>
                <w:kern w:val="0"/>
                <w:sz w:val="24"/>
              </w:rPr>
              <w:t>、</w:t>
            </w:r>
            <w:r>
              <w:rPr>
                <w:rFonts w:hint="eastAsia"/>
                <w:b/>
                <w:bCs/>
                <w:kern w:val="0"/>
                <w:sz w:val="24"/>
                <w:lang w:val="en-US" w:eastAsia="zh-CN"/>
              </w:rPr>
              <w:t>五台</w:t>
            </w:r>
            <w:r>
              <w:rPr>
                <w:b/>
                <w:bCs/>
                <w:kern w:val="0"/>
                <w:sz w:val="24"/>
              </w:rPr>
              <w:t>县生态</w:t>
            </w:r>
            <w:r>
              <w:rPr>
                <w:rFonts w:hint="eastAsia"/>
                <w:b/>
                <w:bCs/>
                <w:kern w:val="0"/>
                <w:sz w:val="24"/>
                <w:lang w:val="en-US" w:eastAsia="zh-CN"/>
              </w:rPr>
              <w:t>经济</w:t>
            </w:r>
            <w:r>
              <w:rPr>
                <w:b/>
                <w:bCs/>
                <w:kern w:val="0"/>
                <w:sz w:val="24"/>
              </w:rPr>
              <w:t>区划</w:t>
            </w:r>
          </w:p>
          <w:p>
            <w:pPr>
              <w:adjustRightInd w:val="0"/>
              <w:snapToGrid w:val="0"/>
              <w:spacing w:line="480" w:lineRule="exact"/>
              <w:ind w:firstLine="480" w:firstLineChars="200"/>
              <w:rPr>
                <w:rFonts w:hint="default" w:eastAsia="宋体"/>
                <w:color w:val="0000FF"/>
                <w:kern w:val="0"/>
                <w:sz w:val="24"/>
                <w:vertAlign w:val="baseline"/>
                <w:lang w:val="en-US" w:eastAsia="zh-CN"/>
              </w:rPr>
            </w:pPr>
            <w:r>
              <w:rPr>
                <w:rFonts w:hint="eastAsia"/>
                <w:color w:val="auto"/>
                <w:kern w:val="0"/>
                <w:sz w:val="24"/>
              </w:rPr>
              <w:t>“五台县湖滨大街西延等三条道路管网建设项目”</w:t>
            </w:r>
            <w:r>
              <w:rPr>
                <w:color w:val="auto"/>
                <w:kern w:val="0"/>
                <w:sz w:val="24"/>
              </w:rPr>
              <w:t>建设地点位于山西省</w:t>
            </w:r>
            <w:r>
              <w:rPr>
                <w:rFonts w:hint="eastAsia"/>
                <w:color w:val="auto"/>
                <w:kern w:val="0"/>
                <w:sz w:val="24"/>
                <w:lang w:val="en-US" w:eastAsia="zh-CN"/>
              </w:rPr>
              <w:t>忻州</w:t>
            </w:r>
            <w:r>
              <w:rPr>
                <w:color w:val="auto"/>
                <w:kern w:val="0"/>
                <w:sz w:val="24"/>
              </w:rPr>
              <w:t>市</w:t>
            </w:r>
            <w:r>
              <w:rPr>
                <w:rFonts w:hint="eastAsia"/>
                <w:color w:val="auto"/>
                <w:kern w:val="0"/>
                <w:sz w:val="24"/>
                <w:lang w:val="en-US" w:eastAsia="zh-CN"/>
              </w:rPr>
              <w:t>五台</w:t>
            </w:r>
            <w:r>
              <w:rPr>
                <w:color w:val="auto"/>
                <w:kern w:val="0"/>
                <w:sz w:val="24"/>
              </w:rPr>
              <w:t>县</w:t>
            </w:r>
            <w:r>
              <w:rPr>
                <w:rFonts w:hint="eastAsia"/>
                <w:color w:val="auto"/>
                <w:kern w:val="0"/>
                <w:sz w:val="24"/>
                <w:lang w:val="en-US" w:eastAsia="zh-CN"/>
              </w:rPr>
              <w:t>中心城区</w:t>
            </w:r>
            <w:r>
              <w:rPr>
                <w:color w:val="auto"/>
                <w:kern w:val="0"/>
                <w:sz w:val="24"/>
              </w:rPr>
              <w:t>，根据《</w:t>
            </w:r>
            <w:r>
              <w:rPr>
                <w:rFonts w:hint="eastAsia"/>
                <w:color w:val="auto"/>
                <w:kern w:val="0"/>
                <w:sz w:val="24"/>
                <w:lang w:val="en-US" w:eastAsia="zh-CN"/>
              </w:rPr>
              <w:t>五台</w:t>
            </w:r>
            <w:r>
              <w:rPr>
                <w:color w:val="auto"/>
                <w:kern w:val="0"/>
                <w:sz w:val="24"/>
              </w:rPr>
              <w:t>县生态</w:t>
            </w:r>
            <w:r>
              <w:rPr>
                <w:rFonts w:hint="eastAsia"/>
                <w:color w:val="auto"/>
                <w:kern w:val="0"/>
                <w:sz w:val="24"/>
                <w:lang w:val="en-US" w:eastAsia="zh-CN"/>
              </w:rPr>
              <w:t>经济</w:t>
            </w:r>
            <w:r>
              <w:rPr>
                <w:color w:val="auto"/>
                <w:kern w:val="0"/>
                <w:sz w:val="24"/>
              </w:rPr>
              <w:t>区划》，本项目所在区域属于</w:t>
            </w:r>
            <w:r>
              <w:rPr>
                <w:rFonts w:hint="eastAsia"/>
                <w:color w:val="auto"/>
                <w:kern w:val="0"/>
                <w:sz w:val="24"/>
              </w:rPr>
              <w:t>Ⅳ</w:t>
            </w:r>
            <w:r>
              <w:rPr>
                <w:rFonts w:hint="eastAsia"/>
                <w:color w:val="auto"/>
                <w:kern w:val="0"/>
                <w:sz w:val="24"/>
                <w:vertAlign w:val="subscript"/>
                <w:lang w:val="en-US" w:eastAsia="zh-CN"/>
              </w:rPr>
              <w:t>1</w:t>
            </w:r>
            <w:r>
              <w:rPr>
                <w:rFonts w:hint="eastAsia"/>
                <w:color w:val="auto"/>
                <w:kern w:val="0"/>
                <w:sz w:val="24"/>
              </w:rPr>
              <w:t>五台</w:t>
            </w:r>
            <w:r>
              <w:rPr>
                <w:rFonts w:hint="eastAsia"/>
                <w:color w:val="auto"/>
                <w:kern w:val="0"/>
                <w:sz w:val="24"/>
                <w:lang w:val="en-US" w:eastAsia="zh-CN"/>
              </w:rPr>
              <w:t>县城镇商贸与工业综合经济区</w:t>
            </w:r>
            <w:r>
              <w:rPr>
                <w:rFonts w:hint="eastAsia"/>
                <w:color w:val="auto"/>
                <w:kern w:val="0"/>
                <w:sz w:val="24"/>
              </w:rPr>
              <w:t>；该区</w:t>
            </w:r>
            <w:r>
              <w:rPr>
                <w:rFonts w:hint="eastAsia"/>
                <w:color w:val="auto"/>
                <w:kern w:val="0"/>
                <w:sz w:val="24"/>
                <w:lang w:val="en-US" w:eastAsia="zh-CN"/>
              </w:rPr>
              <w:t>位于五台县台城镇及沟南、东冶中部地区及北部地区，面积约247km</w:t>
            </w:r>
            <w:r>
              <w:rPr>
                <w:rFonts w:hint="eastAsia"/>
                <w:color w:val="auto"/>
                <w:kern w:val="0"/>
                <w:sz w:val="24"/>
                <w:vertAlign w:val="superscript"/>
                <w:lang w:val="en-US" w:eastAsia="zh-CN"/>
              </w:rPr>
              <w:t>2</w:t>
            </w:r>
            <w:r>
              <w:rPr>
                <w:rFonts w:hint="eastAsia"/>
                <w:color w:val="auto"/>
                <w:kern w:val="0"/>
                <w:sz w:val="24"/>
                <w:vertAlign w:val="baseline"/>
                <w:lang w:val="en-US" w:eastAsia="zh-CN"/>
              </w:rPr>
              <w:t>。</w:t>
            </w:r>
          </w:p>
          <w:p>
            <w:pPr>
              <w:adjustRightInd w:val="0"/>
              <w:snapToGrid w:val="0"/>
              <w:spacing w:line="480" w:lineRule="exact"/>
              <w:ind w:firstLine="482" w:firstLineChars="200"/>
              <w:rPr>
                <w:rFonts w:hint="default" w:eastAsia="宋体"/>
                <w:color w:val="auto"/>
                <w:kern w:val="0"/>
                <w:sz w:val="24"/>
                <w:lang w:val="en-US" w:eastAsia="zh-CN"/>
              </w:rPr>
            </w:pPr>
            <w:r>
              <w:rPr>
                <w:rFonts w:hint="eastAsia"/>
                <w:b/>
                <w:bCs/>
                <w:color w:val="auto"/>
                <w:kern w:val="0"/>
                <w:sz w:val="24"/>
                <w:lang w:val="en-US" w:eastAsia="zh-CN"/>
              </w:rPr>
              <w:t>生态环境特征：</w:t>
            </w:r>
            <w:r>
              <w:rPr>
                <w:rFonts w:hint="eastAsia"/>
                <w:color w:val="auto"/>
                <w:kern w:val="0"/>
                <w:sz w:val="24"/>
                <w:lang w:val="en-US" w:eastAsia="zh-CN"/>
              </w:rPr>
              <w:t>该区海拔在1300-1400m之间，地貌类型主要为冲洪积起伏平原及黄土丘陵（非梁峁）；年平均降水量在350-500mm；土壤类型为淡褐土；寒武纪地层和古元古界、第四系地层上更新统地层、全新统地层，土地利用现状主要为旱地、城镇用地；该区域植被状况较差，植被覆盖度在20%以下，植物类型主要以栽培植被为主。该区域水资源、土地资源、承载力已达极限，水环境与大气环境容量已经超载，环境资源基本无承载能力。城镇的开发与建设在逐渐扩展，城区周围分布有建材和煤炭加工产业，现状开发密度较大。</w:t>
            </w:r>
          </w:p>
          <w:p>
            <w:pPr>
              <w:adjustRightInd w:val="0"/>
              <w:snapToGrid w:val="0"/>
              <w:spacing w:line="480" w:lineRule="exact"/>
              <w:ind w:firstLine="482" w:firstLineChars="200"/>
              <w:rPr>
                <w:kern w:val="0"/>
                <w:sz w:val="24"/>
              </w:rPr>
            </w:pPr>
            <w:r>
              <w:rPr>
                <w:rFonts w:hint="eastAsia"/>
                <w:b/>
                <w:bCs/>
                <w:kern w:val="0"/>
                <w:sz w:val="24"/>
                <w:lang w:val="en-US" w:eastAsia="zh-CN"/>
              </w:rPr>
              <w:t>发展方向：限制：</w:t>
            </w:r>
            <w:r>
              <w:rPr>
                <w:rFonts w:hint="eastAsia"/>
                <w:b w:val="0"/>
                <w:bCs w:val="0"/>
                <w:kern w:val="0"/>
                <w:sz w:val="24"/>
                <w:lang w:val="en-US" w:eastAsia="zh-CN"/>
              </w:rPr>
              <w:t>限制任何有污染隐患的工业项目在该区建设。</w:t>
            </w:r>
            <w:r>
              <w:rPr>
                <w:rFonts w:hint="eastAsia"/>
                <w:b/>
                <w:bCs/>
                <w:kern w:val="0"/>
                <w:sz w:val="24"/>
                <w:lang w:val="en-US" w:eastAsia="zh-CN"/>
              </w:rPr>
              <w:t>鼓励：</w:t>
            </w:r>
            <w:r>
              <w:rPr>
                <w:rFonts w:hint="eastAsia"/>
                <w:kern w:val="0"/>
                <w:sz w:val="24"/>
                <w:lang w:val="en-US" w:eastAsia="zh-CN"/>
              </w:rPr>
              <w:t>①鼓励发展商业、文化、旅游服务为主导的第三产业，建成生态环境优美的城镇；②鼓励发展高新技术及无污染的各类加工工业；③发展以小杂粮和蔬菜种植与加工为主导的生态农业经济。</w:t>
            </w:r>
          </w:p>
          <w:p>
            <w:pPr>
              <w:adjustRightInd w:val="0"/>
              <w:snapToGrid w:val="0"/>
              <w:spacing w:line="480" w:lineRule="exact"/>
              <w:ind w:firstLine="482" w:firstLineChars="200"/>
              <w:rPr>
                <w:rFonts w:hint="default" w:eastAsia="宋体"/>
                <w:kern w:val="0"/>
                <w:sz w:val="24"/>
                <w:lang w:val="en-US" w:eastAsia="zh-CN"/>
              </w:rPr>
            </w:pPr>
            <w:r>
              <w:rPr>
                <w:rFonts w:hint="eastAsia"/>
                <w:b/>
                <w:bCs/>
                <w:kern w:val="0"/>
                <w:sz w:val="24"/>
                <w:lang w:val="en-US" w:eastAsia="zh-CN"/>
              </w:rPr>
              <w:t>生态环境保护要求：</w:t>
            </w:r>
            <w:r>
              <w:rPr>
                <w:rFonts w:hint="eastAsia"/>
                <w:kern w:val="0"/>
                <w:sz w:val="24"/>
                <w:lang w:val="en-US" w:eastAsia="zh-CN"/>
              </w:rPr>
              <w:t>①城镇周边的农村发展沼气、太阳能等清洁能源产业，为绿色农业经济提供肥源；②城区要依据城镇规划实施改造，逐步完善城区供气、供热、污水、生活垃圾收集与处理和加强公园、绿化带、片林、草坪等方面的基础设施建设，改善城区环境质量；③对现有污染工业进行综合整治和生态恢复，实施产业布局与产业结构的双重调整，缓解该区工业经济对环境和居民生活影响的压力；④该区域大气环境容量已经超载，必须按国家产业政策对现有的采矿选矿企业实施全面整顿，关停违反国家矿业开发有关法规的企业；⑤经济发展的着力点必须放在引进技术含量高，经济效益好，消耗资源与环境容量少的高新产业；⑥该区域人口密集，引导超载人口逐步有序向城镇周边的农村转移；⑦规范城镇空间开发格局，坚持保护优先，适度发展机械、电子和无污染的加工产业。</w:t>
            </w:r>
          </w:p>
          <w:p>
            <w:pPr>
              <w:adjustRightInd w:val="0"/>
              <w:snapToGrid w:val="0"/>
              <w:spacing w:line="480" w:lineRule="exact"/>
              <w:ind w:firstLine="480" w:firstLineChars="200"/>
              <w:rPr>
                <w:rFonts w:hint="eastAsia"/>
                <w:sz w:val="24"/>
              </w:rPr>
            </w:pPr>
            <w:r>
              <w:rPr>
                <w:rFonts w:hint="eastAsia"/>
                <w:sz w:val="24"/>
                <w:lang w:val="en-US" w:eastAsia="zh-CN"/>
              </w:rPr>
              <w:t>本项目为</w:t>
            </w:r>
            <w:r>
              <w:rPr>
                <w:rFonts w:hint="eastAsia"/>
                <w:kern w:val="0"/>
                <w:sz w:val="24"/>
              </w:rPr>
              <w:t>“五台县湖滨大街西延等三条道路管网建设项目”</w:t>
            </w:r>
            <w:r>
              <w:rPr>
                <w:rFonts w:hint="eastAsia"/>
                <w:kern w:val="0"/>
                <w:sz w:val="24"/>
                <w:lang w:eastAsia="zh-CN"/>
              </w:rPr>
              <w:t>，</w:t>
            </w:r>
            <w:r>
              <w:rPr>
                <w:rFonts w:hint="eastAsia"/>
                <w:kern w:val="0"/>
                <w:sz w:val="24"/>
                <w:lang w:val="en-US" w:eastAsia="zh-CN"/>
              </w:rPr>
              <w:t>其中：</w:t>
            </w:r>
            <w:r>
              <w:rPr>
                <w:rFonts w:hint="eastAsia"/>
                <w:sz w:val="24"/>
                <w:lang w:val="en-US" w:eastAsia="zh-CN"/>
              </w:rPr>
              <w:t>东外环路作为城南区对外交通的一条主要通道，是规划路网中的一环；文昌路作为中心城区南北向的主要通道，是规划路网中的一纵；湖滨大街作为中心城区东西向的主要通道，是规划路网中的一横。现状湖滨大街、文昌路均为断头道路，东外环路路面较窄，已远远不能满足五台县对外的交通需求；因此，本项目的实施将促进《五台县县城总体规划》（2012~2030）中“道路交通规划”的实施，项目建设完成后对五台县中心城区道路网的完善具有重要意义。同时本项目涉及城市集中供热、供气、雨污水分流、再生水管网、绿化等工程建设，对区域生态环境质量的改善具有促进作用。</w:t>
            </w:r>
            <w:r>
              <w:rPr>
                <w:rFonts w:hint="eastAsia"/>
                <w:sz w:val="24"/>
              </w:rPr>
              <w:t>因此本项目的建设与</w:t>
            </w:r>
            <w:r>
              <w:rPr>
                <w:rFonts w:hint="eastAsia"/>
                <w:color w:val="auto"/>
                <w:kern w:val="0"/>
                <w:sz w:val="24"/>
              </w:rPr>
              <w:t>Ⅳ</w:t>
            </w:r>
            <w:r>
              <w:rPr>
                <w:rFonts w:hint="eastAsia"/>
                <w:color w:val="auto"/>
                <w:kern w:val="0"/>
                <w:sz w:val="24"/>
                <w:vertAlign w:val="subscript"/>
                <w:lang w:val="en-US" w:eastAsia="zh-CN"/>
              </w:rPr>
              <w:t>1</w:t>
            </w:r>
            <w:r>
              <w:rPr>
                <w:rFonts w:hint="eastAsia"/>
                <w:color w:val="auto"/>
                <w:kern w:val="0"/>
                <w:sz w:val="24"/>
              </w:rPr>
              <w:t>五台</w:t>
            </w:r>
            <w:r>
              <w:rPr>
                <w:rFonts w:hint="eastAsia"/>
                <w:color w:val="auto"/>
                <w:kern w:val="0"/>
                <w:sz w:val="24"/>
                <w:lang w:val="en-US" w:eastAsia="zh-CN"/>
              </w:rPr>
              <w:t>县城镇商贸与工业综合经济区</w:t>
            </w:r>
            <w:r>
              <w:rPr>
                <w:rFonts w:hint="eastAsia"/>
                <w:sz w:val="24"/>
              </w:rPr>
              <w:t>的保护措施和发展方向</w:t>
            </w:r>
            <w:r>
              <w:rPr>
                <w:rFonts w:hint="eastAsia"/>
                <w:sz w:val="24"/>
                <w:lang w:val="en-US" w:eastAsia="zh-CN"/>
              </w:rPr>
              <w:t>相符</w:t>
            </w:r>
            <w:r>
              <w:rPr>
                <w:rFonts w:hint="eastAsia"/>
                <w:sz w:val="24"/>
              </w:rPr>
              <w:t>。</w:t>
            </w:r>
          </w:p>
          <w:p>
            <w:pPr>
              <w:adjustRightInd w:val="0"/>
              <w:snapToGrid w:val="0"/>
              <w:spacing w:line="480" w:lineRule="exact"/>
              <w:ind w:firstLine="480" w:firstLineChars="200"/>
              <w:rPr>
                <w:rFonts w:hint="eastAsia" w:eastAsia="宋体"/>
                <w:kern w:val="0"/>
                <w:sz w:val="24"/>
                <w:lang w:val="en-US" w:eastAsia="zh-CN"/>
              </w:rPr>
            </w:pPr>
            <w:r>
              <w:rPr>
                <w:kern w:val="0"/>
                <w:sz w:val="24"/>
              </w:rPr>
              <w:t>本项目与</w:t>
            </w:r>
            <w:r>
              <w:rPr>
                <w:rFonts w:hint="eastAsia"/>
                <w:kern w:val="0"/>
                <w:sz w:val="24"/>
                <w:lang w:val="en-US" w:eastAsia="zh-CN"/>
              </w:rPr>
              <w:t>五台</w:t>
            </w:r>
            <w:r>
              <w:rPr>
                <w:kern w:val="0"/>
                <w:sz w:val="24"/>
              </w:rPr>
              <w:t>县生态功能区划相对位置关系见附图</w:t>
            </w:r>
            <w:r>
              <w:rPr>
                <w:rFonts w:hint="eastAsia"/>
                <w:kern w:val="0"/>
                <w:sz w:val="24"/>
                <w:lang w:val="en-US" w:eastAsia="zh-CN"/>
              </w:rPr>
              <w:t>10</w:t>
            </w:r>
            <w:r>
              <w:rPr>
                <w:kern w:val="0"/>
                <w:sz w:val="24"/>
              </w:rPr>
              <w:t>。</w:t>
            </w:r>
          </w:p>
          <w:p>
            <w:pPr>
              <w:adjustRightInd w:val="0"/>
              <w:snapToGrid w:val="0"/>
              <w:spacing w:line="480" w:lineRule="exact"/>
              <w:ind w:firstLine="482" w:firstLineChars="200"/>
              <w:rPr>
                <w:b/>
                <w:bCs/>
                <w:kern w:val="0"/>
                <w:sz w:val="24"/>
                <w:szCs w:val="24"/>
              </w:rPr>
            </w:pPr>
            <w:r>
              <w:rPr>
                <w:b/>
                <w:bCs/>
                <w:kern w:val="0"/>
                <w:sz w:val="24"/>
                <w:szCs w:val="24"/>
              </w:rPr>
              <w:t>3、</w:t>
            </w:r>
            <w:r>
              <w:rPr>
                <w:rFonts w:hint="eastAsia"/>
                <w:b/>
                <w:bCs/>
                <w:kern w:val="0"/>
                <w:sz w:val="24"/>
                <w:szCs w:val="24"/>
              </w:rPr>
              <w:t>生态环境现状</w:t>
            </w:r>
          </w:p>
          <w:p>
            <w:pPr>
              <w:adjustRightInd w:val="0"/>
              <w:snapToGrid w:val="0"/>
              <w:spacing w:line="480" w:lineRule="exact"/>
              <w:ind w:firstLine="482" w:firstLineChars="200"/>
              <w:rPr>
                <w:b/>
                <w:bCs/>
                <w:kern w:val="0"/>
                <w:sz w:val="24"/>
                <w:szCs w:val="24"/>
              </w:rPr>
            </w:pPr>
            <w:r>
              <w:rPr>
                <w:rFonts w:hint="eastAsia"/>
                <w:b/>
                <w:bCs/>
                <w:kern w:val="0"/>
                <w:sz w:val="24"/>
                <w:szCs w:val="24"/>
              </w:rPr>
              <w:t>（1）土地利用类型</w:t>
            </w:r>
          </w:p>
          <w:p>
            <w:pPr>
              <w:adjustRightInd w:val="0"/>
              <w:snapToGrid w:val="0"/>
              <w:spacing w:line="480" w:lineRule="exact"/>
              <w:ind w:firstLine="480" w:firstLineChars="200"/>
              <w:rPr>
                <w:rFonts w:hint="eastAsia"/>
                <w:color w:val="FF0000"/>
                <w:sz w:val="24"/>
                <w:szCs w:val="24"/>
              </w:rPr>
            </w:pPr>
            <w:r>
              <w:rPr>
                <w:rFonts w:hint="eastAsia"/>
                <w:sz w:val="24"/>
                <w:szCs w:val="24"/>
              </w:rPr>
              <w:t>本项目评价区域为道路边界外扩</w:t>
            </w:r>
            <w:r>
              <w:rPr>
                <w:rFonts w:hint="eastAsia"/>
                <w:sz w:val="24"/>
                <w:szCs w:val="24"/>
                <w:lang w:val="en-US" w:eastAsia="zh-CN"/>
              </w:rPr>
              <w:t>30</w:t>
            </w:r>
            <w:r>
              <w:rPr>
                <w:rFonts w:hint="eastAsia"/>
                <w:sz w:val="24"/>
                <w:szCs w:val="24"/>
              </w:rPr>
              <w:t>0m</w:t>
            </w:r>
            <w:r>
              <w:rPr>
                <w:rFonts w:hint="eastAsia"/>
                <w:color w:val="auto"/>
                <w:sz w:val="24"/>
                <w:szCs w:val="24"/>
              </w:rPr>
              <w:t>范围，</w:t>
            </w:r>
            <w:r>
              <w:rPr>
                <w:rFonts w:hint="eastAsia"/>
                <w:color w:val="auto"/>
                <w:sz w:val="24"/>
                <w:szCs w:val="24"/>
                <w:lang w:val="en-US" w:eastAsia="zh-CN"/>
              </w:rPr>
              <w:t>其中道路面面积为20.0662hm</w:t>
            </w:r>
            <w:r>
              <w:rPr>
                <w:rFonts w:hint="eastAsia"/>
                <w:color w:val="auto"/>
                <w:sz w:val="24"/>
                <w:szCs w:val="24"/>
                <w:vertAlign w:val="superscript"/>
                <w:lang w:val="en-US" w:eastAsia="zh-CN"/>
              </w:rPr>
              <w:t>2</w:t>
            </w:r>
            <w:r>
              <w:rPr>
                <w:rFonts w:hint="eastAsia"/>
                <w:color w:val="auto"/>
                <w:sz w:val="24"/>
                <w:szCs w:val="24"/>
                <w:lang w:val="en-US" w:eastAsia="zh-CN"/>
              </w:rPr>
              <w:t>，</w:t>
            </w:r>
            <w:r>
              <w:rPr>
                <w:rFonts w:hint="eastAsia"/>
                <w:color w:val="auto"/>
                <w:sz w:val="24"/>
                <w:szCs w:val="24"/>
              </w:rPr>
              <w:t>评价区域面积</w:t>
            </w:r>
            <w:r>
              <w:rPr>
                <w:rFonts w:hint="eastAsia"/>
                <w:color w:val="auto"/>
                <w:sz w:val="24"/>
                <w:szCs w:val="24"/>
                <w:lang w:val="en-US" w:eastAsia="zh-CN"/>
              </w:rPr>
              <w:t>379.3004</w:t>
            </w:r>
            <w:r>
              <w:rPr>
                <w:rFonts w:hint="eastAsia"/>
                <w:color w:val="auto"/>
                <w:sz w:val="24"/>
                <w:szCs w:val="24"/>
              </w:rPr>
              <w:t>hm</w:t>
            </w:r>
            <w:r>
              <w:rPr>
                <w:rFonts w:hint="eastAsia"/>
                <w:color w:val="auto"/>
                <w:sz w:val="24"/>
                <w:szCs w:val="24"/>
                <w:vertAlign w:val="superscript"/>
              </w:rPr>
              <w:t>2</w:t>
            </w:r>
            <w:r>
              <w:rPr>
                <w:rFonts w:hint="eastAsia"/>
                <w:color w:val="auto"/>
                <w:sz w:val="24"/>
                <w:szCs w:val="24"/>
              </w:rPr>
              <w:t>。</w:t>
            </w:r>
          </w:p>
          <w:p>
            <w:pPr>
              <w:adjustRightInd w:val="0"/>
              <w:snapToGrid w:val="0"/>
              <w:spacing w:line="480" w:lineRule="exact"/>
              <w:ind w:firstLine="480" w:firstLineChars="200"/>
              <w:rPr>
                <w:rFonts w:hint="eastAsia"/>
                <w:color w:val="auto"/>
                <w:sz w:val="24"/>
                <w:szCs w:val="24"/>
              </w:rPr>
            </w:pPr>
            <w:r>
              <w:rPr>
                <w:rFonts w:hint="eastAsia"/>
                <w:sz w:val="24"/>
                <w:szCs w:val="24"/>
              </w:rPr>
              <w:t>本次评价依据《土地利用现状分类》（GB/T  21010-2017）中的土地利用分类标准，遥感数据选取2021年7月13日的分辨率为10米欧空局sentinel-2数据做为数据源，利用3S技术在对其进行几何校正、波段组合、增强处理等预处理后，根据土地覆盖解译判读标志并辅以1：50000地形图进行人机交互目视判读解译，并</w:t>
            </w:r>
            <w:r>
              <w:rPr>
                <w:rFonts w:hint="eastAsia"/>
                <w:color w:val="auto"/>
                <w:sz w:val="24"/>
                <w:szCs w:val="24"/>
              </w:rPr>
              <w:t>根据现场踏勘的调查结果对解译成果进行修正，以提取评价区域的土地利用信息。</w:t>
            </w:r>
          </w:p>
          <w:p>
            <w:pPr>
              <w:adjustRightInd w:val="0"/>
              <w:snapToGrid w:val="0"/>
              <w:spacing w:line="480" w:lineRule="exact"/>
              <w:ind w:firstLine="480" w:firstLineChars="200"/>
              <w:rPr>
                <w:sz w:val="24"/>
                <w:szCs w:val="24"/>
              </w:rPr>
            </w:pPr>
            <w:r>
              <w:rPr>
                <w:rFonts w:hint="eastAsia"/>
                <w:color w:val="auto"/>
                <w:sz w:val="24"/>
                <w:szCs w:val="24"/>
              </w:rPr>
              <w:t>项目建设区域的土地利</w:t>
            </w:r>
            <w:r>
              <w:rPr>
                <w:rFonts w:hint="eastAsia"/>
                <w:sz w:val="24"/>
                <w:szCs w:val="24"/>
              </w:rPr>
              <w:t>用现状分类统计见表</w:t>
            </w:r>
            <w:r>
              <w:rPr>
                <w:sz w:val="24"/>
                <w:szCs w:val="24"/>
              </w:rPr>
              <w:t>3-</w:t>
            </w:r>
            <w:r>
              <w:rPr>
                <w:rFonts w:hint="eastAsia"/>
                <w:sz w:val="24"/>
                <w:szCs w:val="24"/>
                <w:lang w:val="en-US" w:eastAsia="zh-CN"/>
              </w:rPr>
              <w:t>1</w:t>
            </w:r>
            <w:r>
              <w:rPr>
                <w:sz w:val="24"/>
                <w:szCs w:val="24"/>
              </w:rPr>
              <w:t>~</w:t>
            </w:r>
            <w:r>
              <w:rPr>
                <w:rFonts w:hint="eastAsia"/>
                <w:sz w:val="24"/>
                <w:szCs w:val="24"/>
                <w:lang w:val="en-US" w:eastAsia="zh-CN"/>
              </w:rPr>
              <w:t>2</w:t>
            </w:r>
            <w:r>
              <w:rPr>
                <w:rFonts w:hint="eastAsia"/>
                <w:sz w:val="24"/>
                <w:szCs w:val="24"/>
              </w:rPr>
              <w:t>，土地利用类型分布图见附图</w:t>
            </w:r>
            <w:r>
              <w:rPr>
                <w:sz w:val="24"/>
                <w:szCs w:val="24"/>
              </w:rPr>
              <w:t>1</w:t>
            </w:r>
            <w:r>
              <w:rPr>
                <w:rFonts w:hint="eastAsia"/>
                <w:sz w:val="24"/>
                <w:szCs w:val="24"/>
                <w:lang w:val="en-US" w:eastAsia="zh-CN"/>
              </w:rPr>
              <w:t>1</w:t>
            </w:r>
            <w:r>
              <w:rPr>
                <w:rFonts w:hint="eastAsia"/>
                <w:sz w:val="24"/>
                <w:szCs w:val="24"/>
              </w:rPr>
              <w:t>。</w:t>
            </w:r>
          </w:p>
          <w:p>
            <w:pPr>
              <w:adjustRightInd w:val="0"/>
              <w:snapToGrid w:val="0"/>
              <w:spacing w:line="480" w:lineRule="exact"/>
              <w:jc w:val="center"/>
              <w:rPr>
                <w:rFonts w:ascii="黑体" w:hAnsi="黑体" w:eastAsia="黑体" w:cs="Courier New"/>
                <w:bCs/>
                <w:color w:val="auto"/>
                <w:kern w:val="32"/>
                <w:sz w:val="24"/>
              </w:rPr>
            </w:pPr>
            <w:r>
              <w:rPr>
                <w:rFonts w:ascii="黑体" w:hAnsi="黑体" w:eastAsia="黑体" w:cs="Courier New"/>
                <w:bCs/>
                <w:color w:val="auto"/>
                <w:kern w:val="32"/>
                <w:sz w:val="24"/>
              </w:rPr>
              <w:t>表3-</w:t>
            </w:r>
            <w:r>
              <w:rPr>
                <w:rFonts w:hint="eastAsia" w:ascii="黑体" w:hAnsi="黑体" w:eastAsia="黑体" w:cs="Courier New"/>
                <w:bCs/>
                <w:color w:val="auto"/>
                <w:kern w:val="32"/>
                <w:sz w:val="24"/>
                <w:lang w:val="en-US" w:eastAsia="zh-CN"/>
              </w:rPr>
              <w:t>1</w:t>
            </w:r>
            <w:r>
              <w:rPr>
                <w:rFonts w:hint="eastAsia" w:ascii="黑体" w:hAnsi="黑体" w:eastAsia="黑体" w:cs="Courier New"/>
                <w:bCs/>
                <w:color w:val="auto"/>
                <w:kern w:val="32"/>
                <w:sz w:val="24"/>
              </w:rPr>
              <w:t xml:space="preserve">  </w:t>
            </w:r>
            <w:r>
              <w:rPr>
                <w:rFonts w:hint="eastAsia" w:ascii="黑体" w:hAnsi="黑体" w:eastAsia="黑体"/>
                <w:color w:val="auto"/>
                <w:sz w:val="24"/>
                <w:szCs w:val="22"/>
              </w:rPr>
              <w:t>本项目生态影响评价范围内土地利用类型现状分布情况一览表</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4"/>
              <w:gridCol w:w="2134"/>
              <w:gridCol w:w="2134"/>
              <w:gridCol w:w="21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4" w:type="dxa"/>
                  <w:vAlign w:val="center"/>
                </w:tcPr>
                <w:p>
                  <w:pPr>
                    <w:jc w:val="center"/>
                    <w:rPr>
                      <w:color w:val="auto"/>
                      <w:kern w:val="0"/>
                    </w:rPr>
                  </w:pPr>
                  <w:r>
                    <w:rPr>
                      <w:rFonts w:hint="eastAsia"/>
                      <w:color w:val="auto"/>
                      <w:kern w:val="0"/>
                    </w:rPr>
                    <w:t>范围</w:t>
                  </w:r>
                </w:p>
              </w:tc>
              <w:tc>
                <w:tcPr>
                  <w:tcW w:w="2134" w:type="dxa"/>
                  <w:vAlign w:val="center"/>
                </w:tcPr>
                <w:p>
                  <w:pPr>
                    <w:jc w:val="center"/>
                    <w:rPr>
                      <w:color w:val="auto"/>
                      <w:kern w:val="0"/>
                    </w:rPr>
                  </w:pPr>
                  <w:r>
                    <w:rPr>
                      <w:rFonts w:hint="eastAsia"/>
                      <w:color w:val="auto"/>
                      <w:kern w:val="0"/>
                    </w:rPr>
                    <w:t>土地利用类型</w:t>
                  </w:r>
                </w:p>
              </w:tc>
              <w:tc>
                <w:tcPr>
                  <w:tcW w:w="2134" w:type="dxa"/>
                  <w:vAlign w:val="center"/>
                </w:tcPr>
                <w:p>
                  <w:pPr>
                    <w:jc w:val="center"/>
                    <w:rPr>
                      <w:color w:val="auto"/>
                      <w:kern w:val="0"/>
                    </w:rPr>
                  </w:pPr>
                  <w:r>
                    <w:rPr>
                      <w:rFonts w:hint="eastAsia"/>
                      <w:color w:val="auto"/>
                      <w:kern w:val="0"/>
                    </w:rPr>
                    <w:t>面积hm</w:t>
                  </w:r>
                  <w:r>
                    <w:rPr>
                      <w:color w:val="auto"/>
                      <w:kern w:val="0"/>
                      <w:vertAlign w:val="superscript"/>
                    </w:rPr>
                    <w:t>2</w:t>
                  </w:r>
                </w:p>
              </w:tc>
              <w:tc>
                <w:tcPr>
                  <w:tcW w:w="2134" w:type="dxa"/>
                  <w:vAlign w:val="center"/>
                </w:tcPr>
                <w:p>
                  <w:pPr>
                    <w:jc w:val="center"/>
                    <w:rPr>
                      <w:color w:val="auto"/>
                      <w:kern w:val="0"/>
                    </w:rPr>
                  </w:pPr>
                  <w:r>
                    <w:rPr>
                      <w:rFonts w:hint="eastAsia"/>
                      <w:color w:val="auto"/>
                      <w:kern w:val="0"/>
                    </w:rPr>
                    <w:t>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4" w:type="dxa"/>
                  <w:vMerge w:val="restart"/>
                  <w:vAlign w:val="center"/>
                </w:tcPr>
                <w:p>
                  <w:pPr>
                    <w:jc w:val="center"/>
                    <w:rPr>
                      <w:color w:val="auto"/>
                      <w:kern w:val="0"/>
                    </w:rPr>
                  </w:pPr>
                  <w:r>
                    <w:rPr>
                      <w:rFonts w:hint="eastAsia"/>
                      <w:color w:val="auto"/>
                      <w:kern w:val="0"/>
                    </w:rPr>
                    <w:t>评价范围</w:t>
                  </w:r>
                </w:p>
              </w:tc>
              <w:tc>
                <w:tcPr>
                  <w:tcW w:w="2134" w:type="dxa"/>
                  <w:vAlign w:val="center"/>
                </w:tcPr>
                <w:p>
                  <w:pPr>
                    <w:jc w:val="center"/>
                    <w:rPr>
                      <w:color w:val="auto"/>
                      <w:kern w:val="0"/>
                    </w:rPr>
                  </w:pPr>
                  <w:r>
                    <w:rPr>
                      <w:rFonts w:hint="eastAsia"/>
                      <w:color w:val="auto"/>
                      <w:lang w:val="en-US" w:eastAsia="zh-CN"/>
                    </w:rPr>
                    <w:t>乔木</w:t>
                  </w:r>
                  <w:r>
                    <w:rPr>
                      <w:rFonts w:hint="eastAsia"/>
                      <w:color w:val="auto"/>
                    </w:rPr>
                    <w:t>林地</w:t>
                  </w:r>
                </w:p>
              </w:tc>
              <w:tc>
                <w:tcPr>
                  <w:tcW w:w="2134" w:type="dxa"/>
                  <w:vAlign w:val="center"/>
                </w:tcPr>
                <w:p>
                  <w:pPr>
                    <w:jc w:val="center"/>
                    <w:rPr>
                      <w:rFonts w:hint="default" w:eastAsia="宋体"/>
                      <w:color w:val="auto"/>
                      <w:kern w:val="0"/>
                      <w:lang w:val="en-US" w:eastAsia="zh-CN"/>
                    </w:rPr>
                  </w:pPr>
                  <w:r>
                    <w:rPr>
                      <w:rFonts w:hint="eastAsia"/>
                      <w:color w:val="auto"/>
                      <w:kern w:val="0"/>
                      <w:lang w:val="en-US" w:eastAsia="zh-CN"/>
                    </w:rPr>
                    <w:t>53.8986</w:t>
                  </w:r>
                </w:p>
              </w:tc>
              <w:tc>
                <w:tcPr>
                  <w:tcW w:w="2134" w:type="dxa"/>
                  <w:vAlign w:val="center"/>
                </w:tcPr>
                <w:p>
                  <w:pPr>
                    <w:jc w:val="center"/>
                    <w:rPr>
                      <w:rFonts w:hint="eastAsia"/>
                      <w:color w:val="auto"/>
                      <w:kern w:val="0"/>
                      <w:lang w:val="en-US" w:eastAsia="zh-CN"/>
                    </w:rPr>
                  </w:pPr>
                  <w:r>
                    <w:rPr>
                      <w:rFonts w:hint="eastAsia"/>
                      <w:color w:val="auto"/>
                      <w:kern w:val="0"/>
                      <w:lang w:val="en-US" w:eastAsia="zh-CN"/>
                    </w:rPr>
                    <w:t>14.21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4" w:type="dxa"/>
                  <w:vMerge w:val="continue"/>
                  <w:vAlign w:val="center"/>
                </w:tcPr>
                <w:p>
                  <w:pPr>
                    <w:jc w:val="center"/>
                    <w:rPr>
                      <w:color w:val="auto"/>
                      <w:kern w:val="0"/>
                    </w:rPr>
                  </w:pPr>
                </w:p>
              </w:tc>
              <w:tc>
                <w:tcPr>
                  <w:tcW w:w="2134" w:type="dxa"/>
                  <w:vAlign w:val="center"/>
                </w:tcPr>
                <w:p>
                  <w:pPr>
                    <w:jc w:val="center"/>
                    <w:rPr>
                      <w:color w:val="auto"/>
                      <w:kern w:val="0"/>
                    </w:rPr>
                  </w:pPr>
                  <w:r>
                    <w:rPr>
                      <w:rFonts w:hint="eastAsia"/>
                      <w:color w:val="auto"/>
                    </w:rPr>
                    <w:t>灌木林地</w:t>
                  </w:r>
                </w:p>
              </w:tc>
              <w:tc>
                <w:tcPr>
                  <w:tcW w:w="2134" w:type="dxa"/>
                  <w:vAlign w:val="center"/>
                </w:tcPr>
                <w:p>
                  <w:pPr>
                    <w:jc w:val="center"/>
                    <w:rPr>
                      <w:rFonts w:hint="eastAsia"/>
                      <w:color w:val="auto"/>
                      <w:kern w:val="0"/>
                      <w:lang w:val="en-US" w:eastAsia="zh-CN"/>
                    </w:rPr>
                  </w:pPr>
                  <w:r>
                    <w:rPr>
                      <w:rFonts w:hint="eastAsia"/>
                      <w:color w:val="auto"/>
                      <w:kern w:val="0"/>
                      <w:lang w:val="en-US" w:eastAsia="zh-CN"/>
                    </w:rPr>
                    <w:t>35.8818</w:t>
                  </w:r>
                </w:p>
              </w:tc>
              <w:tc>
                <w:tcPr>
                  <w:tcW w:w="2134" w:type="dxa"/>
                  <w:vAlign w:val="center"/>
                </w:tcPr>
                <w:p>
                  <w:pPr>
                    <w:jc w:val="center"/>
                    <w:rPr>
                      <w:rFonts w:hint="eastAsia"/>
                      <w:color w:val="auto"/>
                      <w:kern w:val="0"/>
                      <w:lang w:val="en-US" w:eastAsia="zh-CN"/>
                    </w:rPr>
                  </w:pPr>
                  <w:r>
                    <w:rPr>
                      <w:rFonts w:hint="eastAsia"/>
                      <w:color w:val="auto"/>
                      <w:kern w:val="0"/>
                      <w:lang w:val="en-US" w:eastAsia="zh-CN"/>
                    </w:rPr>
                    <w:t>9.46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4" w:type="dxa"/>
                  <w:vMerge w:val="continue"/>
                  <w:vAlign w:val="center"/>
                </w:tcPr>
                <w:p>
                  <w:pPr>
                    <w:jc w:val="center"/>
                    <w:rPr>
                      <w:color w:val="auto"/>
                      <w:kern w:val="0"/>
                    </w:rPr>
                  </w:pPr>
                </w:p>
              </w:tc>
              <w:tc>
                <w:tcPr>
                  <w:tcW w:w="2134" w:type="dxa"/>
                  <w:vAlign w:val="center"/>
                </w:tcPr>
                <w:p>
                  <w:pPr>
                    <w:jc w:val="center"/>
                    <w:rPr>
                      <w:color w:val="auto"/>
                      <w:kern w:val="0"/>
                    </w:rPr>
                  </w:pPr>
                  <w:r>
                    <w:rPr>
                      <w:rFonts w:hint="eastAsia"/>
                      <w:color w:val="auto"/>
                    </w:rPr>
                    <w:t>其他草地</w:t>
                  </w:r>
                </w:p>
              </w:tc>
              <w:tc>
                <w:tcPr>
                  <w:tcW w:w="2134" w:type="dxa"/>
                  <w:vAlign w:val="center"/>
                </w:tcPr>
                <w:p>
                  <w:pPr>
                    <w:jc w:val="center"/>
                    <w:rPr>
                      <w:rFonts w:hint="eastAsia"/>
                      <w:color w:val="auto"/>
                      <w:kern w:val="0"/>
                      <w:lang w:val="en-US" w:eastAsia="zh-CN"/>
                    </w:rPr>
                  </w:pPr>
                  <w:r>
                    <w:rPr>
                      <w:rFonts w:hint="eastAsia"/>
                      <w:color w:val="auto"/>
                      <w:kern w:val="0"/>
                      <w:lang w:val="en-US" w:eastAsia="zh-CN"/>
                    </w:rPr>
                    <w:t>63.4949</w:t>
                  </w:r>
                </w:p>
              </w:tc>
              <w:tc>
                <w:tcPr>
                  <w:tcW w:w="2134" w:type="dxa"/>
                  <w:vAlign w:val="center"/>
                </w:tcPr>
                <w:p>
                  <w:pPr>
                    <w:jc w:val="center"/>
                    <w:rPr>
                      <w:rFonts w:hint="eastAsia"/>
                      <w:color w:val="auto"/>
                      <w:kern w:val="0"/>
                      <w:lang w:val="en-US" w:eastAsia="zh-CN"/>
                    </w:rPr>
                  </w:pPr>
                  <w:r>
                    <w:rPr>
                      <w:rFonts w:hint="eastAsia"/>
                      <w:color w:val="auto"/>
                      <w:kern w:val="0"/>
                      <w:lang w:val="en-US" w:eastAsia="zh-CN"/>
                    </w:rPr>
                    <w:t>16.74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4" w:type="dxa"/>
                  <w:vMerge w:val="continue"/>
                  <w:vAlign w:val="center"/>
                </w:tcPr>
                <w:p>
                  <w:pPr>
                    <w:jc w:val="center"/>
                    <w:rPr>
                      <w:color w:val="auto"/>
                      <w:kern w:val="0"/>
                    </w:rPr>
                  </w:pPr>
                </w:p>
              </w:tc>
              <w:tc>
                <w:tcPr>
                  <w:tcW w:w="2134" w:type="dxa"/>
                  <w:vAlign w:val="center"/>
                </w:tcPr>
                <w:p>
                  <w:pPr>
                    <w:jc w:val="center"/>
                    <w:rPr>
                      <w:color w:val="auto"/>
                      <w:kern w:val="0"/>
                    </w:rPr>
                  </w:pPr>
                  <w:r>
                    <w:rPr>
                      <w:rFonts w:hint="eastAsia"/>
                      <w:color w:val="auto"/>
                    </w:rPr>
                    <w:t>旱地</w:t>
                  </w:r>
                </w:p>
              </w:tc>
              <w:tc>
                <w:tcPr>
                  <w:tcW w:w="2134" w:type="dxa"/>
                  <w:vAlign w:val="center"/>
                </w:tcPr>
                <w:p>
                  <w:pPr>
                    <w:jc w:val="center"/>
                    <w:rPr>
                      <w:rFonts w:hint="eastAsia"/>
                      <w:color w:val="auto"/>
                      <w:kern w:val="0"/>
                      <w:lang w:val="en-US" w:eastAsia="zh-CN"/>
                    </w:rPr>
                  </w:pPr>
                  <w:r>
                    <w:rPr>
                      <w:rFonts w:hint="eastAsia"/>
                      <w:color w:val="auto"/>
                      <w:kern w:val="0"/>
                      <w:lang w:val="en-US" w:eastAsia="zh-CN"/>
                    </w:rPr>
                    <w:t>43.8471</w:t>
                  </w:r>
                </w:p>
              </w:tc>
              <w:tc>
                <w:tcPr>
                  <w:tcW w:w="2134" w:type="dxa"/>
                  <w:vAlign w:val="center"/>
                </w:tcPr>
                <w:p>
                  <w:pPr>
                    <w:jc w:val="center"/>
                    <w:rPr>
                      <w:rFonts w:hint="eastAsia"/>
                      <w:color w:val="auto"/>
                      <w:kern w:val="0"/>
                      <w:lang w:val="en-US" w:eastAsia="zh-CN"/>
                    </w:rPr>
                  </w:pPr>
                  <w:r>
                    <w:rPr>
                      <w:rFonts w:hint="eastAsia"/>
                      <w:color w:val="auto"/>
                      <w:kern w:val="0"/>
                      <w:lang w:val="en-US" w:eastAsia="zh-CN"/>
                    </w:rPr>
                    <w:t>11.56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2134" w:type="dxa"/>
                  <w:vMerge w:val="continue"/>
                  <w:vAlign w:val="center"/>
                </w:tcPr>
                <w:p>
                  <w:pPr>
                    <w:jc w:val="center"/>
                    <w:rPr>
                      <w:color w:val="auto"/>
                      <w:kern w:val="0"/>
                    </w:rPr>
                  </w:pPr>
                </w:p>
              </w:tc>
              <w:tc>
                <w:tcPr>
                  <w:tcW w:w="2134" w:type="dxa"/>
                  <w:vAlign w:val="center"/>
                </w:tcPr>
                <w:p>
                  <w:pPr>
                    <w:jc w:val="center"/>
                    <w:rPr>
                      <w:color w:val="auto"/>
                      <w:kern w:val="0"/>
                    </w:rPr>
                  </w:pPr>
                  <w:r>
                    <w:rPr>
                      <w:rFonts w:hint="eastAsia"/>
                      <w:color w:val="auto"/>
                    </w:rPr>
                    <w:t>裸地</w:t>
                  </w:r>
                </w:p>
              </w:tc>
              <w:tc>
                <w:tcPr>
                  <w:tcW w:w="2134" w:type="dxa"/>
                  <w:vAlign w:val="center"/>
                </w:tcPr>
                <w:p>
                  <w:pPr>
                    <w:jc w:val="center"/>
                    <w:rPr>
                      <w:rFonts w:hint="eastAsia"/>
                      <w:color w:val="auto"/>
                      <w:kern w:val="0"/>
                      <w:lang w:val="en-US" w:eastAsia="zh-CN"/>
                    </w:rPr>
                  </w:pPr>
                  <w:r>
                    <w:rPr>
                      <w:rFonts w:hint="eastAsia"/>
                      <w:color w:val="auto"/>
                      <w:kern w:val="0"/>
                      <w:lang w:val="en-US" w:eastAsia="zh-CN"/>
                    </w:rPr>
                    <w:t>47.4884</w:t>
                  </w:r>
                </w:p>
              </w:tc>
              <w:tc>
                <w:tcPr>
                  <w:tcW w:w="2134" w:type="dxa"/>
                  <w:vAlign w:val="center"/>
                </w:tcPr>
                <w:p>
                  <w:pPr>
                    <w:jc w:val="center"/>
                    <w:rPr>
                      <w:rFonts w:hint="eastAsia"/>
                      <w:color w:val="auto"/>
                      <w:kern w:val="0"/>
                      <w:lang w:val="en-US" w:eastAsia="zh-CN"/>
                    </w:rPr>
                  </w:pPr>
                  <w:r>
                    <w:rPr>
                      <w:rFonts w:hint="eastAsia"/>
                      <w:color w:val="auto"/>
                      <w:kern w:val="0"/>
                      <w:lang w:val="en-US" w:eastAsia="zh-CN"/>
                    </w:rPr>
                    <w:t>12.52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4" w:type="dxa"/>
                  <w:vMerge w:val="continue"/>
                  <w:vAlign w:val="center"/>
                </w:tcPr>
                <w:p>
                  <w:pPr>
                    <w:jc w:val="center"/>
                    <w:rPr>
                      <w:color w:val="auto"/>
                      <w:kern w:val="0"/>
                    </w:rPr>
                  </w:pPr>
                </w:p>
              </w:tc>
              <w:tc>
                <w:tcPr>
                  <w:tcW w:w="2134" w:type="dxa"/>
                  <w:vAlign w:val="center"/>
                </w:tcPr>
                <w:p>
                  <w:pPr>
                    <w:jc w:val="center"/>
                    <w:rPr>
                      <w:rFonts w:hint="eastAsia" w:eastAsia="宋体"/>
                      <w:color w:val="auto"/>
                      <w:kern w:val="0"/>
                      <w:lang w:eastAsia="zh-CN"/>
                    </w:rPr>
                  </w:pPr>
                  <w:r>
                    <w:rPr>
                      <w:rFonts w:hint="eastAsia"/>
                      <w:color w:val="auto"/>
                      <w:lang w:val="en-US" w:eastAsia="zh-CN"/>
                    </w:rPr>
                    <w:t>水库</w:t>
                  </w:r>
                </w:p>
              </w:tc>
              <w:tc>
                <w:tcPr>
                  <w:tcW w:w="2134" w:type="dxa"/>
                  <w:vAlign w:val="center"/>
                </w:tcPr>
                <w:p>
                  <w:pPr>
                    <w:jc w:val="center"/>
                    <w:rPr>
                      <w:rFonts w:hint="eastAsia"/>
                      <w:color w:val="auto"/>
                      <w:kern w:val="0"/>
                      <w:lang w:val="en-US" w:eastAsia="zh-CN"/>
                    </w:rPr>
                  </w:pPr>
                  <w:r>
                    <w:rPr>
                      <w:rFonts w:hint="eastAsia"/>
                      <w:color w:val="auto"/>
                      <w:kern w:val="0"/>
                      <w:lang w:val="en-US" w:eastAsia="zh-CN"/>
                    </w:rPr>
                    <w:t>54.6951</w:t>
                  </w:r>
                </w:p>
              </w:tc>
              <w:tc>
                <w:tcPr>
                  <w:tcW w:w="2134" w:type="dxa"/>
                  <w:vAlign w:val="center"/>
                </w:tcPr>
                <w:p>
                  <w:pPr>
                    <w:jc w:val="center"/>
                    <w:rPr>
                      <w:rFonts w:hint="eastAsia"/>
                      <w:color w:val="auto"/>
                      <w:kern w:val="0"/>
                      <w:lang w:val="en-US" w:eastAsia="zh-CN"/>
                    </w:rPr>
                  </w:pPr>
                  <w:r>
                    <w:rPr>
                      <w:rFonts w:hint="eastAsia"/>
                      <w:color w:val="auto"/>
                      <w:kern w:val="0"/>
                      <w:lang w:val="en-US" w:eastAsia="zh-CN"/>
                    </w:rPr>
                    <w:t>14.42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4" w:type="dxa"/>
                  <w:vMerge w:val="continue"/>
                  <w:vAlign w:val="center"/>
                </w:tcPr>
                <w:p>
                  <w:pPr>
                    <w:jc w:val="center"/>
                    <w:rPr>
                      <w:color w:val="auto"/>
                      <w:kern w:val="0"/>
                    </w:rPr>
                  </w:pPr>
                </w:p>
              </w:tc>
              <w:tc>
                <w:tcPr>
                  <w:tcW w:w="2134" w:type="dxa"/>
                  <w:vAlign w:val="center"/>
                </w:tcPr>
                <w:p>
                  <w:pPr>
                    <w:jc w:val="center"/>
                    <w:rPr>
                      <w:color w:val="auto"/>
                      <w:kern w:val="0"/>
                    </w:rPr>
                  </w:pPr>
                  <w:r>
                    <w:rPr>
                      <w:rFonts w:hint="eastAsia"/>
                      <w:color w:val="auto"/>
                    </w:rPr>
                    <w:t>工业用地</w:t>
                  </w:r>
                </w:p>
              </w:tc>
              <w:tc>
                <w:tcPr>
                  <w:tcW w:w="2134" w:type="dxa"/>
                  <w:vAlign w:val="center"/>
                </w:tcPr>
                <w:p>
                  <w:pPr>
                    <w:jc w:val="center"/>
                    <w:rPr>
                      <w:rFonts w:hint="eastAsia"/>
                      <w:color w:val="auto"/>
                      <w:kern w:val="0"/>
                      <w:lang w:val="en-US" w:eastAsia="zh-CN"/>
                    </w:rPr>
                  </w:pPr>
                  <w:r>
                    <w:rPr>
                      <w:rFonts w:hint="eastAsia"/>
                      <w:color w:val="auto"/>
                      <w:kern w:val="0"/>
                      <w:lang w:val="en-US" w:eastAsia="zh-CN"/>
                    </w:rPr>
                    <w:t>36.7542</w:t>
                  </w:r>
                </w:p>
              </w:tc>
              <w:tc>
                <w:tcPr>
                  <w:tcW w:w="2134" w:type="dxa"/>
                  <w:vAlign w:val="center"/>
                </w:tcPr>
                <w:p>
                  <w:pPr>
                    <w:jc w:val="center"/>
                    <w:rPr>
                      <w:rFonts w:hint="eastAsia"/>
                      <w:color w:val="auto"/>
                      <w:kern w:val="0"/>
                      <w:lang w:val="en-US" w:eastAsia="zh-CN"/>
                    </w:rPr>
                  </w:pPr>
                  <w:r>
                    <w:rPr>
                      <w:rFonts w:hint="eastAsia"/>
                      <w:color w:val="auto"/>
                      <w:kern w:val="0"/>
                      <w:lang w:val="en-US" w:eastAsia="zh-CN"/>
                    </w:rPr>
                    <w:t>9.69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4" w:type="dxa"/>
                  <w:vMerge w:val="continue"/>
                  <w:vAlign w:val="center"/>
                </w:tcPr>
                <w:p>
                  <w:pPr>
                    <w:jc w:val="center"/>
                    <w:rPr>
                      <w:color w:val="auto"/>
                      <w:kern w:val="0"/>
                    </w:rPr>
                  </w:pPr>
                </w:p>
              </w:tc>
              <w:tc>
                <w:tcPr>
                  <w:tcW w:w="2134" w:type="dxa"/>
                  <w:vAlign w:val="center"/>
                </w:tcPr>
                <w:p>
                  <w:pPr>
                    <w:jc w:val="center"/>
                    <w:rPr>
                      <w:color w:val="auto"/>
                      <w:kern w:val="0"/>
                    </w:rPr>
                  </w:pPr>
                  <w:r>
                    <w:rPr>
                      <w:rFonts w:hint="eastAsia"/>
                      <w:color w:val="auto"/>
                      <w:lang w:val="en-US" w:eastAsia="zh-CN"/>
                    </w:rPr>
                    <w:t>城镇</w:t>
                  </w:r>
                  <w:r>
                    <w:rPr>
                      <w:rFonts w:hint="eastAsia"/>
                      <w:color w:val="auto"/>
                    </w:rPr>
                    <w:t>居民用地</w:t>
                  </w:r>
                </w:p>
              </w:tc>
              <w:tc>
                <w:tcPr>
                  <w:tcW w:w="2134" w:type="dxa"/>
                  <w:vAlign w:val="center"/>
                </w:tcPr>
                <w:p>
                  <w:pPr>
                    <w:jc w:val="center"/>
                    <w:rPr>
                      <w:rFonts w:hint="eastAsia"/>
                      <w:color w:val="auto"/>
                      <w:kern w:val="0"/>
                      <w:lang w:val="en-US" w:eastAsia="zh-CN"/>
                    </w:rPr>
                  </w:pPr>
                  <w:r>
                    <w:rPr>
                      <w:rFonts w:hint="eastAsia"/>
                      <w:color w:val="auto"/>
                      <w:kern w:val="0"/>
                      <w:lang w:val="en-US" w:eastAsia="zh-CN"/>
                    </w:rPr>
                    <w:t>24.1235</w:t>
                  </w:r>
                </w:p>
              </w:tc>
              <w:tc>
                <w:tcPr>
                  <w:tcW w:w="2134" w:type="dxa"/>
                  <w:vAlign w:val="center"/>
                </w:tcPr>
                <w:p>
                  <w:pPr>
                    <w:jc w:val="center"/>
                    <w:rPr>
                      <w:rFonts w:hint="eastAsia"/>
                      <w:color w:val="auto"/>
                      <w:kern w:val="0"/>
                      <w:lang w:val="en-US" w:eastAsia="zh-CN"/>
                    </w:rPr>
                  </w:pPr>
                  <w:r>
                    <w:rPr>
                      <w:rFonts w:hint="eastAsia"/>
                      <w:color w:val="auto"/>
                      <w:kern w:val="0"/>
                      <w:lang w:val="en-US" w:eastAsia="zh-CN"/>
                    </w:rPr>
                    <w:t>6.36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4" w:type="dxa"/>
                  <w:vMerge w:val="continue"/>
                  <w:vAlign w:val="center"/>
                </w:tcPr>
                <w:p>
                  <w:pPr>
                    <w:jc w:val="center"/>
                    <w:rPr>
                      <w:color w:val="auto"/>
                      <w:kern w:val="0"/>
                    </w:rPr>
                  </w:pPr>
                </w:p>
              </w:tc>
              <w:tc>
                <w:tcPr>
                  <w:tcW w:w="2134" w:type="dxa"/>
                  <w:vAlign w:val="center"/>
                </w:tcPr>
                <w:p>
                  <w:pPr>
                    <w:jc w:val="center"/>
                    <w:rPr>
                      <w:color w:val="auto"/>
                      <w:kern w:val="0"/>
                    </w:rPr>
                  </w:pPr>
                  <w:r>
                    <w:rPr>
                      <w:rFonts w:hint="eastAsia"/>
                      <w:color w:val="auto"/>
                    </w:rPr>
                    <w:t>交通用地</w:t>
                  </w:r>
                </w:p>
              </w:tc>
              <w:tc>
                <w:tcPr>
                  <w:tcW w:w="2134" w:type="dxa"/>
                  <w:vAlign w:val="center"/>
                </w:tcPr>
                <w:p>
                  <w:pPr>
                    <w:jc w:val="center"/>
                    <w:rPr>
                      <w:rFonts w:hint="eastAsia"/>
                      <w:color w:val="auto"/>
                      <w:kern w:val="0"/>
                      <w:lang w:val="en-US" w:eastAsia="zh-CN"/>
                    </w:rPr>
                  </w:pPr>
                  <w:r>
                    <w:rPr>
                      <w:rFonts w:hint="eastAsia"/>
                      <w:color w:val="auto"/>
                      <w:kern w:val="0"/>
                      <w:lang w:val="en-US" w:eastAsia="zh-CN"/>
                    </w:rPr>
                    <w:t>19.1168</w:t>
                  </w:r>
                </w:p>
              </w:tc>
              <w:tc>
                <w:tcPr>
                  <w:tcW w:w="2134" w:type="dxa"/>
                  <w:vAlign w:val="center"/>
                </w:tcPr>
                <w:p>
                  <w:pPr>
                    <w:jc w:val="center"/>
                    <w:rPr>
                      <w:rFonts w:hint="eastAsia"/>
                      <w:color w:val="auto"/>
                      <w:kern w:val="0"/>
                      <w:lang w:val="en-US" w:eastAsia="zh-CN"/>
                    </w:rPr>
                  </w:pPr>
                  <w:r>
                    <w:rPr>
                      <w:rFonts w:hint="eastAsia"/>
                      <w:color w:val="auto"/>
                      <w:kern w:val="0"/>
                      <w:lang w:val="en-US" w:eastAsia="zh-CN"/>
                    </w:rPr>
                    <w:t>5.04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4" w:type="dxa"/>
                  <w:vMerge w:val="continue"/>
                  <w:vAlign w:val="center"/>
                </w:tcPr>
                <w:p>
                  <w:pPr>
                    <w:jc w:val="center"/>
                    <w:rPr>
                      <w:color w:val="auto"/>
                      <w:kern w:val="0"/>
                    </w:rPr>
                  </w:pPr>
                </w:p>
              </w:tc>
              <w:tc>
                <w:tcPr>
                  <w:tcW w:w="2134" w:type="dxa"/>
                  <w:vAlign w:val="center"/>
                </w:tcPr>
                <w:p>
                  <w:pPr>
                    <w:jc w:val="center"/>
                    <w:rPr>
                      <w:color w:val="auto"/>
                      <w:kern w:val="0"/>
                    </w:rPr>
                  </w:pPr>
                  <w:r>
                    <w:rPr>
                      <w:rFonts w:hint="eastAsia"/>
                      <w:color w:val="auto"/>
                    </w:rPr>
                    <w:t>合计</w:t>
                  </w:r>
                </w:p>
              </w:tc>
              <w:tc>
                <w:tcPr>
                  <w:tcW w:w="2134" w:type="dxa"/>
                  <w:vAlign w:val="center"/>
                </w:tcPr>
                <w:p>
                  <w:pPr>
                    <w:jc w:val="center"/>
                    <w:rPr>
                      <w:rFonts w:hint="eastAsia"/>
                      <w:color w:val="auto"/>
                      <w:kern w:val="0"/>
                      <w:lang w:val="en-US" w:eastAsia="zh-CN"/>
                    </w:rPr>
                  </w:pPr>
                  <w:r>
                    <w:rPr>
                      <w:rFonts w:hint="eastAsia"/>
                      <w:color w:val="auto"/>
                      <w:kern w:val="0"/>
                      <w:lang w:val="en-US" w:eastAsia="zh-CN"/>
                    </w:rPr>
                    <w:t>379.3004</w:t>
                  </w:r>
                </w:p>
              </w:tc>
              <w:tc>
                <w:tcPr>
                  <w:tcW w:w="2134" w:type="dxa"/>
                  <w:vAlign w:val="center"/>
                </w:tcPr>
                <w:p>
                  <w:pPr>
                    <w:jc w:val="center"/>
                    <w:rPr>
                      <w:color w:val="auto"/>
                      <w:kern w:val="0"/>
                    </w:rPr>
                  </w:pPr>
                  <w:r>
                    <w:rPr>
                      <w:rFonts w:hint="eastAsia"/>
                      <w:color w:val="auto"/>
                      <w:kern w:val="0"/>
                    </w:rPr>
                    <w:t>1</w:t>
                  </w:r>
                  <w:r>
                    <w:rPr>
                      <w:color w:val="auto"/>
                      <w:kern w:val="0"/>
                    </w:rPr>
                    <w:t>00.00</w:t>
                  </w:r>
                </w:p>
              </w:tc>
            </w:tr>
          </w:tbl>
          <w:p>
            <w:pPr>
              <w:adjustRightInd w:val="0"/>
              <w:snapToGrid w:val="0"/>
              <w:spacing w:line="480" w:lineRule="exact"/>
              <w:jc w:val="center"/>
              <w:rPr>
                <w:rFonts w:ascii="黑体" w:hAnsi="黑体" w:eastAsia="黑体" w:cs="Courier New"/>
                <w:bCs/>
                <w:color w:val="auto"/>
                <w:kern w:val="32"/>
                <w:sz w:val="24"/>
              </w:rPr>
            </w:pPr>
            <w:r>
              <w:rPr>
                <w:rFonts w:ascii="黑体" w:hAnsi="黑体" w:eastAsia="黑体" w:cs="Courier New"/>
                <w:bCs/>
                <w:color w:val="auto"/>
                <w:kern w:val="32"/>
                <w:sz w:val="24"/>
              </w:rPr>
              <w:t>表3-</w:t>
            </w:r>
            <w:r>
              <w:rPr>
                <w:rFonts w:hint="eastAsia" w:ascii="黑体" w:hAnsi="黑体" w:eastAsia="黑体" w:cs="Courier New"/>
                <w:bCs/>
                <w:color w:val="auto"/>
                <w:kern w:val="32"/>
                <w:sz w:val="24"/>
                <w:lang w:val="en-US" w:eastAsia="zh-CN"/>
              </w:rPr>
              <w:t>2</w:t>
            </w:r>
            <w:r>
              <w:rPr>
                <w:rFonts w:hint="eastAsia" w:ascii="黑体" w:hAnsi="黑体" w:eastAsia="黑体" w:cs="Courier New"/>
                <w:bCs/>
                <w:color w:val="auto"/>
                <w:kern w:val="32"/>
                <w:sz w:val="24"/>
              </w:rPr>
              <w:t xml:space="preserve">  </w:t>
            </w:r>
            <w:r>
              <w:rPr>
                <w:rFonts w:hint="eastAsia" w:ascii="黑体" w:hAnsi="黑体" w:eastAsia="黑体"/>
                <w:color w:val="auto"/>
                <w:sz w:val="24"/>
                <w:szCs w:val="22"/>
              </w:rPr>
              <w:t>本项目</w:t>
            </w:r>
            <w:r>
              <w:rPr>
                <w:rFonts w:hint="eastAsia" w:ascii="黑体" w:hAnsi="黑体" w:eastAsia="黑体"/>
                <w:color w:val="auto"/>
                <w:sz w:val="24"/>
                <w:szCs w:val="22"/>
                <w:lang w:val="en-US" w:eastAsia="zh-CN"/>
              </w:rPr>
              <w:t>道路</w:t>
            </w:r>
            <w:r>
              <w:rPr>
                <w:rFonts w:hint="eastAsia" w:ascii="黑体" w:hAnsi="黑体" w:eastAsia="黑体"/>
                <w:color w:val="auto"/>
                <w:sz w:val="24"/>
                <w:szCs w:val="22"/>
              </w:rPr>
              <w:t>范围内土地利用类型现状分布情况一览表</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4"/>
              <w:gridCol w:w="2134"/>
              <w:gridCol w:w="2134"/>
              <w:gridCol w:w="21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4" w:type="dxa"/>
                  <w:vAlign w:val="center"/>
                </w:tcPr>
                <w:p>
                  <w:pPr>
                    <w:jc w:val="center"/>
                    <w:rPr>
                      <w:color w:val="auto"/>
                      <w:kern w:val="0"/>
                    </w:rPr>
                  </w:pPr>
                  <w:r>
                    <w:rPr>
                      <w:rFonts w:hint="eastAsia"/>
                      <w:color w:val="auto"/>
                      <w:kern w:val="0"/>
                    </w:rPr>
                    <w:t>范围</w:t>
                  </w:r>
                </w:p>
              </w:tc>
              <w:tc>
                <w:tcPr>
                  <w:tcW w:w="2134" w:type="dxa"/>
                  <w:vAlign w:val="center"/>
                </w:tcPr>
                <w:p>
                  <w:pPr>
                    <w:jc w:val="center"/>
                    <w:rPr>
                      <w:color w:val="auto"/>
                      <w:kern w:val="0"/>
                    </w:rPr>
                  </w:pPr>
                  <w:r>
                    <w:rPr>
                      <w:rFonts w:hint="eastAsia"/>
                      <w:color w:val="auto"/>
                      <w:kern w:val="0"/>
                    </w:rPr>
                    <w:t>土地利用类型</w:t>
                  </w:r>
                </w:p>
              </w:tc>
              <w:tc>
                <w:tcPr>
                  <w:tcW w:w="2134" w:type="dxa"/>
                  <w:vAlign w:val="center"/>
                </w:tcPr>
                <w:p>
                  <w:pPr>
                    <w:jc w:val="center"/>
                    <w:rPr>
                      <w:color w:val="auto"/>
                      <w:kern w:val="0"/>
                    </w:rPr>
                  </w:pPr>
                  <w:r>
                    <w:rPr>
                      <w:rFonts w:hint="eastAsia"/>
                      <w:color w:val="auto"/>
                      <w:kern w:val="0"/>
                    </w:rPr>
                    <w:t>面积hm</w:t>
                  </w:r>
                  <w:r>
                    <w:rPr>
                      <w:color w:val="auto"/>
                      <w:kern w:val="0"/>
                      <w:vertAlign w:val="superscript"/>
                    </w:rPr>
                    <w:t>2</w:t>
                  </w:r>
                </w:p>
              </w:tc>
              <w:tc>
                <w:tcPr>
                  <w:tcW w:w="2134" w:type="dxa"/>
                  <w:vAlign w:val="center"/>
                </w:tcPr>
                <w:p>
                  <w:pPr>
                    <w:jc w:val="center"/>
                    <w:rPr>
                      <w:color w:val="auto"/>
                      <w:kern w:val="0"/>
                    </w:rPr>
                  </w:pPr>
                  <w:r>
                    <w:rPr>
                      <w:rFonts w:hint="eastAsia"/>
                      <w:color w:val="auto"/>
                      <w:kern w:val="0"/>
                    </w:rPr>
                    <w:t>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4" w:type="dxa"/>
                  <w:vMerge w:val="restart"/>
                  <w:vAlign w:val="center"/>
                </w:tcPr>
                <w:p>
                  <w:pPr>
                    <w:jc w:val="center"/>
                    <w:rPr>
                      <w:color w:val="auto"/>
                      <w:kern w:val="0"/>
                    </w:rPr>
                  </w:pPr>
                  <w:r>
                    <w:rPr>
                      <w:rFonts w:hint="eastAsia"/>
                      <w:color w:val="auto"/>
                      <w:kern w:val="0"/>
                      <w:lang w:val="en-US" w:eastAsia="zh-CN"/>
                    </w:rPr>
                    <w:t>道路</w:t>
                  </w:r>
                  <w:r>
                    <w:rPr>
                      <w:rFonts w:hint="eastAsia"/>
                      <w:color w:val="auto"/>
                      <w:kern w:val="0"/>
                    </w:rPr>
                    <w:t>范围内</w:t>
                  </w:r>
                </w:p>
              </w:tc>
              <w:tc>
                <w:tcPr>
                  <w:tcW w:w="2134" w:type="dxa"/>
                  <w:vAlign w:val="center"/>
                </w:tcPr>
                <w:p>
                  <w:pPr>
                    <w:jc w:val="center"/>
                    <w:rPr>
                      <w:color w:val="auto"/>
                      <w:kern w:val="0"/>
                    </w:rPr>
                  </w:pPr>
                  <w:r>
                    <w:rPr>
                      <w:rFonts w:hint="eastAsia"/>
                      <w:color w:val="auto"/>
                    </w:rPr>
                    <w:t>其他林地</w:t>
                  </w:r>
                </w:p>
              </w:tc>
              <w:tc>
                <w:tcPr>
                  <w:tcW w:w="2134" w:type="dxa"/>
                  <w:vAlign w:val="center"/>
                </w:tcPr>
                <w:p>
                  <w:pPr>
                    <w:jc w:val="center"/>
                    <w:rPr>
                      <w:color w:val="auto"/>
                      <w:kern w:val="0"/>
                    </w:rPr>
                  </w:pPr>
                  <w:r>
                    <w:rPr>
                      <w:rFonts w:hint="eastAsia"/>
                      <w:color w:val="auto"/>
                    </w:rPr>
                    <w:t>6.7261</w:t>
                  </w:r>
                </w:p>
              </w:tc>
              <w:tc>
                <w:tcPr>
                  <w:tcW w:w="2134" w:type="dxa"/>
                  <w:vAlign w:val="center"/>
                </w:tcPr>
                <w:p>
                  <w:pPr>
                    <w:jc w:val="center"/>
                    <w:rPr>
                      <w:color w:val="auto"/>
                      <w:kern w:val="0"/>
                    </w:rPr>
                  </w:pPr>
                  <w:r>
                    <w:rPr>
                      <w:rFonts w:hint="eastAsia"/>
                      <w:color w:val="auto"/>
                    </w:rPr>
                    <w:t>1.99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4" w:type="dxa"/>
                  <w:vMerge w:val="continue"/>
                  <w:vAlign w:val="center"/>
                </w:tcPr>
                <w:p>
                  <w:pPr>
                    <w:jc w:val="center"/>
                    <w:rPr>
                      <w:color w:val="auto"/>
                      <w:kern w:val="0"/>
                    </w:rPr>
                  </w:pPr>
                </w:p>
              </w:tc>
              <w:tc>
                <w:tcPr>
                  <w:tcW w:w="2134" w:type="dxa"/>
                  <w:vAlign w:val="center"/>
                </w:tcPr>
                <w:p>
                  <w:pPr>
                    <w:jc w:val="center"/>
                    <w:rPr>
                      <w:color w:val="auto"/>
                      <w:kern w:val="0"/>
                    </w:rPr>
                  </w:pPr>
                  <w:r>
                    <w:rPr>
                      <w:rFonts w:hint="eastAsia"/>
                      <w:color w:val="auto"/>
                    </w:rPr>
                    <w:t>其他草地</w:t>
                  </w:r>
                </w:p>
              </w:tc>
              <w:tc>
                <w:tcPr>
                  <w:tcW w:w="2134" w:type="dxa"/>
                  <w:vAlign w:val="center"/>
                </w:tcPr>
                <w:p>
                  <w:pPr>
                    <w:jc w:val="center"/>
                    <w:rPr>
                      <w:color w:val="auto"/>
                      <w:kern w:val="0"/>
                    </w:rPr>
                  </w:pPr>
                  <w:r>
                    <w:rPr>
                      <w:rFonts w:hint="eastAsia"/>
                      <w:color w:val="auto"/>
                    </w:rPr>
                    <w:t>151.9012</w:t>
                  </w:r>
                </w:p>
              </w:tc>
              <w:tc>
                <w:tcPr>
                  <w:tcW w:w="2134" w:type="dxa"/>
                  <w:vAlign w:val="center"/>
                </w:tcPr>
                <w:p>
                  <w:pPr>
                    <w:jc w:val="center"/>
                    <w:rPr>
                      <w:color w:val="auto"/>
                      <w:kern w:val="0"/>
                    </w:rPr>
                  </w:pPr>
                  <w:r>
                    <w:rPr>
                      <w:rFonts w:hint="eastAsia"/>
                      <w:color w:val="auto"/>
                    </w:rPr>
                    <w:t>44.89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4" w:type="dxa"/>
                  <w:vMerge w:val="continue"/>
                  <w:vAlign w:val="center"/>
                </w:tcPr>
                <w:p>
                  <w:pPr>
                    <w:jc w:val="center"/>
                    <w:rPr>
                      <w:color w:val="auto"/>
                      <w:kern w:val="0"/>
                    </w:rPr>
                  </w:pPr>
                </w:p>
              </w:tc>
              <w:tc>
                <w:tcPr>
                  <w:tcW w:w="2134" w:type="dxa"/>
                  <w:vAlign w:val="center"/>
                </w:tcPr>
                <w:p>
                  <w:pPr>
                    <w:jc w:val="center"/>
                    <w:rPr>
                      <w:color w:val="auto"/>
                      <w:kern w:val="0"/>
                    </w:rPr>
                  </w:pPr>
                  <w:r>
                    <w:rPr>
                      <w:rFonts w:hint="eastAsia"/>
                      <w:color w:val="auto"/>
                    </w:rPr>
                    <w:t>旱地</w:t>
                  </w:r>
                </w:p>
              </w:tc>
              <w:tc>
                <w:tcPr>
                  <w:tcW w:w="2134" w:type="dxa"/>
                  <w:vAlign w:val="center"/>
                </w:tcPr>
                <w:p>
                  <w:pPr>
                    <w:jc w:val="center"/>
                    <w:rPr>
                      <w:color w:val="auto"/>
                      <w:kern w:val="0"/>
                    </w:rPr>
                  </w:pPr>
                  <w:r>
                    <w:rPr>
                      <w:rFonts w:hint="eastAsia"/>
                      <w:color w:val="auto"/>
                    </w:rPr>
                    <w:t>52.4013</w:t>
                  </w:r>
                </w:p>
              </w:tc>
              <w:tc>
                <w:tcPr>
                  <w:tcW w:w="2134" w:type="dxa"/>
                  <w:vAlign w:val="center"/>
                </w:tcPr>
                <w:p>
                  <w:pPr>
                    <w:jc w:val="center"/>
                    <w:rPr>
                      <w:color w:val="auto"/>
                      <w:kern w:val="0"/>
                    </w:rPr>
                  </w:pPr>
                  <w:r>
                    <w:rPr>
                      <w:rFonts w:hint="eastAsia"/>
                      <w:color w:val="auto"/>
                    </w:rPr>
                    <w:t>15.49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4" w:type="dxa"/>
                  <w:vMerge w:val="continue"/>
                  <w:vAlign w:val="center"/>
                </w:tcPr>
                <w:p>
                  <w:pPr>
                    <w:jc w:val="center"/>
                    <w:rPr>
                      <w:color w:val="auto"/>
                      <w:kern w:val="0"/>
                    </w:rPr>
                  </w:pPr>
                </w:p>
              </w:tc>
              <w:tc>
                <w:tcPr>
                  <w:tcW w:w="2134" w:type="dxa"/>
                  <w:vAlign w:val="center"/>
                </w:tcPr>
                <w:p>
                  <w:pPr>
                    <w:jc w:val="center"/>
                    <w:rPr>
                      <w:color w:val="auto"/>
                      <w:kern w:val="0"/>
                    </w:rPr>
                  </w:pPr>
                  <w:r>
                    <w:rPr>
                      <w:rFonts w:hint="eastAsia"/>
                      <w:color w:val="auto"/>
                    </w:rPr>
                    <w:t>裸地</w:t>
                  </w:r>
                </w:p>
              </w:tc>
              <w:tc>
                <w:tcPr>
                  <w:tcW w:w="2134" w:type="dxa"/>
                  <w:vAlign w:val="center"/>
                </w:tcPr>
                <w:p>
                  <w:pPr>
                    <w:jc w:val="center"/>
                    <w:rPr>
                      <w:color w:val="auto"/>
                      <w:kern w:val="0"/>
                    </w:rPr>
                  </w:pPr>
                  <w:r>
                    <w:rPr>
                      <w:rFonts w:hint="eastAsia"/>
                      <w:color w:val="auto"/>
                    </w:rPr>
                    <w:t>108.0462</w:t>
                  </w:r>
                </w:p>
              </w:tc>
              <w:tc>
                <w:tcPr>
                  <w:tcW w:w="2134" w:type="dxa"/>
                  <w:vAlign w:val="center"/>
                </w:tcPr>
                <w:p>
                  <w:pPr>
                    <w:jc w:val="center"/>
                    <w:rPr>
                      <w:color w:val="auto"/>
                      <w:kern w:val="0"/>
                    </w:rPr>
                  </w:pPr>
                  <w:r>
                    <w:rPr>
                      <w:rFonts w:hint="eastAsia"/>
                      <w:color w:val="auto"/>
                    </w:rPr>
                    <w:t>31.93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4" w:type="dxa"/>
                  <w:vMerge w:val="continue"/>
                  <w:vAlign w:val="center"/>
                </w:tcPr>
                <w:p>
                  <w:pPr>
                    <w:jc w:val="center"/>
                    <w:rPr>
                      <w:color w:val="auto"/>
                      <w:kern w:val="0"/>
                    </w:rPr>
                  </w:pPr>
                </w:p>
              </w:tc>
              <w:tc>
                <w:tcPr>
                  <w:tcW w:w="2134" w:type="dxa"/>
                  <w:vAlign w:val="center"/>
                </w:tcPr>
                <w:p>
                  <w:pPr>
                    <w:jc w:val="center"/>
                    <w:rPr>
                      <w:color w:val="auto"/>
                      <w:kern w:val="0"/>
                    </w:rPr>
                  </w:pPr>
                  <w:r>
                    <w:rPr>
                      <w:rFonts w:hint="eastAsia"/>
                      <w:color w:val="auto"/>
                    </w:rPr>
                    <w:t>园地</w:t>
                  </w:r>
                </w:p>
              </w:tc>
              <w:tc>
                <w:tcPr>
                  <w:tcW w:w="2134" w:type="dxa"/>
                  <w:vAlign w:val="center"/>
                </w:tcPr>
                <w:p>
                  <w:pPr>
                    <w:jc w:val="center"/>
                    <w:rPr>
                      <w:color w:val="auto"/>
                      <w:kern w:val="0"/>
                    </w:rPr>
                  </w:pPr>
                  <w:r>
                    <w:rPr>
                      <w:rFonts w:hint="eastAsia"/>
                      <w:color w:val="auto"/>
                    </w:rPr>
                    <w:t>3.4612</w:t>
                  </w:r>
                </w:p>
              </w:tc>
              <w:tc>
                <w:tcPr>
                  <w:tcW w:w="2134" w:type="dxa"/>
                  <w:vAlign w:val="center"/>
                </w:tcPr>
                <w:p>
                  <w:pPr>
                    <w:jc w:val="center"/>
                    <w:rPr>
                      <w:color w:val="auto"/>
                      <w:kern w:val="0"/>
                    </w:rPr>
                  </w:pPr>
                  <w:r>
                    <w:rPr>
                      <w:rFonts w:hint="eastAsia"/>
                      <w:color w:val="auto"/>
                    </w:rPr>
                    <w:t>1.02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4" w:type="dxa"/>
                  <w:vMerge w:val="continue"/>
                  <w:vAlign w:val="center"/>
                </w:tcPr>
                <w:p>
                  <w:pPr>
                    <w:jc w:val="center"/>
                    <w:rPr>
                      <w:color w:val="auto"/>
                      <w:kern w:val="0"/>
                    </w:rPr>
                  </w:pPr>
                </w:p>
              </w:tc>
              <w:tc>
                <w:tcPr>
                  <w:tcW w:w="2134" w:type="dxa"/>
                  <w:vAlign w:val="center"/>
                </w:tcPr>
                <w:p>
                  <w:pPr>
                    <w:jc w:val="center"/>
                    <w:rPr>
                      <w:color w:val="auto"/>
                      <w:kern w:val="0"/>
                    </w:rPr>
                  </w:pPr>
                  <w:r>
                    <w:rPr>
                      <w:rFonts w:hint="eastAsia"/>
                      <w:color w:val="auto"/>
                    </w:rPr>
                    <w:t>工业用地</w:t>
                  </w:r>
                </w:p>
              </w:tc>
              <w:tc>
                <w:tcPr>
                  <w:tcW w:w="2134" w:type="dxa"/>
                  <w:vAlign w:val="center"/>
                </w:tcPr>
                <w:p>
                  <w:pPr>
                    <w:jc w:val="center"/>
                    <w:rPr>
                      <w:color w:val="auto"/>
                      <w:kern w:val="0"/>
                    </w:rPr>
                  </w:pPr>
                  <w:r>
                    <w:rPr>
                      <w:rFonts w:hint="eastAsia"/>
                      <w:color w:val="auto"/>
                    </w:rPr>
                    <w:t>5.3782</w:t>
                  </w:r>
                </w:p>
              </w:tc>
              <w:tc>
                <w:tcPr>
                  <w:tcW w:w="2134" w:type="dxa"/>
                  <w:vAlign w:val="center"/>
                </w:tcPr>
                <w:p>
                  <w:pPr>
                    <w:jc w:val="center"/>
                    <w:rPr>
                      <w:color w:val="auto"/>
                      <w:kern w:val="0"/>
                    </w:rPr>
                  </w:pPr>
                  <w:r>
                    <w:rPr>
                      <w:rFonts w:hint="eastAsia"/>
                      <w:color w:val="auto"/>
                    </w:rPr>
                    <w:t>1.59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4" w:type="dxa"/>
                  <w:vMerge w:val="continue"/>
                  <w:vAlign w:val="center"/>
                </w:tcPr>
                <w:p>
                  <w:pPr>
                    <w:jc w:val="center"/>
                    <w:rPr>
                      <w:color w:val="auto"/>
                      <w:kern w:val="0"/>
                    </w:rPr>
                  </w:pPr>
                </w:p>
              </w:tc>
              <w:tc>
                <w:tcPr>
                  <w:tcW w:w="2134" w:type="dxa"/>
                  <w:vAlign w:val="center"/>
                </w:tcPr>
                <w:p>
                  <w:pPr>
                    <w:jc w:val="center"/>
                    <w:rPr>
                      <w:color w:val="auto"/>
                      <w:kern w:val="0"/>
                    </w:rPr>
                  </w:pPr>
                  <w:r>
                    <w:rPr>
                      <w:rFonts w:hint="eastAsia"/>
                      <w:color w:val="auto"/>
                    </w:rPr>
                    <w:t>居民用地</w:t>
                  </w:r>
                </w:p>
              </w:tc>
              <w:tc>
                <w:tcPr>
                  <w:tcW w:w="2134" w:type="dxa"/>
                  <w:vAlign w:val="center"/>
                </w:tcPr>
                <w:p>
                  <w:pPr>
                    <w:jc w:val="center"/>
                    <w:rPr>
                      <w:color w:val="auto"/>
                      <w:kern w:val="0"/>
                    </w:rPr>
                  </w:pPr>
                  <w:r>
                    <w:rPr>
                      <w:rFonts w:hint="eastAsia"/>
                      <w:color w:val="auto"/>
                    </w:rPr>
                    <w:t>6.4900</w:t>
                  </w:r>
                </w:p>
              </w:tc>
              <w:tc>
                <w:tcPr>
                  <w:tcW w:w="2134" w:type="dxa"/>
                  <w:vAlign w:val="center"/>
                </w:tcPr>
                <w:p>
                  <w:pPr>
                    <w:jc w:val="center"/>
                    <w:rPr>
                      <w:color w:val="auto"/>
                      <w:kern w:val="0"/>
                    </w:rPr>
                  </w:pPr>
                  <w:r>
                    <w:rPr>
                      <w:rFonts w:hint="eastAsia"/>
                      <w:color w:val="auto"/>
                    </w:rPr>
                    <w:t>1.92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4" w:type="dxa"/>
                  <w:vMerge w:val="continue"/>
                  <w:vAlign w:val="center"/>
                </w:tcPr>
                <w:p>
                  <w:pPr>
                    <w:jc w:val="center"/>
                    <w:rPr>
                      <w:color w:val="auto"/>
                      <w:kern w:val="0"/>
                    </w:rPr>
                  </w:pPr>
                </w:p>
              </w:tc>
              <w:tc>
                <w:tcPr>
                  <w:tcW w:w="2134" w:type="dxa"/>
                  <w:vAlign w:val="center"/>
                </w:tcPr>
                <w:p>
                  <w:pPr>
                    <w:jc w:val="center"/>
                    <w:rPr>
                      <w:color w:val="auto"/>
                      <w:kern w:val="0"/>
                    </w:rPr>
                  </w:pPr>
                  <w:r>
                    <w:rPr>
                      <w:rFonts w:hint="eastAsia"/>
                      <w:color w:val="auto"/>
                    </w:rPr>
                    <w:t>交通用地</w:t>
                  </w:r>
                </w:p>
              </w:tc>
              <w:tc>
                <w:tcPr>
                  <w:tcW w:w="2134" w:type="dxa"/>
                  <w:vAlign w:val="center"/>
                </w:tcPr>
                <w:p>
                  <w:pPr>
                    <w:jc w:val="center"/>
                    <w:rPr>
                      <w:color w:val="auto"/>
                      <w:kern w:val="0"/>
                    </w:rPr>
                  </w:pPr>
                  <w:r>
                    <w:rPr>
                      <w:rFonts w:hint="eastAsia"/>
                      <w:color w:val="auto"/>
                    </w:rPr>
                    <w:t>3.9484</w:t>
                  </w:r>
                </w:p>
              </w:tc>
              <w:tc>
                <w:tcPr>
                  <w:tcW w:w="2134" w:type="dxa"/>
                  <w:vAlign w:val="center"/>
                </w:tcPr>
                <w:p>
                  <w:pPr>
                    <w:jc w:val="center"/>
                    <w:rPr>
                      <w:color w:val="auto"/>
                      <w:kern w:val="0"/>
                    </w:rPr>
                  </w:pPr>
                  <w:r>
                    <w:rPr>
                      <w:rFonts w:hint="eastAsia"/>
                      <w:color w:val="auto"/>
                    </w:rPr>
                    <w:t>1.17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4" w:type="dxa"/>
                  <w:vMerge w:val="continue"/>
                  <w:vAlign w:val="center"/>
                </w:tcPr>
                <w:p>
                  <w:pPr>
                    <w:jc w:val="center"/>
                    <w:rPr>
                      <w:color w:val="auto"/>
                      <w:kern w:val="0"/>
                    </w:rPr>
                  </w:pPr>
                </w:p>
              </w:tc>
              <w:tc>
                <w:tcPr>
                  <w:tcW w:w="2134" w:type="dxa"/>
                  <w:vAlign w:val="center"/>
                </w:tcPr>
                <w:p>
                  <w:pPr>
                    <w:jc w:val="center"/>
                    <w:rPr>
                      <w:color w:val="auto"/>
                      <w:kern w:val="0"/>
                    </w:rPr>
                  </w:pPr>
                  <w:r>
                    <w:rPr>
                      <w:rFonts w:hint="eastAsia"/>
                      <w:color w:val="auto"/>
                    </w:rPr>
                    <w:t>合计</w:t>
                  </w:r>
                </w:p>
              </w:tc>
              <w:tc>
                <w:tcPr>
                  <w:tcW w:w="2134" w:type="dxa"/>
                  <w:vAlign w:val="center"/>
                </w:tcPr>
                <w:p>
                  <w:pPr>
                    <w:jc w:val="center"/>
                    <w:rPr>
                      <w:rFonts w:hint="default" w:eastAsia="宋体"/>
                      <w:color w:val="auto"/>
                      <w:kern w:val="0"/>
                      <w:lang w:val="en-US" w:eastAsia="zh-CN"/>
                    </w:rPr>
                  </w:pPr>
                  <w:r>
                    <w:rPr>
                      <w:rFonts w:hint="eastAsia"/>
                      <w:color w:val="auto"/>
                      <w:kern w:val="0"/>
                      <w:lang w:val="en-US" w:eastAsia="zh-CN"/>
                    </w:rPr>
                    <w:t>20.0662</w:t>
                  </w:r>
                </w:p>
              </w:tc>
              <w:tc>
                <w:tcPr>
                  <w:tcW w:w="2134" w:type="dxa"/>
                  <w:vAlign w:val="center"/>
                </w:tcPr>
                <w:p>
                  <w:pPr>
                    <w:jc w:val="center"/>
                    <w:rPr>
                      <w:color w:val="auto"/>
                      <w:kern w:val="0"/>
                    </w:rPr>
                  </w:pPr>
                  <w:r>
                    <w:rPr>
                      <w:rFonts w:hint="eastAsia"/>
                      <w:color w:val="auto"/>
                      <w:kern w:val="0"/>
                    </w:rPr>
                    <w:t>1</w:t>
                  </w:r>
                  <w:r>
                    <w:rPr>
                      <w:color w:val="auto"/>
                      <w:kern w:val="0"/>
                    </w:rPr>
                    <w:t>00.00</w:t>
                  </w:r>
                </w:p>
              </w:tc>
            </w:tr>
          </w:tbl>
          <w:p>
            <w:pPr>
              <w:adjustRightInd w:val="0"/>
              <w:snapToGrid w:val="0"/>
              <w:spacing w:line="480" w:lineRule="exact"/>
              <w:ind w:firstLine="480" w:firstLineChars="200"/>
              <w:rPr>
                <w:rFonts w:hint="eastAsia"/>
                <w:color w:val="auto"/>
                <w:sz w:val="24"/>
                <w:szCs w:val="24"/>
              </w:rPr>
            </w:pPr>
            <w:r>
              <w:rPr>
                <w:rFonts w:hint="eastAsia"/>
                <w:color w:val="auto"/>
                <w:kern w:val="0"/>
                <w:sz w:val="24"/>
                <w:szCs w:val="24"/>
              </w:rPr>
              <w:t>由上表和附图</w:t>
            </w:r>
            <w:r>
              <w:rPr>
                <w:rFonts w:hint="eastAsia"/>
                <w:color w:val="auto"/>
                <w:kern w:val="0"/>
                <w:sz w:val="24"/>
                <w:szCs w:val="24"/>
                <w:lang w:val="en-US" w:eastAsia="zh-CN"/>
              </w:rPr>
              <w:t>11</w:t>
            </w:r>
            <w:r>
              <w:rPr>
                <w:rFonts w:hint="eastAsia"/>
                <w:color w:val="auto"/>
                <w:kern w:val="0"/>
                <w:sz w:val="24"/>
                <w:szCs w:val="24"/>
              </w:rPr>
              <w:t>以及结合现场勘察结果分析可知：</w:t>
            </w:r>
            <w:r>
              <w:rPr>
                <w:rFonts w:hint="eastAsia"/>
                <w:color w:val="auto"/>
                <w:sz w:val="24"/>
                <w:szCs w:val="24"/>
                <w:lang w:val="en-US" w:eastAsia="zh-CN"/>
              </w:rPr>
              <w:t>道路面以其他草地、交通用地、灌木林地</w:t>
            </w:r>
            <w:r>
              <w:rPr>
                <w:rFonts w:hint="eastAsia"/>
                <w:color w:val="auto"/>
                <w:sz w:val="24"/>
                <w:szCs w:val="24"/>
              </w:rPr>
              <w:t>为主，占比分别为</w:t>
            </w:r>
            <w:r>
              <w:rPr>
                <w:rFonts w:hint="eastAsia"/>
                <w:color w:val="auto"/>
                <w:sz w:val="24"/>
                <w:szCs w:val="24"/>
                <w:lang w:val="en-US" w:eastAsia="zh-CN"/>
              </w:rPr>
              <w:t>19.85</w:t>
            </w:r>
            <w:r>
              <w:rPr>
                <w:rFonts w:hint="eastAsia"/>
                <w:color w:val="auto"/>
                <w:sz w:val="24"/>
                <w:szCs w:val="24"/>
              </w:rPr>
              <w:t>%、</w:t>
            </w:r>
            <w:r>
              <w:rPr>
                <w:rFonts w:hint="eastAsia"/>
                <w:color w:val="auto"/>
                <w:sz w:val="24"/>
                <w:szCs w:val="24"/>
                <w:lang w:val="en-US" w:eastAsia="zh-CN"/>
              </w:rPr>
              <w:t>16.21</w:t>
            </w:r>
            <w:r>
              <w:rPr>
                <w:rFonts w:hint="eastAsia"/>
                <w:color w:val="auto"/>
                <w:sz w:val="24"/>
                <w:szCs w:val="24"/>
              </w:rPr>
              <w:t>%</w:t>
            </w:r>
            <w:r>
              <w:rPr>
                <w:rFonts w:hint="eastAsia"/>
                <w:color w:val="auto"/>
                <w:sz w:val="24"/>
                <w:szCs w:val="24"/>
                <w:lang w:eastAsia="zh-CN"/>
              </w:rPr>
              <w:t>、</w:t>
            </w:r>
            <w:r>
              <w:rPr>
                <w:rFonts w:hint="eastAsia"/>
                <w:color w:val="auto"/>
                <w:sz w:val="24"/>
                <w:szCs w:val="24"/>
                <w:lang w:val="en-US" w:eastAsia="zh-CN"/>
              </w:rPr>
              <w:t>15.96；评价区以其他草地、水库、乔木林地为主，占比分别为16.74%、41.42%、14.21%</w:t>
            </w:r>
            <w:r>
              <w:rPr>
                <w:rFonts w:hint="eastAsia"/>
                <w:color w:val="auto"/>
                <w:sz w:val="24"/>
                <w:szCs w:val="24"/>
              </w:rPr>
              <w:t>。</w:t>
            </w:r>
          </w:p>
          <w:p>
            <w:pPr>
              <w:adjustRightInd w:val="0"/>
              <w:snapToGrid w:val="0"/>
              <w:spacing w:line="480" w:lineRule="exact"/>
              <w:ind w:firstLine="482" w:firstLineChars="200"/>
              <w:rPr>
                <w:b/>
                <w:bCs/>
                <w:kern w:val="0"/>
                <w:sz w:val="24"/>
                <w:szCs w:val="24"/>
              </w:rPr>
            </w:pPr>
            <w:r>
              <w:rPr>
                <w:rFonts w:hint="eastAsia"/>
                <w:b/>
                <w:bCs/>
                <w:kern w:val="0"/>
                <w:sz w:val="24"/>
                <w:szCs w:val="24"/>
              </w:rPr>
              <w:t>（</w:t>
            </w:r>
            <w:r>
              <w:rPr>
                <w:b/>
                <w:bCs/>
                <w:kern w:val="0"/>
                <w:sz w:val="24"/>
                <w:szCs w:val="24"/>
              </w:rPr>
              <w:t>2</w:t>
            </w:r>
            <w:r>
              <w:rPr>
                <w:rFonts w:hint="eastAsia"/>
                <w:b/>
                <w:bCs/>
                <w:kern w:val="0"/>
                <w:sz w:val="24"/>
                <w:szCs w:val="24"/>
              </w:rPr>
              <w:t>）植被类型</w:t>
            </w:r>
          </w:p>
          <w:p>
            <w:pPr>
              <w:adjustRightInd w:val="0"/>
              <w:snapToGrid w:val="0"/>
              <w:spacing w:line="480" w:lineRule="exact"/>
              <w:ind w:firstLine="480" w:firstLineChars="200"/>
              <w:rPr>
                <w:color w:val="auto"/>
                <w:sz w:val="24"/>
                <w:szCs w:val="24"/>
              </w:rPr>
            </w:pPr>
            <w:r>
              <w:rPr>
                <w:rFonts w:hint="eastAsia"/>
                <w:kern w:val="0"/>
                <w:sz w:val="24"/>
                <w:lang w:val="en-US" w:eastAsia="zh-CN"/>
              </w:rPr>
              <w:t>该区主要的生态系统类型为农田生态系统和草地生态系统，植被类型主要以低覆度草和栽培植被为主，还有少量的林地零散分布；年降雨量为350-600mm，地势在800-1500m之间。</w:t>
            </w:r>
            <w:r>
              <w:rPr>
                <w:rFonts w:hint="eastAsia"/>
                <w:color w:val="auto"/>
                <w:sz w:val="24"/>
                <w:szCs w:val="24"/>
              </w:rPr>
              <w:t>项目建设区域的植被类型现状分类统计见表</w:t>
            </w:r>
            <w:r>
              <w:rPr>
                <w:color w:val="auto"/>
                <w:sz w:val="24"/>
                <w:szCs w:val="24"/>
              </w:rPr>
              <w:t>3-</w:t>
            </w:r>
            <w:r>
              <w:rPr>
                <w:rFonts w:hint="eastAsia"/>
                <w:color w:val="auto"/>
                <w:sz w:val="24"/>
                <w:szCs w:val="24"/>
                <w:lang w:val="en-US" w:eastAsia="zh-CN"/>
              </w:rPr>
              <w:t>3</w:t>
            </w:r>
            <w:r>
              <w:rPr>
                <w:color w:val="auto"/>
                <w:sz w:val="24"/>
                <w:szCs w:val="24"/>
              </w:rPr>
              <w:t>~</w:t>
            </w:r>
            <w:r>
              <w:rPr>
                <w:rFonts w:hint="eastAsia"/>
                <w:color w:val="auto"/>
                <w:sz w:val="24"/>
                <w:szCs w:val="24"/>
                <w:lang w:val="en-US" w:eastAsia="zh-CN"/>
              </w:rPr>
              <w:t>4</w:t>
            </w:r>
            <w:r>
              <w:rPr>
                <w:rFonts w:hint="eastAsia"/>
                <w:color w:val="auto"/>
                <w:sz w:val="24"/>
                <w:szCs w:val="24"/>
              </w:rPr>
              <w:t>，</w:t>
            </w:r>
            <w:r>
              <w:rPr>
                <w:rFonts w:hint="eastAsia"/>
                <w:color w:val="auto"/>
                <w:sz w:val="24"/>
                <w:szCs w:val="24"/>
                <w:lang w:val="en-US" w:eastAsia="zh-CN"/>
              </w:rPr>
              <w:t>植被</w:t>
            </w:r>
            <w:r>
              <w:rPr>
                <w:rFonts w:hint="eastAsia"/>
                <w:color w:val="auto"/>
                <w:sz w:val="24"/>
                <w:szCs w:val="24"/>
              </w:rPr>
              <w:t>类型分</w:t>
            </w:r>
            <w:r>
              <w:rPr>
                <w:rFonts w:hint="eastAsia"/>
                <w:color w:val="auto"/>
                <w:sz w:val="24"/>
                <w:szCs w:val="24"/>
                <w:lang w:val="en-US" w:eastAsia="zh-CN"/>
              </w:rPr>
              <w:t>步</w:t>
            </w:r>
            <w:r>
              <w:rPr>
                <w:rFonts w:hint="eastAsia"/>
                <w:color w:val="auto"/>
                <w:sz w:val="24"/>
                <w:szCs w:val="24"/>
              </w:rPr>
              <w:t>图见附图</w:t>
            </w:r>
            <w:r>
              <w:rPr>
                <w:color w:val="auto"/>
                <w:sz w:val="24"/>
                <w:szCs w:val="24"/>
              </w:rPr>
              <w:t>1</w:t>
            </w:r>
            <w:r>
              <w:rPr>
                <w:rFonts w:hint="eastAsia"/>
                <w:color w:val="auto"/>
                <w:sz w:val="24"/>
                <w:szCs w:val="24"/>
                <w:lang w:val="en-US" w:eastAsia="zh-CN"/>
              </w:rPr>
              <w:t>2</w:t>
            </w:r>
            <w:r>
              <w:rPr>
                <w:rFonts w:hint="eastAsia"/>
                <w:color w:val="auto"/>
                <w:sz w:val="24"/>
                <w:szCs w:val="24"/>
              </w:rPr>
              <w:t>。</w:t>
            </w:r>
          </w:p>
          <w:p>
            <w:pPr>
              <w:adjustRightInd w:val="0"/>
              <w:snapToGrid w:val="0"/>
              <w:spacing w:line="480" w:lineRule="exact"/>
              <w:jc w:val="center"/>
              <w:rPr>
                <w:rFonts w:ascii="黑体" w:hAnsi="黑体" w:eastAsia="黑体" w:cs="Courier New"/>
                <w:bCs/>
                <w:color w:val="auto"/>
                <w:kern w:val="32"/>
                <w:sz w:val="24"/>
              </w:rPr>
            </w:pPr>
            <w:r>
              <w:rPr>
                <w:rFonts w:ascii="黑体" w:hAnsi="黑体" w:eastAsia="黑体" w:cs="Courier New"/>
                <w:bCs/>
                <w:color w:val="auto"/>
                <w:kern w:val="32"/>
                <w:sz w:val="24"/>
              </w:rPr>
              <w:t>表3-</w:t>
            </w:r>
            <w:r>
              <w:rPr>
                <w:rFonts w:hint="eastAsia" w:ascii="黑体" w:hAnsi="黑体" w:eastAsia="黑体" w:cs="Courier New"/>
                <w:bCs/>
                <w:color w:val="auto"/>
                <w:kern w:val="32"/>
                <w:sz w:val="24"/>
                <w:lang w:val="en-US" w:eastAsia="zh-CN"/>
              </w:rPr>
              <w:t>3</w:t>
            </w:r>
            <w:r>
              <w:rPr>
                <w:rFonts w:hint="eastAsia" w:ascii="黑体" w:hAnsi="黑体" w:eastAsia="黑体" w:cs="Courier New"/>
                <w:bCs/>
                <w:color w:val="auto"/>
                <w:kern w:val="32"/>
                <w:sz w:val="24"/>
              </w:rPr>
              <w:t xml:space="preserve">  </w:t>
            </w:r>
            <w:r>
              <w:rPr>
                <w:rFonts w:hint="eastAsia" w:ascii="黑体" w:hAnsi="黑体" w:eastAsia="黑体"/>
                <w:color w:val="auto"/>
                <w:sz w:val="24"/>
                <w:szCs w:val="22"/>
              </w:rPr>
              <w:t>本项目生态影响评价范围内植被类型现状分布情况一览表</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4"/>
              <w:gridCol w:w="2134"/>
              <w:gridCol w:w="2134"/>
              <w:gridCol w:w="21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4" w:type="dxa"/>
                  <w:vAlign w:val="center"/>
                </w:tcPr>
                <w:p>
                  <w:pPr>
                    <w:jc w:val="center"/>
                    <w:rPr>
                      <w:color w:val="auto"/>
                      <w:kern w:val="0"/>
                    </w:rPr>
                  </w:pPr>
                  <w:r>
                    <w:rPr>
                      <w:rFonts w:hint="eastAsia"/>
                      <w:color w:val="auto"/>
                      <w:kern w:val="0"/>
                    </w:rPr>
                    <w:t>范围</w:t>
                  </w:r>
                </w:p>
              </w:tc>
              <w:tc>
                <w:tcPr>
                  <w:tcW w:w="2134" w:type="dxa"/>
                  <w:vAlign w:val="center"/>
                </w:tcPr>
                <w:p>
                  <w:pPr>
                    <w:jc w:val="center"/>
                    <w:rPr>
                      <w:color w:val="auto"/>
                      <w:kern w:val="0"/>
                    </w:rPr>
                  </w:pPr>
                  <w:r>
                    <w:rPr>
                      <w:rFonts w:hint="eastAsia"/>
                      <w:color w:val="auto"/>
                      <w:kern w:val="0"/>
                    </w:rPr>
                    <w:t>土地利用类型</w:t>
                  </w:r>
                </w:p>
              </w:tc>
              <w:tc>
                <w:tcPr>
                  <w:tcW w:w="2134" w:type="dxa"/>
                  <w:vAlign w:val="center"/>
                </w:tcPr>
                <w:p>
                  <w:pPr>
                    <w:jc w:val="center"/>
                    <w:rPr>
                      <w:color w:val="auto"/>
                      <w:kern w:val="0"/>
                    </w:rPr>
                  </w:pPr>
                  <w:r>
                    <w:rPr>
                      <w:rFonts w:hint="eastAsia"/>
                      <w:color w:val="auto"/>
                      <w:kern w:val="0"/>
                    </w:rPr>
                    <w:t>面积hm</w:t>
                  </w:r>
                  <w:r>
                    <w:rPr>
                      <w:color w:val="auto"/>
                      <w:kern w:val="0"/>
                      <w:vertAlign w:val="superscript"/>
                    </w:rPr>
                    <w:t>2</w:t>
                  </w:r>
                </w:p>
              </w:tc>
              <w:tc>
                <w:tcPr>
                  <w:tcW w:w="2134" w:type="dxa"/>
                  <w:vAlign w:val="center"/>
                </w:tcPr>
                <w:p>
                  <w:pPr>
                    <w:jc w:val="center"/>
                    <w:rPr>
                      <w:color w:val="auto"/>
                      <w:kern w:val="0"/>
                    </w:rPr>
                  </w:pPr>
                  <w:r>
                    <w:rPr>
                      <w:rFonts w:hint="eastAsia"/>
                      <w:color w:val="auto"/>
                      <w:kern w:val="0"/>
                    </w:rPr>
                    <w:t>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2134" w:type="dxa"/>
                  <w:vMerge w:val="restart"/>
                  <w:vAlign w:val="center"/>
                </w:tcPr>
                <w:p>
                  <w:pPr>
                    <w:jc w:val="center"/>
                    <w:rPr>
                      <w:color w:val="auto"/>
                      <w:kern w:val="0"/>
                    </w:rPr>
                  </w:pPr>
                  <w:r>
                    <w:rPr>
                      <w:rFonts w:hint="eastAsia"/>
                      <w:color w:val="auto"/>
                      <w:kern w:val="0"/>
                    </w:rPr>
                    <w:t>评价范围</w:t>
                  </w:r>
                </w:p>
              </w:tc>
              <w:tc>
                <w:tcPr>
                  <w:tcW w:w="2134" w:type="dxa"/>
                  <w:vAlign w:val="center"/>
                </w:tcPr>
                <w:p>
                  <w:pPr>
                    <w:jc w:val="center"/>
                    <w:rPr>
                      <w:rFonts w:hint="default"/>
                      <w:color w:val="auto"/>
                    </w:rPr>
                  </w:pPr>
                  <w:r>
                    <w:rPr>
                      <w:rFonts w:hint="default"/>
                      <w:color w:val="auto"/>
                      <w:lang w:val="en-US" w:eastAsia="zh-CN"/>
                    </w:rPr>
                    <w:t>温带落叶阔叶林</w:t>
                  </w:r>
                </w:p>
              </w:tc>
              <w:tc>
                <w:tcPr>
                  <w:tcW w:w="2134" w:type="dxa"/>
                  <w:vAlign w:val="center"/>
                </w:tcPr>
                <w:p>
                  <w:pPr>
                    <w:jc w:val="center"/>
                    <w:rPr>
                      <w:rFonts w:hint="default" w:eastAsia="宋体"/>
                      <w:color w:val="auto"/>
                      <w:kern w:val="0"/>
                      <w:lang w:val="en-US" w:eastAsia="zh-CN"/>
                    </w:rPr>
                  </w:pPr>
                  <w:r>
                    <w:rPr>
                      <w:rFonts w:hint="eastAsia"/>
                      <w:color w:val="auto"/>
                      <w:kern w:val="0"/>
                      <w:lang w:val="en-US" w:eastAsia="zh-CN"/>
                    </w:rPr>
                    <w:t>53.8986</w:t>
                  </w:r>
                </w:p>
              </w:tc>
              <w:tc>
                <w:tcPr>
                  <w:tcW w:w="2134" w:type="dxa"/>
                  <w:vAlign w:val="center"/>
                </w:tcPr>
                <w:p>
                  <w:pPr>
                    <w:jc w:val="center"/>
                    <w:rPr>
                      <w:rFonts w:hint="default" w:eastAsia="宋体"/>
                      <w:color w:val="auto"/>
                      <w:kern w:val="0"/>
                      <w:lang w:val="en-US" w:eastAsia="zh-CN"/>
                    </w:rPr>
                  </w:pPr>
                  <w:r>
                    <w:rPr>
                      <w:rFonts w:hint="eastAsia"/>
                      <w:color w:val="auto"/>
                      <w:kern w:val="0"/>
                      <w:lang w:val="en-US" w:eastAsia="zh-CN"/>
                    </w:rPr>
                    <w:t>14.21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4" w:type="dxa"/>
                  <w:vMerge w:val="continue"/>
                  <w:vAlign w:val="center"/>
                </w:tcPr>
                <w:p>
                  <w:pPr>
                    <w:jc w:val="center"/>
                    <w:rPr>
                      <w:color w:val="auto"/>
                      <w:kern w:val="0"/>
                    </w:rPr>
                  </w:pPr>
                </w:p>
              </w:tc>
              <w:tc>
                <w:tcPr>
                  <w:tcW w:w="2134" w:type="dxa"/>
                  <w:vAlign w:val="center"/>
                </w:tcPr>
                <w:p>
                  <w:pPr>
                    <w:jc w:val="center"/>
                    <w:rPr>
                      <w:rFonts w:hint="default"/>
                      <w:color w:val="auto"/>
                    </w:rPr>
                  </w:pPr>
                  <w:r>
                    <w:rPr>
                      <w:rFonts w:hint="default"/>
                      <w:color w:val="auto"/>
                      <w:lang w:val="en-US" w:eastAsia="zh-CN"/>
                    </w:rPr>
                    <w:t>温带落叶阔叶灌木丛</w:t>
                  </w:r>
                </w:p>
              </w:tc>
              <w:tc>
                <w:tcPr>
                  <w:tcW w:w="2134" w:type="dxa"/>
                  <w:vAlign w:val="center"/>
                </w:tcPr>
                <w:p>
                  <w:pPr>
                    <w:jc w:val="center"/>
                    <w:rPr>
                      <w:rFonts w:hint="default" w:eastAsia="宋体"/>
                      <w:color w:val="auto"/>
                      <w:kern w:val="0"/>
                      <w:lang w:val="en-US" w:eastAsia="zh-CN"/>
                    </w:rPr>
                  </w:pPr>
                  <w:r>
                    <w:rPr>
                      <w:rFonts w:hint="eastAsia"/>
                      <w:color w:val="auto"/>
                      <w:kern w:val="0"/>
                      <w:lang w:val="en-US" w:eastAsia="zh-CN"/>
                    </w:rPr>
                    <w:t>35.8818</w:t>
                  </w:r>
                </w:p>
              </w:tc>
              <w:tc>
                <w:tcPr>
                  <w:tcW w:w="2134" w:type="dxa"/>
                  <w:vAlign w:val="center"/>
                </w:tcPr>
                <w:p>
                  <w:pPr>
                    <w:jc w:val="center"/>
                    <w:rPr>
                      <w:rFonts w:hint="default" w:eastAsia="宋体"/>
                      <w:color w:val="auto"/>
                      <w:kern w:val="0"/>
                      <w:lang w:val="en-US" w:eastAsia="zh-CN"/>
                    </w:rPr>
                  </w:pPr>
                  <w:r>
                    <w:rPr>
                      <w:rFonts w:hint="eastAsia"/>
                      <w:color w:val="auto"/>
                      <w:kern w:val="0"/>
                      <w:lang w:val="en-US" w:eastAsia="zh-CN"/>
                    </w:rPr>
                    <w:t>9.46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4" w:type="dxa"/>
                  <w:vMerge w:val="continue"/>
                  <w:vAlign w:val="center"/>
                </w:tcPr>
                <w:p>
                  <w:pPr>
                    <w:jc w:val="center"/>
                    <w:rPr>
                      <w:color w:val="auto"/>
                      <w:kern w:val="0"/>
                    </w:rPr>
                  </w:pPr>
                </w:p>
              </w:tc>
              <w:tc>
                <w:tcPr>
                  <w:tcW w:w="2134" w:type="dxa"/>
                  <w:vAlign w:val="center"/>
                </w:tcPr>
                <w:p>
                  <w:pPr>
                    <w:jc w:val="center"/>
                    <w:rPr>
                      <w:rFonts w:hint="default"/>
                      <w:color w:val="auto"/>
                    </w:rPr>
                  </w:pPr>
                  <w:r>
                    <w:rPr>
                      <w:rFonts w:hint="default"/>
                      <w:color w:val="auto"/>
                      <w:lang w:val="en-US" w:eastAsia="zh-CN"/>
                    </w:rPr>
                    <w:t>暖性草丛</w:t>
                  </w:r>
                </w:p>
              </w:tc>
              <w:tc>
                <w:tcPr>
                  <w:tcW w:w="2134" w:type="dxa"/>
                  <w:vAlign w:val="center"/>
                </w:tcPr>
                <w:p>
                  <w:pPr>
                    <w:jc w:val="center"/>
                    <w:rPr>
                      <w:rFonts w:hint="default" w:eastAsia="宋体"/>
                      <w:color w:val="auto"/>
                      <w:kern w:val="0"/>
                      <w:lang w:val="en-US" w:eastAsia="zh-CN"/>
                    </w:rPr>
                  </w:pPr>
                  <w:r>
                    <w:rPr>
                      <w:rFonts w:hint="eastAsia"/>
                      <w:color w:val="auto"/>
                      <w:kern w:val="0"/>
                      <w:lang w:val="en-US" w:eastAsia="zh-CN"/>
                    </w:rPr>
                    <w:t>63.4949</w:t>
                  </w:r>
                </w:p>
              </w:tc>
              <w:tc>
                <w:tcPr>
                  <w:tcW w:w="2134" w:type="dxa"/>
                  <w:vAlign w:val="center"/>
                </w:tcPr>
                <w:p>
                  <w:pPr>
                    <w:jc w:val="center"/>
                    <w:rPr>
                      <w:rFonts w:hint="default" w:eastAsia="宋体"/>
                      <w:color w:val="auto"/>
                      <w:kern w:val="0"/>
                      <w:lang w:val="en-US" w:eastAsia="zh-CN"/>
                    </w:rPr>
                  </w:pPr>
                  <w:r>
                    <w:rPr>
                      <w:rFonts w:hint="eastAsia"/>
                      <w:color w:val="auto"/>
                      <w:kern w:val="0"/>
                      <w:lang w:val="en-US" w:eastAsia="zh-CN"/>
                    </w:rPr>
                    <w:t>16.74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4" w:type="dxa"/>
                  <w:vMerge w:val="continue"/>
                  <w:vAlign w:val="center"/>
                </w:tcPr>
                <w:p>
                  <w:pPr>
                    <w:jc w:val="center"/>
                    <w:rPr>
                      <w:color w:val="auto"/>
                      <w:kern w:val="0"/>
                    </w:rPr>
                  </w:pPr>
                </w:p>
              </w:tc>
              <w:tc>
                <w:tcPr>
                  <w:tcW w:w="2134" w:type="dxa"/>
                  <w:vAlign w:val="center"/>
                </w:tcPr>
                <w:p>
                  <w:pPr>
                    <w:jc w:val="center"/>
                    <w:rPr>
                      <w:rFonts w:hint="default"/>
                      <w:color w:val="auto"/>
                    </w:rPr>
                  </w:pPr>
                  <w:r>
                    <w:rPr>
                      <w:rFonts w:hint="default"/>
                      <w:color w:val="auto"/>
                      <w:lang w:val="en-US" w:eastAsia="zh-CN"/>
                    </w:rPr>
                    <w:t>农田植被</w:t>
                  </w:r>
                </w:p>
              </w:tc>
              <w:tc>
                <w:tcPr>
                  <w:tcW w:w="2134" w:type="dxa"/>
                  <w:vAlign w:val="center"/>
                </w:tcPr>
                <w:p>
                  <w:pPr>
                    <w:jc w:val="center"/>
                    <w:rPr>
                      <w:rFonts w:hint="default" w:eastAsia="宋体"/>
                      <w:color w:val="auto"/>
                      <w:kern w:val="0"/>
                      <w:lang w:val="en-US" w:eastAsia="zh-CN"/>
                    </w:rPr>
                  </w:pPr>
                  <w:r>
                    <w:rPr>
                      <w:rFonts w:hint="eastAsia"/>
                      <w:color w:val="auto"/>
                      <w:kern w:val="0"/>
                      <w:lang w:val="en-US" w:eastAsia="zh-CN"/>
                    </w:rPr>
                    <w:t>43.8471</w:t>
                  </w:r>
                </w:p>
              </w:tc>
              <w:tc>
                <w:tcPr>
                  <w:tcW w:w="2134" w:type="dxa"/>
                  <w:vAlign w:val="center"/>
                </w:tcPr>
                <w:p>
                  <w:pPr>
                    <w:jc w:val="center"/>
                    <w:rPr>
                      <w:rFonts w:hint="default" w:eastAsia="宋体"/>
                      <w:color w:val="auto"/>
                      <w:kern w:val="0"/>
                      <w:lang w:val="en-US" w:eastAsia="zh-CN"/>
                    </w:rPr>
                  </w:pPr>
                  <w:r>
                    <w:rPr>
                      <w:rFonts w:hint="eastAsia"/>
                      <w:color w:val="auto"/>
                      <w:kern w:val="0"/>
                      <w:lang w:val="en-US" w:eastAsia="zh-CN"/>
                    </w:rPr>
                    <w:t>11.56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4" w:type="dxa"/>
                  <w:vMerge w:val="continue"/>
                  <w:vAlign w:val="center"/>
                </w:tcPr>
                <w:p>
                  <w:pPr>
                    <w:jc w:val="center"/>
                    <w:rPr>
                      <w:color w:val="auto"/>
                      <w:kern w:val="0"/>
                    </w:rPr>
                  </w:pPr>
                </w:p>
              </w:tc>
              <w:tc>
                <w:tcPr>
                  <w:tcW w:w="2134" w:type="dxa"/>
                  <w:vAlign w:val="center"/>
                </w:tcPr>
                <w:p>
                  <w:pPr>
                    <w:jc w:val="center"/>
                    <w:rPr>
                      <w:rFonts w:hint="default"/>
                      <w:color w:val="auto"/>
                    </w:rPr>
                  </w:pPr>
                  <w:r>
                    <w:rPr>
                      <w:rFonts w:hint="default"/>
                      <w:color w:val="auto"/>
                      <w:lang w:val="en-US" w:eastAsia="zh-CN"/>
                    </w:rPr>
                    <w:t>无植被区</w:t>
                  </w:r>
                </w:p>
              </w:tc>
              <w:tc>
                <w:tcPr>
                  <w:tcW w:w="2134" w:type="dxa"/>
                  <w:vAlign w:val="center"/>
                </w:tcPr>
                <w:p>
                  <w:pPr>
                    <w:jc w:val="center"/>
                    <w:rPr>
                      <w:rFonts w:hint="default" w:eastAsia="宋体"/>
                      <w:color w:val="auto"/>
                      <w:kern w:val="0"/>
                      <w:lang w:val="en-US" w:eastAsia="zh-CN"/>
                    </w:rPr>
                  </w:pPr>
                  <w:r>
                    <w:rPr>
                      <w:rFonts w:hint="eastAsia"/>
                      <w:color w:val="auto"/>
                      <w:kern w:val="0"/>
                      <w:lang w:val="en-US" w:eastAsia="zh-CN"/>
                    </w:rPr>
                    <w:t>182.1780</w:t>
                  </w:r>
                </w:p>
              </w:tc>
              <w:tc>
                <w:tcPr>
                  <w:tcW w:w="2134" w:type="dxa"/>
                  <w:vAlign w:val="center"/>
                </w:tcPr>
                <w:p>
                  <w:pPr>
                    <w:jc w:val="center"/>
                    <w:rPr>
                      <w:rFonts w:hint="default" w:eastAsia="宋体"/>
                      <w:color w:val="auto"/>
                      <w:kern w:val="0"/>
                      <w:lang w:val="en-US" w:eastAsia="zh-CN"/>
                    </w:rPr>
                  </w:pPr>
                  <w:r>
                    <w:rPr>
                      <w:rFonts w:hint="eastAsia"/>
                      <w:color w:val="auto"/>
                      <w:kern w:val="0"/>
                      <w:lang w:val="en-US" w:eastAsia="zh-CN"/>
                    </w:rPr>
                    <w:t>48.03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4" w:type="dxa"/>
                  <w:vMerge w:val="continue"/>
                  <w:vAlign w:val="center"/>
                </w:tcPr>
                <w:p>
                  <w:pPr>
                    <w:jc w:val="center"/>
                    <w:rPr>
                      <w:color w:val="auto"/>
                      <w:kern w:val="0"/>
                    </w:rPr>
                  </w:pPr>
                </w:p>
              </w:tc>
              <w:tc>
                <w:tcPr>
                  <w:tcW w:w="2134" w:type="dxa"/>
                  <w:vAlign w:val="center"/>
                </w:tcPr>
                <w:p>
                  <w:pPr>
                    <w:jc w:val="center"/>
                    <w:rPr>
                      <w:color w:val="auto"/>
                      <w:kern w:val="0"/>
                    </w:rPr>
                  </w:pPr>
                  <w:r>
                    <w:rPr>
                      <w:rFonts w:hint="eastAsia"/>
                      <w:color w:val="auto"/>
                    </w:rPr>
                    <w:t>合计</w:t>
                  </w:r>
                </w:p>
              </w:tc>
              <w:tc>
                <w:tcPr>
                  <w:tcW w:w="2134" w:type="dxa"/>
                  <w:vAlign w:val="center"/>
                </w:tcPr>
                <w:p>
                  <w:pPr>
                    <w:jc w:val="center"/>
                    <w:rPr>
                      <w:rFonts w:hint="default" w:eastAsia="宋体"/>
                      <w:color w:val="auto"/>
                      <w:kern w:val="0"/>
                      <w:lang w:val="en-US" w:eastAsia="zh-CN"/>
                    </w:rPr>
                  </w:pPr>
                  <w:r>
                    <w:rPr>
                      <w:rFonts w:hint="eastAsia"/>
                      <w:color w:val="auto"/>
                      <w:kern w:val="0"/>
                      <w:lang w:val="en-US" w:eastAsia="zh-CN"/>
                    </w:rPr>
                    <w:t>379.3004</w:t>
                  </w:r>
                </w:p>
              </w:tc>
              <w:tc>
                <w:tcPr>
                  <w:tcW w:w="2134" w:type="dxa"/>
                  <w:vAlign w:val="center"/>
                </w:tcPr>
                <w:p>
                  <w:pPr>
                    <w:jc w:val="center"/>
                    <w:rPr>
                      <w:color w:val="auto"/>
                      <w:kern w:val="0"/>
                    </w:rPr>
                  </w:pPr>
                  <w:r>
                    <w:rPr>
                      <w:rFonts w:hint="eastAsia"/>
                      <w:color w:val="auto"/>
                      <w:kern w:val="0"/>
                    </w:rPr>
                    <w:t>1</w:t>
                  </w:r>
                  <w:r>
                    <w:rPr>
                      <w:color w:val="auto"/>
                      <w:kern w:val="0"/>
                    </w:rPr>
                    <w:t>00.00</w:t>
                  </w:r>
                </w:p>
              </w:tc>
            </w:tr>
          </w:tbl>
          <w:p>
            <w:pPr>
              <w:adjustRightInd w:val="0"/>
              <w:snapToGrid w:val="0"/>
              <w:spacing w:line="480" w:lineRule="exact"/>
              <w:jc w:val="center"/>
              <w:rPr>
                <w:rFonts w:ascii="黑体" w:hAnsi="黑体" w:eastAsia="黑体" w:cs="Courier New"/>
                <w:bCs/>
                <w:color w:val="auto"/>
                <w:kern w:val="32"/>
                <w:sz w:val="24"/>
              </w:rPr>
            </w:pPr>
            <w:r>
              <w:rPr>
                <w:rFonts w:ascii="黑体" w:hAnsi="黑体" w:eastAsia="黑体" w:cs="Courier New"/>
                <w:bCs/>
                <w:color w:val="auto"/>
                <w:kern w:val="32"/>
                <w:sz w:val="24"/>
              </w:rPr>
              <w:t>表3-</w:t>
            </w:r>
            <w:r>
              <w:rPr>
                <w:rFonts w:hint="eastAsia" w:ascii="黑体" w:hAnsi="黑体" w:eastAsia="黑体" w:cs="Courier New"/>
                <w:bCs/>
                <w:color w:val="auto"/>
                <w:kern w:val="32"/>
                <w:sz w:val="24"/>
                <w:lang w:val="en-US" w:eastAsia="zh-CN"/>
              </w:rPr>
              <w:t>4</w:t>
            </w:r>
            <w:r>
              <w:rPr>
                <w:rFonts w:hint="eastAsia" w:ascii="黑体" w:hAnsi="黑体" w:eastAsia="黑体" w:cs="Courier New"/>
                <w:bCs/>
                <w:color w:val="auto"/>
                <w:kern w:val="32"/>
                <w:sz w:val="24"/>
              </w:rPr>
              <w:t xml:space="preserve">  </w:t>
            </w:r>
            <w:r>
              <w:rPr>
                <w:rFonts w:hint="eastAsia" w:ascii="黑体" w:hAnsi="黑体" w:eastAsia="黑体"/>
                <w:color w:val="auto"/>
                <w:sz w:val="24"/>
                <w:szCs w:val="22"/>
              </w:rPr>
              <w:t>本项目</w:t>
            </w:r>
            <w:r>
              <w:rPr>
                <w:rFonts w:hint="eastAsia" w:ascii="黑体" w:hAnsi="黑体" w:eastAsia="黑体"/>
                <w:color w:val="auto"/>
                <w:sz w:val="24"/>
                <w:szCs w:val="22"/>
                <w:lang w:val="en-US" w:eastAsia="zh-CN"/>
              </w:rPr>
              <w:t>道路</w:t>
            </w:r>
            <w:r>
              <w:rPr>
                <w:rFonts w:hint="eastAsia" w:ascii="黑体" w:hAnsi="黑体" w:eastAsia="黑体"/>
                <w:color w:val="auto"/>
                <w:sz w:val="24"/>
                <w:szCs w:val="22"/>
              </w:rPr>
              <w:t>范围内土地利用类型现状分布情况一览表</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4"/>
              <w:gridCol w:w="2134"/>
              <w:gridCol w:w="2134"/>
              <w:gridCol w:w="21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4" w:type="dxa"/>
                  <w:vAlign w:val="center"/>
                </w:tcPr>
                <w:p>
                  <w:pPr>
                    <w:jc w:val="center"/>
                    <w:rPr>
                      <w:color w:val="auto"/>
                      <w:kern w:val="0"/>
                    </w:rPr>
                  </w:pPr>
                  <w:r>
                    <w:rPr>
                      <w:rFonts w:hint="eastAsia"/>
                      <w:color w:val="auto"/>
                      <w:kern w:val="0"/>
                    </w:rPr>
                    <w:t>范围</w:t>
                  </w:r>
                </w:p>
              </w:tc>
              <w:tc>
                <w:tcPr>
                  <w:tcW w:w="2134" w:type="dxa"/>
                  <w:vAlign w:val="center"/>
                </w:tcPr>
                <w:p>
                  <w:pPr>
                    <w:jc w:val="center"/>
                    <w:rPr>
                      <w:color w:val="auto"/>
                      <w:kern w:val="0"/>
                    </w:rPr>
                  </w:pPr>
                  <w:r>
                    <w:rPr>
                      <w:rFonts w:hint="eastAsia"/>
                      <w:color w:val="auto"/>
                      <w:kern w:val="0"/>
                    </w:rPr>
                    <w:t>土地利用类型</w:t>
                  </w:r>
                </w:p>
              </w:tc>
              <w:tc>
                <w:tcPr>
                  <w:tcW w:w="2134" w:type="dxa"/>
                  <w:vAlign w:val="center"/>
                </w:tcPr>
                <w:p>
                  <w:pPr>
                    <w:jc w:val="center"/>
                    <w:rPr>
                      <w:color w:val="auto"/>
                      <w:kern w:val="0"/>
                    </w:rPr>
                  </w:pPr>
                  <w:r>
                    <w:rPr>
                      <w:rFonts w:hint="eastAsia"/>
                      <w:color w:val="auto"/>
                      <w:kern w:val="0"/>
                    </w:rPr>
                    <w:t>面积hm</w:t>
                  </w:r>
                  <w:r>
                    <w:rPr>
                      <w:color w:val="auto"/>
                      <w:kern w:val="0"/>
                      <w:vertAlign w:val="superscript"/>
                    </w:rPr>
                    <w:t>2</w:t>
                  </w:r>
                </w:p>
              </w:tc>
              <w:tc>
                <w:tcPr>
                  <w:tcW w:w="2134" w:type="dxa"/>
                  <w:vAlign w:val="center"/>
                </w:tcPr>
                <w:p>
                  <w:pPr>
                    <w:jc w:val="center"/>
                    <w:rPr>
                      <w:color w:val="auto"/>
                      <w:kern w:val="0"/>
                    </w:rPr>
                  </w:pPr>
                  <w:r>
                    <w:rPr>
                      <w:rFonts w:hint="eastAsia"/>
                      <w:color w:val="auto"/>
                      <w:kern w:val="0"/>
                    </w:rPr>
                    <w:t>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4" w:type="dxa"/>
                  <w:vMerge w:val="restart"/>
                  <w:vAlign w:val="center"/>
                </w:tcPr>
                <w:p>
                  <w:pPr>
                    <w:jc w:val="center"/>
                    <w:rPr>
                      <w:color w:val="auto"/>
                      <w:kern w:val="0"/>
                    </w:rPr>
                  </w:pPr>
                  <w:r>
                    <w:rPr>
                      <w:rFonts w:hint="eastAsia"/>
                      <w:color w:val="auto"/>
                      <w:kern w:val="0"/>
                      <w:lang w:val="en-US" w:eastAsia="zh-CN"/>
                    </w:rPr>
                    <w:t>道路</w:t>
                  </w:r>
                  <w:r>
                    <w:rPr>
                      <w:rFonts w:hint="eastAsia"/>
                      <w:color w:val="auto"/>
                      <w:kern w:val="0"/>
                    </w:rPr>
                    <w:t>范围内</w:t>
                  </w:r>
                </w:p>
              </w:tc>
              <w:tc>
                <w:tcPr>
                  <w:tcW w:w="2134" w:type="dxa"/>
                  <w:vAlign w:val="center"/>
                </w:tcPr>
                <w:p>
                  <w:pPr>
                    <w:jc w:val="center"/>
                    <w:rPr>
                      <w:color w:val="auto"/>
                      <w:kern w:val="0"/>
                    </w:rPr>
                  </w:pPr>
                  <w:r>
                    <w:rPr>
                      <w:rFonts w:hint="default"/>
                      <w:color w:val="auto"/>
                      <w:lang w:val="en-US" w:eastAsia="zh-CN"/>
                    </w:rPr>
                    <w:t>温带落叶阔叶林</w:t>
                  </w:r>
                </w:p>
              </w:tc>
              <w:tc>
                <w:tcPr>
                  <w:tcW w:w="2134" w:type="dxa"/>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2.3136</w:t>
                  </w:r>
                </w:p>
              </w:tc>
              <w:tc>
                <w:tcPr>
                  <w:tcW w:w="2134" w:type="dxa"/>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11.53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4" w:type="dxa"/>
                  <w:vMerge w:val="continue"/>
                  <w:vAlign w:val="center"/>
                </w:tcPr>
                <w:p>
                  <w:pPr>
                    <w:jc w:val="center"/>
                    <w:rPr>
                      <w:color w:val="auto"/>
                      <w:kern w:val="0"/>
                    </w:rPr>
                  </w:pPr>
                </w:p>
              </w:tc>
              <w:tc>
                <w:tcPr>
                  <w:tcW w:w="2134" w:type="dxa"/>
                  <w:vAlign w:val="center"/>
                </w:tcPr>
                <w:p>
                  <w:pPr>
                    <w:jc w:val="center"/>
                    <w:rPr>
                      <w:color w:val="auto"/>
                      <w:kern w:val="0"/>
                    </w:rPr>
                  </w:pPr>
                  <w:r>
                    <w:rPr>
                      <w:rFonts w:hint="default"/>
                      <w:color w:val="auto"/>
                      <w:lang w:val="en-US" w:eastAsia="zh-CN"/>
                    </w:rPr>
                    <w:t>温带落叶阔叶灌木丛</w:t>
                  </w:r>
                </w:p>
              </w:tc>
              <w:tc>
                <w:tcPr>
                  <w:tcW w:w="2134" w:type="dxa"/>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3.2026</w:t>
                  </w:r>
                </w:p>
              </w:tc>
              <w:tc>
                <w:tcPr>
                  <w:tcW w:w="2134" w:type="dxa"/>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15.96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4" w:type="dxa"/>
                  <w:vMerge w:val="continue"/>
                  <w:vAlign w:val="center"/>
                </w:tcPr>
                <w:p>
                  <w:pPr>
                    <w:jc w:val="center"/>
                    <w:rPr>
                      <w:color w:val="auto"/>
                      <w:kern w:val="0"/>
                    </w:rPr>
                  </w:pPr>
                </w:p>
              </w:tc>
              <w:tc>
                <w:tcPr>
                  <w:tcW w:w="2134" w:type="dxa"/>
                  <w:vAlign w:val="center"/>
                </w:tcPr>
                <w:p>
                  <w:pPr>
                    <w:jc w:val="center"/>
                    <w:rPr>
                      <w:color w:val="auto"/>
                      <w:kern w:val="0"/>
                    </w:rPr>
                  </w:pPr>
                  <w:r>
                    <w:rPr>
                      <w:rFonts w:hint="default"/>
                      <w:color w:val="auto"/>
                      <w:lang w:val="en-US" w:eastAsia="zh-CN"/>
                    </w:rPr>
                    <w:t>暖性草丛</w:t>
                  </w:r>
                </w:p>
              </w:tc>
              <w:tc>
                <w:tcPr>
                  <w:tcW w:w="2134" w:type="dxa"/>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3.9831</w:t>
                  </w:r>
                </w:p>
              </w:tc>
              <w:tc>
                <w:tcPr>
                  <w:tcW w:w="2134" w:type="dxa"/>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19.85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4" w:type="dxa"/>
                  <w:vMerge w:val="continue"/>
                  <w:vAlign w:val="center"/>
                </w:tcPr>
                <w:p>
                  <w:pPr>
                    <w:jc w:val="center"/>
                    <w:rPr>
                      <w:color w:val="auto"/>
                      <w:kern w:val="0"/>
                    </w:rPr>
                  </w:pPr>
                </w:p>
              </w:tc>
              <w:tc>
                <w:tcPr>
                  <w:tcW w:w="2134" w:type="dxa"/>
                  <w:vAlign w:val="center"/>
                </w:tcPr>
                <w:p>
                  <w:pPr>
                    <w:jc w:val="center"/>
                    <w:rPr>
                      <w:color w:val="auto"/>
                      <w:kern w:val="0"/>
                    </w:rPr>
                  </w:pPr>
                  <w:r>
                    <w:rPr>
                      <w:rFonts w:hint="default"/>
                      <w:color w:val="auto"/>
                      <w:lang w:val="en-US" w:eastAsia="zh-CN"/>
                    </w:rPr>
                    <w:t>农田植被</w:t>
                  </w:r>
                </w:p>
              </w:tc>
              <w:tc>
                <w:tcPr>
                  <w:tcW w:w="2134" w:type="dxa"/>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1.8521</w:t>
                  </w:r>
                </w:p>
              </w:tc>
              <w:tc>
                <w:tcPr>
                  <w:tcW w:w="2134" w:type="dxa"/>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9.23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4" w:type="dxa"/>
                  <w:vMerge w:val="continue"/>
                  <w:vAlign w:val="center"/>
                </w:tcPr>
                <w:p>
                  <w:pPr>
                    <w:jc w:val="center"/>
                    <w:rPr>
                      <w:color w:val="auto"/>
                      <w:kern w:val="0"/>
                    </w:rPr>
                  </w:pPr>
                </w:p>
              </w:tc>
              <w:tc>
                <w:tcPr>
                  <w:tcW w:w="2134" w:type="dxa"/>
                  <w:vAlign w:val="center"/>
                </w:tcPr>
                <w:p>
                  <w:pPr>
                    <w:jc w:val="center"/>
                    <w:rPr>
                      <w:rFonts w:hint="default"/>
                      <w:color w:val="auto"/>
                      <w:lang w:val="en-US" w:eastAsia="zh-CN"/>
                    </w:rPr>
                  </w:pPr>
                  <w:r>
                    <w:rPr>
                      <w:rFonts w:hint="default"/>
                      <w:color w:val="auto"/>
                      <w:lang w:val="en-US" w:eastAsia="zh-CN"/>
                    </w:rPr>
                    <w:t>无植被区</w:t>
                  </w:r>
                </w:p>
              </w:tc>
              <w:tc>
                <w:tcPr>
                  <w:tcW w:w="2134"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8.7148</w:t>
                  </w:r>
                </w:p>
              </w:tc>
              <w:tc>
                <w:tcPr>
                  <w:tcW w:w="2134"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43.43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4" w:type="dxa"/>
                  <w:vMerge w:val="continue"/>
                  <w:vAlign w:val="center"/>
                </w:tcPr>
                <w:p>
                  <w:pPr>
                    <w:jc w:val="center"/>
                    <w:rPr>
                      <w:color w:val="auto"/>
                      <w:kern w:val="0"/>
                    </w:rPr>
                  </w:pPr>
                </w:p>
              </w:tc>
              <w:tc>
                <w:tcPr>
                  <w:tcW w:w="2134" w:type="dxa"/>
                  <w:vAlign w:val="center"/>
                </w:tcPr>
                <w:p>
                  <w:pPr>
                    <w:jc w:val="center"/>
                    <w:rPr>
                      <w:color w:val="auto"/>
                      <w:kern w:val="0"/>
                    </w:rPr>
                  </w:pPr>
                  <w:r>
                    <w:rPr>
                      <w:rFonts w:hint="eastAsia"/>
                      <w:color w:val="auto"/>
                    </w:rPr>
                    <w:t>合计</w:t>
                  </w:r>
                </w:p>
              </w:tc>
              <w:tc>
                <w:tcPr>
                  <w:tcW w:w="2134"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20.0662</w:t>
                  </w:r>
                </w:p>
              </w:tc>
              <w:tc>
                <w:tcPr>
                  <w:tcW w:w="2134"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100.00</w:t>
                  </w:r>
                </w:p>
              </w:tc>
            </w:tr>
          </w:tbl>
          <w:p>
            <w:pPr>
              <w:adjustRightInd w:val="0"/>
              <w:snapToGrid w:val="0"/>
              <w:spacing w:line="480" w:lineRule="exact"/>
              <w:ind w:firstLine="480" w:firstLineChars="200"/>
              <w:rPr>
                <w:color w:val="FF0000"/>
                <w:kern w:val="0"/>
                <w:sz w:val="24"/>
                <w:szCs w:val="24"/>
              </w:rPr>
            </w:pPr>
            <w:r>
              <w:rPr>
                <w:rFonts w:hint="eastAsia"/>
                <w:color w:val="auto"/>
                <w:kern w:val="0"/>
                <w:sz w:val="24"/>
                <w:szCs w:val="24"/>
              </w:rPr>
              <w:t>由上表和附图</w:t>
            </w:r>
            <w:r>
              <w:rPr>
                <w:rFonts w:hint="eastAsia"/>
                <w:color w:val="auto"/>
                <w:kern w:val="0"/>
                <w:sz w:val="24"/>
                <w:szCs w:val="24"/>
                <w:lang w:val="en-US" w:eastAsia="zh-CN"/>
              </w:rPr>
              <w:t>12</w:t>
            </w:r>
            <w:r>
              <w:rPr>
                <w:rFonts w:hint="eastAsia"/>
                <w:color w:val="auto"/>
                <w:kern w:val="0"/>
                <w:sz w:val="24"/>
                <w:szCs w:val="24"/>
              </w:rPr>
              <w:t>以及结合现场勘察结果分析可知：</w:t>
            </w:r>
            <w:r>
              <w:rPr>
                <w:rFonts w:hint="eastAsia"/>
                <w:color w:val="auto"/>
                <w:sz w:val="24"/>
                <w:szCs w:val="24"/>
                <w:lang w:val="en-US" w:eastAsia="zh-CN"/>
              </w:rPr>
              <w:t>道路面以无植被区、暖性草丛、温带落叶阔叶灌木丛</w:t>
            </w:r>
            <w:r>
              <w:rPr>
                <w:rFonts w:hint="eastAsia"/>
                <w:color w:val="auto"/>
                <w:sz w:val="24"/>
                <w:szCs w:val="24"/>
              </w:rPr>
              <w:t>为主，占比分别为</w:t>
            </w:r>
            <w:r>
              <w:rPr>
                <w:rFonts w:hint="eastAsia"/>
                <w:color w:val="auto"/>
                <w:sz w:val="24"/>
                <w:szCs w:val="24"/>
                <w:lang w:val="en-US" w:eastAsia="zh-CN"/>
              </w:rPr>
              <w:t>43.43</w:t>
            </w:r>
            <w:r>
              <w:rPr>
                <w:rFonts w:hint="eastAsia"/>
                <w:color w:val="auto"/>
                <w:sz w:val="24"/>
                <w:szCs w:val="24"/>
              </w:rPr>
              <w:t>%、</w:t>
            </w:r>
            <w:r>
              <w:rPr>
                <w:rFonts w:hint="eastAsia"/>
                <w:color w:val="auto"/>
                <w:sz w:val="24"/>
                <w:szCs w:val="24"/>
                <w:lang w:val="en-US" w:eastAsia="zh-CN"/>
              </w:rPr>
              <w:t>19.85</w:t>
            </w:r>
            <w:r>
              <w:rPr>
                <w:rFonts w:hint="eastAsia"/>
                <w:color w:val="auto"/>
                <w:sz w:val="24"/>
                <w:szCs w:val="24"/>
              </w:rPr>
              <w:t>%</w:t>
            </w:r>
            <w:r>
              <w:rPr>
                <w:rFonts w:hint="eastAsia"/>
                <w:color w:val="auto"/>
                <w:sz w:val="24"/>
                <w:szCs w:val="24"/>
                <w:lang w:eastAsia="zh-CN"/>
              </w:rPr>
              <w:t>、</w:t>
            </w:r>
            <w:r>
              <w:rPr>
                <w:rFonts w:hint="eastAsia"/>
                <w:color w:val="auto"/>
                <w:sz w:val="24"/>
                <w:szCs w:val="24"/>
                <w:lang w:val="en-US" w:eastAsia="zh-CN"/>
              </w:rPr>
              <w:t>15.96%；评价区以无植被区、暖性草丛、温带落叶阔叶林为主，占比分别为48.03%、16.74%、14.21%</w:t>
            </w:r>
            <w:r>
              <w:rPr>
                <w:rFonts w:hint="eastAsia"/>
                <w:color w:val="auto"/>
                <w:sz w:val="24"/>
                <w:szCs w:val="24"/>
              </w:rPr>
              <w:t>。</w:t>
            </w:r>
            <w:r>
              <w:rPr>
                <w:rFonts w:hint="eastAsia"/>
                <w:color w:val="auto"/>
                <w:kern w:val="0"/>
                <w:sz w:val="24"/>
                <w:szCs w:val="24"/>
              </w:rPr>
              <w:t>根据现场调查和咨询，本项目占地范围内无国家和山西省重点保护野生植物和古树。</w:t>
            </w:r>
          </w:p>
          <w:p>
            <w:pPr>
              <w:adjustRightInd w:val="0"/>
              <w:snapToGrid w:val="0"/>
              <w:spacing w:line="480" w:lineRule="exact"/>
              <w:ind w:firstLine="482" w:firstLineChars="200"/>
              <w:rPr>
                <w:b/>
                <w:bCs/>
                <w:kern w:val="0"/>
                <w:sz w:val="24"/>
                <w:szCs w:val="24"/>
              </w:rPr>
            </w:pPr>
            <w:r>
              <w:rPr>
                <w:rFonts w:hint="eastAsia"/>
                <w:b/>
                <w:bCs/>
                <w:kern w:val="0"/>
                <w:sz w:val="24"/>
                <w:szCs w:val="24"/>
              </w:rPr>
              <w:t>（</w:t>
            </w:r>
            <w:r>
              <w:rPr>
                <w:b/>
                <w:bCs/>
                <w:kern w:val="0"/>
                <w:sz w:val="24"/>
                <w:szCs w:val="24"/>
              </w:rPr>
              <w:t>3</w:t>
            </w:r>
            <w:r>
              <w:rPr>
                <w:rFonts w:hint="eastAsia"/>
                <w:b/>
                <w:bCs/>
                <w:kern w:val="0"/>
                <w:sz w:val="24"/>
                <w:szCs w:val="24"/>
              </w:rPr>
              <w:t>）土壤侵蚀</w:t>
            </w:r>
          </w:p>
          <w:p>
            <w:pPr>
              <w:adjustRightInd w:val="0"/>
              <w:snapToGrid w:val="0"/>
              <w:spacing w:line="480" w:lineRule="exact"/>
              <w:ind w:firstLine="480" w:firstLineChars="200"/>
              <w:rPr>
                <w:rFonts w:hint="eastAsia"/>
                <w:sz w:val="24"/>
              </w:rPr>
            </w:pPr>
            <w:r>
              <w:rPr>
                <w:rFonts w:hint="eastAsia"/>
                <w:kern w:val="0"/>
                <w:sz w:val="24"/>
                <w:lang w:val="en-US" w:eastAsia="zh-CN"/>
              </w:rPr>
              <w:t>该区地貌类型主要为中起伏侵蚀中低山、非粮峁黄土丘陵、冲洪积起伏平原，寒武纪地层和古元古界、第四系地层上更新统地层、全新统地层，土壤主要有山地褐土、淡褐土、淡褐土性土、草甸褐土。</w:t>
            </w:r>
          </w:p>
          <w:p>
            <w:pPr>
              <w:adjustRightInd w:val="0"/>
              <w:snapToGrid w:val="0"/>
              <w:spacing w:line="480" w:lineRule="exact"/>
              <w:ind w:firstLine="480" w:firstLineChars="200"/>
              <w:rPr>
                <w:kern w:val="0"/>
                <w:sz w:val="24"/>
                <w:szCs w:val="24"/>
              </w:rPr>
            </w:pPr>
            <w:r>
              <w:rPr>
                <w:rFonts w:hint="eastAsia"/>
                <w:sz w:val="24"/>
              </w:rPr>
              <w:t>土壤侵蚀主要表现为三种形式，即风蚀、水蚀、和重力蚀。风蚀是在风力的作用下，土壤水分蒸发加速，风化作用活跃，土体受强烈的机械破坏而发生侵蚀。水蚀是因土壤土质疏松，含有丰富的可溶性石灰质，土壤很容易被雨水及地表径流冲刷二产生侵蚀。重力蚀因植被缺乏、坡陡、土层干湿冻消交替频繁等所致。乱砍乱伐和私挖乱采活动等人为因素破坏植被。</w:t>
            </w:r>
          </w:p>
          <w:p>
            <w:pPr>
              <w:spacing w:line="480" w:lineRule="exact"/>
              <w:ind w:firstLine="480" w:firstLineChars="200"/>
              <w:rPr>
                <w:sz w:val="24"/>
              </w:rPr>
            </w:pPr>
            <w:r>
              <w:rPr>
                <w:rFonts w:hint="eastAsia"/>
                <w:sz w:val="24"/>
              </w:rPr>
              <w:t>①土壤侵蚀强度分级原则</w:t>
            </w:r>
          </w:p>
          <w:p>
            <w:pPr>
              <w:spacing w:line="480" w:lineRule="exact"/>
              <w:ind w:firstLine="480" w:firstLineChars="200"/>
              <w:rPr>
                <w:sz w:val="24"/>
              </w:rPr>
            </w:pPr>
            <w:r>
              <w:rPr>
                <w:rFonts w:hint="eastAsia"/>
                <w:sz w:val="24"/>
              </w:rPr>
              <w:t>微度侵蚀：土壤侵蚀模数为＜1</w:t>
            </w:r>
            <w:r>
              <w:rPr>
                <w:sz w:val="24"/>
              </w:rPr>
              <w:t>000</w:t>
            </w:r>
            <w:r>
              <w:rPr>
                <w:rFonts w:hint="eastAsia"/>
                <w:sz w:val="24"/>
              </w:rPr>
              <w:t>t/</w:t>
            </w:r>
            <w:r>
              <w:rPr>
                <w:sz w:val="24"/>
              </w:rPr>
              <w:t>km</w:t>
            </w:r>
            <w:r>
              <w:rPr>
                <w:sz w:val="24"/>
                <w:vertAlign w:val="superscript"/>
              </w:rPr>
              <w:t>2</w:t>
            </w:r>
            <w:r>
              <w:rPr>
                <w:rFonts w:hint="eastAsia"/>
                <w:sz w:val="24"/>
              </w:rPr>
              <w:t>·a；</w:t>
            </w:r>
          </w:p>
          <w:p>
            <w:pPr>
              <w:spacing w:line="480" w:lineRule="exact"/>
              <w:ind w:firstLine="480" w:firstLineChars="200"/>
              <w:rPr>
                <w:sz w:val="24"/>
              </w:rPr>
            </w:pPr>
            <w:r>
              <w:rPr>
                <w:rFonts w:hint="eastAsia"/>
                <w:sz w:val="24"/>
              </w:rPr>
              <w:t>轻度侵蚀：土壤侵蚀模数为1</w:t>
            </w:r>
            <w:r>
              <w:rPr>
                <w:sz w:val="24"/>
              </w:rPr>
              <w:t>000</w:t>
            </w:r>
            <w:r>
              <w:rPr>
                <w:rFonts w:hint="eastAsia"/>
                <w:sz w:val="24"/>
              </w:rPr>
              <w:t>~</w:t>
            </w:r>
            <w:r>
              <w:rPr>
                <w:sz w:val="24"/>
              </w:rPr>
              <w:t>2500</w:t>
            </w:r>
            <w:r>
              <w:rPr>
                <w:rFonts w:hint="eastAsia"/>
                <w:sz w:val="24"/>
              </w:rPr>
              <w:t>t</w:t>
            </w:r>
            <w:r>
              <w:rPr>
                <w:sz w:val="24"/>
              </w:rPr>
              <w:t>/km</w:t>
            </w:r>
            <w:r>
              <w:rPr>
                <w:sz w:val="24"/>
                <w:vertAlign w:val="superscript"/>
              </w:rPr>
              <w:t>2</w:t>
            </w:r>
            <w:r>
              <w:rPr>
                <w:rFonts w:hint="eastAsia"/>
                <w:sz w:val="24"/>
              </w:rPr>
              <w:t>·a；</w:t>
            </w:r>
          </w:p>
          <w:p>
            <w:pPr>
              <w:spacing w:line="480" w:lineRule="exact"/>
              <w:ind w:firstLine="480" w:firstLineChars="200"/>
              <w:rPr>
                <w:sz w:val="24"/>
              </w:rPr>
            </w:pPr>
            <w:r>
              <w:rPr>
                <w:rFonts w:hint="eastAsia"/>
                <w:sz w:val="24"/>
              </w:rPr>
              <w:t>中度侵蚀：土壤侵蚀模数为2</w:t>
            </w:r>
            <w:r>
              <w:rPr>
                <w:sz w:val="24"/>
              </w:rPr>
              <w:t>500</w:t>
            </w:r>
            <w:r>
              <w:rPr>
                <w:rFonts w:hint="eastAsia"/>
                <w:sz w:val="24"/>
              </w:rPr>
              <w:t>~</w:t>
            </w:r>
            <w:r>
              <w:rPr>
                <w:sz w:val="24"/>
              </w:rPr>
              <w:t>5000</w:t>
            </w:r>
            <w:r>
              <w:rPr>
                <w:rFonts w:hint="eastAsia"/>
                <w:sz w:val="24"/>
              </w:rPr>
              <w:t>t</w:t>
            </w:r>
            <w:r>
              <w:rPr>
                <w:sz w:val="24"/>
              </w:rPr>
              <w:t>/km</w:t>
            </w:r>
            <w:r>
              <w:rPr>
                <w:sz w:val="24"/>
                <w:vertAlign w:val="superscript"/>
              </w:rPr>
              <w:t>2</w:t>
            </w:r>
            <w:r>
              <w:rPr>
                <w:rFonts w:hint="eastAsia"/>
                <w:sz w:val="24"/>
              </w:rPr>
              <w:t>·</w:t>
            </w:r>
            <w:r>
              <w:rPr>
                <w:sz w:val="24"/>
              </w:rPr>
              <w:t>a</w:t>
            </w:r>
            <w:r>
              <w:rPr>
                <w:rFonts w:hint="eastAsia"/>
                <w:sz w:val="24"/>
              </w:rPr>
              <w:t>；</w:t>
            </w:r>
          </w:p>
          <w:p>
            <w:pPr>
              <w:spacing w:line="480" w:lineRule="exact"/>
              <w:ind w:firstLine="480" w:firstLineChars="200"/>
              <w:rPr>
                <w:sz w:val="24"/>
              </w:rPr>
            </w:pPr>
            <w:r>
              <w:rPr>
                <w:rFonts w:hint="eastAsia"/>
                <w:sz w:val="24"/>
              </w:rPr>
              <w:t>强烈侵蚀：土壤侵蚀模数为</w:t>
            </w:r>
            <w:r>
              <w:rPr>
                <w:sz w:val="24"/>
              </w:rPr>
              <w:t>5000</w:t>
            </w:r>
            <w:r>
              <w:rPr>
                <w:rFonts w:hint="eastAsia"/>
                <w:sz w:val="24"/>
              </w:rPr>
              <w:t>~</w:t>
            </w:r>
            <w:r>
              <w:rPr>
                <w:sz w:val="24"/>
              </w:rPr>
              <w:t>8000</w:t>
            </w:r>
            <w:r>
              <w:rPr>
                <w:rFonts w:hint="eastAsia"/>
                <w:sz w:val="24"/>
              </w:rPr>
              <w:t>t</w:t>
            </w:r>
            <w:r>
              <w:rPr>
                <w:sz w:val="24"/>
              </w:rPr>
              <w:t>/km</w:t>
            </w:r>
            <w:r>
              <w:rPr>
                <w:sz w:val="24"/>
                <w:vertAlign w:val="superscript"/>
              </w:rPr>
              <w:t>2</w:t>
            </w:r>
            <w:r>
              <w:rPr>
                <w:rFonts w:hint="eastAsia"/>
                <w:sz w:val="24"/>
              </w:rPr>
              <w:t>·</w:t>
            </w:r>
            <w:r>
              <w:rPr>
                <w:sz w:val="24"/>
              </w:rPr>
              <w:t>a</w:t>
            </w:r>
            <w:r>
              <w:rPr>
                <w:rFonts w:hint="eastAsia"/>
                <w:sz w:val="24"/>
              </w:rPr>
              <w:t>；</w:t>
            </w:r>
          </w:p>
          <w:p>
            <w:pPr>
              <w:spacing w:line="480" w:lineRule="exact"/>
              <w:ind w:firstLine="480" w:firstLineChars="200"/>
              <w:rPr>
                <w:sz w:val="24"/>
              </w:rPr>
            </w:pPr>
            <w:r>
              <w:rPr>
                <w:rFonts w:hint="eastAsia"/>
                <w:sz w:val="24"/>
              </w:rPr>
              <w:t>极强烈侵蚀：土壤侵蚀模数为</w:t>
            </w:r>
            <w:r>
              <w:rPr>
                <w:sz w:val="24"/>
              </w:rPr>
              <w:t>8000</w:t>
            </w:r>
            <w:r>
              <w:rPr>
                <w:rFonts w:hint="eastAsia"/>
                <w:sz w:val="24"/>
              </w:rPr>
              <w:t>~</w:t>
            </w:r>
            <w:r>
              <w:rPr>
                <w:sz w:val="24"/>
              </w:rPr>
              <w:t>15000</w:t>
            </w:r>
            <w:r>
              <w:rPr>
                <w:rFonts w:hint="eastAsia"/>
                <w:sz w:val="24"/>
              </w:rPr>
              <w:t>t</w:t>
            </w:r>
            <w:r>
              <w:rPr>
                <w:sz w:val="24"/>
              </w:rPr>
              <w:t>/km</w:t>
            </w:r>
            <w:r>
              <w:rPr>
                <w:sz w:val="24"/>
                <w:vertAlign w:val="superscript"/>
              </w:rPr>
              <w:t>2</w:t>
            </w:r>
            <w:r>
              <w:rPr>
                <w:rFonts w:hint="eastAsia"/>
                <w:sz w:val="24"/>
              </w:rPr>
              <w:t>·</w:t>
            </w:r>
            <w:r>
              <w:rPr>
                <w:sz w:val="24"/>
              </w:rPr>
              <w:t>a</w:t>
            </w:r>
            <w:r>
              <w:rPr>
                <w:rFonts w:hint="eastAsia"/>
                <w:sz w:val="24"/>
              </w:rPr>
              <w:t>；</w:t>
            </w:r>
          </w:p>
          <w:p>
            <w:pPr>
              <w:spacing w:line="480" w:lineRule="exact"/>
              <w:ind w:firstLine="480" w:firstLineChars="200"/>
              <w:rPr>
                <w:sz w:val="24"/>
              </w:rPr>
            </w:pPr>
            <w:r>
              <w:rPr>
                <w:rFonts w:hint="eastAsia"/>
                <w:sz w:val="24"/>
              </w:rPr>
              <w:t>剧烈侵蚀：土壤侵蚀模数为＞</w:t>
            </w:r>
            <w:r>
              <w:rPr>
                <w:sz w:val="24"/>
              </w:rPr>
              <w:t>15000</w:t>
            </w:r>
            <w:r>
              <w:rPr>
                <w:rFonts w:hint="eastAsia"/>
                <w:sz w:val="24"/>
              </w:rPr>
              <w:t>t</w:t>
            </w:r>
            <w:r>
              <w:rPr>
                <w:sz w:val="24"/>
              </w:rPr>
              <w:t>/km</w:t>
            </w:r>
            <w:r>
              <w:rPr>
                <w:sz w:val="24"/>
                <w:vertAlign w:val="superscript"/>
              </w:rPr>
              <w:t>2</w:t>
            </w:r>
            <w:r>
              <w:rPr>
                <w:rFonts w:hint="eastAsia"/>
                <w:sz w:val="24"/>
              </w:rPr>
              <w:t>·</w:t>
            </w:r>
            <w:r>
              <w:rPr>
                <w:sz w:val="24"/>
              </w:rPr>
              <w:t>a</w:t>
            </w:r>
            <w:r>
              <w:rPr>
                <w:rFonts w:hint="eastAsia"/>
                <w:sz w:val="24"/>
              </w:rPr>
              <w:t>；</w:t>
            </w:r>
          </w:p>
          <w:p>
            <w:pPr>
              <w:spacing w:line="480" w:lineRule="exact"/>
              <w:ind w:firstLine="480" w:firstLineChars="200"/>
              <w:rPr>
                <w:sz w:val="24"/>
              </w:rPr>
            </w:pPr>
            <w:r>
              <w:rPr>
                <w:rFonts w:hint="eastAsia"/>
                <w:sz w:val="24"/>
              </w:rPr>
              <w:t>②现状调查结果</w:t>
            </w:r>
          </w:p>
          <w:p>
            <w:pPr>
              <w:spacing w:line="480" w:lineRule="exact"/>
              <w:ind w:firstLine="480" w:firstLineChars="200"/>
              <w:rPr>
                <w:sz w:val="24"/>
              </w:rPr>
            </w:pPr>
            <w:r>
              <w:rPr>
                <w:rFonts w:hint="eastAsia"/>
                <w:sz w:val="24"/>
              </w:rPr>
              <w:t>评价区水土流失现状遥感解析判断结果见下表，</w:t>
            </w:r>
            <w:bookmarkStart w:id="3" w:name="_Hlk51580411"/>
            <w:r>
              <w:rPr>
                <w:rFonts w:hint="eastAsia"/>
                <w:sz w:val="24"/>
              </w:rPr>
              <w:t>土壤侵蚀</w:t>
            </w:r>
            <w:bookmarkEnd w:id="3"/>
            <w:r>
              <w:rPr>
                <w:rFonts w:hint="eastAsia"/>
                <w:sz w:val="24"/>
              </w:rPr>
              <w:t>现状图见附图</w:t>
            </w:r>
            <w:r>
              <w:rPr>
                <w:sz w:val="24"/>
              </w:rPr>
              <w:t>1</w:t>
            </w:r>
            <w:r>
              <w:rPr>
                <w:rFonts w:hint="eastAsia"/>
                <w:sz w:val="24"/>
                <w:lang w:val="en-US" w:eastAsia="zh-CN"/>
              </w:rPr>
              <w:t>3</w:t>
            </w:r>
            <w:r>
              <w:rPr>
                <w:rFonts w:hint="eastAsia"/>
                <w:sz w:val="24"/>
              </w:rPr>
              <w:t>。</w:t>
            </w:r>
          </w:p>
          <w:p>
            <w:pPr>
              <w:adjustRightInd w:val="0"/>
              <w:snapToGrid w:val="0"/>
              <w:spacing w:line="480" w:lineRule="exact"/>
              <w:jc w:val="center"/>
              <w:rPr>
                <w:rFonts w:ascii="黑体" w:hAnsi="黑体" w:eastAsia="黑体" w:cs="Courier New"/>
                <w:bCs/>
                <w:kern w:val="32"/>
                <w:sz w:val="24"/>
              </w:rPr>
            </w:pPr>
            <w:r>
              <w:rPr>
                <w:rFonts w:ascii="黑体" w:hAnsi="黑体" w:eastAsia="黑体" w:cs="Courier New"/>
                <w:bCs/>
                <w:kern w:val="32"/>
                <w:sz w:val="24"/>
              </w:rPr>
              <w:t>表3-</w:t>
            </w:r>
            <w:r>
              <w:rPr>
                <w:rFonts w:hint="eastAsia" w:ascii="黑体" w:hAnsi="黑体" w:eastAsia="黑体" w:cs="Courier New"/>
                <w:bCs/>
                <w:kern w:val="32"/>
                <w:sz w:val="24"/>
                <w:lang w:val="en-US" w:eastAsia="zh-CN"/>
              </w:rPr>
              <w:t>5</w:t>
            </w:r>
            <w:r>
              <w:rPr>
                <w:rFonts w:hint="eastAsia" w:ascii="黑体" w:hAnsi="黑体" w:eastAsia="黑体" w:cs="Courier New"/>
                <w:bCs/>
                <w:kern w:val="32"/>
                <w:sz w:val="24"/>
              </w:rPr>
              <w:t xml:space="preserve">  </w:t>
            </w:r>
            <w:r>
              <w:rPr>
                <w:rFonts w:hint="eastAsia" w:ascii="黑体" w:hAnsi="黑体" w:eastAsia="黑体"/>
                <w:sz w:val="24"/>
                <w:szCs w:val="22"/>
              </w:rPr>
              <w:t>本项目生态影响评价范围内侵蚀程度现状分布情况一览表</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4"/>
              <w:gridCol w:w="2134"/>
              <w:gridCol w:w="2134"/>
              <w:gridCol w:w="21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4" w:type="dxa"/>
                  <w:vAlign w:val="center"/>
                </w:tcPr>
                <w:p>
                  <w:pPr>
                    <w:jc w:val="center"/>
                    <w:rPr>
                      <w:kern w:val="0"/>
                    </w:rPr>
                  </w:pPr>
                  <w:r>
                    <w:rPr>
                      <w:rFonts w:hint="eastAsia"/>
                      <w:kern w:val="0"/>
                    </w:rPr>
                    <w:t>范围</w:t>
                  </w:r>
                </w:p>
              </w:tc>
              <w:tc>
                <w:tcPr>
                  <w:tcW w:w="2134" w:type="dxa"/>
                  <w:vAlign w:val="center"/>
                </w:tcPr>
                <w:p>
                  <w:pPr>
                    <w:jc w:val="center"/>
                    <w:rPr>
                      <w:kern w:val="0"/>
                    </w:rPr>
                  </w:pPr>
                  <w:r>
                    <w:rPr>
                      <w:rFonts w:hint="eastAsia"/>
                      <w:kern w:val="0"/>
                    </w:rPr>
                    <w:t>土地利用类型</w:t>
                  </w:r>
                </w:p>
              </w:tc>
              <w:tc>
                <w:tcPr>
                  <w:tcW w:w="2134" w:type="dxa"/>
                  <w:vAlign w:val="center"/>
                </w:tcPr>
                <w:p>
                  <w:pPr>
                    <w:jc w:val="center"/>
                    <w:rPr>
                      <w:kern w:val="0"/>
                    </w:rPr>
                  </w:pPr>
                  <w:r>
                    <w:rPr>
                      <w:rFonts w:hint="eastAsia"/>
                      <w:kern w:val="0"/>
                    </w:rPr>
                    <w:t>面积hm</w:t>
                  </w:r>
                  <w:r>
                    <w:rPr>
                      <w:kern w:val="0"/>
                      <w:vertAlign w:val="superscript"/>
                    </w:rPr>
                    <w:t>2</w:t>
                  </w:r>
                </w:p>
              </w:tc>
              <w:tc>
                <w:tcPr>
                  <w:tcW w:w="2134" w:type="dxa"/>
                  <w:vAlign w:val="center"/>
                </w:tcPr>
                <w:p>
                  <w:pPr>
                    <w:jc w:val="center"/>
                    <w:rPr>
                      <w:kern w:val="0"/>
                    </w:rPr>
                  </w:pPr>
                  <w:r>
                    <w:rPr>
                      <w:rFonts w:hint="eastAsia"/>
                      <w:kern w:val="0"/>
                    </w:rPr>
                    <w:t>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4" w:type="dxa"/>
                  <w:vMerge w:val="restart"/>
                  <w:vAlign w:val="center"/>
                </w:tcPr>
                <w:p>
                  <w:pPr>
                    <w:jc w:val="center"/>
                    <w:rPr>
                      <w:kern w:val="0"/>
                    </w:rPr>
                  </w:pPr>
                  <w:r>
                    <w:rPr>
                      <w:rFonts w:hint="eastAsia"/>
                      <w:kern w:val="0"/>
                    </w:rPr>
                    <w:t>评价范围</w:t>
                  </w:r>
                </w:p>
              </w:tc>
              <w:tc>
                <w:tcPr>
                  <w:tcW w:w="2134" w:type="dxa"/>
                  <w:vAlign w:val="center"/>
                </w:tcPr>
                <w:p>
                  <w:pPr>
                    <w:jc w:val="center"/>
                    <w:rPr>
                      <w:kern w:val="0"/>
                    </w:rPr>
                  </w:pPr>
                  <w:r>
                    <w:rPr>
                      <w:rFonts w:hint="eastAsia"/>
                    </w:rPr>
                    <w:t>微度侵蚀</w:t>
                  </w:r>
                </w:p>
              </w:tc>
              <w:tc>
                <w:tcPr>
                  <w:tcW w:w="2134" w:type="dxa"/>
                  <w:vAlign w:val="center"/>
                </w:tcPr>
                <w:p>
                  <w:pPr>
                    <w:jc w:val="center"/>
                    <w:rPr>
                      <w:rFonts w:hint="default" w:eastAsia="宋体"/>
                      <w:kern w:val="0"/>
                      <w:lang w:val="en-US" w:eastAsia="zh-CN"/>
                    </w:rPr>
                  </w:pPr>
                  <w:r>
                    <w:rPr>
                      <w:rFonts w:hint="eastAsia"/>
                      <w:kern w:val="0"/>
                      <w:lang w:val="en-US" w:eastAsia="zh-CN"/>
                    </w:rPr>
                    <w:t>89.7804</w:t>
                  </w:r>
                </w:p>
              </w:tc>
              <w:tc>
                <w:tcPr>
                  <w:tcW w:w="2134" w:type="dxa"/>
                  <w:vAlign w:val="center"/>
                </w:tcPr>
                <w:p>
                  <w:pPr>
                    <w:jc w:val="center"/>
                    <w:rPr>
                      <w:rFonts w:hint="default" w:eastAsia="宋体"/>
                      <w:kern w:val="0"/>
                      <w:lang w:val="en-US" w:eastAsia="zh-CN"/>
                    </w:rPr>
                  </w:pPr>
                  <w:r>
                    <w:rPr>
                      <w:rFonts w:hint="eastAsia"/>
                      <w:kern w:val="0"/>
                      <w:lang w:val="en-US" w:eastAsia="zh-CN"/>
                    </w:rPr>
                    <w:t>23.67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4" w:type="dxa"/>
                  <w:vMerge w:val="continue"/>
                  <w:vAlign w:val="center"/>
                </w:tcPr>
                <w:p>
                  <w:pPr>
                    <w:jc w:val="center"/>
                    <w:rPr>
                      <w:kern w:val="0"/>
                    </w:rPr>
                  </w:pPr>
                </w:p>
              </w:tc>
              <w:tc>
                <w:tcPr>
                  <w:tcW w:w="2134" w:type="dxa"/>
                  <w:vAlign w:val="center"/>
                </w:tcPr>
                <w:p>
                  <w:pPr>
                    <w:jc w:val="center"/>
                    <w:rPr>
                      <w:kern w:val="0"/>
                    </w:rPr>
                  </w:pPr>
                  <w:r>
                    <w:rPr>
                      <w:rFonts w:hint="eastAsia"/>
                    </w:rPr>
                    <w:t>轻度侵蚀</w:t>
                  </w:r>
                </w:p>
              </w:tc>
              <w:tc>
                <w:tcPr>
                  <w:tcW w:w="2134" w:type="dxa"/>
                  <w:vAlign w:val="center"/>
                </w:tcPr>
                <w:p>
                  <w:pPr>
                    <w:jc w:val="center"/>
                    <w:rPr>
                      <w:rFonts w:hint="default" w:eastAsia="宋体"/>
                      <w:kern w:val="0"/>
                      <w:lang w:val="en-US" w:eastAsia="zh-CN"/>
                    </w:rPr>
                  </w:pPr>
                  <w:r>
                    <w:rPr>
                      <w:rFonts w:hint="eastAsia"/>
                      <w:kern w:val="0"/>
                      <w:lang w:val="en-US" w:eastAsia="zh-CN"/>
                    </w:rPr>
                    <w:t>154.8304</w:t>
                  </w:r>
                </w:p>
              </w:tc>
              <w:tc>
                <w:tcPr>
                  <w:tcW w:w="2134" w:type="dxa"/>
                  <w:vAlign w:val="center"/>
                </w:tcPr>
                <w:p>
                  <w:pPr>
                    <w:jc w:val="center"/>
                    <w:rPr>
                      <w:rFonts w:hint="default" w:eastAsia="宋体"/>
                      <w:kern w:val="0"/>
                      <w:lang w:val="en-US" w:eastAsia="zh-CN"/>
                    </w:rPr>
                  </w:pPr>
                  <w:r>
                    <w:rPr>
                      <w:rFonts w:hint="eastAsia"/>
                      <w:kern w:val="0"/>
                      <w:lang w:val="en-US" w:eastAsia="zh-CN"/>
                    </w:rPr>
                    <w:t>40.82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4" w:type="dxa"/>
                  <w:vMerge w:val="continue"/>
                  <w:vAlign w:val="center"/>
                </w:tcPr>
                <w:p>
                  <w:pPr>
                    <w:jc w:val="center"/>
                    <w:rPr>
                      <w:kern w:val="0"/>
                    </w:rPr>
                  </w:pPr>
                </w:p>
              </w:tc>
              <w:tc>
                <w:tcPr>
                  <w:tcW w:w="2134" w:type="dxa"/>
                  <w:vAlign w:val="center"/>
                </w:tcPr>
                <w:p>
                  <w:pPr>
                    <w:jc w:val="center"/>
                    <w:rPr>
                      <w:kern w:val="0"/>
                    </w:rPr>
                  </w:pPr>
                  <w:r>
                    <w:rPr>
                      <w:rFonts w:hint="eastAsia"/>
                    </w:rPr>
                    <w:t>中度侵蚀</w:t>
                  </w:r>
                </w:p>
              </w:tc>
              <w:tc>
                <w:tcPr>
                  <w:tcW w:w="2134" w:type="dxa"/>
                  <w:vAlign w:val="center"/>
                </w:tcPr>
                <w:p>
                  <w:pPr>
                    <w:jc w:val="center"/>
                    <w:rPr>
                      <w:rFonts w:hint="default" w:eastAsia="宋体"/>
                      <w:kern w:val="0"/>
                      <w:lang w:val="en-US" w:eastAsia="zh-CN"/>
                    </w:rPr>
                  </w:pPr>
                  <w:r>
                    <w:rPr>
                      <w:rFonts w:hint="eastAsia"/>
                      <w:kern w:val="0"/>
                      <w:lang w:val="en-US" w:eastAsia="zh-CN"/>
                    </w:rPr>
                    <w:t>134.6896</w:t>
                  </w:r>
                </w:p>
              </w:tc>
              <w:tc>
                <w:tcPr>
                  <w:tcW w:w="2134" w:type="dxa"/>
                  <w:vAlign w:val="center"/>
                </w:tcPr>
                <w:p>
                  <w:pPr>
                    <w:jc w:val="center"/>
                    <w:rPr>
                      <w:rFonts w:hint="default" w:eastAsia="宋体"/>
                      <w:kern w:val="0"/>
                      <w:lang w:val="en-US" w:eastAsia="zh-CN"/>
                    </w:rPr>
                  </w:pPr>
                  <w:r>
                    <w:rPr>
                      <w:rFonts w:hint="eastAsia"/>
                      <w:kern w:val="0"/>
                      <w:lang w:val="en-US" w:eastAsia="zh-CN"/>
                    </w:rPr>
                    <w:t>35.51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4" w:type="dxa"/>
                  <w:vMerge w:val="continue"/>
                  <w:vAlign w:val="center"/>
                </w:tcPr>
                <w:p>
                  <w:pPr>
                    <w:jc w:val="center"/>
                    <w:rPr>
                      <w:kern w:val="0"/>
                    </w:rPr>
                  </w:pPr>
                </w:p>
              </w:tc>
              <w:tc>
                <w:tcPr>
                  <w:tcW w:w="2134" w:type="dxa"/>
                  <w:vAlign w:val="center"/>
                </w:tcPr>
                <w:p>
                  <w:pPr>
                    <w:jc w:val="center"/>
                    <w:rPr>
                      <w:kern w:val="0"/>
                    </w:rPr>
                  </w:pPr>
                  <w:r>
                    <w:rPr>
                      <w:rFonts w:hint="eastAsia"/>
                    </w:rPr>
                    <w:t>合计</w:t>
                  </w:r>
                </w:p>
              </w:tc>
              <w:tc>
                <w:tcPr>
                  <w:tcW w:w="2134" w:type="dxa"/>
                  <w:vAlign w:val="center"/>
                </w:tcPr>
                <w:p>
                  <w:pPr>
                    <w:jc w:val="center"/>
                    <w:rPr>
                      <w:rFonts w:hint="default" w:eastAsia="宋体"/>
                      <w:kern w:val="0"/>
                      <w:lang w:val="en-US" w:eastAsia="zh-CN"/>
                    </w:rPr>
                  </w:pPr>
                  <w:r>
                    <w:rPr>
                      <w:rFonts w:hint="eastAsia"/>
                      <w:kern w:val="0"/>
                      <w:lang w:val="en-US" w:eastAsia="zh-CN"/>
                    </w:rPr>
                    <w:t>379.3004</w:t>
                  </w:r>
                </w:p>
              </w:tc>
              <w:tc>
                <w:tcPr>
                  <w:tcW w:w="2134" w:type="dxa"/>
                  <w:vAlign w:val="center"/>
                </w:tcPr>
                <w:p>
                  <w:pPr>
                    <w:jc w:val="center"/>
                    <w:rPr>
                      <w:kern w:val="0"/>
                    </w:rPr>
                  </w:pPr>
                  <w:r>
                    <w:rPr>
                      <w:rFonts w:hint="eastAsia"/>
                      <w:kern w:val="0"/>
                    </w:rPr>
                    <w:t>1</w:t>
                  </w:r>
                  <w:r>
                    <w:rPr>
                      <w:kern w:val="0"/>
                    </w:rPr>
                    <w:t>00.00</w:t>
                  </w:r>
                </w:p>
              </w:tc>
            </w:tr>
          </w:tbl>
          <w:p>
            <w:pPr>
              <w:adjustRightInd w:val="0"/>
              <w:snapToGrid w:val="0"/>
              <w:spacing w:line="480" w:lineRule="exact"/>
              <w:jc w:val="center"/>
              <w:rPr>
                <w:rFonts w:ascii="黑体" w:hAnsi="黑体" w:eastAsia="黑体" w:cs="Courier New"/>
                <w:bCs/>
                <w:kern w:val="32"/>
                <w:sz w:val="24"/>
              </w:rPr>
            </w:pPr>
          </w:p>
          <w:p>
            <w:pPr>
              <w:adjustRightInd w:val="0"/>
              <w:snapToGrid w:val="0"/>
              <w:spacing w:line="480" w:lineRule="exact"/>
              <w:jc w:val="center"/>
              <w:rPr>
                <w:rFonts w:ascii="黑体" w:hAnsi="黑体" w:eastAsia="黑体" w:cs="Courier New"/>
                <w:bCs/>
                <w:kern w:val="32"/>
                <w:sz w:val="24"/>
              </w:rPr>
            </w:pPr>
            <w:r>
              <w:rPr>
                <w:rFonts w:ascii="黑体" w:hAnsi="黑体" w:eastAsia="黑体" w:cs="Courier New"/>
                <w:bCs/>
                <w:kern w:val="32"/>
                <w:sz w:val="24"/>
              </w:rPr>
              <w:t>表3-</w:t>
            </w:r>
            <w:r>
              <w:rPr>
                <w:rFonts w:hint="eastAsia" w:ascii="黑体" w:hAnsi="黑体" w:eastAsia="黑体" w:cs="Courier New"/>
                <w:bCs/>
                <w:kern w:val="32"/>
                <w:sz w:val="24"/>
                <w:lang w:val="en-US" w:eastAsia="zh-CN"/>
              </w:rPr>
              <w:t>6</w:t>
            </w:r>
            <w:r>
              <w:rPr>
                <w:rFonts w:hint="eastAsia" w:ascii="黑体" w:hAnsi="黑体" w:eastAsia="黑体" w:cs="Courier New"/>
                <w:bCs/>
                <w:kern w:val="32"/>
                <w:sz w:val="24"/>
              </w:rPr>
              <w:t xml:space="preserve">  </w:t>
            </w:r>
            <w:r>
              <w:rPr>
                <w:rFonts w:hint="eastAsia" w:ascii="黑体" w:hAnsi="黑体" w:eastAsia="黑体"/>
                <w:sz w:val="24"/>
                <w:szCs w:val="22"/>
              </w:rPr>
              <w:t>本项目光伏场区范围内侵蚀程度现状分布情况一览表</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4"/>
              <w:gridCol w:w="2134"/>
              <w:gridCol w:w="2134"/>
              <w:gridCol w:w="21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4" w:type="dxa"/>
                  <w:vAlign w:val="center"/>
                </w:tcPr>
                <w:p>
                  <w:pPr>
                    <w:jc w:val="center"/>
                    <w:rPr>
                      <w:kern w:val="0"/>
                    </w:rPr>
                  </w:pPr>
                  <w:r>
                    <w:rPr>
                      <w:rFonts w:hint="eastAsia"/>
                      <w:kern w:val="0"/>
                    </w:rPr>
                    <w:t>范围</w:t>
                  </w:r>
                </w:p>
              </w:tc>
              <w:tc>
                <w:tcPr>
                  <w:tcW w:w="2134" w:type="dxa"/>
                  <w:vAlign w:val="center"/>
                </w:tcPr>
                <w:p>
                  <w:pPr>
                    <w:jc w:val="center"/>
                    <w:rPr>
                      <w:kern w:val="0"/>
                    </w:rPr>
                  </w:pPr>
                  <w:r>
                    <w:rPr>
                      <w:rFonts w:hint="eastAsia"/>
                      <w:kern w:val="0"/>
                    </w:rPr>
                    <w:t>土地利用类型</w:t>
                  </w:r>
                </w:p>
              </w:tc>
              <w:tc>
                <w:tcPr>
                  <w:tcW w:w="2134" w:type="dxa"/>
                  <w:vAlign w:val="center"/>
                </w:tcPr>
                <w:p>
                  <w:pPr>
                    <w:jc w:val="center"/>
                    <w:rPr>
                      <w:kern w:val="0"/>
                    </w:rPr>
                  </w:pPr>
                  <w:r>
                    <w:rPr>
                      <w:rFonts w:hint="eastAsia"/>
                      <w:kern w:val="0"/>
                    </w:rPr>
                    <w:t>面积hm</w:t>
                  </w:r>
                  <w:r>
                    <w:rPr>
                      <w:kern w:val="0"/>
                      <w:vertAlign w:val="superscript"/>
                    </w:rPr>
                    <w:t>2</w:t>
                  </w:r>
                </w:p>
              </w:tc>
              <w:tc>
                <w:tcPr>
                  <w:tcW w:w="2134" w:type="dxa"/>
                  <w:vAlign w:val="center"/>
                </w:tcPr>
                <w:p>
                  <w:pPr>
                    <w:jc w:val="center"/>
                    <w:rPr>
                      <w:kern w:val="0"/>
                    </w:rPr>
                  </w:pPr>
                  <w:r>
                    <w:rPr>
                      <w:rFonts w:hint="eastAsia"/>
                      <w:kern w:val="0"/>
                    </w:rPr>
                    <w:t>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4" w:type="dxa"/>
                  <w:vMerge w:val="restart"/>
                  <w:vAlign w:val="center"/>
                </w:tcPr>
                <w:p>
                  <w:pPr>
                    <w:jc w:val="center"/>
                    <w:rPr>
                      <w:kern w:val="0"/>
                    </w:rPr>
                  </w:pPr>
                  <w:r>
                    <w:rPr>
                      <w:rFonts w:hint="eastAsia"/>
                      <w:color w:val="auto"/>
                      <w:kern w:val="0"/>
                      <w:lang w:val="en-US" w:eastAsia="zh-CN"/>
                    </w:rPr>
                    <w:t>道路</w:t>
                  </w:r>
                  <w:r>
                    <w:rPr>
                      <w:rFonts w:hint="eastAsia"/>
                      <w:color w:val="auto"/>
                      <w:kern w:val="0"/>
                    </w:rPr>
                    <w:t>范围内</w:t>
                  </w:r>
                </w:p>
              </w:tc>
              <w:tc>
                <w:tcPr>
                  <w:tcW w:w="2134" w:type="dxa"/>
                  <w:vAlign w:val="center"/>
                </w:tcPr>
                <w:p>
                  <w:pPr>
                    <w:jc w:val="center"/>
                    <w:rPr>
                      <w:kern w:val="0"/>
                    </w:rPr>
                  </w:pPr>
                  <w:r>
                    <w:rPr>
                      <w:rFonts w:hint="eastAsia"/>
                    </w:rPr>
                    <w:t>微度侵蚀</w:t>
                  </w:r>
                </w:p>
              </w:tc>
              <w:tc>
                <w:tcPr>
                  <w:tcW w:w="2134" w:type="dxa"/>
                  <w:vAlign w:val="center"/>
                </w:tcPr>
                <w:p>
                  <w:pPr>
                    <w:jc w:val="center"/>
                    <w:rPr>
                      <w:rFonts w:hint="default" w:eastAsia="宋体"/>
                      <w:kern w:val="0"/>
                      <w:lang w:val="en-US" w:eastAsia="zh-CN"/>
                    </w:rPr>
                  </w:pPr>
                  <w:r>
                    <w:rPr>
                      <w:rFonts w:hint="eastAsia"/>
                      <w:kern w:val="0"/>
                      <w:lang w:val="en-US" w:eastAsia="zh-CN"/>
                    </w:rPr>
                    <w:t>5.5167</w:t>
                  </w:r>
                </w:p>
              </w:tc>
              <w:tc>
                <w:tcPr>
                  <w:tcW w:w="2134" w:type="dxa"/>
                  <w:vAlign w:val="center"/>
                </w:tcPr>
                <w:p>
                  <w:pPr>
                    <w:jc w:val="center"/>
                    <w:rPr>
                      <w:rFonts w:hint="default" w:eastAsia="宋体"/>
                      <w:kern w:val="0"/>
                      <w:lang w:val="en-US" w:eastAsia="zh-CN"/>
                    </w:rPr>
                  </w:pPr>
                  <w:r>
                    <w:rPr>
                      <w:rFonts w:hint="eastAsia"/>
                      <w:kern w:val="0"/>
                      <w:lang w:val="en-US" w:eastAsia="zh-CN"/>
                    </w:rPr>
                    <w:t>27.49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4" w:type="dxa"/>
                  <w:vMerge w:val="continue"/>
                  <w:vAlign w:val="center"/>
                </w:tcPr>
                <w:p>
                  <w:pPr>
                    <w:jc w:val="center"/>
                    <w:rPr>
                      <w:kern w:val="0"/>
                    </w:rPr>
                  </w:pPr>
                </w:p>
              </w:tc>
              <w:tc>
                <w:tcPr>
                  <w:tcW w:w="2134" w:type="dxa"/>
                  <w:vAlign w:val="center"/>
                </w:tcPr>
                <w:p>
                  <w:pPr>
                    <w:jc w:val="center"/>
                    <w:rPr>
                      <w:kern w:val="0"/>
                    </w:rPr>
                  </w:pPr>
                  <w:r>
                    <w:rPr>
                      <w:rFonts w:hint="eastAsia"/>
                    </w:rPr>
                    <w:t>轻度侵蚀</w:t>
                  </w:r>
                </w:p>
              </w:tc>
              <w:tc>
                <w:tcPr>
                  <w:tcW w:w="2134" w:type="dxa"/>
                  <w:vAlign w:val="center"/>
                </w:tcPr>
                <w:p>
                  <w:pPr>
                    <w:jc w:val="center"/>
                    <w:rPr>
                      <w:rFonts w:hint="default" w:eastAsia="宋体"/>
                      <w:kern w:val="0"/>
                      <w:lang w:val="en-US" w:eastAsia="zh-CN"/>
                    </w:rPr>
                  </w:pPr>
                  <w:r>
                    <w:rPr>
                      <w:rFonts w:hint="eastAsia"/>
                      <w:kern w:val="0"/>
                      <w:lang w:val="en-US" w:eastAsia="zh-CN"/>
                    </w:rPr>
                    <w:t>7.3984</w:t>
                  </w:r>
                </w:p>
              </w:tc>
              <w:tc>
                <w:tcPr>
                  <w:tcW w:w="2134" w:type="dxa"/>
                  <w:vAlign w:val="center"/>
                </w:tcPr>
                <w:p>
                  <w:pPr>
                    <w:jc w:val="center"/>
                    <w:rPr>
                      <w:rFonts w:hint="default" w:eastAsia="宋体"/>
                      <w:kern w:val="0"/>
                      <w:lang w:val="en-US" w:eastAsia="zh-CN"/>
                    </w:rPr>
                  </w:pPr>
                  <w:r>
                    <w:rPr>
                      <w:rFonts w:hint="eastAsia"/>
                      <w:kern w:val="0"/>
                      <w:lang w:val="en-US" w:eastAsia="zh-CN"/>
                    </w:rPr>
                    <w:t>36.84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4" w:type="dxa"/>
                  <w:vMerge w:val="continue"/>
                  <w:vAlign w:val="center"/>
                </w:tcPr>
                <w:p>
                  <w:pPr>
                    <w:jc w:val="center"/>
                    <w:rPr>
                      <w:kern w:val="0"/>
                    </w:rPr>
                  </w:pPr>
                </w:p>
              </w:tc>
              <w:tc>
                <w:tcPr>
                  <w:tcW w:w="2134" w:type="dxa"/>
                  <w:vAlign w:val="center"/>
                </w:tcPr>
                <w:p>
                  <w:pPr>
                    <w:jc w:val="center"/>
                    <w:rPr>
                      <w:kern w:val="0"/>
                    </w:rPr>
                  </w:pPr>
                  <w:r>
                    <w:rPr>
                      <w:rFonts w:hint="eastAsia"/>
                    </w:rPr>
                    <w:t>中度侵蚀</w:t>
                  </w:r>
                </w:p>
              </w:tc>
              <w:tc>
                <w:tcPr>
                  <w:tcW w:w="2134" w:type="dxa"/>
                  <w:vAlign w:val="center"/>
                </w:tcPr>
                <w:p>
                  <w:pPr>
                    <w:jc w:val="center"/>
                    <w:rPr>
                      <w:rFonts w:hint="default" w:eastAsia="宋体"/>
                      <w:kern w:val="0"/>
                      <w:lang w:val="en-US" w:eastAsia="zh-CN"/>
                    </w:rPr>
                  </w:pPr>
                  <w:r>
                    <w:rPr>
                      <w:rFonts w:hint="eastAsia"/>
                      <w:kern w:val="0"/>
                      <w:lang w:val="en-US" w:eastAsia="zh-CN"/>
                    </w:rPr>
                    <w:t>7.1516</w:t>
                  </w:r>
                </w:p>
              </w:tc>
              <w:tc>
                <w:tcPr>
                  <w:tcW w:w="2134" w:type="dxa"/>
                  <w:vAlign w:val="center"/>
                </w:tcPr>
                <w:p>
                  <w:pPr>
                    <w:jc w:val="center"/>
                    <w:rPr>
                      <w:rFonts w:hint="default" w:eastAsia="宋体"/>
                      <w:kern w:val="0"/>
                      <w:lang w:val="en-US" w:eastAsia="zh-CN"/>
                    </w:rPr>
                  </w:pPr>
                  <w:r>
                    <w:rPr>
                      <w:rFonts w:hint="eastAsia"/>
                      <w:kern w:val="0"/>
                      <w:lang w:val="en-US" w:eastAsia="zh-CN"/>
                    </w:rPr>
                    <w:t>35.64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4" w:type="dxa"/>
                  <w:vMerge w:val="continue"/>
                  <w:vAlign w:val="center"/>
                </w:tcPr>
                <w:p>
                  <w:pPr>
                    <w:jc w:val="center"/>
                    <w:rPr>
                      <w:kern w:val="0"/>
                    </w:rPr>
                  </w:pPr>
                </w:p>
              </w:tc>
              <w:tc>
                <w:tcPr>
                  <w:tcW w:w="2134" w:type="dxa"/>
                  <w:vAlign w:val="center"/>
                </w:tcPr>
                <w:p>
                  <w:pPr>
                    <w:jc w:val="center"/>
                    <w:rPr>
                      <w:kern w:val="0"/>
                    </w:rPr>
                  </w:pPr>
                  <w:r>
                    <w:rPr>
                      <w:rFonts w:hint="eastAsia"/>
                    </w:rPr>
                    <w:t>合计</w:t>
                  </w:r>
                </w:p>
              </w:tc>
              <w:tc>
                <w:tcPr>
                  <w:tcW w:w="2134" w:type="dxa"/>
                  <w:vAlign w:val="center"/>
                </w:tcPr>
                <w:p>
                  <w:pPr>
                    <w:jc w:val="center"/>
                    <w:rPr>
                      <w:rFonts w:hint="default" w:eastAsia="宋体"/>
                      <w:kern w:val="0"/>
                      <w:lang w:val="en-US" w:eastAsia="zh-CN"/>
                    </w:rPr>
                  </w:pPr>
                  <w:r>
                    <w:rPr>
                      <w:rFonts w:hint="eastAsia"/>
                      <w:kern w:val="0"/>
                      <w:lang w:val="en-US" w:eastAsia="zh-CN"/>
                    </w:rPr>
                    <w:t>20.0662</w:t>
                  </w:r>
                </w:p>
              </w:tc>
              <w:tc>
                <w:tcPr>
                  <w:tcW w:w="2134" w:type="dxa"/>
                  <w:vAlign w:val="center"/>
                </w:tcPr>
                <w:p>
                  <w:pPr>
                    <w:jc w:val="center"/>
                    <w:rPr>
                      <w:rFonts w:hint="default" w:eastAsia="宋体"/>
                      <w:kern w:val="0"/>
                      <w:lang w:val="en-US" w:eastAsia="zh-CN"/>
                    </w:rPr>
                  </w:pPr>
                  <w:r>
                    <w:rPr>
                      <w:rFonts w:hint="eastAsia"/>
                      <w:kern w:val="0"/>
                      <w:lang w:val="en-US" w:eastAsia="zh-CN"/>
                    </w:rPr>
                    <w:t>100.00</w:t>
                  </w:r>
                </w:p>
              </w:tc>
            </w:tr>
          </w:tbl>
          <w:p>
            <w:pPr>
              <w:adjustRightInd w:val="0"/>
              <w:snapToGrid w:val="0"/>
              <w:spacing w:line="480" w:lineRule="exact"/>
              <w:ind w:firstLine="480" w:firstLineChars="200"/>
              <w:rPr>
                <w:rFonts w:hint="eastAsia"/>
                <w:color w:val="auto"/>
                <w:kern w:val="0"/>
                <w:sz w:val="24"/>
                <w:szCs w:val="24"/>
              </w:rPr>
            </w:pPr>
            <w:r>
              <w:rPr>
                <w:rFonts w:hint="eastAsia"/>
                <w:color w:val="auto"/>
                <w:kern w:val="0"/>
                <w:sz w:val="24"/>
                <w:szCs w:val="24"/>
              </w:rPr>
              <w:t>由上表和附图</w:t>
            </w:r>
            <w:r>
              <w:rPr>
                <w:color w:val="auto"/>
                <w:kern w:val="0"/>
                <w:sz w:val="24"/>
                <w:szCs w:val="24"/>
              </w:rPr>
              <w:t>1</w:t>
            </w:r>
            <w:r>
              <w:rPr>
                <w:rFonts w:hint="eastAsia"/>
                <w:color w:val="auto"/>
                <w:kern w:val="0"/>
                <w:sz w:val="24"/>
                <w:szCs w:val="24"/>
                <w:lang w:val="en-US" w:eastAsia="zh-CN"/>
              </w:rPr>
              <w:t>3</w:t>
            </w:r>
            <w:r>
              <w:rPr>
                <w:rFonts w:hint="eastAsia"/>
                <w:color w:val="auto"/>
                <w:kern w:val="0"/>
                <w:sz w:val="24"/>
                <w:szCs w:val="24"/>
              </w:rPr>
              <w:t>以及结合现场勘察结果分析可知：本项目</w:t>
            </w:r>
            <w:r>
              <w:rPr>
                <w:color w:val="auto"/>
                <w:kern w:val="0"/>
                <w:sz w:val="24"/>
                <w:szCs w:val="24"/>
              </w:rPr>
              <w:t>评价范围内</w:t>
            </w:r>
            <w:r>
              <w:rPr>
                <w:rFonts w:hint="eastAsia"/>
                <w:color w:val="auto"/>
                <w:kern w:val="0"/>
                <w:sz w:val="24"/>
                <w:szCs w:val="24"/>
              </w:rPr>
              <w:t>侵蚀程度主要以轻度侵蚀为主，其中轻度侵蚀占评价区总面积的</w:t>
            </w:r>
            <w:r>
              <w:rPr>
                <w:rFonts w:hint="eastAsia"/>
                <w:color w:val="auto"/>
                <w:kern w:val="0"/>
                <w:sz w:val="24"/>
                <w:szCs w:val="24"/>
                <w:lang w:val="en-US" w:eastAsia="zh-CN"/>
              </w:rPr>
              <w:t>40.82</w:t>
            </w:r>
            <w:r>
              <w:rPr>
                <w:rFonts w:hint="eastAsia"/>
                <w:color w:val="auto"/>
                <w:kern w:val="0"/>
                <w:sz w:val="24"/>
                <w:szCs w:val="24"/>
              </w:rPr>
              <w:t>%，中度侵蚀占评价区总面积的</w:t>
            </w:r>
            <w:r>
              <w:rPr>
                <w:rFonts w:hint="eastAsia"/>
                <w:color w:val="auto"/>
                <w:kern w:val="0"/>
                <w:sz w:val="24"/>
                <w:szCs w:val="24"/>
                <w:lang w:val="en-US" w:eastAsia="zh-CN"/>
              </w:rPr>
              <w:t>35.51</w:t>
            </w:r>
            <w:r>
              <w:rPr>
                <w:rFonts w:hint="eastAsia"/>
                <w:color w:val="auto"/>
                <w:kern w:val="0"/>
                <w:sz w:val="24"/>
                <w:szCs w:val="24"/>
              </w:rPr>
              <w:t>%，微度侵蚀占评价区总面积的</w:t>
            </w:r>
            <w:r>
              <w:rPr>
                <w:rFonts w:hint="eastAsia"/>
                <w:color w:val="auto"/>
                <w:kern w:val="0"/>
                <w:sz w:val="24"/>
                <w:szCs w:val="24"/>
                <w:lang w:val="en-US" w:eastAsia="zh-CN"/>
              </w:rPr>
              <w:t>23.67</w:t>
            </w:r>
            <w:r>
              <w:rPr>
                <w:rFonts w:hint="eastAsia"/>
                <w:color w:val="auto"/>
                <w:kern w:val="0"/>
                <w:sz w:val="24"/>
                <w:szCs w:val="24"/>
              </w:rPr>
              <w:t>%。本项目</w:t>
            </w:r>
            <w:r>
              <w:rPr>
                <w:rFonts w:hint="eastAsia"/>
                <w:color w:val="auto"/>
                <w:kern w:val="0"/>
                <w:sz w:val="24"/>
                <w:szCs w:val="24"/>
                <w:lang w:val="en-US" w:eastAsia="zh-CN"/>
              </w:rPr>
              <w:t>道路</w:t>
            </w:r>
            <w:r>
              <w:rPr>
                <w:rFonts w:hint="eastAsia"/>
                <w:color w:val="auto"/>
                <w:kern w:val="0"/>
                <w:sz w:val="24"/>
                <w:szCs w:val="24"/>
              </w:rPr>
              <w:t>范围内侵蚀程度主要以轻度侵蚀为主，其中轻度侵蚀占评价区总面积的</w:t>
            </w:r>
            <w:r>
              <w:rPr>
                <w:rFonts w:hint="eastAsia"/>
                <w:color w:val="auto"/>
                <w:kern w:val="0"/>
                <w:sz w:val="24"/>
                <w:szCs w:val="24"/>
                <w:lang w:val="en-US" w:eastAsia="zh-CN"/>
              </w:rPr>
              <w:t>36.84</w:t>
            </w:r>
            <w:r>
              <w:rPr>
                <w:rFonts w:hint="eastAsia"/>
                <w:color w:val="auto"/>
                <w:kern w:val="0"/>
                <w:sz w:val="24"/>
                <w:szCs w:val="24"/>
              </w:rPr>
              <w:t>%，中度侵蚀占评价区总面积的</w:t>
            </w:r>
            <w:r>
              <w:rPr>
                <w:rFonts w:hint="eastAsia"/>
                <w:color w:val="auto"/>
                <w:kern w:val="0"/>
                <w:sz w:val="24"/>
                <w:szCs w:val="24"/>
                <w:lang w:val="en-US" w:eastAsia="zh-CN"/>
              </w:rPr>
              <w:t>35.64</w:t>
            </w:r>
            <w:r>
              <w:rPr>
                <w:rFonts w:hint="eastAsia"/>
                <w:color w:val="auto"/>
                <w:kern w:val="0"/>
                <w:sz w:val="24"/>
                <w:szCs w:val="24"/>
              </w:rPr>
              <w:t>%，微度侵蚀占评价区总面积的</w:t>
            </w:r>
            <w:r>
              <w:rPr>
                <w:rFonts w:hint="eastAsia"/>
                <w:color w:val="auto"/>
                <w:kern w:val="0"/>
                <w:sz w:val="24"/>
                <w:szCs w:val="24"/>
                <w:lang w:val="en-US" w:eastAsia="zh-CN"/>
              </w:rPr>
              <w:t>27.49</w:t>
            </w:r>
            <w:r>
              <w:rPr>
                <w:rFonts w:hint="eastAsia"/>
                <w:color w:val="auto"/>
                <w:kern w:val="0"/>
                <w:sz w:val="24"/>
                <w:szCs w:val="24"/>
              </w:rPr>
              <w:t>%。</w:t>
            </w:r>
          </w:p>
          <w:p>
            <w:pPr>
              <w:adjustRightInd w:val="0"/>
              <w:snapToGrid w:val="0"/>
              <w:spacing w:line="480" w:lineRule="exact"/>
              <w:ind w:firstLine="482" w:firstLineChars="200"/>
              <w:rPr>
                <w:rFonts w:hint="default" w:eastAsia="宋体"/>
                <w:b/>
                <w:bCs/>
                <w:color w:val="auto"/>
                <w:kern w:val="0"/>
                <w:sz w:val="24"/>
                <w:szCs w:val="24"/>
                <w:lang w:val="en-US" w:eastAsia="zh-CN"/>
              </w:rPr>
            </w:pPr>
            <w:r>
              <w:rPr>
                <w:rFonts w:hint="eastAsia"/>
                <w:b/>
                <w:bCs/>
                <w:color w:val="auto"/>
                <w:kern w:val="0"/>
                <w:sz w:val="24"/>
                <w:szCs w:val="24"/>
              </w:rPr>
              <w:t>（</w:t>
            </w:r>
            <w:r>
              <w:rPr>
                <w:rFonts w:hint="eastAsia"/>
                <w:b/>
                <w:bCs/>
                <w:color w:val="auto"/>
                <w:kern w:val="0"/>
                <w:sz w:val="24"/>
                <w:szCs w:val="24"/>
                <w:lang w:val="en-US" w:eastAsia="zh-CN"/>
              </w:rPr>
              <w:t>4</w:t>
            </w:r>
            <w:r>
              <w:rPr>
                <w:rFonts w:hint="eastAsia"/>
                <w:b/>
                <w:bCs/>
                <w:color w:val="auto"/>
                <w:kern w:val="0"/>
                <w:sz w:val="24"/>
                <w:szCs w:val="24"/>
              </w:rPr>
              <w:t>）</w:t>
            </w:r>
            <w:r>
              <w:rPr>
                <w:rFonts w:hint="eastAsia"/>
                <w:b/>
                <w:bCs/>
                <w:color w:val="auto"/>
                <w:kern w:val="0"/>
                <w:sz w:val="24"/>
                <w:szCs w:val="24"/>
                <w:lang w:val="en-US" w:eastAsia="zh-CN"/>
              </w:rPr>
              <w:t>动植物</w:t>
            </w:r>
          </w:p>
          <w:p>
            <w:pPr>
              <w:adjustRightInd w:val="0"/>
              <w:snapToGrid w:val="0"/>
              <w:spacing w:line="480" w:lineRule="exact"/>
              <w:ind w:firstLine="480" w:firstLineChars="200"/>
              <w:rPr>
                <w:rFonts w:hint="eastAsia" w:ascii="Times New Roman" w:hAnsi="Times New Roman" w:eastAsia="宋体" w:cs="Times New Roman"/>
                <w:color w:val="auto"/>
                <w:kern w:val="0"/>
                <w:sz w:val="24"/>
                <w:szCs w:val="24"/>
              </w:rPr>
            </w:pPr>
            <w:r>
              <w:rPr>
                <w:rFonts w:hint="eastAsia" w:ascii="Times New Roman" w:hAnsi="Times New Roman" w:eastAsia="宋体" w:cs="Times New Roman"/>
                <w:color w:val="auto"/>
                <w:kern w:val="0"/>
                <w:sz w:val="24"/>
                <w:szCs w:val="24"/>
              </w:rPr>
              <w:t>经调查，本项目评价区内没有国家和省级重点保护的珍稀濒危野生动物分布，占地范围内不是候鸟迁徙的主要通道和当地鸟类的主要栖息地。</w:t>
            </w:r>
          </w:p>
          <w:p>
            <w:pPr>
              <w:adjustRightInd w:val="0"/>
              <w:snapToGrid w:val="0"/>
              <w:spacing w:line="480" w:lineRule="exact"/>
              <w:ind w:firstLine="482" w:firstLineChars="200"/>
              <w:rPr>
                <w:rFonts w:hint="default" w:eastAsia="宋体"/>
                <w:b/>
                <w:bCs/>
                <w:color w:val="auto"/>
                <w:kern w:val="0"/>
                <w:sz w:val="24"/>
                <w:szCs w:val="24"/>
                <w:lang w:val="en-US" w:eastAsia="zh-CN"/>
              </w:rPr>
            </w:pPr>
            <w:r>
              <w:rPr>
                <w:rFonts w:hint="eastAsia"/>
                <w:b/>
                <w:bCs/>
                <w:color w:val="auto"/>
                <w:kern w:val="0"/>
                <w:sz w:val="24"/>
                <w:szCs w:val="24"/>
              </w:rPr>
              <w:t>（</w:t>
            </w:r>
            <w:r>
              <w:rPr>
                <w:rFonts w:hint="eastAsia"/>
                <w:b/>
                <w:bCs/>
                <w:color w:val="auto"/>
                <w:kern w:val="0"/>
                <w:sz w:val="24"/>
                <w:szCs w:val="24"/>
                <w:lang w:val="en-US" w:eastAsia="zh-CN"/>
              </w:rPr>
              <w:t>5</w:t>
            </w:r>
            <w:r>
              <w:rPr>
                <w:rFonts w:hint="eastAsia"/>
                <w:b/>
                <w:bCs/>
                <w:color w:val="auto"/>
                <w:kern w:val="0"/>
                <w:sz w:val="24"/>
                <w:szCs w:val="24"/>
              </w:rPr>
              <w:t>）滤泗河、唐家湾水库水生态环境</w:t>
            </w:r>
          </w:p>
          <w:p>
            <w:pPr>
              <w:adjustRightInd w:val="0"/>
              <w:snapToGrid w:val="0"/>
              <w:spacing w:line="480" w:lineRule="exact"/>
              <w:ind w:firstLine="480" w:firstLineChars="200"/>
              <w:rPr>
                <w:rFonts w:hint="eastAsia" w:ascii="Times New Roman" w:hAnsi="Times New Roman" w:eastAsia="宋体" w:cs="Times New Roman"/>
                <w:color w:val="auto"/>
                <w:kern w:val="0"/>
                <w:sz w:val="24"/>
                <w:szCs w:val="24"/>
              </w:rPr>
            </w:pPr>
            <w:r>
              <w:rPr>
                <w:rFonts w:hint="eastAsia" w:ascii="Times New Roman" w:hAnsi="Times New Roman" w:eastAsia="宋体" w:cs="Times New Roman"/>
                <w:color w:val="auto"/>
                <w:kern w:val="0"/>
                <w:sz w:val="24"/>
                <w:szCs w:val="24"/>
              </w:rPr>
              <w:t>滤泗河发源于五台县东雷乡岭底村，经城关、刘家庄乡于黄堾坪汇人清水河。流域面积352平方公里，河长43公里。河床宽50~100米，流量0.37立方米/秒，总径流2100万立方米。滤泗河绕五台县城而过，俗称城河，1975年在县城北修唐家湾水库一座，碧波荡漾，为五台县城一景。</w:t>
            </w:r>
          </w:p>
          <w:p>
            <w:pPr>
              <w:adjustRightInd w:val="0"/>
              <w:snapToGrid w:val="0"/>
              <w:spacing w:line="480" w:lineRule="exact"/>
              <w:ind w:firstLine="480" w:firstLineChars="200"/>
              <w:rPr>
                <w:rFonts w:hint="default" w:ascii="Times New Roman" w:hAnsi="Times New Roman" w:eastAsia="宋体" w:cs="Times New Roman"/>
                <w:color w:val="auto"/>
                <w:kern w:val="0"/>
                <w:sz w:val="24"/>
                <w:szCs w:val="24"/>
                <w:lang w:val="en-US" w:eastAsia="zh-CN"/>
              </w:rPr>
            </w:pPr>
            <w:r>
              <w:rPr>
                <w:rFonts w:hint="eastAsia" w:cs="Times New Roman"/>
                <w:color w:val="auto"/>
                <w:kern w:val="0"/>
                <w:sz w:val="24"/>
                <w:szCs w:val="24"/>
                <w:lang w:val="en-US" w:eastAsia="zh-CN"/>
              </w:rPr>
              <w:t>本项目东外环路中心桩号K0+925.700处上跨泗滤河，文昌路K0+910.000处上跨泗滤河；文昌路为环唐家湾水库，为环湖景观大道。</w:t>
            </w:r>
          </w:p>
          <w:p>
            <w:pPr>
              <w:adjustRightInd w:val="0"/>
              <w:snapToGrid w:val="0"/>
              <w:spacing w:line="480" w:lineRule="exact"/>
              <w:ind w:firstLine="482" w:firstLineChars="200"/>
              <w:rPr>
                <w:rFonts w:hint="default" w:eastAsia="宋体"/>
                <w:b/>
                <w:bCs/>
                <w:color w:val="auto"/>
                <w:kern w:val="0"/>
                <w:sz w:val="24"/>
                <w:szCs w:val="24"/>
                <w:lang w:val="en-US" w:eastAsia="zh-CN"/>
              </w:rPr>
            </w:pPr>
            <w:r>
              <w:rPr>
                <w:rFonts w:hint="eastAsia"/>
                <w:b/>
                <w:bCs/>
                <w:color w:val="auto"/>
                <w:kern w:val="0"/>
                <w:sz w:val="24"/>
                <w:szCs w:val="24"/>
              </w:rPr>
              <w:t>（</w:t>
            </w:r>
            <w:r>
              <w:rPr>
                <w:rFonts w:hint="eastAsia"/>
                <w:b/>
                <w:bCs/>
                <w:color w:val="auto"/>
                <w:kern w:val="0"/>
                <w:sz w:val="24"/>
                <w:szCs w:val="24"/>
                <w:lang w:val="en-US" w:eastAsia="zh-CN"/>
              </w:rPr>
              <w:t>6</w:t>
            </w:r>
            <w:r>
              <w:rPr>
                <w:rFonts w:hint="eastAsia"/>
                <w:b/>
                <w:bCs/>
                <w:color w:val="auto"/>
                <w:kern w:val="0"/>
                <w:sz w:val="24"/>
                <w:szCs w:val="24"/>
              </w:rPr>
              <w:t>）</w:t>
            </w:r>
            <w:r>
              <w:rPr>
                <w:rFonts w:hint="eastAsia"/>
                <w:b/>
                <w:bCs/>
                <w:color w:val="auto"/>
                <w:kern w:val="0"/>
                <w:sz w:val="24"/>
                <w:szCs w:val="24"/>
                <w:lang w:val="en-US" w:eastAsia="zh-CN"/>
              </w:rPr>
              <w:t>生物多样性</w:t>
            </w:r>
          </w:p>
          <w:p>
            <w:pPr>
              <w:adjustRightInd w:val="0"/>
              <w:snapToGrid w:val="0"/>
              <w:spacing w:line="480" w:lineRule="exact"/>
              <w:ind w:firstLine="480" w:firstLineChars="200"/>
              <w:rPr>
                <w:rFonts w:hint="eastAsia" w:ascii="Times New Roman" w:hAnsi="Times New Roman" w:eastAsia="宋体" w:cs="Times New Roman"/>
                <w:color w:val="auto"/>
                <w:kern w:val="0"/>
                <w:sz w:val="24"/>
                <w:szCs w:val="24"/>
              </w:rPr>
            </w:pPr>
            <w:r>
              <w:rPr>
                <w:rFonts w:hint="eastAsia" w:ascii="Times New Roman" w:hAnsi="Times New Roman" w:eastAsia="宋体" w:cs="Times New Roman"/>
                <w:color w:val="auto"/>
                <w:kern w:val="0"/>
                <w:sz w:val="24"/>
                <w:szCs w:val="24"/>
                <w:lang w:val="en-US" w:eastAsia="zh-CN"/>
              </w:rPr>
              <w:t>经现场踏勘，本项目所在区域以农田生态系统为主，生物多样性较差。</w:t>
            </w:r>
          </w:p>
          <w:p>
            <w:pPr>
              <w:adjustRightInd w:val="0"/>
              <w:snapToGrid w:val="0"/>
              <w:spacing w:line="480" w:lineRule="exact"/>
              <w:ind w:firstLine="482" w:firstLineChars="200"/>
              <w:rPr>
                <w:b/>
                <w:bCs/>
                <w:kern w:val="0"/>
                <w:sz w:val="24"/>
                <w:szCs w:val="24"/>
              </w:rPr>
            </w:pPr>
            <w:r>
              <w:rPr>
                <w:b/>
                <w:bCs/>
                <w:kern w:val="0"/>
                <w:sz w:val="24"/>
                <w:szCs w:val="24"/>
              </w:rPr>
              <w:t>4、</w:t>
            </w:r>
            <w:r>
              <w:rPr>
                <w:rFonts w:hint="eastAsia"/>
                <w:b/>
                <w:bCs/>
                <w:kern w:val="0"/>
                <w:sz w:val="24"/>
                <w:szCs w:val="24"/>
              </w:rPr>
              <w:t>环境质量现状</w:t>
            </w:r>
          </w:p>
          <w:p>
            <w:pPr>
              <w:spacing w:line="480" w:lineRule="exact"/>
              <w:ind w:firstLine="482" w:firstLineChars="200"/>
              <w:rPr>
                <w:rFonts w:hint="default" w:eastAsia="宋体"/>
                <w:b/>
                <w:bCs w:val="0"/>
                <w:color w:val="auto"/>
                <w:sz w:val="24"/>
                <w:lang w:val="en-US" w:eastAsia="zh-CN"/>
              </w:rPr>
            </w:pPr>
            <w:r>
              <w:rPr>
                <w:rFonts w:hint="eastAsia"/>
                <w:b/>
                <w:bCs w:val="0"/>
                <w:color w:val="auto"/>
                <w:sz w:val="24"/>
                <w:lang w:eastAsia="zh-CN"/>
              </w:rPr>
              <w:t>（</w:t>
            </w:r>
            <w:r>
              <w:rPr>
                <w:rFonts w:hint="eastAsia"/>
                <w:b/>
                <w:bCs w:val="0"/>
                <w:color w:val="auto"/>
                <w:sz w:val="24"/>
                <w:lang w:val="en-US" w:eastAsia="zh-CN"/>
              </w:rPr>
              <w:t>1</w:t>
            </w:r>
            <w:r>
              <w:rPr>
                <w:rFonts w:hint="eastAsia"/>
                <w:b/>
                <w:bCs w:val="0"/>
                <w:color w:val="auto"/>
                <w:sz w:val="24"/>
                <w:lang w:eastAsia="zh-CN"/>
              </w:rPr>
              <w:t>）</w:t>
            </w:r>
            <w:r>
              <w:rPr>
                <w:rFonts w:hint="eastAsia"/>
                <w:b/>
                <w:bCs w:val="0"/>
                <w:color w:val="auto"/>
                <w:sz w:val="24"/>
                <w:lang w:val="en-US" w:eastAsia="zh-CN"/>
              </w:rPr>
              <w:t>环境空气</w:t>
            </w:r>
          </w:p>
          <w:p>
            <w:pPr>
              <w:spacing w:line="480" w:lineRule="exact"/>
              <w:ind w:firstLine="480" w:firstLineChars="200"/>
              <w:rPr>
                <w:bCs/>
                <w:color w:val="auto"/>
                <w:sz w:val="24"/>
              </w:rPr>
            </w:pPr>
            <w:r>
              <w:rPr>
                <w:rFonts w:hint="eastAsia"/>
                <w:bCs/>
                <w:color w:val="auto"/>
                <w:sz w:val="24"/>
              </w:rPr>
              <w:t>本次评价收集到了忻州市五台县202</w:t>
            </w:r>
            <w:r>
              <w:rPr>
                <w:rFonts w:hint="eastAsia"/>
                <w:bCs/>
                <w:color w:val="auto"/>
                <w:sz w:val="24"/>
                <w:lang w:val="en-US" w:eastAsia="zh-CN"/>
              </w:rPr>
              <w:t>1</w:t>
            </w:r>
            <w:r>
              <w:rPr>
                <w:rFonts w:hint="eastAsia"/>
                <w:bCs/>
                <w:color w:val="auto"/>
                <w:sz w:val="24"/>
              </w:rPr>
              <w:t>年环境空气质量例行监测资料，具体年均浓度值见下表。</w:t>
            </w:r>
          </w:p>
          <w:p>
            <w:pPr>
              <w:spacing w:line="480" w:lineRule="exact"/>
              <w:jc w:val="center"/>
              <w:rPr>
                <w:rFonts w:ascii="黑体" w:hAnsi="黑体" w:eastAsia="黑体"/>
                <w:color w:val="auto"/>
                <w:sz w:val="24"/>
                <w:vertAlign w:val="superscript"/>
              </w:rPr>
            </w:pPr>
            <w:r>
              <w:rPr>
                <w:rFonts w:hint="eastAsia" w:ascii="黑体" w:hAnsi="黑体" w:eastAsia="黑体"/>
                <w:color w:val="auto"/>
                <w:sz w:val="24"/>
              </w:rPr>
              <w:t>表3-</w:t>
            </w:r>
            <w:r>
              <w:rPr>
                <w:rFonts w:hint="eastAsia" w:ascii="黑体" w:hAnsi="黑体" w:eastAsia="黑体"/>
                <w:color w:val="auto"/>
                <w:sz w:val="24"/>
                <w:lang w:val="en-US" w:eastAsia="zh-CN"/>
              </w:rPr>
              <w:t>7</w:t>
            </w:r>
            <w:r>
              <w:rPr>
                <w:rFonts w:hint="eastAsia" w:ascii="黑体" w:hAnsi="黑体" w:eastAsia="黑体"/>
                <w:color w:val="auto"/>
                <w:sz w:val="24"/>
              </w:rPr>
              <w:t xml:space="preserve">  </w:t>
            </w:r>
            <w:r>
              <w:rPr>
                <w:rFonts w:hint="eastAsia" w:ascii="黑体" w:hAnsi="黑体" w:eastAsia="黑体"/>
                <w:color w:val="auto"/>
                <w:sz w:val="24"/>
                <w:lang w:val="en-US" w:eastAsia="zh-CN"/>
              </w:rPr>
              <w:t>五台县</w:t>
            </w:r>
            <w:r>
              <w:rPr>
                <w:rFonts w:hint="eastAsia" w:ascii="黑体" w:hAnsi="黑体" w:eastAsia="黑体"/>
                <w:color w:val="auto"/>
                <w:sz w:val="24"/>
              </w:rPr>
              <w:t>2021年环境空气质量例行监测评价表</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6"/>
              <w:gridCol w:w="962"/>
              <w:gridCol w:w="1982"/>
              <w:gridCol w:w="1423"/>
              <w:gridCol w:w="1423"/>
              <w:gridCol w:w="1039"/>
              <w:gridCol w:w="10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384" w:type="pct"/>
                  <w:vAlign w:val="center"/>
                </w:tcPr>
                <w:p>
                  <w:pPr>
                    <w:jc w:val="center"/>
                    <w:rPr>
                      <w:color w:val="auto"/>
                    </w:rPr>
                  </w:pPr>
                  <w:r>
                    <w:rPr>
                      <w:rFonts w:hint="eastAsia"/>
                      <w:color w:val="auto"/>
                    </w:rPr>
                    <w:t>点位</w:t>
                  </w:r>
                </w:p>
              </w:tc>
              <w:tc>
                <w:tcPr>
                  <w:tcW w:w="563" w:type="pct"/>
                  <w:vAlign w:val="center"/>
                </w:tcPr>
                <w:p>
                  <w:pPr>
                    <w:jc w:val="center"/>
                    <w:rPr>
                      <w:color w:val="auto"/>
                    </w:rPr>
                  </w:pPr>
                  <w:r>
                    <w:rPr>
                      <w:rFonts w:hint="eastAsia"/>
                      <w:color w:val="auto"/>
                    </w:rPr>
                    <w:t>污染物</w:t>
                  </w:r>
                </w:p>
              </w:tc>
              <w:tc>
                <w:tcPr>
                  <w:tcW w:w="1160" w:type="pct"/>
                  <w:vAlign w:val="center"/>
                </w:tcPr>
                <w:p>
                  <w:pPr>
                    <w:jc w:val="center"/>
                    <w:rPr>
                      <w:color w:val="auto"/>
                    </w:rPr>
                  </w:pPr>
                  <w:r>
                    <w:rPr>
                      <w:rFonts w:hint="eastAsia"/>
                      <w:color w:val="auto"/>
                    </w:rPr>
                    <w:t>评价指标</w:t>
                  </w:r>
                </w:p>
              </w:tc>
              <w:tc>
                <w:tcPr>
                  <w:tcW w:w="833" w:type="pct"/>
                  <w:vAlign w:val="center"/>
                </w:tcPr>
                <w:p>
                  <w:pPr>
                    <w:jc w:val="center"/>
                    <w:rPr>
                      <w:color w:val="auto"/>
                    </w:rPr>
                  </w:pPr>
                  <w:r>
                    <w:rPr>
                      <w:rFonts w:hint="eastAsia"/>
                      <w:color w:val="auto"/>
                    </w:rPr>
                    <w:t>浓度</w:t>
                  </w:r>
                </w:p>
                <w:p>
                  <w:pPr>
                    <w:jc w:val="center"/>
                    <w:rPr>
                      <w:color w:val="auto"/>
                    </w:rPr>
                  </w:pPr>
                  <w:r>
                    <w:rPr>
                      <w:color w:val="auto"/>
                    </w:rPr>
                    <w:t>μ</w:t>
                  </w:r>
                  <w:r>
                    <w:rPr>
                      <w:rFonts w:hint="eastAsia"/>
                      <w:color w:val="auto"/>
                    </w:rPr>
                    <w:t>g/m</w:t>
                  </w:r>
                  <w:r>
                    <w:rPr>
                      <w:rFonts w:hint="eastAsia"/>
                      <w:color w:val="auto"/>
                      <w:vertAlign w:val="superscript"/>
                    </w:rPr>
                    <w:t>3</w:t>
                  </w:r>
                </w:p>
              </w:tc>
              <w:tc>
                <w:tcPr>
                  <w:tcW w:w="833" w:type="pct"/>
                  <w:vAlign w:val="center"/>
                </w:tcPr>
                <w:p>
                  <w:pPr>
                    <w:jc w:val="center"/>
                    <w:rPr>
                      <w:color w:val="auto"/>
                    </w:rPr>
                  </w:pPr>
                  <w:r>
                    <w:rPr>
                      <w:rFonts w:hint="eastAsia"/>
                      <w:color w:val="auto"/>
                    </w:rPr>
                    <w:t>标准值</w:t>
                  </w:r>
                </w:p>
                <w:p>
                  <w:pPr>
                    <w:jc w:val="center"/>
                    <w:rPr>
                      <w:color w:val="auto"/>
                    </w:rPr>
                  </w:pPr>
                  <w:r>
                    <w:rPr>
                      <w:color w:val="auto"/>
                    </w:rPr>
                    <w:t>μ</w:t>
                  </w:r>
                  <w:r>
                    <w:rPr>
                      <w:rFonts w:hint="eastAsia"/>
                      <w:color w:val="auto"/>
                    </w:rPr>
                    <w:t>g/m</w:t>
                  </w:r>
                  <w:r>
                    <w:rPr>
                      <w:rFonts w:hint="eastAsia"/>
                      <w:color w:val="auto"/>
                      <w:vertAlign w:val="superscript"/>
                    </w:rPr>
                    <w:t>3</w:t>
                  </w:r>
                </w:p>
              </w:tc>
              <w:tc>
                <w:tcPr>
                  <w:tcW w:w="608" w:type="pct"/>
                  <w:vAlign w:val="center"/>
                </w:tcPr>
                <w:p>
                  <w:pPr>
                    <w:jc w:val="center"/>
                    <w:rPr>
                      <w:color w:val="auto"/>
                    </w:rPr>
                  </w:pPr>
                  <w:r>
                    <w:rPr>
                      <w:rFonts w:hint="eastAsia"/>
                      <w:color w:val="auto"/>
                    </w:rPr>
                    <w:t>占标率</w:t>
                  </w:r>
                </w:p>
                <w:p>
                  <w:pPr>
                    <w:jc w:val="center"/>
                    <w:rPr>
                      <w:color w:val="auto"/>
                    </w:rPr>
                  </w:pPr>
                  <w:r>
                    <w:rPr>
                      <w:rFonts w:hint="eastAsia"/>
                      <w:color w:val="auto"/>
                    </w:rPr>
                    <w:t>%</w:t>
                  </w:r>
                </w:p>
              </w:tc>
              <w:tc>
                <w:tcPr>
                  <w:tcW w:w="615" w:type="pct"/>
                  <w:vAlign w:val="center"/>
                </w:tcPr>
                <w:p>
                  <w:pPr>
                    <w:jc w:val="center"/>
                    <w:rPr>
                      <w:color w:val="auto"/>
                    </w:rPr>
                  </w:pPr>
                  <w:r>
                    <w:rPr>
                      <w:rFonts w:hint="eastAsia"/>
                      <w:color w:val="auto"/>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384" w:type="pct"/>
                  <w:vMerge w:val="restart"/>
                  <w:vAlign w:val="center"/>
                </w:tcPr>
                <w:p>
                  <w:pPr>
                    <w:jc w:val="center"/>
                    <w:rPr>
                      <w:rFonts w:hint="default" w:eastAsia="宋体"/>
                      <w:color w:val="auto"/>
                      <w:lang w:val="en-US" w:eastAsia="zh-CN"/>
                    </w:rPr>
                  </w:pPr>
                  <w:r>
                    <w:rPr>
                      <w:rFonts w:hint="eastAsia"/>
                      <w:color w:val="auto"/>
                      <w:lang w:val="en-US" w:eastAsia="zh-CN"/>
                    </w:rPr>
                    <w:t>五台县</w:t>
                  </w:r>
                </w:p>
              </w:tc>
              <w:tc>
                <w:tcPr>
                  <w:tcW w:w="563" w:type="pct"/>
                  <w:vAlign w:val="center"/>
                </w:tcPr>
                <w:p>
                  <w:pPr>
                    <w:jc w:val="center"/>
                    <w:rPr>
                      <w:color w:val="auto"/>
                    </w:rPr>
                  </w:pPr>
                  <w:r>
                    <w:rPr>
                      <w:rFonts w:hint="eastAsia"/>
                      <w:color w:val="auto"/>
                    </w:rPr>
                    <w:t>SO</w:t>
                  </w:r>
                  <w:r>
                    <w:rPr>
                      <w:rFonts w:hint="eastAsia"/>
                      <w:color w:val="auto"/>
                      <w:vertAlign w:val="subscript"/>
                    </w:rPr>
                    <w:t>2</w:t>
                  </w:r>
                </w:p>
              </w:tc>
              <w:tc>
                <w:tcPr>
                  <w:tcW w:w="1160" w:type="pct"/>
                  <w:vAlign w:val="center"/>
                </w:tcPr>
                <w:p>
                  <w:pPr>
                    <w:jc w:val="center"/>
                    <w:rPr>
                      <w:color w:val="auto"/>
                    </w:rPr>
                  </w:pPr>
                  <w:r>
                    <w:rPr>
                      <w:rFonts w:hint="eastAsia"/>
                      <w:color w:val="auto"/>
                    </w:rPr>
                    <w:t>年平均浓度</w:t>
                  </w:r>
                </w:p>
              </w:tc>
              <w:tc>
                <w:tcPr>
                  <w:tcW w:w="833" w:type="pct"/>
                  <w:vAlign w:val="center"/>
                </w:tcPr>
                <w:p>
                  <w:pPr>
                    <w:jc w:val="center"/>
                    <w:rPr>
                      <w:rFonts w:hint="default" w:eastAsia="宋体"/>
                      <w:color w:val="auto"/>
                      <w:lang w:val="en-US" w:eastAsia="zh-CN"/>
                    </w:rPr>
                  </w:pPr>
                  <w:r>
                    <w:rPr>
                      <w:rFonts w:hint="eastAsia"/>
                      <w:color w:val="auto"/>
                      <w:lang w:val="en-US" w:eastAsia="zh-CN"/>
                    </w:rPr>
                    <w:t>14</w:t>
                  </w:r>
                </w:p>
              </w:tc>
              <w:tc>
                <w:tcPr>
                  <w:tcW w:w="833" w:type="pct"/>
                  <w:vAlign w:val="center"/>
                </w:tcPr>
                <w:p>
                  <w:pPr>
                    <w:jc w:val="center"/>
                    <w:rPr>
                      <w:color w:val="auto"/>
                    </w:rPr>
                  </w:pPr>
                  <w:r>
                    <w:rPr>
                      <w:rFonts w:hint="eastAsia"/>
                      <w:color w:val="auto"/>
                    </w:rPr>
                    <w:t>60</w:t>
                  </w:r>
                </w:p>
              </w:tc>
              <w:tc>
                <w:tcPr>
                  <w:tcW w:w="608" w:type="pct"/>
                  <w:vAlign w:val="center"/>
                </w:tcPr>
                <w:p>
                  <w:pPr>
                    <w:jc w:val="center"/>
                    <w:rPr>
                      <w:rFonts w:hint="default" w:eastAsia="宋体"/>
                      <w:color w:val="auto"/>
                      <w:lang w:val="en-US" w:eastAsia="zh-CN"/>
                    </w:rPr>
                  </w:pPr>
                  <w:r>
                    <w:rPr>
                      <w:rFonts w:hint="eastAsia"/>
                      <w:color w:val="auto"/>
                      <w:lang w:val="en-US" w:eastAsia="zh-CN"/>
                    </w:rPr>
                    <w:t>23.3</w:t>
                  </w:r>
                </w:p>
              </w:tc>
              <w:tc>
                <w:tcPr>
                  <w:tcW w:w="615" w:type="pct"/>
                  <w:vAlign w:val="center"/>
                </w:tcPr>
                <w:p>
                  <w:pPr>
                    <w:jc w:val="center"/>
                    <w:rPr>
                      <w:color w:val="auto"/>
                    </w:rPr>
                  </w:pPr>
                  <w:r>
                    <w:rPr>
                      <w:rFonts w:hint="eastAsia"/>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384" w:type="pct"/>
                  <w:vMerge w:val="continue"/>
                  <w:vAlign w:val="center"/>
                </w:tcPr>
                <w:p>
                  <w:pPr>
                    <w:jc w:val="center"/>
                    <w:rPr>
                      <w:color w:val="auto"/>
                    </w:rPr>
                  </w:pPr>
                </w:p>
              </w:tc>
              <w:tc>
                <w:tcPr>
                  <w:tcW w:w="563" w:type="pct"/>
                  <w:vAlign w:val="center"/>
                </w:tcPr>
                <w:p>
                  <w:pPr>
                    <w:jc w:val="center"/>
                    <w:rPr>
                      <w:color w:val="auto"/>
                    </w:rPr>
                  </w:pPr>
                  <w:r>
                    <w:rPr>
                      <w:rFonts w:hint="eastAsia"/>
                      <w:color w:val="auto"/>
                    </w:rPr>
                    <w:t>NO</w:t>
                  </w:r>
                  <w:r>
                    <w:rPr>
                      <w:rFonts w:hint="eastAsia"/>
                      <w:color w:val="auto"/>
                      <w:vertAlign w:val="subscript"/>
                    </w:rPr>
                    <w:t>2</w:t>
                  </w:r>
                </w:p>
              </w:tc>
              <w:tc>
                <w:tcPr>
                  <w:tcW w:w="1160" w:type="pct"/>
                  <w:vAlign w:val="center"/>
                </w:tcPr>
                <w:p>
                  <w:pPr>
                    <w:autoSpaceDE w:val="0"/>
                    <w:autoSpaceDN w:val="0"/>
                    <w:jc w:val="center"/>
                    <w:rPr>
                      <w:color w:val="auto"/>
                    </w:rPr>
                  </w:pPr>
                  <w:r>
                    <w:rPr>
                      <w:rFonts w:hint="eastAsia"/>
                      <w:color w:val="auto"/>
                    </w:rPr>
                    <w:t>年平均浓度</w:t>
                  </w:r>
                </w:p>
              </w:tc>
              <w:tc>
                <w:tcPr>
                  <w:tcW w:w="833" w:type="pct"/>
                  <w:vAlign w:val="center"/>
                </w:tcPr>
                <w:p>
                  <w:pPr>
                    <w:jc w:val="center"/>
                    <w:rPr>
                      <w:rFonts w:hint="default" w:eastAsia="宋体"/>
                      <w:color w:val="auto"/>
                      <w:lang w:val="en-US" w:eastAsia="zh-CN"/>
                    </w:rPr>
                  </w:pPr>
                  <w:r>
                    <w:rPr>
                      <w:rFonts w:hint="eastAsia"/>
                      <w:color w:val="auto"/>
                      <w:lang w:val="en-US" w:eastAsia="zh-CN"/>
                    </w:rPr>
                    <w:t>18</w:t>
                  </w:r>
                </w:p>
              </w:tc>
              <w:tc>
                <w:tcPr>
                  <w:tcW w:w="833" w:type="pct"/>
                  <w:vAlign w:val="center"/>
                </w:tcPr>
                <w:p>
                  <w:pPr>
                    <w:jc w:val="center"/>
                    <w:rPr>
                      <w:color w:val="auto"/>
                    </w:rPr>
                  </w:pPr>
                  <w:r>
                    <w:rPr>
                      <w:rFonts w:hint="eastAsia"/>
                      <w:color w:val="auto"/>
                    </w:rPr>
                    <w:t>40</w:t>
                  </w:r>
                </w:p>
              </w:tc>
              <w:tc>
                <w:tcPr>
                  <w:tcW w:w="608" w:type="pct"/>
                  <w:vAlign w:val="center"/>
                </w:tcPr>
                <w:p>
                  <w:pPr>
                    <w:jc w:val="center"/>
                    <w:rPr>
                      <w:rFonts w:hint="default" w:eastAsia="宋体"/>
                      <w:color w:val="auto"/>
                      <w:lang w:val="en-US" w:eastAsia="zh-CN"/>
                    </w:rPr>
                  </w:pPr>
                  <w:r>
                    <w:rPr>
                      <w:rFonts w:hint="eastAsia"/>
                      <w:color w:val="auto"/>
                      <w:lang w:val="en-US" w:eastAsia="zh-CN"/>
                    </w:rPr>
                    <w:t>45.0</w:t>
                  </w:r>
                </w:p>
              </w:tc>
              <w:tc>
                <w:tcPr>
                  <w:tcW w:w="615" w:type="pct"/>
                  <w:vAlign w:val="center"/>
                </w:tcPr>
                <w:p>
                  <w:pPr>
                    <w:jc w:val="center"/>
                    <w:rPr>
                      <w:color w:val="auto"/>
                    </w:rPr>
                  </w:pPr>
                  <w:r>
                    <w:rPr>
                      <w:rFonts w:hint="eastAsia"/>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6" w:hRule="atLeast"/>
                <w:jc w:val="center"/>
              </w:trPr>
              <w:tc>
                <w:tcPr>
                  <w:tcW w:w="384" w:type="pct"/>
                  <w:vMerge w:val="continue"/>
                  <w:vAlign w:val="center"/>
                </w:tcPr>
                <w:p>
                  <w:pPr>
                    <w:jc w:val="center"/>
                    <w:rPr>
                      <w:color w:val="auto"/>
                    </w:rPr>
                  </w:pPr>
                </w:p>
              </w:tc>
              <w:tc>
                <w:tcPr>
                  <w:tcW w:w="563" w:type="pct"/>
                  <w:vAlign w:val="center"/>
                </w:tcPr>
                <w:p>
                  <w:pPr>
                    <w:jc w:val="center"/>
                    <w:rPr>
                      <w:color w:val="auto"/>
                    </w:rPr>
                  </w:pPr>
                  <w:r>
                    <w:rPr>
                      <w:rFonts w:hint="eastAsia"/>
                      <w:color w:val="auto"/>
                    </w:rPr>
                    <w:t>PM</w:t>
                  </w:r>
                  <w:r>
                    <w:rPr>
                      <w:rFonts w:hint="eastAsia"/>
                      <w:color w:val="auto"/>
                      <w:vertAlign w:val="subscript"/>
                    </w:rPr>
                    <w:t>10</w:t>
                  </w:r>
                </w:p>
              </w:tc>
              <w:tc>
                <w:tcPr>
                  <w:tcW w:w="1160" w:type="pct"/>
                  <w:vAlign w:val="center"/>
                </w:tcPr>
                <w:p>
                  <w:pPr>
                    <w:jc w:val="center"/>
                    <w:rPr>
                      <w:color w:val="auto"/>
                    </w:rPr>
                  </w:pPr>
                  <w:r>
                    <w:rPr>
                      <w:rFonts w:hint="eastAsia"/>
                      <w:color w:val="auto"/>
                    </w:rPr>
                    <w:t>年平均浓度</w:t>
                  </w:r>
                </w:p>
              </w:tc>
              <w:tc>
                <w:tcPr>
                  <w:tcW w:w="833" w:type="pct"/>
                  <w:vAlign w:val="center"/>
                </w:tcPr>
                <w:p>
                  <w:pPr>
                    <w:jc w:val="center"/>
                    <w:rPr>
                      <w:rFonts w:hint="default" w:eastAsia="宋体"/>
                      <w:color w:val="auto"/>
                      <w:lang w:val="en-US" w:eastAsia="zh-CN"/>
                    </w:rPr>
                  </w:pPr>
                  <w:r>
                    <w:rPr>
                      <w:rFonts w:hint="eastAsia"/>
                      <w:color w:val="auto"/>
                      <w:lang w:val="en-US" w:eastAsia="zh-CN"/>
                    </w:rPr>
                    <w:t>60</w:t>
                  </w:r>
                </w:p>
              </w:tc>
              <w:tc>
                <w:tcPr>
                  <w:tcW w:w="833" w:type="pct"/>
                  <w:vAlign w:val="center"/>
                </w:tcPr>
                <w:p>
                  <w:pPr>
                    <w:jc w:val="center"/>
                    <w:rPr>
                      <w:color w:val="auto"/>
                    </w:rPr>
                  </w:pPr>
                  <w:r>
                    <w:rPr>
                      <w:rFonts w:hint="eastAsia"/>
                      <w:color w:val="auto"/>
                    </w:rPr>
                    <w:t>70</w:t>
                  </w:r>
                </w:p>
              </w:tc>
              <w:tc>
                <w:tcPr>
                  <w:tcW w:w="608" w:type="pct"/>
                  <w:vAlign w:val="center"/>
                </w:tcPr>
                <w:p>
                  <w:pPr>
                    <w:jc w:val="center"/>
                    <w:rPr>
                      <w:rFonts w:hint="default" w:eastAsia="宋体"/>
                      <w:color w:val="auto"/>
                      <w:lang w:val="en-US" w:eastAsia="zh-CN"/>
                    </w:rPr>
                  </w:pPr>
                  <w:r>
                    <w:rPr>
                      <w:rFonts w:hint="eastAsia"/>
                      <w:color w:val="auto"/>
                      <w:lang w:val="en-US" w:eastAsia="zh-CN"/>
                    </w:rPr>
                    <w:t>85.7</w:t>
                  </w:r>
                </w:p>
              </w:tc>
              <w:tc>
                <w:tcPr>
                  <w:tcW w:w="615" w:type="pct"/>
                  <w:vAlign w:val="center"/>
                </w:tcPr>
                <w:p>
                  <w:pPr>
                    <w:jc w:val="center"/>
                    <w:rPr>
                      <w:color w:val="auto"/>
                    </w:rPr>
                  </w:pPr>
                  <w:r>
                    <w:rPr>
                      <w:rFonts w:hint="eastAsia"/>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384" w:type="pct"/>
                  <w:vMerge w:val="continue"/>
                  <w:vAlign w:val="center"/>
                </w:tcPr>
                <w:p>
                  <w:pPr>
                    <w:jc w:val="center"/>
                    <w:rPr>
                      <w:color w:val="auto"/>
                    </w:rPr>
                  </w:pPr>
                </w:p>
              </w:tc>
              <w:tc>
                <w:tcPr>
                  <w:tcW w:w="563" w:type="pct"/>
                  <w:vAlign w:val="center"/>
                </w:tcPr>
                <w:p>
                  <w:pPr>
                    <w:jc w:val="center"/>
                    <w:rPr>
                      <w:color w:val="auto"/>
                    </w:rPr>
                  </w:pPr>
                  <w:r>
                    <w:rPr>
                      <w:rFonts w:hint="eastAsia"/>
                      <w:color w:val="auto"/>
                    </w:rPr>
                    <w:t>PM</w:t>
                  </w:r>
                  <w:r>
                    <w:rPr>
                      <w:rFonts w:hint="eastAsia"/>
                      <w:color w:val="auto"/>
                      <w:vertAlign w:val="subscript"/>
                    </w:rPr>
                    <w:t>2.5</w:t>
                  </w:r>
                </w:p>
              </w:tc>
              <w:tc>
                <w:tcPr>
                  <w:tcW w:w="1160" w:type="pct"/>
                  <w:vAlign w:val="center"/>
                </w:tcPr>
                <w:p>
                  <w:pPr>
                    <w:jc w:val="center"/>
                    <w:rPr>
                      <w:color w:val="auto"/>
                    </w:rPr>
                  </w:pPr>
                  <w:r>
                    <w:rPr>
                      <w:rFonts w:hint="eastAsia"/>
                      <w:color w:val="auto"/>
                    </w:rPr>
                    <w:t>年平均浓度</w:t>
                  </w:r>
                </w:p>
              </w:tc>
              <w:tc>
                <w:tcPr>
                  <w:tcW w:w="833" w:type="pct"/>
                  <w:vAlign w:val="center"/>
                </w:tcPr>
                <w:p>
                  <w:pPr>
                    <w:jc w:val="center"/>
                    <w:rPr>
                      <w:rFonts w:hint="default" w:eastAsia="宋体"/>
                      <w:color w:val="auto"/>
                      <w:lang w:val="en-US" w:eastAsia="zh-CN"/>
                    </w:rPr>
                  </w:pPr>
                  <w:r>
                    <w:rPr>
                      <w:rFonts w:hint="eastAsia"/>
                      <w:color w:val="auto"/>
                      <w:lang w:val="en-US" w:eastAsia="zh-CN"/>
                    </w:rPr>
                    <w:t>31</w:t>
                  </w:r>
                </w:p>
              </w:tc>
              <w:tc>
                <w:tcPr>
                  <w:tcW w:w="833" w:type="pct"/>
                  <w:vAlign w:val="center"/>
                </w:tcPr>
                <w:p>
                  <w:pPr>
                    <w:jc w:val="center"/>
                    <w:rPr>
                      <w:color w:val="auto"/>
                    </w:rPr>
                  </w:pPr>
                  <w:r>
                    <w:rPr>
                      <w:rFonts w:hint="eastAsia"/>
                      <w:color w:val="auto"/>
                    </w:rPr>
                    <w:t>35</w:t>
                  </w:r>
                </w:p>
              </w:tc>
              <w:tc>
                <w:tcPr>
                  <w:tcW w:w="608" w:type="pct"/>
                  <w:vAlign w:val="center"/>
                </w:tcPr>
                <w:p>
                  <w:pPr>
                    <w:jc w:val="center"/>
                    <w:rPr>
                      <w:rFonts w:hint="default" w:eastAsia="宋体"/>
                      <w:color w:val="auto"/>
                      <w:lang w:val="en-US" w:eastAsia="zh-CN"/>
                    </w:rPr>
                  </w:pPr>
                  <w:r>
                    <w:rPr>
                      <w:rFonts w:hint="eastAsia"/>
                      <w:color w:val="auto"/>
                      <w:lang w:val="en-US" w:eastAsia="zh-CN"/>
                    </w:rPr>
                    <w:t>88.6</w:t>
                  </w:r>
                </w:p>
              </w:tc>
              <w:tc>
                <w:tcPr>
                  <w:tcW w:w="615" w:type="pct"/>
                  <w:vAlign w:val="center"/>
                </w:tcPr>
                <w:p>
                  <w:pPr>
                    <w:jc w:val="center"/>
                    <w:rPr>
                      <w:b/>
                      <w:bCs/>
                      <w:color w:val="auto"/>
                    </w:rPr>
                  </w:pPr>
                  <w:r>
                    <w:rPr>
                      <w:rFonts w:hint="eastAsia"/>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384" w:type="pct"/>
                  <w:vMerge w:val="continue"/>
                  <w:vAlign w:val="center"/>
                </w:tcPr>
                <w:p>
                  <w:pPr>
                    <w:jc w:val="center"/>
                    <w:rPr>
                      <w:color w:val="auto"/>
                    </w:rPr>
                  </w:pPr>
                </w:p>
              </w:tc>
              <w:tc>
                <w:tcPr>
                  <w:tcW w:w="563" w:type="pct"/>
                  <w:vAlign w:val="center"/>
                </w:tcPr>
                <w:p>
                  <w:pPr>
                    <w:jc w:val="center"/>
                    <w:rPr>
                      <w:color w:val="auto"/>
                    </w:rPr>
                  </w:pPr>
                  <w:r>
                    <w:rPr>
                      <w:rFonts w:hint="eastAsia"/>
                      <w:color w:val="auto"/>
                    </w:rPr>
                    <w:t>CO</w:t>
                  </w:r>
                </w:p>
              </w:tc>
              <w:tc>
                <w:tcPr>
                  <w:tcW w:w="1160" w:type="pct"/>
                  <w:vAlign w:val="center"/>
                </w:tcPr>
                <w:p>
                  <w:pPr>
                    <w:jc w:val="center"/>
                    <w:rPr>
                      <w:color w:val="auto"/>
                    </w:rPr>
                  </w:pPr>
                  <w:r>
                    <w:rPr>
                      <w:rFonts w:hint="eastAsia"/>
                      <w:color w:val="auto"/>
                    </w:rPr>
                    <w:t>24</w:t>
                  </w:r>
                  <w:r>
                    <w:rPr>
                      <w:rFonts w:hint="eastAsia" w:hAnsi="宋体"/>
                      <w:color w:val="auto"/>
                    </w:rPr>
                    <w:t>小时平均第</w:t>
                  </w:r>
                  <w:r>
                    <w:rPr>
                      <w:rFonts w:hint="eastAsia"/>
                      <w:color w:val="auto"/>
                    </w:rPr>
                    <w:t>95</w:t>
                  </w:r>
                  <w:r>
                    <w:rPr>
                      <w:rFonts w:hint="eastAsia" w:hAnsi="宋体"/>
                      <w:color w:val="auto"/>
                    </w:rPr>
                    <w:t>百分位数</w:t>
                  </w:r>
                </w:p>
              </w:tc>
              <w:tc>
                <w:tcPr>
                  <w:tcW w:w="833" w:type="pct"/>
                  <w:vAlign w:val="center"/>
                </w:tcPr>
                <w:p>
                  <w:pPr>
                    <w:jc w:val="center"/>
                    <w:rPr>
                      <w:color w:val="auto"/>
                    </w:rPr>
                  </w:pPr>
                  <w:r>
                    <w:rPr>
                      <w:rFonts w:hint="eastAsia"/>
                      <w:color w:val="auto"/>
                      <w:lang w:val="en-US" w:eastAsia="zh-CN"/>
                    </w:rPr>
                    <w:t>1</w:t>
                  </w:r>
                  <w:r>
                    <w:rPr>
                      <w:rFonts w:hint="eastAsia"/>
                      <w:color w:val="auto"/>
                    </w:rPr>
                    <w:t xml:space="preserve"> mg/m</w:t>
                  </w:r>
                  <w:r>
                    <w:rPr>
                      <w:rFonts w:hint="eastAsia"/>
                      <w:color w:val="auto"/>
                      <w:vertAlign w:val="superscript"/>
                    </w:rPr>
                    <w:t>3</w:t>
                  </w:r>
                </w:p>
              </w:tc>
              <w:tc>
                <w:tcPr>
                  <w:tcW w:w="833" w:type="pct"/>
                  <w:vAlign w:val="center"/>
                </w:tcPr>
                <w:p>
                  <w:pPr>
                    <w:jc w:val="center"/>
                    <w:rPr>
                      <w:color w:val="auto"/>
                    </w:rPr>
                  </w:pPr>
                  <w:r>
                    <w:rPr>
                      <w:rFonts w:hint="eastAsia"/>
                      <w:color w:val="auto"/>
                    </w:rPr>
                    <w:t>4 mg/m</w:t>
                  </w:r>
                  <w:r>
                    <w:rPr>
                      <w:rFonts w:hint="eastAsia"/>
                      <w:color w:val="auto"/>
                      <w:vertAlign w:val="superscript"/>
                    </w:rPr>
                    <w:t>3</w:t>
                  </w:r>
                </w:p>
              </w:tc>
              <w:tc>
                <w:tcPr>
                  <w:tcW w:w="608" w:type="pct"/>
                  <w:vAlign w:val="center"/>
                </w:tcPr>
                <w:p>
                  <w:pPr>
                    <w:jc w:val="center"/>
                    <w:rPr>
                      <w:rFonts w:hint="default" w:eastAsia="宋体"/>
                      <w:color w:val="auto"/>
                      <w:lang w:val="en-US" w:eastAsia="zh-CN"/>
                    </w:rPr>
                  </w:pPr>
                  <w:r>
                    <w:rPr>
                      <w:rFonts w:hint="eastAsia"/>
                      <w:color w:val="auto"/>
                      <w:lang w:val="en-US" w:eastAsia="zh-CN"/>
                    </w:rPr>
                    <w:t>25.0</w:t>
                  </w:r>
                </w:p>
              </w:tc>
              <w:tc>
                <w:tcPr>
                  <w:tcW w:w="615" w:type="pct"/>
                  <w:vAlign w:val="center"/>
                </w:tcPr>
                <w:p>
                  <w:pPr>
                    <w:jc w:val="center"/>
                    <w:rPr>
                      <w:color w:val="auto"/>
                    </w:rPr>
                  </w:pPr>
                  <w:r>
                    <w:rPr>
                      <w:rFonts w:hint="eastAsia"/>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6" w:hRule="atLeast"/>
                <w:jc w:val="center"/>
              </w:trPr>
              <w:tc>
                <w:tcPr>
                  <w:tcW w:w="384" w:type="pct"/>
                  <w:vMerge w:val="continue"/>
                  <w:vAlign w:val="center"/>
                </w:tcPr>
                <w:p>
                  <w:pPr>
                    <w:jc w:val="center"/>
                    <w:rPr>
                      <w:color w:val="auto"/>
                    </w:rPr>
                  </w:pPr>
                </w:p>
              </w:tc>
              <w:tc>
                <w:tcPr>
                  <w:tcW w:w="563" w:type="pct"/>
                  <w:vAlign w:val="center"/>
                </w:tcPr>
                <w:p>
                  <w:pPr>
                    <w:jc w:val="center"/>
                    <w:rPr>
                      <w:color w:val="auto"/>
                    </w:rPr>
                  </w:pPr>
                  <w:r>
                    <w:rPr>
                      <w:rFonts w:hint="eastAsia"/>
                      <w:color w:val="auto"/>
                    </w:rPr>
                    <w:t>O</w:t>
                  </w:r>
                  <w:r>
                    <w:rPr>
                      <w:rFonts w:hint="eastAsia"/>
                      <w:color w:val="auto"/>
                      <w:vertAlign w:val="subscript"/>
                    </w:rPr>
                    <w:t>3</w:t>
                  </w:r>
                </w:p>
              </w:tc>
              <w:tc>
                <w:tcPr>
                  <w:tcW w:w="1160" w:type="pct"/>
                  <w:vAlign w:val="center"/>
                </w:tcPr>
                <w:p>
                  <w:pPr>
                    <w:jc w:val="center"/>
                    <w:rPr>
                      <w:color w:val="auto"/>
                    </w:rPr>
                  </w:pPr>
                  <w:r>
                    <w:rPr>
                      <w:rFonts w:hint="eastAsia" w:hAnsi="宋体"/>
                      <w:color w:val="auto"/>
                    </w:rPr>
                    <w:t>日最大</w:t>
                  </w:r>
                  <w:r>
                    <w:rPr>
                      <w:rFonts w:hint="eastAsia"/>
                      <w:color w:val="auto"/>
                    </w:rPr>
                    <w:t>8</w:t>
                  </w:r>
                  <w:r>
                    <w:rPr>
                      <w:rFonts w:hint="eastAsia" w:hAnsi="宋体"/>
                      <w:color w:val="auto"/>
                    </w:rPr>
                    <w:t>小时滑动平均值的第</w:t>
                  </w:r>
                  <w:r>
                    <w:rPr>
                      <w:rFonts w:hint="eastAsia"/>
                      <w:color w:val="auto"/>
                    </w:rPr>
                    <w:t>90</w:t>
                  </w:r>
                  <w:r>
                    <w:rPr>
                      <w:rFonts w:hint="eastAsia" w:hAnsi="宋体"/>
                      <w:color w:val="auto"/>
                    </w:rPr>
                    <w:t>百分位数</w:t>
                  </w:r>
                </w:p>
              </w:tc>
              <w:tc>
                <w:tcPr>
                  <w:tcW w:w="833" w:type="pct"/>
                  <w:vAlign w:val="center"/>
                </w:tcPr>
                <w:p>
                  <w:pPr>
                    <w:jc w:val="center"/>
                    <w:rPr>
                      <w:rFonts w:hint="default" w:eastAsia="宋体"/>
                      <w:color w:val="auto"/>
                      <w:lang w:val="en-US" w:eastAsia="zh-CN"/>
                    </w:rPr>
                  </w:pPr>
                  <w:r>
                    <w:rPr>
                      <w:rFonts w:hint="eastAsia"/>
                      <w:color w:val="auto"/>
                      <w:lang w:val="en-US" w:eastAsia="zh-CN"/>
                    </w:rPr>
                    <w:t>162</w:t>
                  </w:r>
                </w:p>
              </w:tc>
              <w:tc>
                <w:tcPr>
                  <w:tcW w:w="833" w:type="pct"/>
                  <w:vAlign w:val="center"/>
                </w:tcPr>
                <w:p>
                  <w:pPr>
                    <w:jc w:val="center"/>
                    <w:rPr>
                      <w:color w:val="auto"/>
                    </w:rPr>
                  </w:pPr>
                  <w:r>
                    <w:rPr>
                      <w:rFonts w:hint="eastAsia"/>
                      <w:color w:val="auto"/>
                    </w:rPr>
                    <w:t>160</w:t>
                  </w:r>
                </w:p>
              </w:tc>
              <w:tc>
                <w:tcPr>
                  <w:tcW w:w="608" w:type="pct"/>
                  <w:vAlign w:val="center"/>
                </w:tcPr>
                <w:p>
                  <w:pPr>
                    <w:jc w:val="center"/>
                    <w:rPr>
                      <w:rFonts w:hint="default" w:eastAsia="宋体"/>
                      <w:color w:val="auto"/>
                      <w:lang w:val="en-US" w:eastAsia="zh-CN"/>
                    </w:rPr>
                  </w:pPr>
                  <w:r>
                    <w:rPr>
                      <w:rFonts w:hint="eastAsia"/>
                      <w:color w:val="auto"/>
                      <w:lang w:val="en-US" w:eastAsia="zh-CN"/>
                    </w:rPr>
                    <w:t>101.2</w:t>
                  </w:r>
                </w:p>
              </w:tc>
              <w:tc>
                <w:tcPr>
                  <w:tcW w:w="615" w:type="pct"/>
                  <w:vAlign w:val="center"/>
                </w:tcPr>
                <w:p>
                  <w:pPr>
                    <w:jc w:val="center"/>
                    <w:rPr>
                      <w:b/>
                      <w:bCs/>
                      <w:color w:val="auto"/>
                    </w:rPr>
                  </w:pPr>
                  <w:r>
                    <w:rPr>
                      <w:rFonts w:hint="eastAsia"/>
                      <w:b/>
                      <w:bCs/>
                      <w:color w:val="auto"/>
                    </w:rPr>
                    <w:t>超标</w:t>
                  </w:r>
                </w:p>
              </w:tc>
            </w:tr>
          </w:tbl>
          <w:p>
            <w:pPr>
              <w:adjustRightInd w:val="0"/>
              <w:snapToGrid w:val="0"/>
              <w:spacing w:line="480" w:lineRule="exact"/>
              <w:ind w:firstLine="480" w:firstLineChars="200"/>
              <w:rPr>
                <w:kern w:val="0"/>
                <w:sz w:val="24"/>
                <w:szCs w:val="24"/>
              </w:rPr>
            </w:pPr>
            <w:r>
              <w:rPr>
                <w:rFonts w:hint="eastAsia"/>
                <w:bCs/>
                <w:snapToGrid w:val="0"/>
                <w:color w:val="auto"/>
                <w:kern w:val="0"/>
                <w:sz w:val="24"/>
                <w:szCs w:val="24"/>
              </w:rPr>
              <w:t>根据例行监测数据统计结果，2021年</w:t>
            </w:r>
            <w:r>
              <w:rPr>
                <w:rFonts w:hint="eastAsia"/>
                <w:bCs/>
                <w:color w:val="auto"/>
                <w:sz w:val="24"/>
                <w:lang w:val="en-US" w:eastAsia="zh-CN"/>
              </w:rPr>
              <w:t>五台县</w:t>
            </w:r>
            <w:r>
              <w:rPr>
                <w:rFonts w:hint="eastAsia"/>
                <w:color w:val="auto"/>
                <w:sz w:val="24"/>
                <w:szCs w:val="24"/>
              </w:rPr>
              <w:t>SO</w:t>
            </w:r>
            <w:r>
              <w:rPr>
                <w:rFonts w:hint="eastAsia"/>
                <w:color w:val="auto"/>
                <w:sz w:val="24"/>
                <w:szCs w:val="24"/>
                <w:vertAlign w:val="subscript"/>
              </w:rPr>
              <w:t>2</w:t>
            </w:r>
            <w:r>
              <w:rPr>
                <w:rFonts w:hint="eastAsia"/>
                <w:color w:val="auto"/>
                <w:sz w:val="24"/>
                <w:szCs w:val="24"/>
              </w:rPr>
              <w:t>年均浓度占标率为</w:t>
            </w:r>
            <w:r>
              <w:rPr>
                <w:rFonts w:hint="eastAsia"/>
                <w:color w:val="auto"/>
                <w:sz w:val="24"/>
                <w:szCs w:val="24"/>
                <w:lang w:val="en-US" w:eastAsia="zh-CN"/>
              </w:rPr>
              <w:t>23.3</w:t>
            </w:r>
            <w:r>
              <w:rPr>
                <w:rFonts w:hint="eastAsia"/>
                <w:color w:val="auto"/>
                <w:sz w:val="24"/>
                <w:szCs w:val="24"/>
              </w:rPr>
              <w:t>%，NO</w:t>
            </w:r>
            <w:r>
              <w:rPr>
                <w:rFonts w:hint="eastAsia"/>
                <w:color w:val="auto"/>
                <w:sz w:val="24"/>
                <w:szCs w:val="24"/>
                <w:vertAlign w:val="subscript"/>
              </w:rPr>
              <w:t>2</w:t>
            </w:r>
            <w:r>
              <w:rPr>
                <w:rFonts w:hint="eastAsia"/>
                <w:color w:val="auto"/>
                <w:sz w:val="24"/>
                <w:szCs w:val="24"/>
              </w:rPr>
              <w:t>年均浓度占标率为</w:t>
            </w:r>
            <w:r>
              <w:rPr>
                <w:rFonts w:hint="eastAsia"/>
                <w:color w:val="auto"/>
                <w:sz w:val="24"/>
                <w:szCs w:val="24"/>
                <w:lang w:val="en-US" w:eastAsia="zh-CN"/>
              </w:rPr>
              <w:t>45.0</w:t>
            </w:r>
            <w:r>
              <w:rPr>
                <w:rFonts w:hint="eastAsia"/>
                <w:color w:val="auto"/>
                <w:sz w:val="24"/>
                <w:szCs w:val="24"/>
              </w:rPr>
              <w:t>%，PM</w:t>
            </w:r>
            <w:r>
              <w:rPr>
                <w:rFonts w:hint="eastAsia"/>
                <w:color w:val="auto"/>
                <w:sz w:val="24"/>
                <w:szCs w:val="24"/>
                <w:vertAlign w:val="subscript"/>
              </w:rPr>
              <w:t>10</w:t>
            </w:r>
            <w:r>
              <w:rPr>
                <w:rFonts w:hint="eastAsia"/>
                <w:color w:val="auto"/>
                <w:sz w:val="24"/>
                <w:szCs w:val="24"/>
              </w:rPr>
              <w:t>年均浓度占标率为</w:t>
            </w:r>
            <w:r>
              <w:rPr>
                <w:rFonts w:hint="eastAsia"/>
                <w:color w:val="auto"/>
                <w:sz w:val="24"/>
                <w:szCs w:val="24"/>
                <w:lang w:val="en-US" w:eastAsia="zh-CN"/>
              </w:rPr>
              <w:t>85.7</w:t>
            </w:r>
            <w:r>
              <w:rPr>
                <w:rFonts w:hint="eastAsia"/>
                <w:color w:val="auto"/>
                <w:sz w:val="24"/>
                <w:szCs w:val="24"/>
              </w:rPr>
              <w:t>%，PM</w:t>
            </w:r>
            <w:r>
              <w:rPr>
                <w:rFonts w:hint="eastAsia"/>
                <w:color w:val="auto"/>
                <w:sz w:val="24"/>
                <w:szCs w:val="24"/>
                <w:vertAlign w:val="subscript"/>
              </w:rPr>
              <w:t>2.5</w:t>
            </w:r>
            <w:r>
              <w:rPr>
                <w:rFonts w:hint="eastAsia"/>
                <w:color w:val="auto"/>
                <w:sz w:val="24"/>
                <w:szCs w:val="24"/>
              </w:rPr>
              <w:t>年均浓度占标率为</w:t>
            </w:r>
            <w:r>
              <w:rPr>
                <w:rFonts w:hint="eastAsia"/>
                <w:color w:val="auto"/>
                <w:sz w:val="24"/>
                <w:szCs w:val="24"/>
                <w:lang w:val="en-US" w:eastAsia="zh-CN"/>
              </w:rPr>
              <w:t>88.6</w:t>
            </w:r>
            <w:r>
              <w:rPr>
                <w:rFonts w:hint="eastAsia"/>
                <w:color w:val="auto"/>
                <w:sz w:val="24"/>
                <w:szCs w:val="24"/>
              </w:rPr>
              <w:t>%，CO的24小时平均第95百分位数占标率为</w:t>
            </w:r>
            <w:r>
              <w:rPr>
                <w:rFonts w:hint="eastAsia"/>
                <w:color w:val="auto"/>
                <w:sz w:val="24"/>
                <w:szCs w:val="24"/>
                <w:lang w:val="en-US" w:eastAsia="zh-CN"/>
              </w:rPr>
              <w:t>25.0</w:t>
            </w:r>
            <w:r>
              <w:rPr>
                <w:rFonts w:hint="eastAsia"/>
                <w:color w:val="auto"/>
                <w:sz w:val="24"/>
                <w:szCs w:val="24"/>
              </w:rPr>
              <w:t>%，O</w:t>
            </w:r>
            <w:r>
              <w:rPr>
                <w:rFonts w:hint="eastAsia"/>
                <w:color w:val="auto"/>
                <w:sz w:val="24"/>
                <w:szCs w:val="24"/>
                <w:vertAlign w:val="subscript"/>
              </w:rPr>
              <w:t>3</w:t>
            </w:r>
            <w:r>
              <w:rPr>
                <w:rFonts w:hint="eastAsia"/>
                <w:color w:val="auto"/>
                <w:sz w:val="24"/>
                <w:szCs w:val="24"/>
              </w:rPr>
              <w:t>的日最大8小时滑动平均值的第90百分位数浓度占标率为</w:t>
            </w:r>
            <w:r>
              <w:rPr>
                <w:rFonts w:hint="eastAsia"/>
                <w:color w:val="auto"/>
                <w:sz w:val="24"/>
                <w:szCs w:val="24"/>
                <w:lang w:val="en-US" w:eastAsia="zh-CN"/>
              </w:rPr>
              <w:t>101.2</w:t>
            </w:r>
            <w:r>
              <w:rPr>
                <w:rFonts w:hint="eastAsia"/>
                <w:color w:val="auto"/>
                <w:sz w:val="24"/>
                <w:szCs w:val="24"/>
              </w:rPr>
              <w:t>%，六项基本污染物</w:t>
            </w:r>
            <w:r>
              <w:rPr>
                <w:rFonts w:hint="eastAsia"/>
                <w:bCs/>
                <w:snapToGrid w:val="0"/>
                <w:color w:val="auto"/>
                <w:kern w:val="0"/>
                <w:sz w:val="24"/>
                <w:szCs w:val="24"/>
              </w:rPr>
              <w:t>中O</w:t>
            </w:r>
            <w:r>
              <w:rPr>
                <w:rFonts w:hint="eastAsia"/>
                <w:bCs/>
                <w:snapToGrid w:val="0"/>
                <w:color w:val="auto"/>
                <w:kern w:val="0"/>
                <w:sz w:val="24"/>
                <w:szCs w:val="24"/>
                <w:vertAlign w:val="subscript"/>
              </w:rPr>
              <w:t>3</w:t>
            </w:r>
            <w:r>
              <w:rPr>
                <w:rFonts w:hint="eastAsia"/>
                <w:color w:val="auto"/>
                <w:sz w:val="24"/>
                <w:szCs w:val="24"/>
                <w:lang w:val="en-US" w:eastAsia="zh-CN"/>
              </w:rPr>
              <w:t>百分位数</w:t>
            </w:r>
            <w:r>
              <w:rPr>
                <w:rFonts w:hint="eastAsia"/>
                <w:color w:val="auto"/>
                <w:sz w:val="24"/>
                <w:szCs w:val="24"/>
              </w:rPr>
              <w:t>浓度</w:t>
            </w:r>
            <w:r>
              <w:rPr>
                <w:rFonts w:hint="eastAsia"/>
                <w:bCs/>
                <w:snapToGrid w:val="0"/>
                <w:color w:val="auto"/>
                <w:kern w:val="0"/>
                <w:sz w:val="24"/>
                <w:szCs w:val="24"/>
              </w:rPr>
              <w:t>超标；</w:t>
            </w:r>
            <w:r>
              <w:rPr>
                <w:rFonts w:hint="eastAsia"/>
                <w:color w:val="auto"/>
                <w:sz w:val="24"/>
                <w:szCs w:val="24"/>
              </w:rPr>
              <w:t>因此，</w:t>
            </w:r>
            <w:r>
              <w:rPr>
                <w:rFonts w:hint="eastAsia"/>
                <w:bCs/>
                <w:color w:val="auto"/>
                <w:sz w:val="24"/>
                <w:szCs w:val="24"/>
                <w:lang w:val="en-US" w:eastAsia="zh-CN"/>
              </w:rPr>
              <w:t>五台县</w:t>
            </w:r>
            <w:r>
              <w:rPr>
                <w:rFonts w:hint="eastAsia"/>
                <w:color w:val="auto"/>
                <w:sz w:val="24"/>
                <w:szCs w:val="24"/>
              </w:rPr>
              <w:t>为不达标区。</w:t>
            </w:r>
          </w:p>
          <w:p>
            <w:pPr>
              <w:adjustRightInd w:val="0"/>
              <w:snapToGrid w:val="0"/>
              <w:spacing w:line="480" w:lineRule="exact"/>
              <w:ind w:firstLine="482" w:firstLineChars="200"/>
              <w:rPr>
                <w:rFonts w:hint="default" w:eastAsia="宋体"/>
                <w:b/>
                <w:bCs/>
                <w:kern w:val="0"/>
                <w:sz w:val="24"/>
                <w:szCs w:val="24"/>
                <w:lang w:val="en-US" w:eastAsia="zh-CN"/>
              </w:rPr>
            </w:pPr>
            <w:r>
              <w:rPr>
                <w:rFonts w:hint="eastAsia"/>
                <w:b/>
                <w:bCs/>
                <w:kern w:val="0"/>
                <w:sz w:val="24"/>
                <w:szCs w:val="24"/>
                <w:lang w:eastAsia="zh-CN"/>
              </w:rPr>
              <w:t>（</w:t>
            </w:r>
            <w:r>
              <w:rPr>
                <w:rFonts w:hint="eastAsia"/>
                <w:b/>
                <w:bCs/>
                <w:kern w:val="0"/>
                <w:sz w:val="24"/>
                <w:szCs w:val="24"/>
                <w:lang w:val="en-US" w:eastAsia="zh-CN"/>
              </w:rPr>
              <w:t>2</w:t>
            </w:r>
            <w:r>
              <w:rPr>
                <w:rFonts w:hint="eastAsia"/>
                <w:b/>
                <w:bCs/>
                <w:kern w:val="0"/>
                <w:sz w:val="24"/>
                <w:szCs w:val="24"/>
                <w:lang w:eastAsia="zh-CN"/>
              </w:rPr>
              <w:t>）</w:t>
            </w:r>
            <w:r>
              <w:rPr>
                <w:rFonts w:hint="eastAsia"/>
                <w:b/>
                <w:bCs/>
                <w:kern w:val="0"/>
                <w:sz w:val="24"/>
                <w:szCs w:val="24"/>
                <w:lang w:val="en-US" w:eastAsia="zh-CN"/>
              </w:rPr>
              <w:t>地表水</w:t>
            </w:r>
          </w:p>
          <w:p>
            <w:pPr>
              <w:adjustRightInd w:val="0"/>
              <w:snapToGrid w:val="0"/>
              <w:spacing w:line="480" w:lineRule="exact"/>
              <w:ind w:firstLine="480" w:firstLineChars="200"/>
              <w:rPr>
                <w:rFonts w:hint="eastAsia"/>
                <w:bCs/>
                <w:color w:val="auto"/>
                <w:sz w:val="24"/>
              </w:rPr>
            </w:pPr>
            <w:r>
              <w:rPr>
                <w:rFonts w:hint="eastAsia"/>
                <w:bCs/>
                <w:color w:val="auto"/>
                <w:sz w:val="24"/>
              </w:rPr>
              <w:t>本项目所在区域地表水系为海河流域-滹沱河山区-滹沱河水系-清水河河流（环椿坪至坪上桥段）</w:t>
            </w:r>
            <w:r>
              <w:rPr>
                <w:rFonts w:hint="eastAsia"/>
                <w:bCs/>
                <w:color w:val="auto"/>
                <w:sz w:val="24"/>
                <w:lang w:eastAsia="zh-CN"/>
              </w:rPr>
              <w:t>，</w:t>
            </w:r>
            <w:r>
              <w:rPr>
                <w:rFonts w:hint="default" w:ascii="Times New Roman" w:hAnsi="Times New Roman" w:cs="Times New Roman"/>
                <w:bCs/>
                <w:color w:val="auto"/>
                <w:sz w:val="24"/>
              </w:rPr>
              <w:t>水环境功能为</w:t>
            </w:r>
            <w:r>
              <w:rPr>
                <w:rFonts w:hint="eastAsia" w:cs="Times New Roman"/>
                <w:bCs/>
                <w:color w:val="auto"/>
                <w:sz w:val="24"/>
                <w:lang w:val="en-US" w:eastAsia="zh-CN"/>
              </w:rPr>
              <w:t>过渡区水源</w:t>
            </w:r>
            <w:r>
              <w:rPr>
                <w:rFonts w:hint="default" w:ascii="Times New Roman" w:hAnsi="Times New Roman" w:cs="Times New Roman"/>
                <w:bCs/>
                <w:color w:val="auto"/>
                <w:sz w:val="24"/>
                <w:lang w:val="en-US" w:eastAsia="zh-CN"/>
              </w:rPr>
              <w:t>保护</w:t>
            </w:r>
            <w:r>
              <w:rPr>
                <w:rFonts w:hint="default" w:ascii="Times New Roman" w:hAnsi="Times New Roman" w:cs="Times New Roman"/>
                <w:bCs/>
                <w:color w:val="auto"/>
                <w:sz w:val="24"/>
              </w:rPr>
              <w:t>，执行《地表水环境质量标准》（GB）Ⅱ类标准。</w:t>
            </w:r>
            <w:r>
              <w:rPr>
                <w:rFonts w:hint="eastAsia"/>
                <w:bCs/>
                <w:color w:val="auto"/>
                <w:sz w:val="24"/>
              </w:rPr>
              <w:t>根据忻州市生态文明建设和污染防治攻坚战领导小组办公室发布的“关于忻州市2021年12月及全年地表水环境质量的通报”（忻污防办发[2022]1号），</w:t>
            </w:r>
            <w:r>
              <w:rPr>
                <w:rFonts w:hint="eastAsia"/>
                <w:bCs/>
                <w:color w:val="auto"/>
                <w:sz w:val="24"/>
                <w:lang w:val="en-US" w:eastAsia="zh-CN"/>
              </w:rPr>
              <w:t>坪上桥断面</w:t>
            </w:r>
            <w:r>
              <w:rPr>
                <w:rFonts w:hint="eastAsia"/>
                <w:bCs/>
                <w:color w:val="auto"/>
                <w:sz w:val="24"/>
              </w:rPr>
              <w:t>1月-12月为Ⅰ类水质，满足Ⅱ类水质考核标准要求。</w:t>
            </w:r>
          </w:p>
          <w:p>
            <w:pPr>
              <w:adjustRightInd w:val="0"/>
              <w:snapToGrid w:val="0"/>
              <w:spacing w:line="480" w:lineRule="exact"/>
              <w:ind w:firstLine="482" w:firstLineChars="200"/>
              <w:rPr>
                <w:rFonts w:hint="default" w:eastAsia="宋体"/>
                <w:b/>
                <w:bCs/>
                <w:kern w:val="0"/>
                <w:sz w:val="24"/>
                <w:szCs w:val="24"/>
                <w:lang w:val="en-US" w:eastAsia="zh-CN"/>
              </w:rPr>
            </w:pPr>
            <w:r>
              <w:rPr>
                <w:rFonts w:hint="eastAsia"/>
                <w:b/>
                <w:bCs/>
                <w:kern w:val="0"/>
                <w:sz w:val="24"/>
                <w:szCs w:val="24"/>
                <w:lang w:eastAsia="zh-CN"/>
              </w:rPr>
              <w:t>（</w:t>
            </w:r>
            <w:r>
              <w:rPr>
                <w:rFonts w:hint="eastAsia"/>
                <w:b/>
                <w:bCs/>
                <w:kern w:val="0"/>
                <w:sz w:val="24"/>
                <w:szCs w:val="24"/>
                <w:lang w:val="en-US" w:eastAsia="zh-CN"/>
              </w:rPr>
              <w:t>3</w:t>
            </w:r>
            <w:r>
              <w:rPr>
                <w:rFonts w:hint="eastAsia"/>
                <w:b/>
                <w:bCs/>
                <w:kern w:val="0"/>
                <w:sz w:val="24"/>
                <w:szCs w:val="24"/>
                <w:lang w:eastAsia="zh-CN"/>
              </w:rPr>
              <w:t>）</w:t>
            </w:r>
            <w:r>
              <w:rPr>
                <w:rFonts w:hint="eastAsia"/>
                <w:b/>
                <w:bCs/>
                <w:kern w:val="0"/>
                <w:sz w:val="24"/>
                <w:szCs w:val="24"/>
                <w:lang w:val="en-US" w:eastAsia="zh-CN"/>
              </w:rPr>
              <w:t>声环境</w:t>
            </w:r>
          </w:p>
          <w:p>
            <w:pPr>
              <w:adjustRightInd w:val="0"/>
              <w:snapToGrid w:val="0"/>
              <w:spacing w:line="480" w:lineRule="exact"/>
              <w:ind w:firstLine="480" w:firstLineChars="200"/>
              <w:rPr>
                <w:rFonts w:hint="eastAsia"/>
                <w:bCs/>
                <w:color w:val="auto"/>
                <w:sz w:val="24"/>
              </w:rPr>
            </w:pPr>
            <w:r>
              <w:rPr>
                <w:rFonts w:hint="eastAsia"/>
                <w:bCs/>
                <w:color w:val="auto"/>
                <w:sz w:val="24"/>
              </w:rPr>
              <w:t>本次评价委托山西中安环境监测有限公司于2022年</w:t>
            </w:r>
            <w:r>
              <w:rPr>
                <w:rFonts w:hint="eastAsia"/>
                <w:bCs/>
                <w:color w:val="auto"/>
                <w:sz w:val="24"/>
                <w:lang w:val="en-US" w:eastAsia="zh-CN"/>
              </w:rPr>
              <w:t>11</w:t>
            </w:r>
            <w:r>
              <w:rPr>
                <w:rFonts w:hint="eastAsia"/>
                <w:bCs/>
                <w:color w:val="auto"/>
                <w:sz w:val="24"/>
              </w:rPr>
              <w:t>月</w:t>
            </w:r>
            <w:r>
              <w:rPr>
                <w:rFonts w:hint="eastAsia"/>
                <w:bCs/>
                <w:color w:val="auto"/>
                <w:sz w:val="24"/>
                <w:lang w:val="en-US" w:eastAsia="zh-CN"/>
              </w:rPr>
              <w:t>5</w:t>
            </w:r>
            <w:r>
              <w:rPr>
                <w:rFonts w:hint="eastAsia"/>
                <w:bCs/>
                <w:color w:val="auto"/>
                <w:sz w:val="24"/>
              </w:rPr>
              <w:t>日对</w:t>
            </w:r>
            <w:r>
              <w:rPr>
                <w:rFonts w:hint="eastAsia"/>
                <w:color w:val="auto"/>
                <w:sz w:val="24"/>
                <w:szCs w:val="32"/>
                <w:lang w:val="en-US" w:eastAsia="zh-CN"/>
              </w:rPr>
              <w:t>评价区内敏感点</w:t>
            </w:r>
            <w:r>
              <w:rPr>
                <w:rFonts w:hint="eastAsia"/>
                <w:color w:val="auto"/>
                <w:sz w:val="24"/>
                <w:szCs w:val="32"/>
              </w:rPr>
              <w:t>声环境质量现状进行了监测，监测点位、项目、频次、时间及要求见下表。</w:t>
            </w:r>
          </w:p>
          <w:p>
            <w:pPr>
              <w:adjustRightInd w:val="0"/>
              <w:snapToGrid w:val="0"/>
              <w:spacing w:line="480" w:lineRule="exact"/>
              <w:ind w:firstLine="480" w:firstLineChars="200"/>
              <w:rPr>
                <w:rFonts w:hint="eastAsia"/>
                <w:bCs/>
                <w:color w:val="auto"/>
                <w:sz w:val="24"/>
              </w:rPr>
            </w:pPr>
            <w:r>
              <w:rPr>
                <w:rFonts w:hint="eastAsia"/>
                <w:bCs/>
                <w:color w:val="auto"/>
                <w:sz w:val="24"/>
              </w:rPr>
              <w:t>1）监测布点与监测项目</w:t>
            </w:r>
          </w:p>
          <w:p>
            <w:pPr>
              <w:adjustRightInd w:val="0"/>
              <w:snapToGrid w:val="0"/>
              <w:spacing w:line="480" w:lineRule="exact"/>
              <w:ind w:firstLine="480" w:firstLineChars="200"/>
              <w:rPr>
                <w:rFonts w:hint="eastAsia"/>
                <w:bCs/>
                <w:color w:val="auto"/>
                <w:sz w:val="24"/>
              </w:rPr>
            </w:pPr>
            <w:r>
              <w:rPr>
                <w:rFonts w:hint="eastAsia"/>
                <w:bCs/>
                <w:color w:val="auto"/>
                <w:sz w:val="24"/>
              </w:rPr>
              <w:t>根据工程特征及环境影响，本次声环境现状监测共布设</w:t>
            </w:r>
            <w:r>
              <w:rPr>
                <w:rFonts w:hint="eastAsia"/>
                <w:bCs/>
                <w:color w:val="auto"/>
                <w:sz w:val="24"/>
                <w:lang w:val="en-US" w:eastAsia="zh-CN"/>
              </w:rPr>
              <w:t>7</w:t>
            </w:r>
            <w:r>
              <w:rPr>
                <w:rFonts w:hint="eastAsia"/>
                <w:bCs/>
                <w:color w:val="auto"/>
                <w:sz w:val="24"/>
              </w:rPr>
              <w:t>个监测点。监测点位置见图</w:t>
            </w:r>
            <w:r>
              <w:rPr>
                <w:rFonts w:hint="eastAsia"/>
                <w:bCs/>
                <w:color w:val="auto"/>
                <w:sz w:val="24"/>
                <w:lang w:val="en-US" w:eastAsia="zh-CN"/>
              </w:rPr>
              <w:t>3-1~2</w:t>
            </w:r>
            <w:r>
              <w:rPr>
                <w:rFonts w:hint="eastAsia"/>
                <w:bCs/>
                <w:color w:val="auto"/>
                <w:sz w:val="24"/>
              </w:rPr>
              <w:t>。监测点位和监测项目见表3-</w:t>
            </w:r>
            <w:r>
              <w:rPr>
                <w:rFonts w:hint="eastAsia"/>
                <w:bCs/>
                <w:color w:val="auto"/>
                <w:sz w:val="24"/>
                <w:lang w:val="en-US" w:eastAsia="zh-CN"/>
              </w:rPr>
              <w:t>8</w:t>
            </w:r>
            <w:r>
              <w:rPr>
                <w:rFonts w:hint="eastAsia"/>
                <w:bCs/>
                <w:color w:val="auto"/>
                <w:sz w:val="24"/>
              </w:rPr>
              <w:t>。</w:t>
            </w:r>
          </w:p>
          <w:p>
            <w:pPr>
              <w:spacing w:line="480" w:lineRule="exact"/>
              <w:jc w:val="center"/>
              <w:rPr>
                <w:rFonts w:ascii="黑体" w:hAnsi="黑体" w:eastAsia="黑体"/>
                <w:color w:val="auto"/>
                <w:sz w:val="24"/>
                <w:vertAlign w:val="superscript"/>
              </w:rPr>
            </w:pPr>
            <w:r>
              <w:rPr>
                <w:rFonts w:hint="eastAsia" w:ascii="黑体" w:hAnsi="黑体" w:eastAsia="黑体"/>
                <w:color w:val="auto"/>
                <w:sz w:val="24"/>
              </w:rPr>
              <w:t>表3-</w:t>
            </w:r>
            <w:r>
              <w:rPr>
                <w:rFonts w:hint="eastAsia" w:ascii="黑体" w:hAnsi="黑体" w:eastAsia="黑体"/>
                <w:color w:val="auto"/>
                <w:sz w:val="24"/>
                <w:lang w:val="en-US" w:eastAsia="zh-CN"/>
              </w:rPr>
              <w:t>8</w:t>
            </w:r>
            <w:r>
              <w:rPr>
                <w:rFonts w:hint="eastAsia" w:ascii="黑体" w:hAnsi="黑体" w:eastAsia="黑体"/>
                <w:color w:val="auto"/>
                <w:sz w:val="24"/>
              </w:rPr>
              <w:t xml:space="preserve">  监测点位、项目、频次一览表</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9"/>
              <w:gridCol w:w="861"/>
              <w:gridCol w:w="4024"/>
              <w:gridCol w:w="1160"/>
              <w:gridCol w:w="13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9" w:type="pct"/>
                  <w:noWrap w:val="0"/>
                  <w:vAlign w:val="center"/>
                </w:tcPr>
                <w:p>
                  <w:pPr>
                    <w:keepNext w:val="0"/>
                    <w:keepLines w:val="0"/>
                    <w:pageBreakBefore w:val="0"/>
                    <w:kinsoku/>
                    <w:wordWrap/>
                    <w:overflowPunct/>
                    <w:topLinePunct w:val="0"/>
                    <w:autoSpaceDE/>
                    <w:autoSpaceDN/>
                    <w:bidi w:val="0"/>
                    <w:spacing w:line="240" w:lineRule="auto"/>
                    <w:jc w:val="center"/>
                    <w:textAlignment w:val="auto"/>
                    <w:rPr>
                      <w:rFonts w:ascii="Times New Roman" w:hAnsi="Times New Roman"/>
                      <w:color w:val="auto"/>
                      <w:sz w:val="21"/>
                      <w:szCs w:val="21"/>
                    </w:rPr>
                  </w:pPr>
                  <w:r>
                    <w:rPr>
                      <w:rFonts w:ascii="Times New Roman" w:hAnsi="Times New Roman"/>
                      <w:color w:val="auto"/>
                      <w:sz w:val="21"/>
                      <w:szCs w:val="21"/>
                    </w:rPr>
                    <w:t>监测类别</w:t>
                  </w:r>
                </w:p>
              </w:tc>
              <w:tc>
                <w:tcPr>
                  <w:tcW w:w="2861" w:type="pct"/>
                  <w:gridSpan w:val="2"/>
                  <w:noWrap w:val="0"/>
                  <w:vAlign w:val="center"/>
                </w:tcPr>
                <w:p>
                  <w:pPr>
                    <w:keepNext w:val="0"/>
                    <w:keepLines w:val="0"/>
                    <w:pageBreakBefore w:val="0"/>
                    <w:kinsoku/>
                    <w:wordWrap/>
                    <w:overflowPunct/>
                    <w:topLinePunct w:val="0"/>
                    <w:autoSpaceDE/>
                    <w:autoSpaceDN/>
                    <w:bidi w:val="0"/>
                    <w:spacing w:line="240" w:lineRule="auto"/>
                    <w:jc w:val="center"/>
                    <w:textAlignment w:val="auto"/>
                    <w:rPr>
                      <w:rFonts w:ascii="Times New Roman" w:hAnsi="Times New Roman"/>
                      <w:color w:val="auto"/>
                      <w:sz w:val="21"/>
                      <w:szCs w:val="21"/>
                    </w:rPr>
                  </w:pPr>
                  <w:r>
                    <w:rPr>
                      <w:rFonts w:ascii="Times New Roman" w:hAnsi="Times New Roman"/>
                      <w:color w:val="auto"/>
                      <w:sz w:val="21"/>
                      <w:szCs w:val="21"/>
                    </w:rPr>
                    <w:t>监测点名称</w:t>
                  </w:r>
                </w:p>
              </w:tc>
              <w:tc>
                <w:tcPr>
                  <w:tcW w:w="679" w:type="pct"/>
                  <w:noWrap w:val="0"/>
                  <w:vAlign w:val="center"/>
                </w:tcPr>
                <w:p>
                  <w:pPr>
                    <w:keepNext w:val="0"/>
                    <w:keepLines w:val="0"/>
                    <w:pageBreakBefore w:val="0"/>
                    <w:tabs>
                      <w:tab w:val="left" w:pos="2738"/>
                    </w:tabs>
                    <w:kinsoku/>
                    <w:wordWrap/>
                    <w:overflowPunct/>
                    <w:topLinePunct w:val="0"/>
                    <w:autoSpaceDE/>
                    <w:autoSpaceDN/>
                    <w:bidi w:val="0"/>
                    <w:adjustRightInd w:val="0"/>
                    <w:snapToGrid w:val="0"/>
                    <w:spacing w:line="240" w:lineRule="auto"/>
                    <w:jc w:val="center"/>
                    <w:textAlignment w:val="auto"/>
                    <w:rPr>
                      <w:rFonts w:ascii="Times New Roman" w:hAnsi="Times New Roman"/>
                      <w:bCs/>
                      <w:snapToGrid w:val="0"/>
                      <w:color w:val="auto"/>
                      <w:kern w:val="0"/>
                      <w:sz w:val="21"/>
                      <w:szCs w:val="21"/>
                    </w:rPr>
                  </w:pPr>
                  <w:r>
                    <w:rPr>
                      <w:rFonts w:ascii="Times New Roman" w:hAnsi="Times New Roman"/>
                      <w:bCs/>
                      <w:snapToGrid w:val="0"/>
                      <w:color w:val="auto"/>
                      <w:kern w:val="0"/>
                      <w:sz w:val="21"/>
                      <w:szCs w:val="21"/>
                    </w:rPr>
                    <w:t>监测项目</w:t>
                  </w:r>
                </w:p>
              </w:tc>
              <w:tc>
                <w:tcPr>
                  <w:tcW w:w="809" w:type="pct"/>
                  <w:noWrap w:val="0"/>
                  <w:vAlign w:val="center"/>
                </w:tcPr>
                <w:p>
                  <w:pPr>
                    <w:keepNext w:val="0"/>
                    <w:keepLines w:val="0"/>
                    <w:pageBreakBefore w:val="0"/>
                    <w:tabs>
                      <w:tab w:val="left" w:pos="2738"/>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bCs/>
                      <w:snapToGrid w:val="0"/>
                      <w:color w:val="auto"/>
                      <w:kern w:val="0"/>
                      <w:sz w:val="21"/>
                      <w:szCs w:val="21"/>
                      <w:lang w:val="en-US" w:eastAsia="zh-CN"/>
                    </w:rPr>
                  </w:pPr>
                  <w:r>
                    <w:rPr>
                      <w:rFonts w:hint="eastAsia" w:ascii="Times New Roman" w:hAnsi="Times New Roman"/>
                      <w:bCs/>
                      <w:snapToGrid w:val="0"/>
                      <w:color w:val="auto"/>
                      <w:kern w:val="0"/>
                      <w:sz w:val="21"/>
                      <w:szCs w:val="21"/>
                      <w:lang w:val="en-US" w:eastAsia="zh-CN"/>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9" w:type="pct"/>
                  <w:vMerge w:val="restart"/>
                  <w:noWrap w:val="0"/>
                  <w:vAlign w:val="center"/>
                </w:tcPr>
                <w:p>
                  <w:pPr>
                    <w:keepNext w:val="0"/>
                    <w:keepLines w:val="0"/>
                    <w:pageBreakBefore w:val="0"/>
                    <w:kinsoku/>
                    <w:wordWrap/>
                    <w:overflowPunct/>
                    <w:topLinePunct w:val="0"/>
                    <w:autoSpaceDE/>
                    <w:autoSpaceDN/>
                    <w:bidi w:val="0"/>
                    <w:spacing w:line="240" w:lineRule="auto"/>
                    <w:jc w:val="center"/>
                    <w:textAlignment w:val="auto"/>
                    <w:rPr>
                      <w:rFonts w:ascii="Times New Roman" w:hAnsi="Times New Roman"/>
                      <w:color w:val="auto"/>
                      <w:sz w:val="21"/>
                      <w:szCs w:val="21"/>
                    </w:rPr>
                  </w:pPr>
                  <w:r>
                    <w:rPr>
                      <w:rFonts w:ascii="Times New Roman" w:hAnsi="Times New Roman"/>
                      <w:color w:val="auto"/>
                      <w:sz w:val="21"/>
                      <w:szCs w:val="21"/>
                    </w:rPr>
                    <w:t>声环境</w:t>
                  </w:r>
                </w:p>
              </w:tc>
              <w:tc>
                <w:tcPr>
                  <w:tcW w:w="504" w:type="pct"/>
                  <w:vMerge w:val="restart"/>
                  <w:noWrap w:val="0"/>
                  <w:vAlign w:val="center"/>
                </w:tcPr>
                <w:p>
                  <w:pPr>
                    <w:keepNext w:val="0"/>
                    <w:keepLines w:val="0"/>
                    <w:pageBreakBefore w:val="0"/>
                    <w:widowControl/>
                    <w:kinsoku/>
                    <w:wordWrap/>
                    <w:overflowPunct/>
                    <w:topLinePunct w:val="0"/>
                    <w:autoSpaceDE/>
                    <w:autoSpaceDN/>
                    <w:bidi w:val="0"/>
                    <w:spacing w:line="240" w:lineRule="auto"/>
                    <w:jc w:val="center"/>
                    <w:textAlignment w:val="auto"/>
                    <w:rPr>
                      <w:rFonts w:ascii="Times New Roman" w:hAnsi="Times New Roman"/>
                      <w:snapToGrid w:val="0"/>
                      <w:color w:val="auto"/>
                      <w:sz w:val="21"/>
                      <w:szCs w:val="21"/>
                    </w:rPr>
                  </w:pPr>
                  <w:r>
                    <w:rPr>
                      <w:rFonts w:ascii="Times New Roman" w:hAnsi="Times New Roman"/>
                      <w:snapToGrid w:val="0"/>
                      <w:color w:val="auto"/>
                      <w:sz w:val="21"/>
                      <w:szCs w:val="21"/>
                    </w:rPr>
                    <w:t>敏感点</w:t>
                  </w:r>
                </w:p>
              </w:tc>
              <w:tc>
                <w:tcPr>
                  <w:tcW w:w="2357" w:type="pct"/>
                  <w:noWrap w:val="0"/>
                  <w:vAlign w:val="center"/>
                </w:tcPr>
                <w:p>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snapToGrid w:val="0"/>
                      <w:color w:val="auto"/>
                      <w:sz w:val="21"/>
                      <w:szCs w:val="21"/>
                      <w:lang w:val="en-US" w:eastAsia="zh-CN"/>
                    </w:rPr>
                  </w:pPr>
                  <w:r>
                    <w:rPr>
                      <w:rFonts w:hint="default" w:ascii="Times New Roman" w:hAnsi="Times New Roman"/>
                      <w:spacing w:val="4"/>
                      <w:sz w:val="21"/>
                      <w:szCs w:val="21"/>
                      <w:lang w:val="en-US" w:eastAsia="zh-CN"/>
                    </w:rPr>
                    <w:t>碧海花园E区</w:t>
                  </w:r>
                  <w:r>
                    <w:rPr>
                      <w:rFonts w:hint="eastAsia" w:ascii="Times New Roman" w:hAnsi="Times New Roman"/>
                      <w:spacing w:val="4"/>
                      <w:sz w:val="21"/>
                      <w:szCs w:val="21"/>
                      <w:lang w:val="en-US" w:eastAsia="zh-CN"/>
                    </w:rPr>
                    <w:t>1号楼西侧1#、3#、5#层</w:t>
                  </w:r>
                </w:p>
              </w:tc>
              <w:tc>
                <w:tcPr>
                  <w:tcW w:w="679" w:type="pct"/>
                  <w:vMerge w:val="restart"/>
                  <w:noWrap w:val="0"/>
                  <w:vAlign w:val="center"/>
                </w:tcPr>
                <w:p>
                  <w:pPr>
                    <w:keepNext w:val="0"/>
                    <w:keepLines w:val="0"/>
                    <w:pageBreakBefore w:val="0"/>
                    <w:kinsoku/>
                    <w:wordWrap/>
                    <w:overflowPunct/>
                    <w:topLinePunct w:val="0"/>
                    <w:autoSpaceDE/>
                    <w:autoSpaceDN/>
                    <w:bidi w:val="0"/>
                    <w:spacing w:line="240" w:lineRule="auto"/>
                    <w:jc w:val="center"/>
                    <w:textAlignment w:val="auto"/>
                    <w:rPr>
                      <w:rFonts w:ascii="Times New Roman" w:hAnsi="Times New Roman"/>
                      <w:color w:val="auto"/>
                      <w:sz w:val="21"/>
                      <w:szCs w:val="21"/>
                    </w:rPr>
                  </w:pPr>
                  <w:r>
                    <w:rPr>
                      <w:rFonts w:ascii="Times New Roman" w:hAnsi="Times New Roman"/>
                      <w:color w:val="auto"/>
                      <w:sz w:val="21"/>
                      <w:szCs w:val="21"/>
                    </w:rPr>
                    <w:t>L</w:t>
                  </w:r>
                  <w:r>
                    <w:rPr>
                      <w:rFonts w:ascii="Times New Roman" w:hAnsi="Times New Roman"/>
                      <w:color w:val="auto"/>
                      <w:sz w:val="21"/>
                      <w:szCs w:val="21"/>
                      <w:vertAlign w:val="subscript"/>
                    </w:rPr>
                    <w:t>10</w:t>
                  </w:r>
                  <w:r>
                    <w:rPr>
                      <w:rFonts w:ascii="Times New Roman" w:hAnsi="Times New Roman"/>
                      <w:color w:val="auto"/>
                      <w:sz w:val="21"/>
                      <w:szCs w:val="21"/>
                    </w:rPr>
                    <w:t>、L</w:t>
                  </w:r>
                  <w:r>
                    <w:rPr>
                      <w:rFonts w:ascii="Times New Roman" w:hAnsi="Times New Roman"/>
                      <w:color w:val="auto"/>
                      <w:sz w:val="21"/>
                      <w:szCs w:val="21"/>
                      <w:vertAlign w:val="subscript"/>
                    </w:rPr>
                    <w:t>50</w:t>
                  </w:r>
                  <w:r>
                    <w:rPr>
                      <w:rFonts w:ascii="Times New Roman" w:hAnsi="Times New Roman"/>
                      <w:color w:val="auto"/>
                      <w:sz w:val="21"/>
                      <w:szCs w:val="21"/>
                    </w:rPr>
                    <w:t>、L</w:t>
                  </w:r>
                  <w:r>
                    <w:rPr>
                      <w:rFonts w:ascii="Times New Roman" w:hAnsi="Times New Roman"/>
                      <w:color w:val="auto"/>
                      <w:sz w:val="21"/>
                      <w:szCs w:val="21"/>
                      <w:vertAlign w:val="subscript"/>
                    </w:rPr>
                    <w:t>90</w:t>
                  </w:r>
                  <w:r>
                    <w:rPr>
                      <w:rFonts w:ascii="Times New Roman" w:hAnsi="Times New Roman"/>
                      <w:color w:val="auto"/>
                      <w:sz w:val="21"/>
                      <w:szCs w:val="21"/>
                    </w:rPr>
                    <w:t>、L</w:t>
                  </w:r>
                  <w:r>
                    <w:rPr>
                      <w:rFonts w:ascii="Times New Roman" w:hAnsi="Times New Roman"/>
                      <w:color w:val="auto"/>
                      <w:sz w:val="21"/>
                      <w:szCs w:val="21"/>
                      <w:vertAlign w:val="subscript"/>
                    </w:rPr>
                    <w:t>Aeq</w:t>
                  </w:r>
                </w:p>
              </w:tc>
              <w:tc>
                <w:tcPr>
                  <w:tcW w:w="809" w:type="pct"/>
                  <w:vMerge w:val="restart"/>
                  <w:noWrap w:val="0"/>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color w:val="auto"/>
                      <w:sz w:val="21"/>
                      <w:szCs w:val="21"/>
                    </w:rPr>
                    <w:t>监测一天，昼、夜</w:t>
                  </w:r>
                  <w:r>
                    <w:rPr>
                      <w:rFonts w:hint="eastAsia" w:ascii="Times New Roman" w:hAnsi="Times New Roman"/>
                      <w:color w:val="auto"/>
                      <w:sz w:val="21"/>
                      <w:szCs w:val="21"/>
                      <w:lang w:val="en-US" w:eastAsia="zh-CN"/>
                    </w:rPr>
                    <w:t>各一次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9" w:type="pct"/>
                  <w:vMerge w:val="continue"/>
                  <w:noWrap w:val="0"/>
                  <w:vAlign w:val="center"/>
                </w:tcPr>
                <w:p>
                  <w:pPr>
                    <w:keepNext w:val="0"/>
                    <w:keepLines w:val="0"/>
                    <w:pageBreakBefore w:val="0"/>
                    <w:kinsoku/>
                    <w:wordWrap/>
                    <w:overflowPunct/>
                    <w:topLinePunct w:val="0"/>
                    <w:autoSpaceDE/>
                    <w:autoSpaceDN/>
                    <w:bidi w:val="0"/>
                    <w:spacing w:line="240" w:lineRule="auto"/>
                    <w:jc w:val="center"/>
                    <w:textAlignment w:val="auto"/>
                    <w:rPr>
                      <w:rFonts w:ascii="Times New Roman" w:hAnsi="Times New Roman"/>
                      <w:color w:val="auto"/>
                      <w:sz w:val="21"/>
                      <w:szCs w:val="21"/>
                    </w:rPr>
                  </w:pPr>
                </w:p>
              </w:tc>
              <w:tc>
                <w:tcPr>
                  <w:tcW w:w="504" w:type="pct"/>
                  <w:vMerge w:val="continue"/>
                  <w:noWrap w:val="0"/>
                  <w:vAlign w:val="center"/>
                </w:tcPr>
                <w:p>
                  <w:pPr>
                    <w:keepNext w:val="0"/>
                    <w:keepLines w:val="0"/>
                    <w:pageBreakBefore w:val="0"/>
                    <w:widowControl/>
                    <w:kinsoku/>
                    <w:wordWrap/>
                    <w:overflowPunct/>
                    <w:topLinePunct w:val="0"/>
                    <w:autoSpaceDE/>
                    <w:autoSpaceDN/>
                    <w:bidi w:val="0"/>
                    <w:spacing w:line="240" w:lineRule="auto"/>
                    <w:jc w:val="center"/>
                    <w:textAlignment w:val="auto"/>
                    <w:rPr>
                      <w:rFonts w:ascii="Times New Roman" w:hAnsi="Times New Roman"/>
                      <w:snapToGrid w:val="0"/>
                      <w:color w:val="auto"/>
                      <w:sz w:val="21"/>
                      <w:szCs w:val="21"/>
                    </w:rPr>
                  </w:pPr>
                </w:p>
              </w:tc>
              <w:tc>
                <w:tcPr>
                  <w:tcW w:w="2357" w:type="pct"/>
                  <w:noWrap w:val="0"/>
                  <w:vAlign w:val="center"/>
                </w:tcPr>
                <w:p>
                  <w:pPr>
                    <w:pStyle w:val="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snapToGrid w:val="0"/>
                      <w:color w:val="auto"/>
                      <w:sz w:val="21"/>
                      <w:szCs w:val="21"/>
                      <w:lang w:val="en-US" w:eastAsia="zh-CN"/>
                    </w:rPr>
                  </w:pPr>
                  <w:r>
                    <w:rPr>
                      <w:rFonts w:hint="eastAsia" w:ascii="Times New Roman" w:hAnsi="Times New Roman"/>
                      <w:spacing w:val="4"/>
                      <w:sz w:val="21"/>
                      <w:szCs w:val="21"/>
                      <w:lang w:val="en-US" w:eastAsia="zh-CN"/>
                    </w:rPr>
                    <w:t>唐家湾村</w:t>
                  </w:r>
                </w:p>
              </w:tc>
              <w:tc>
                <w:tcPr>
                  <w:tcW w:w="679" w:type="pct"/>
                  <w:vMerge w:val="continue"/>
                  <w:noWrap w:val="0"/>
                  <w:vAlign w:val="center"/>
                </w:tcPr>
                <w:p>
                  <w:pPr>
                    <w:keepNext w:val="0"/>
                    <w:keepLines w:val="0"/>
                    <w:pageBreakBefore w:val="0"/>
                    <w:kinsoku/>
                    <w:wordWrap/>
                    <w:overflowPunct/>
                    <w:topLinePunct w:val="0"/>
                    <w:autoSpaceDE/>
                    <w:autoSpaceDN/>
                    <w:bidi w:val="0"/>
                    <w:spacing w:line="240" w:lineRule="auto"/>
                    <w:jc w:val="center"/>
                    <w:textAlignment w:val="auto"/>
                    <w:rPr>
                      <w:rFonts w:ascii="Times New Roman" w:hAnsi="Times New Roman"/>
                      <w:color w:val="auto"/>
                      <w:sz w:val="21"/>
                      <w:szCs w:val="21"/>
                    </w:rPr>
                  </w:pPr>
                </w:p>
              </w:tc>
              <w:tc>
                <w:tcPr>
                  <w:tcW w:w="809" w:type="pct"/>
                  <w:vMerge w:val="continue"/>
                  <w:noWrap w:val="0"/>
                  <w:vAlign w:val="center"/>
                </w:tcPr>
                <w:p>
                  <w:pPr>
                    <w:keepNext w:val="0"/>
                    <w:keepLines w:val="0"/>
                    <w:pageBreakBefore w:val="0"/>
                    <w:kinsoku/>
                    <w:wordWrap/>
                    <w:overflowPunct/>
                    <w:topLinePunct w:val="0"/>
                    <w:autoSpaceDE/>
                    <w:autoSpaceDN/>
                    <w:bidi w:val="0"/>
                    <w:spacing w:line="240" w:lineRule="auto"/>
                    <w:jc w:val="center"/>
                    <w:textAlignment w:val="auto"/>
                    <w:rPr>
                      <w:rFonts w:ascii="Times New Roman" w:hAnsi="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9" w:type="pct"/>
                  <w:vMerge w:val="continue"/>
                  <w:noWrap w:val="0"/>
                  <w:vAlign w:val="center"/>
                </w:tcPr>
                <w:p>
                  <w:pPr>
                    <w:keepNext w:val="0"/>
                    <w:keepLines w:val="0"/>
                    <w:pageBreakBefore w:val="0"/>
                    <w:kinsoku/>
                    <w:wordWrap/>
                    <w:overflowPunct/>
                    <w:topLinePunct w:val="0"/>
                    <w:autoSpaceDE/>
                    <w:autoSpaceDN/>
                    <w:bidi w:val="0"/>
                    <w:spacing w:line="240" w:lineRule="auto"/>
                    <w:jc w:val="center"/>
                    <w:textAlignment w:val="auto"/>
                    <w:rPr>
                      <w:rFonts w:ascii="Times New Roman" w:hAnsi="Times New Roman"/>
                      <w:color w:val="auto"/>
                      <w:sz w:val="21"/>
                      <w:szCs w:val="21"/>
                    </w:rPr>
                  </w:pPr>
                </w:p>
              </w:tc>
              <w:tc>
                <w:tcPr>
                  <w:tcW w:w="504" w:type="pct"/>
                  <w:vMerge w:val="continue"/>
                  <w:noWrap w:val="0"/>
                  <w:vAlign w:val="center"/>
                </w:tcPr>
                <w:p>
                  <w:pPr>
                    <w:keepNext w:val="0"/>
                    <w:keepLines w:val="0"/>
                    <w:pageBreakBefore w:val="0"/>
                    <w:widowControl/>
                    <w:kinsoku/>
                    <w:wordWrap/>
                    <w:overflowPunct/>
                    <w:topLinePunct w:val="0"/>
                    <w:autoSpaceDE/>
                    <w:autoSpaceDN/>
                    <w:bidi w:val="0"/>
                    <w:spacing w:line="240" w:lineRule="auto"/>
                    <w:jc w:val="center"/>
                    <w:textAlignment w:val="auto"/>
                    <w:rPr>
                      <w:rFonts w:ascii="Times New Roman" w:hAnsi="Times New Roman"/>
                      <w:snapToGrid w:val="0"/>
                      <w:color w:val="auto"/>
                      <w:sz w:val="21"/>
                      <w:szCs w:val="21"/>
                    </w:rPr>
                  </w:pPr>
                </w:p>
              </w:tc>
              <w:tc>
                <w:tcPr>
                  <w:tcW w:w="2357" w:type="pct"/>
                  <w:noWrap w:val="0"/>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snapToGrid w:val="0"/>
                      <w:color w:val="auto"/>
                      <w:sz w:val="21"/>
                      <w:szCs w:val="21"/>
                      <w:lang w:val="en-US" w:eastAsia="zh-CN"/>
                    </w:rPr>
                  </w:pPr>
                  <w:r>
                    <w:rPr>
                      <w:rFonts w:hint="default" w:ascii="Times New Roman" w:hAnsi="Times New Roman" w:eastAsia="宋体"/>
                      <w:snapToGrid w:val="0"/>
                      <w:color w:val="auto"/>
                      <w:sz w:val="21"/>
                      <w:szCs w:val="21"/>
                      <w:lang w:val="en-US" w:eastAsia="zh-CN"/>
                    </w:rPr>
                    <w:t>西富苑小区6号楼西侧1#、3#、5#层</w:t>
                  </w:r>
                </w:p>
              </w:tc>
              <w:tc>
                <w:tcPr>
                  <w:tcW w:w="679" w:type="pct"/>
                  <w:vMerge w:val="continue"/>
                  <w:noWrap w:val="0"/>
                  <w:vAlign w:val="center"/>
                </w:tcPr>
                <w:p>
                  <w:pPr>
                    <w:keepNext w:val="0"/>
                    <w:keepLines w:val="0"/>
                    <w:pageBreakBefore w:val="0"/>
                    <w:kinsoku/>
                    <w:wordWrap/>
                    <w:overflowPunct/>
                    <w:topLinePunct w:val="0"/>
                    <w:autoSpaceDE/>
                    <w:autoSpaceDN/>
                    <w:bidi w:val="0"/>
                    <w:spacing w:line="240" w:lineRule="auto"/>
                    <w:jc w:val="center"/>
                    <w:textAlignment w:val="auto"/>
                    <w:rPr>
                      <w:rFonts w:ascii="Times New Roman" w:hAnsi="Times New Roman"/>
                      <w:color w:val="auto"/>
                      <w:sz w:val="21"/>
                      <w:szCs w:val="21"/>
                    </w:rPr>
                  </w:pPr>
                </w:p>
              </w:tc>
              <w:tc>
                <w:tcPr>
                  <w:tcW w:w="809" w:type="pct"/>
                  <w:vMerge w:val="continue"/>
                  <w:noWrap w:val="0"/>
                  <w:vAlign w:val="center"/>
                </w:tcPr>
                <w:p>
                  <w:pPr>
                    <w:keepNext w:val="0"/>
                    <w:keepLines w:val="0"/>
                    <w:pageBreakBefore w:val="0"/>
                    <w:kinsoku/>
                    <w:wordWrap/>
                    <w:overflowPunct/>
                    <w:topLinePunct w:val="0"/>
                    <w:autoSpaceDE/>
                    <w:autoSpaceDN/>
                    <w:bidi w:val="0"/>
                    <w:spacing w:line="240" w:lineRule="auto"/>
                    <w:jc w:val="center"/>
                    <w:textAlignment w:val="auto"/>
                    <w:rPr>
                      <w:rFonts w:ascii="Times New Roman" w:hAnsi="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9" w:type="pct"/>
                  <w:vMerge w:val="continue"/>
                  <w:noWrap w:val="0"/>
                  <w:vAlign w:val="center"/>
                </w:tcPr>
                <w:p>
                  <w:pPr>
                    <w:keepNext w:val="0"/>
                    <w:keepLines w:val="0"/>
                    <w:pageBreakBefore w:val="0"/>
                    <w:kinsoku/>
                    <w:wordWrap/>
                    <w:overflowPunct/>
                    <w:topLinePunct w:val="0"/>
                    <w:autoSpaceDE/>
                    <w:autoSpaceDN/>
                    <w:bidi w:val="0"/>
                    <w:spacing w:line="240" w:lineRule="auto"/>
                    <w:jc w:val="center"/>
                    <w:textAlignment w:val="auto"/>
                    <w:rPr>
                      <w:rFonts w:ascii="Times New Roman" w:hAnsi="Times New Roman"/>
                      <w:color w:val="auto"/>
                      <w:sz w:val="21"/>
                      <w:szCs w:val="21"/>
                    </w:rPr>
                  </w:pPr>
                </w:p>
              </w:tc>
              <w:tc>
                <w:tcPr>
                  <w:tcW w:w="504" w:type="pct"/>
                  <w:vMerge w:val="continue"/>
                  <w:noWrap w:val="0"/>
                  <w:vAlign w:val="center"/>
                </w:tcPr>
                <w:p>
                  <w:pPr>
                    <w:keepNext w:val="0"/>
                    <w:keepLines w:val="0"/>
                    <w:pageBreakBefore w:val="0"/>
                    <w:widowControl/>
                    <w:kinsoku/>
                    <w:wordWrap/>
                    <w:overflowPunct/>
                    <w:topLinePunct w:val="0"/>
                    <w:autoSpaceDE/>
                    <w:autoSpaceDN/>
                    <w:bidi w:val="0"/>
                    <w:spacing w:line="240" w:lineRule="auto"/>
                    <w:jc w:val="center"/>
                    <w:textAlignment w:val="auto"/>
                    <w:rPr>
                      <w:rFonts w:ascii="Times New Roman" w:hAnsi="Times New Roman"/>
                      <w:snapToGrid w:val="0"/>
                      <w:color w:val="auto"/>
                      <w:sz w:val="21"/>
                      <w:szCs w:val="21"/>
                    </w:rPr>
                  </w:pPr>
                </w:p>
              </w:tc>
              <w:tc>
                <w:tcPr>
                  <w:tcW w:w="2357" w:type="pct"/>
                  <w:noWrap w:val="0"/>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snapToGrid w:val="0"/>
                      <w:color w:val="auto"/>
                      <w:sz w:val="21"/>
                      <w:szCs w:val="21"/>
                      <w:lang w:val="en-US" w:eastAsia="zh-CN"/>
                    </w:rPr>
                  </w:pPr>
                  <w:r>
                    <w:rPr>
                      <w:rFonts w:hint="default" w:ascii="Times New Roman" w:hAnsi="Times New Roman" w:eastAsia="宋体"/>
                      <w:snapToGrid w:val="0"/>
                      <w:color w:val="auto"/>
                      <w:sz w:val="21"/>
                      <w:szCs w:val="21"/>
                      <w:lang w:val="en-US" w:eastAsia="zh-CN"/>
                    </w:rPr>
                    <w:t>王家沟村</w:t>
                  </w:r>
                </w:p>
              </w:tc>
              <w:tc>
                <w:tcPr>
                  <w:tcW w:w="679" w:type="pct"/>
                  <w:vMerge w:val="continue"/>
                  <w:noWrap w:val="0"/>
                  <w:vAlign w:val="center"/>
                </w:tcPr>
                <w:p>
                  <w:pPr>
                    <w:keepNext w:val="0"/>
                    <w:keepLines w:val="0"/>
                    <w:pageBreakBefore w:val="0"/>
                    <w:kinsoku/>
                    <w:wordWrap/>
                    <w:overflowPunct/>
                    <w:topLinePunct w:val="0"/>
                    <w:autoSpaceDE/>
                    <w:autoSpaceDN/>
                    <w:bidi w:val="0"/>
                    <w:spacing w:line="240" w:lineRule="auto"/>
                    <w:textAlignment w:val="auto"/>
                    <w:rPr>
                      <w:rFonts w:ascii="Times New Roman" w:hAnsi="Times New Roman"/>
                      <w:color w:val="auto"/>
                      <w:sz w:val="21"/>
                      <w:szCs w:val="21"/>
                    </w:rPr>
                  </w:pPr>
                </w:p>
              </w:tc>
              <w:tc>
                <w:tcPr>
                  <w:tcW w:w="809" w:type="pct"/>
                  <w:vMerge w:val="continue"/>
                  <w:noWrap w:val="0"/>
                  <w:vAlign w:val="center"/>
                </w:tcPr>
                <w:p>
                  <w:pPr>
                    <w:keepNext w:val="0"/>
                    <w:keepLines w:val="0"/>
                    <w:pageBreakBefore w:val="0"/>
                    <w:kinsoku/>
                    <w:wordWrap/>
                    <w:overflowPunct/>
                    <w:topLinePunct w:val="0"/>
                    <w:autoSpaceDE/>
                    <w:autoSpaceDN/>
                    <w:bidi w:val="0"/>
                    <w:spacing w:line="240" w:lineRule="auto"/>
                    <w:textAlignment w:val="auto"/>
                    <w:rPr>
                      <w:rFonts w:ascii="Times New Roman" w:hAnsi="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9" w:type="pct"/>
                  <w:vMerge w:val="continue"/>
                  <w:noWrap w:val="0"/>
                  <w:vAlign w:val="center"/>
                </w:tcPr>
                <w:p>
                  <w:pPr>
                    <w:keepNext w:val="0"/>
                    <w:keepLines w:val="0"/>
                    <w:pageBreakBefore w:val="0"/>
                    <w:kinsoku/>
                    <w:wordWrap/>
                    <w:overflowPunct/>
                    <w:topLinePunct w:val="0"/>
                    <w:autoSpaceDE/>
                    <w:autoSpaceDN/>
                    <w:bidi w:val="0"/>
                    <w:spacing w:line="240" w:lineRule="auto"/>
                    <w:jc w:val="center"/>
                    <w:textAlignment w:val="auto"/>
                    <w:rPr>
                      <w:rFonts w:ascii="Times New Roman" w:hAnsi="Times New Roman"/>
                      <w:color w:val="auto"/>
                      <w:sz w:val="21"/>
                      <w:szCs w:val="21"/>
                    </w:rPr>
                  </w:pPr>
                </w:p>
              </w:tc>
              <w:tc>
                <w:tcPr>
                  <w:tcW w:w="504" w:type="pct"/>
                  <w:vMerge w:val="continue"/>
                  <w:noWrap w:val="0"/>
                  <w:vAlign w:val="center"/>
                </w:tcPr>
                <w:p>
                  <w:pPr>
                    <w:keepNext w:val="0"/>
                    <w:keepLines w:val="0"/>
                    <w:pageBreakBefore w:val="0"/>
                    <w:widowControl/>
                    <w:kinsoku/>
                    <w:wordWrap/>
                    <w:overflowPunct/>
                    <w:topLinePunct w:val="0"/>
                    <w:autoSpaceDE/>
                    <w:autoSpaceDN/>
                    <w:bidi w:val="0"/>
                    <w:spacing w:line="240" w:lineRule="auto"/>
                    <w:jc w:val="center"/>
                    <w:textAlignment w:val="auto"/>
                    <w:rPr>
                      <w:rFonts w:ascii="Times New Roman" w:hAnsi="Times New Roman"/>
                      <w:snapToGrid w:val="0"/>
                      <w:color w:val="auto"/>
                      <w:sz w:val="21"/>
                      <w:szCs w:val="21"/>
                    </w:rPr>
                  </w:pPr>
                </w:p>
              </w:tc>
              <w:tc>
                <w:tcPr>
                  <w:tcW w:w="2357" w:type="pct"/>
                  <w:noWrap w:val="0"/>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snapToGrid w:val="0"/>
                      <w:color w:val="auto"/>
                      <w:sz w:val="21"/>
                      <w:szCs w:val="21"/>
                      <w:lang w:val="en-US" w:eastAsia="zh-CN"/>
                    </w:rPr>
                  </w:pPr>
                  <w:r>
                    <w:rPr>
                      <w:rFonts w:hint="default" w:ascii="Times New Roman" w:hAnsi="Times New Roman" w:eastAsia="宋体"/>
                      <w:snapToGrid w:val="0"/>
                      <w:color w:val="auto"/>
                      <w:sz w:val="21"/>
                      <w:szCs w:val="21"/>
                      <w:lang w:val="en-US" w:eastAsia="zh-CN"/>
                    </w:rPr>
                    <w:t>王庄村</w:t>
                  </w:r>
                </w:p>
              </w:tc>
              <w:tc>
                <w:tcPr>
                  <w:tcW w:w="679" w:type="pct"/>
                  <w:vMerge w:val="continue"/>
                  <w:noWrap w:val="0"/>
                  <w:vAlign w:val="center"/>
                </w:tcPr>
                <w:p>
                  <w:pPr>
                    <w:keepNext w:val="0"/>
                    <w:keepLines w:val="0"/>
                    <w:pageBreakBefore w:val="0"/>
                    <w:kinsoku/>
                    <w:wordWrap/>
                    <w:overflowPunct/>
                    <w:topLinePunct w:val="0"/>
                    <w:autoSpaceDE/>
                    <w:autoSpaceDN/>
                    <w:bidi w:val="0"/>
                    <w:spacing w:line="240" w:lineRule="auto"/>
                    <w:textAlignment w:val="auto"/>
                    <w:rPr>
                      <w:rFonts w:ascii="Times New Roman" w:hAnsi="Times New Roman"/>
                      <w:color w:val="auto"/>
                      <w:sz w:val="21"/>
                      <w:szCs w:val="21"/>
                    </w:rPr>
                  </w:pPr>
                </w:p>
              </w:tc>
              <w:tc>
                <w:tcPr>
                  <w:tcW w:w="809" w:type="pct"/>
                  <w:vMerge w:val="continue"/>
                  <w:noWrap w:val="0"/>
                  <w:vAlign w:val="center"/>
                </w:tcPr>
                <w:p>
                  <w:pPr>
                    <w:keepNext w:val="0"/>
                    <w:keepLines w:val="0"/>
                    <w:pageBreakBefore w:val="0"/>
                    <w:kinsoku/>
                    <w:wordWrap/>
                    <w:overflowPunct/>
                    <w:topLinePunct w:val="0"/>
                    <w:autoSpaceDE/>
                    <w:autoSpaceDN/>
                    <w:bidi w:val="0"/>
                    <w:spacing w:line="240" w:lineRule="auto"/>
                    <w:textAlignment w:val="auto"/>
                    <w:rPr>
                      <w:rFonts w:ascii="Times New Roman" w:hAnsi="Times New Roman"/>
                      <w:color w:val="auto"/>
                      <w:sz w:val="21"/>
                      <w:szCs w:val="21"/>
                    </w:rPr>
                  </w:pPr>
                </w:p>
              </w:tc>
            </w:tr>
          </w:tbl>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pP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color w:val="auto"/>
                <w:sz w:val="24"/>
              </w:rPr>
            </w:pPr>
            <w:r>
              <w:drawing>
                <wp:inline distT="0" distB="0" distL="114300" distR="114300">
                  <wp:extent cx="5264785" cy="3500755"/>
                  <wp:effectExtent l="0" t="0" r="12065" b="4445"/>
                  <wp:docPr id="9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4"/>
                          <pic:cNvPicPr>
                            <a:picLocks noChangeAspect="1"/>
                          </pic:cNvPicPr>
                        </pic:nvPicPr>
                        <pic:blipFill>
                          <a:blip r:embed="rId18"/>
                          <a:stretch>
                            <a:fillRect/>
                          </a:stretch>
                        </pic:blipFill>
                        <pic:spPr>
                          <a:xfrm>
                            <a:off x="0" y="0"/>
                            <a:ext cx="5264785" cy="3500755"/>
                          </a:xfrm>
                          <a:prstGeom prst="rect">
                            <a:avLst/>
                          </a:prstGeom>
                          <a:noFill/>
                          <a:ln>
                            <a:noFill/>
                          </a:ln>
                        </pic:spPr>
                      </pic:pic>
                    </a:graphicData>
                  </a:graphic>
                </wp:inline>
              </w:drawing>
            </w:r>
          </w:p>
          <w:p>
            <w:pPr>
              <w:spacing w:line="480" w:lineRule="exact"/>
              <w:jc w:val="center"/>
              <w:rPr>
                <w:rFonts w:ascii="黑体" w:hAnsi="黑体" w:eastAsia="黑体"/>
                <w:color w:val="auto"/>
                <w:sz w:val="24"/>
                <w:vertAlign w:val="superscript"/>
              </w:rPr>
            </w:pPr>
            <w:r>
              <w:rPr>
                <w:rFonts w:hint="eastAsia" w:ascii="黑体" w:hAnsi="黑体" w:eastAsia="黑体"/>
                <w:color w:val="auto"/>
                <w:sz w:val="24"/>
                <w:lang w:val="en-US" w:eastAsia="zh-CN"/>
              </w:rPr>
              <w:t>图</w:t>
            </w:r>
            <w:r>
              <w:rPr>
                <w:rFonts w:hint="eastAsia" w:ascii="黑体" w:hAnsi="黑体" w:eastAsia="黑体"/>
                <w:color w:val="auto"/>
                <w:sz w:val="24"/>
              </w:rPr>
              <w:t xml:space="preserve">3-1  </w:t>
            </w:r>
            <w:r>
              <w:rPr>
                <w:rFonts w:hint="eastAsia" w:ascii="黑体" w:hAnsi="黑体" w:eastAsia="黑体" w:cs="黑体"/>
                <w:sz w:val="24"/>
                <w:szCs w:val="22"/>
                <w:lang w:val="en-US" w:eastAsia="zh-CN"/>
              </w:rPr>
              <w:t>声环境监测布点图（湖滨大街西延-文昌路）</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color w:val="auto"/>
                <w:sz w:val="24"/>
              </w:rPr>
            </w:pPr>
            <w:r>
              <w:drawing>
                <wp:inline distT="0" distB="0" distL="114300" distR="114300">
                  <wp:extent cx="5297805" cy="3475990"/>
                  <wp:effectExtent l="0" t="0" r="17145" b="10160"/>
                  <wp:docPr id="9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5"/>
                          <pic:cNvPicPr>
                            <a:picLocks noChangeAspect="1"/>
                          </pic:cNvPicPr>
                        </pic:nvPicPr>
                        <pic:blipFill>
                          <a:blip r:embed="rId19"/>
                          <a:srcRect l="2874"/>
                          <a:stretch>
                            <a:fillRect/>
                          </a:stretch>
                        </pic:blipFill>
                        <pic:spPr>
                          <a:xfrm>
                            <a:off x="0" y="0"/>
                            <a:ext cx="5297805" cy="3475990"/>
                          </a:xfrm>
                          <a:prstGeom prst="rect">
                            <a:avLst/>
                          </a:prstGeom>
                          <a:noFill/>
                          <a:ln>
                            <a:noFill/>
                          </a:ln>
                        </pic:spPr>
                      </pic:pic>
                    </a:graphicData>
                  </a:graphic>
                </wp:inline>
              </w:drawing>
            </w:r>
          </w:p>
          <w:p>
            <w:pPr>
              <w:spacing w:line="480" w:lineRule="exact"/>
              <w:jc w:val="center"/>
              <w:rPr>
                <w:rFonts w:ascii="黑体" w:hAnsi="黑体" w:eastAsia="黑体"/>
                <w:color w:val="auto"/>
                <w:sz w:val="24"/>
                <w:vertAlign w:val="superscript"/>
              </w:rPr>
            </w:pPr>
            <w:r>
              <w:rPr>
                <w:rFonts w:hint="eastAsia" w:ascii="黑体" w:hAnsi="黑体" w:eastAsia="黑体"/>
                <w:color w:val="auto"/>
                <w:sz w:val="24"/>
                <w:lang w:val="en-US" w:eastAsia="zh-CN"/>
              </w:rPr>
              <w:t>图</w:t>
            </w:r>
            <w:r>
              <w:rPr>
                <w:rFonts w:hint="eastAsia" w:ascii="黑体" w:hAnsi="黑体" w:eastAsia="黑体"/>
                <w:color w:val="auto"/>
                <w:sz w:val="24"/>
              </w:rPr>
              <w:t>3-</w:t>
            </w:r>
            <w:r>
              <w:rPr>
                <w:rFonts w:hint="eastAsia" w:ascii="黑体" w:hAnsi="黑体" w:eastAsia="黑体"/>
                <w:color w:val="auto"/>
                <w:sz w:val="24"/>
                <w:lang w:val="en-US" w:eastAsia="zh-CN"/>
              </w:rPr>
              <w:t>2</w:t>
            </w:r>
            <w:r>
              <w:rPr>
                <w:rFonts w:hint="eastAsia" w:ascii="黑体" w:hAnsi="黑体" w:eastAsia="黑体"/>
                <w:color w:val="auto"/>
                <w:sz w:val="24"/>
              </w:rPr>
              <w:t xml:space="preserve">  </w:t>
            </w:r>
            <w:r>
              <w:rPr>
                <w:rFonts w:hint="eastAsia" w:ascii="黑体" w:hAnsi="黑体" w:eastAsia="黑体" w:cs="黑体"/>
                <w:sz w:val="24"/>
                <w:szCs w:val="22"/>
                <w:lang w:val="en-US" w:eastAsia="zh-CN"/>
              </w:rPr>
              <w:t>声环境监测布点图（东外环路）</w:t>
            </w:r>
          </w:p>
          <w:p>
            <w:pPr>
              <w:adjustRightInd w:val="0"/>
              <w:snapToGrid w:val="0"/>
              <w:spacing w:line="480" w:lineRule="exact"/>
              <w:ind w:firstLine="480" w:firstLineChars="200"/>
              <w:rPr>
                <w:rFonts w:hint="eastAsia"/>
                <w:bCs/>
                <w:color w:val="auto"/>
                <w:sz w:val="24"/>
              </w:rPr>
            </w:pPr>
            <w:r>
              <w:rPr>
                <w:rFonts w:hint="eastAsia"/>
                <w:bCs/>
                <w:color w:val="auto"/>
                <w:sz w:val="24"/>
              </w:rPr>
              <w:t>2）监测时间与频次</w:t>
            </w:r>
          </w:p>
          <w:p>
            <w:pPr>
              <w:adjustRightInd w:val="0"/>
              <w:snapToGrid w:val="0"/>
              <w:spacing w:line="480" w:lineRule="exact"/>
              <w:ind w:firstLine="480" w:firstLineChars="200"/>
              <w:rPr>
                <w:rFonts w:hint="default" w:eastAsia="宋体"/>
                <w:bCs/>
                <w:color w:val="auto"/>
                <w:sz w:val="24"/>
                <w:lang w:val="en-US" w:eastAsia="zh-CN"/>
              </w:rPr>
            </w:pPr>
            <w:r>
              <w:rPr>
                <w:rFonts w:hint="eastAsia"/>
                <w:bCs/>
                <w:color w:val="auto"/>
                <w:sz w:val="24"/>
              </w:rPr>
              <w:t>本次监测时间为20</w:t>
            </w:r>
            <w:r>
              <w:rPr>
                <w:rFonts w:hint="eastAsia"/>
                <w:bCs/>
                <w:color w:val="auto"/>
                <w:sz w:val="24"/>
                <w:lang w:val="en-US" w:eastAsia="zh-CN"/>
              </w:rPr>
              <w:t>22</w:t>
            </w:r>
            <w:r>
              <w:rPr>
                <w:rFonts w:hint="eastAsia"/>
                <w:bCs/>
                <w:color w:val="auto"/>
                <w:sz w:val="24"/>
              </w:rPr>
              <w:t>年</w:t>
            </w:r>
            <w:r>
              <w:rPr>
                <w:rFonts w:hint="eastAsia"/>
                <w:bCs/>
                <w:color w:val="auto"/>
                <w:sz w:val="24"/>
                <w:lang w:val="en-US" w:eastAsia="zh-CN"/>
              </w:rPr>
              <w:t>11</w:t>
            </w:r>
            <w:r>
              <w:rPr>
                <w:rFonts w:hint="eastAsia"/>
                <w:bCs/>
                <w:color w:val="auto"/>
                <w:sz w:val="24"/>
              </w:rPr>
              <w:t>月</w:t>
            </w:r>
            <w:r>
              <w:rPr>
                <w:rFonts w:hint="eastAsia"/>
                <w:bCs/>
                <w:color w:val="auto"/>
                <w:sz w:val="24"/>
                <w:lang w:val="en-US" w:eastAsia="zh-CN"/>
              </w:rPr>
              <w:t>5</w:t>
            </w:r>
            <w:r>
              <w:rPr>
                <w:rFonts w:hint="eastAsia"/>
                <w:bCs/>
                <w:color w:val="auto"/>
                <w:sz w:val="24"/>
              </w:rPr>
              <w:t>日，昼夜各一次。</w:t>
            </w:r>
            <w:r>
              <w:rPr>
                <w:rFonts w:hint="eastAsia"/>
                <w:bCs/>
                <w:color w:val="auto"/>
                <w:sz w:val="24"/>
                <w:lang w:val="en-US" w:eastAsia="zh-CN"/>
              </w:rPr>
              <w:t>监测期间湖滨大街、文昌路均为断头路，车流量较少；东外环路现状车辆较多。</w:t>
            </w:r>
          </w:p>
          <w:p>
            <w:pPr>
              <w:adjustRightInd w:val="0"/>
              <w:snapToGrid w:val="0"/>
              <w:spacing w:line="480" w:lineRule="exact"/>
              <w:ind w:firstLine="480" w:firstLineChars="200"/>
              <w:rPr>
                <w:rFonts w:hint="eastAsia"/>
                <w:bCs/>
                <w:color w:val="auto"/>
                <w:sz w:val="24"/>
              </w:rPr>
            </w:pPr>
            <w:r>
              <w:rPr>
                <w:rFonts w:hint="eastAsia"/>
                <w:bCs/>
                <w:color w:val="auto"/>
                <w:sz w:val="24"/>
              </w:rPr>
              <w:t>3）测量方法</w:t>
            </w:r>
          </w:p>
          <w:p>
            <w:pPr>
              <w:adjustRightInd w:val="0"/>
              <w:snapToGrid w:val="0"/>
              <w:spacing w:line="480" w:lineRule="exact"/>
              <w:ind w:firstLine="480" w:firstLineChars="200"/>
              <w:rPr>
                <w:rFonts w:hint="eastAsia"/>
                <w:bCs/>
                <w:color w:val="auto"/>
                <w:sz w:val="24"/>
              </w:rPr>
            </w:pPr>
            <w:r>
              <w:rPr>
                <w:rFonts w:hint="eastAsia"/>
                <w:bCs/>
                <w:color w:val="auto"/>
                <w:sz w:val="24"/>
              </w:rPr>
              <w:t>监测方法按《声环境质量标准》（GB3096-2008）中规定的测量方法进行。</w:t>
            </w:r>
          </w:p>
          <w:p>
            <w:pPr>
              <w:adjustRightInd w:val="0"/>
              <w:snapToGrid w:val="0"/>
              <w:spacing w:line="480" w:lineRule="exact"/>
              <w:ind w:firstLine="480" w:firstLineChars="200"/>
              <w:rPr>
                <w:rFonts w:hint="eastAsia"/>
                <w:bCs/>
                <w:color w:val="auto"/>
                <w:sz w:val="24"/>
              </w:rPr>
            </w:pPr>
            <w:r>
              <w:rPr>
                <w:rFonts w:hint="eastAsia"/>
                <w:bCs/>
                <w:color w:val="auto"/>
                <w:sz w:val="24"/>
              </w:rPr>
              <w:t>4）声环境质量现状评价</w:t>
            </w:r>
          </w:p>
          <w:p>
            <w:pPr>
              <w:adjustRightInd w:val="0"/>
              <w:snapToGrid w:val="0"/>
              <w:spacing w:line="480" w:lineRule="exact"/>
              <w:ind w:firstLine="480" w:firstLineChars="200"/>
              <w:rPr>
                <w:rFonts w:hint="eastAsia"/>
                <w:bCs/>
                <w:color w:val="auto"/>
                <w:sz w:val="24"/>
              </w:rPr>
            </w:pPr>
            <w:r>
              <w:rPr>
                <w:rFonts w:hint="eastAsia"/>
                <w:bCs/>
                <w:color w:val="auto"/>
                <w:sz w:val="24"/>
              </w:rPr>
              <w:t>本次评价按照《声环境质量标准》（GB3096-2008）</w:t>
            </w:r>
            <w:r>
              <w:rPr>
                <w:rFonts w:hint="eastAsia"/>
                <w:bCs/>
                <w:color w:val="auto"/>
                <w:sz w:val="24"/>
                <w:lang w:val="en-US" w:eastAsia="zh-CN"/>
              </w:rPr>
              <w:t>2</w:t>
            </w:r>
            <w:r>
              <w:rPr>
                <w:rFonts w:hint="eastAsia"/>
                <w:bCs/>
                <w:color w:val="auto"/>
                <w:sz w:val="24"/>
              </w:rPr>
              <w:t>类</w:t>
            </w:r>
            <w:r>
              <w:rPr>
                <w:rFonts w:hint="eastAsia"/>
                <w:bCs/>
                <w:color w:val="auto"/>
                <w:sz w:val="24"/>
                <w:lang w:val="en-US" w:eastAsia="zh-CN"/>
              </w:rPr>
              <w:t>及4a类</w:t>
            </w:r>
            <w:r>
              <w:rPr>
                <w:rFonts w:hint="eastAsia"/>
                <w:bCs/>
                <w:color w:val="auto"/>
                <w:sz w:val="24"/>
              </w:rPr>
              <w:t>标准进行了敏感点声环境质量现状评价，本项目敏感点声环境现状监测及评价结果见表3-</w:t>
            </w:r>
            <w:r>
              <w:rPr>
                <w:rFonts w:hint="eastAsia"/>
                <w:bCs/>
                <w:color w:val="auto"/>
                <w:sz w:val="24"/>
                <w:lang w:val="en-US" w:eastAsia="zh-CN"/>
              </w:rPr>
              <w:t>9</w:t>
            </w:r>
            <w:r>
              <w:rPr>
                <w:rFonts w:hint="eastAsia"/>
                <w:bCs/>
                <w:color w:val="auto"/>
                <w:sz w:val="24"/>
              </w:rPr>
              <w:t>。</w:t>
            </w:r>
          </w:p>
          <w:p>
            <w:pPr>
              <w:spacing w:line="480" w:lineRule="exact"/>
              <w:jc w:val="center"/>
              <w:rPr>
                <w:rFonts w:ascii="黑体" w:hAnsi="黑体" w:eastAsia="黑体"/>
                <w:color w:val="auto"/>
                <w:sz w:val="24"/>
                <w:vertAlign w:val="superscript"/>
              </w:rPr>
            </w:pPr>
            <w:r>
              <w:rPr>
                <w:rFonts w:hint="eastAsia" w:ascii="黑体" w:hAnsi="黑体" w:eastAsia="黑体"/>
                <w:color w:val="auto"/>
                <w:sz w:val="24"/>
              </w:rPr>
              <w:t>表3-</w:t>
            </w:r>
            <w:r>
              <w:rPr>
                <w:rFonts w:hint="eastAsia" w:ascii="黑体" w:hAnsi="黑体" w:eastAsia="黑体"/>
                <w:color w:val="auto"/>
                <w:sz w:val="24"/>
                <w:lang w:val="en-US" w:eastAsia="zh-CN"/>
              </w:rPr>
              <w:t>9</w:t>
            </w:r>
            <w:r>
              <w:rPr>
                <w:rFonts w:hint="eastAsia" w:ascii="黑体" w:hAnsi="黑体" w:eastAsia="黑体"/>
                <w:color w:val="auto"/>
                <w:sz w:val="24"/>
              </w:rPr>
              <w:t xml:space="preserve">  声环境现状监测及评价结果一览表</w:t>
            </w: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9"/>
              <w:gridCol w:w="2832"/>
              <w:gridCol w:w="666"/>
              <w:gridCol w:w="647"/>
              <w:gridCol w:w="620"/>
              <w:gridCol w:w="662"/>
              <w:gridCol w:w="647"/>
              <w:gridCol w:w="618"/>
              <w:gridCol w:w="668"/>
              <w:gridCol w:w="5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6" w:hRule="atLeast"/>
                <w:jc w:val="center"/>
              </w:trPr>
              <w:tc>
                <w:tcPr>
                  <w:tcW w:w="339" w:type="pct"/>
                  <w:vMerge w:val="restart"/>
                  <w:noWrap w:val="0"/>
                  <w:vAlign w:val="center"/>
                </w:tcPr>
                <w:p>
                  <w:pPr>
                    <w:keepNext w:val="0"/>
                    <w:keepLines w:val="0"/>
                    <w:pageBreakBefore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eastAsia="宋体"/>
                      <w:bCs/>
                      <w:color w:val="auto"/>
                      <w:sz w:val="21"/>
                      <w:szCs w:val="21"/>
                      <w:lang w:val="en-US" w:eastAsia="zh-CN"/>
                    </w:rPr>
                  </w:pPr>
                  <w:r>
                    <w:rPr>
                      <w:rFonts w:hint="eastAsia"/>
                      <w:bCs/>
                      <w:color w:val="auto"/>
                      <w:sz w:val="21"/>
                      <w:szCs w:val="21"/>
                      <w:lang w:val="en-US" w:eastAsia="zh-CN"/>
                    </w:rPr>
                    <w:t>监测点位</w:t>
                  </w:r>
                </w:p>
              </w:tc>
              <w:tc>
                <w:tcPr>
                  <w:tcW w:w="1658" w:type="pct"/>
                  <w:vMerge w:val="restart"/>
                  <w:noWrap w:val="0"/>
                  <w:vAlign w:val="center"/>
                </w:tcPr>
                <w:p>
                  <w:pPr>
                    <w:keepNext w:val="0"/>
                    <w:keepLines w:val="0"/>
                    <w:pageBreakBefore w:val="0"/>
                    <w:kinsoku/>
                    <w:wordWrap/>
                    <w:overflowPunct/>
                    <w:topLinePunct w:val="0"/>
                    <w:autoSpaceDE/>
                    <w:autoSpaceDN/>
                    <w:bidi w:val="0"/>
                    <w:adjustRightInd/>
                    <w:snapToGrid/>
                    <w:spacing w:line="240" w:lineRule="auto"/>
                    <w:ind w:left="-42" w:leftChars="-20" w:right="-42" w:rightChars="-20"/>
                    <w:jc w:val="center"/>
                    <w:textAlignment w:val="auto"/>
                    <w:rPr>
                      <w:rFonts w:ascii="Times New Roman" w:hAnsi="Times New Roman"/>
                      <w:bCs/>
                      <w:color w:val="auto"/>
                      <w:sz w:val="21"/>
                      <w:szCs w:val="21"/>
                    </w:rPr>
                  </w:pPr>
                  <w:r>
                    <w:rPr>
                      <w:rFonts w:ascii="Times New Roman" w:hAnsi="Times New Roman"/>
                      <w:bCs/>
                      <w:color w:val="auto"/>
                      <w:sz w:val="21"/>
                      <w:szCs w:val="21"/>
                    </w:rPr>
                    <w:t>位置</w:t>
                  </w:r>
                </w:p>
              </w:tc>
              <w:tc>
                <w:tcPr>
                  <w:tcW w:w="1520" w:type="pct"/>
                  <w:gridSpan w:val="4"/>
                  <w:noWrap w:val="0"/>
                  <w:vAlign w:val="center"/>
                </w:tcPr>
                <w:p>
                  <w:pPr>
                    <w:keepNext w:val="0"/>
                    <w:keepLines w:val="0"/>
                    <w:pageBreakBefore w:val="0"/>
                    <w:kinsoku/>
                    <w:wordWrap/>
                    <w:overflowPunct/>
                    <w:topLinePunct w:val="0"/>
                    <w:autoSpaceDE/>
                    <w:autoSpaceDN/>
                    <w:bidi w:val="0"/>
                    <w:adjustRightInd/>
                    <w:snapToGrid/>
                    <w:spacing w:line="240" w:lineRule="auto"/>
                    <w:ind w:left="-42" w:leftChars="-20" w:right="-42" w:rightChars="-20"/>
                    <w:jc w:val="center"/>
                    <w:textAlignment w:val="auto"/>
                    <w:rPr>
                      <w:rFonts w:ascii="Times New Roman" w:hAnsi="Times New Roman"/>
                      <w:bCs/>
                      <w:color w:val="auto"/>
                      <w:sz w:val="21"/>
                      <w:szCs w:val="21"/>
                    </w:rPr>
                  </w:pPr>
                  <w:r>
                    <w:rPr>
                      <w:rFonts w:ascii="Times New Roman" w:hAnsi="Times New Roman"/>
                      <w:bCs/>
                      <w:color w:val="auto"/>
                      <w:sz w:val="21"/>
                      <w:szCs w:val="21"/>
                    </w:rPr>
                    <w:t>昼   间</w:t>
                  </w:r>
                </w:p>
              </w:tc>
              <w:tc>
                <w:tcPr>
                  <w:tcW w:w="1480" w:type="pct"/>
                  <w:gridSpan w:val="4"/>
                  <w:noWrap w:val="0"/>
                  <w:vAlign w:val="center"/>
                </w:tcPr>
                <w:p>
                  <w:pPr>
                    <w:keepNext w:val="0"/>
                    <w:keepLines w:val="0"/>
                    <w:pageBreakBefore w:val="0"/>
                    <w:kinsoku/>
                    <w:wordWrap/>
                    <w:overflowPunct/>
                    <w:topLinePunct w:val="0"/>
                    <w:autoSpaceDE/>
                    <w:autoSpaceDN/>
                    <w:bidi w:val="0"/>
                    <w:adjustRightInd/>
                    <w:snapToGrid/>
                    <w:spacing w:line="240" w:lineRule="auto"/>
                    <w:ind w:left="-42" w:leftChars="-20" w:right="-42" w:rightChars="-20"/>
                    <w:jc w:val="center"/>
                    <w:textAlignment w:val="auto"/>
                    <w:rPr>
                      <w:rFonts w:ascii="Times New Roman" w:hAnsi="Times New Roman"/>
                      <w:bCs/>
                      <w:color w:val="auto"/>
                      <w:sz w:val="21"/>
                      <w:szCs w:val="21"/>
                    </w:rPr>
                  </w:pPr>
                  <w:r>
                    <w:rPr>
                      <w:rFonts w:ascii="Times New Roman" w:hAnsi="Times New Roman"/>
                      <w:bCs/>
                      <w:color w:val="auto"/>
                      <w:sz w:val="21"/>
                      <w:szCs w:val="21"/>
                    </w:rPr>
                    <w:t>夜   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6" w:hRule="atLeast"/>
                <w:jc w:val="center"/>
              </w:trPr>
              <w:tc>
                <w:tcPr>
                  <w:tcW w:w="339"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42" w:leftChars="-20" w:right="-42" w:rightChars="-20"/>
                    <w:jc w:val="center"/>
                    <w:textAlignment w:val="auto"/>
                    <w:rPr>
                      <w:rFonts w:ascii="Times New Roman" w:hAnsi="Times New Roman"/>
                      <w:bCs/>
                      <w:color w:val="auto"/>
                      <w:sz w:val="21"/>
                      <w:szCs w:val="21"/>
                    </w:rPr>
                  </w:pPr>
                </w:p>
              </w:tc>
              <w:tc>
                <w:tcPr>
                  <w:tcW w:w="1658"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42" w:leftChars="-20" w:right="-42" w:rightChars="-20"/>
                    <w:jc w:val="center"/>
                    <w:textAlignment w:val="auto"/>
                    <w:rPr>
                      <w:rFonts w:ascii="Times New Roman" w:hAnsi="Times New Roman"/>
                      <w:bCs/>
                      <w:color w:val="auto"/>
                      <w:sz w:val="21"/>
                      <w:szCs w:val="21"/>
                    </w:rPr>
                  </w:pPr>
                </w:p>
              </w:tc>
              <w:tc>
                <w:tcPr>
                  <w:tcW w:w="390" w:type="pct"/>
                  <w:noWrap w:val="0"/>
                  <w:vAlign w:val="center"/>
                </w:tcPr>
                <w:p>
                  <w:pPr>
                    <w:pStyle w:val="4"/>
                    <w:keepNext w:val="0"/>
                    <w:keepLines w:val="0"/>
                    <w:pageBreakBefore w:val="0"/>
                    <w:tabs>
                      <w:tab w:val="left" w:pos="0"/>
                    </w:tabs>
                    <w:kinsoku/>
                    <w:wordWrap/>
                    <w:overflowPunct/>
                    <w:topLinePunct w:val="0"/>
                    <w:autoSpaceDE/>
                    <w:autoSpaceDN/>
                    <w:bidi w:val="0"/>
                    <w:adjustRightInd/>
                    <w:snapToGrid/>
                    <w:spacing w:before="72" w:after="72" w:line="240" w:lineRule="auto"/>
                    <w:ind w:left="-42" w:leftChars="-20" w:right="-42" w:rightChars="-20" w:firstLine="0" w:firstLineChars="0"/>
                    <w:jc w:val="center"/>
                    <w:textAlignment w:val="auto"/>
                    <w:rPr>
                      <w:rFonts w:ascii="Times New Roman" w:hAnsi="Times New Roman"/>
                      <w:b w:val="0"/>
                      <w:color w:val="auto"/>
                      <w:sz w:val="21"/>
                      <w:szCs w:val="21"/>
                    </w:rPr>
                  </w:pPr>
                  <w:r>
                    <w:rPr>
                      <w:rFonts w:ascii="Times New Roman" w:hAnsi="Times New Roman"/>
                      <w:b w:val="0"/>
                      <w:color w:val="auto"/>
                      <w:sz w:val="21"/>
                      <w:szCs w:val="21"/>
                    </w:rPr>
                    <w:t>Leq</w:t>
                  </w:r>
                </w:p>
              </w:tc>
              <w:tc>
                <w:tcPr>
                  <w:tcW w:w="379" w:type="pct"/>
                  <w:noWrap w:val="0"/>
                  <w:vAlign w:val="center"/>
                </w:tcPr>
                <w:p>
                  <w:pPr>
                    <w:pStyle w:val="4"/>
                    <w:keepNext w:val="0"/>
                    <w:keepLines w:val="0"/>
                    <w:pageBreakBefore w:val="0"/>
                    <w:tabs>
                      <w:tab w:val="left" w:pos="0"/>
                    </w:tabs>
                    <w:kinsoku/>
                    <w:wordWrap/>
                    <w:overflowPunct/>
                    <w:topLinePunct w:val="0"/>
                    <w:autoSpaceDE/>
                    <w:autoSpaceDN/>
                    <w:bidi w:val="0"/>
                    <w:adjustRightInd/>
                    <w:snapToGrid/>
                    <w:spacing w:before="72" w:after="72" w:line="240" w:lineRule="auto"/>
                    <w:ind w:left="-42" w:leftChars="-20" w:right="-42" w:rightChars="-20" w:firstLine="0" w:firstLineChars="0"/>
                    <w:jc w:val="center"/>
                    <w:textAlignment w:val="auto"/>
                    <w:rPr>
                      <w:rFonts w:hint="default" w:ascii="Times New Roman" w:hAnsi="Times New Roman" w:eastAsia="宋体"/>
                      <w:b w:val="0"/>
                      <w:color w:val="auto"/>
                      <w:sz w:val="21"/>
                      <w:szCs w:val="21"/>
                      <w:lang w:val="en-US" w:eastAsia="zh-CN"/>
                    </w:rPr>
                  </w:pPr>
                  <w:r>
                    <w:rPr>
                      <w:rFonts w:ascii="Times New Roman" w:hAnsi="Times New Roman"/>
                      <w:b w:val="0"/>
                      <w:color w:val="auto"/>
                      <w:sz w:val="21"/>
                      <w:szCs w:val="21"/>
                    </w:rPr>
                    <w:t>L</w:t>
                  </w:r>
                  <w:r>
                    <w:rPr>
                      <w:rFonts w:hint="eastAsia" w:ascii="Times New Roman" w:hAnsi="Times New Roman"/>
                      <w:b w:val="0"/>
                      <w:color w:val="auto"/>
                      <w:sz w:val="21"/>
                      <w:szCs w:val="21"/>
                      <w:vertAlign w:val="subscript"/>
                      <w:lang w:val="en-US" w:eastAsia="zh-CN"/>
                    </w:rPr>
                    <w:t>90</w:t>
                  </w:r>
                </w:p>
              </w:tc>
              <w:tc>
                <w:tcPr>
                  <w:tcW w:w="363" w:type="pct"/>
                  <w:noWrap w:val="0"/>
                  <w:vAlign w:val="center"/>
                </w:tcPr>
                <w:p>
                  <w:pPr>
                    <w:pStyle w:val="4"/>
                    <w:keepNext w:val="0"/>
                    <w:keepLines w:val="0"/>
                    <w:pageBreakBefore w:val="0"/>
                    <w:tabs>
                      <w:tab w:val="left" w:pos="0"/>
                    </w:tabs>
                    <w:kinsoku/>
                    <w:wordWrap/>
                    <w:overflowPunct/>
                    <w:topLinePunct w:val="0"/>
                    <w:autoSpaceDE/>
                    <w:autoSpaceDN/>
                    <w:bidi w:val="0"/>
                    <w:adjustRightInd/>
                    <w:snapToGrid/>
                    <w:spacing w:before="72" w:after="72" w:line="240" w:lineRule="auto"/>
                    <w:ind w:left="-42" w:leftChars="-20" w:right="-42" w:rightChars="-20" w:firstLine="0" w:firstLineChars="0"/>
                    <w:jc w:val="center"/>
                    <w:textAlignment w:val="auto"/>
                    <w:rPr>
                      <w:rFonts w:ascii="Times New Roman" w:hAnsi="Times New Roman"/>
                      <w:b w:val="0"/>
                      <w:color w:val="auto"/>
                      <w:sz w:val="21"/>
                      <w:szCs w:val="21"/>
                    </w:rPr>
                  </w:pPr>
                  <w:r>
                    <w:rPr>
                      <w:rFonts w:ascii="Times New Roman" w:hAnsi="Times New Roman"/>
                      <w:b w:val="0"/>
                      <w:color w:val="auto"/>
                      <w:sz w:val="21"/>
                      <w:szCs w:val="21"/>
                    </w:rPr>
                    <w:t>L</w:t>
                  </w:r>
                  <w:r>
                    <w:rPr>
                      <w:rFonts w:ascii="Times New Roman" w:hAnsi="Times New Roman"/>
                      <w:b w:val="0"/>
                      <w:color w:val="auto"/>
                      <w:sz w:val="21"/>
                      <w:szCs w:val="21"/>
                      <w:vertAlign w:val="subscript"/>
                    </w:rPr>
                    <w:t>50</w:t>
                  </w:r>
                </w:p>
              </w:tc>
              <w:tc>
                <w:tcPr>
                  <w:tcW w:w="388" w:type="pct"/>
                  <w:noWrap w:val="0"/>
                  <w:vAlign w:val="center"/>
                </w:tcPr>
                <w:p>
                  <w:pPr>
                    <w:pStyle w:val="4"/>
                    <w:keepNext w:val="0"/>
                    <w:keepLines w:val="0"/>
                    <w:pageBreakBefore w:val="0"/>
                    <w:tabs>
                      <w:tab w:val="left" w:pos="0"/>
                    </w:tabs>
                    <w:kinsoku/>
                    <w:wordWrap/>
                    <w:overflowPunct/>
                    <w:topLinePunct w:val="0"/>
                    <w:autoSpaceDE/>
                    <w:autoSpaceDN/>
                    <w:bidi w:val="0"/>
                    <w:adjustRightInd/>
                    <w:snapToGrid/>
                    <w:spacing w:before="72" w:after="72" w:line="240" w:lineRule="auto"/>
                    <w:ind w:left="-42" w:leftChars="-20" w:right="-42" w:rightChars="-20" w:firstLine="0" w:firstLineChars="0"/>
                    <w:jc w:val="center"/>
                    <w:textAlignment w:val="auto"/>
                    <w:rPr>
                      <w:rFonts w:hint="default" w:ascii="Times New Roman" w:hAnsi="Times New Roman" w:eastAsia="宋体"/>
                      <w:b w:val="0"/>
                      <w:color w:val="auto"/>
                      <w:sz w:val="21"/>
                      <w:szCs w:val="21"/>
                      <w:lang w:val="en-US" w:eastAsia="zh-CN"/>
                    </w:rPr>
                  </w:pPr>
                  <w:r>
                    <w:rPr>
                      <w:rFonts w:ascii="Times New Roman" w:hAnsi="Times New Roman"/>
                      <w:b w:val="0"/>
                      <w:color w:val="auto"/>
                      <w:sz w:val="21"/>
                      <w:szCs w:val="21"/>
                    </w:rPr>
                    <w:t>L</w:t>
                  </w:r>
                  <w:r>
                    <w:rPr>
                      <w:rFonts w:hint="eastAsia" w:ascii="Times New Roman" w:hAnsi="Times New Roman"/>
                      <w:b w:val="0"/>
                      <w:color w:val="auto"/>
                      <w:sz w:val="21"/>
                      <w:szCs w:val="21"/>
                      <w:vertAlign w:val="subscript"/>
                      <w:lang w:val="en-US" w:eastAsia="zh-CN"/>
                    </w:rPr>
                    <w:t>10</w:t>
                  </w:r>
                </w:p>
              </w:tc>
              <w:tc>
                <w:tcPr>
                  <w:tcW w:w="379" w:type="pct"/>
                  <w:noWrap w:val="0"/>
                  <w:vAlign w:val="center"/>
                </w:tcPr>
                <w:p>
                  <w:pPr>
                    <w:pStyle w:val="4"/>
                    <w:keepNext w:val="0"/>
                    <w:keepLines w:val="0"/>
                    <w:pageBreakBefore w:val="0"/>
                    <w:tabs>
                      <w:tab w:val="left" w:pos="0"/>
                    </w:tabs>
                    <w:kinsoku/>
                    <w:wordWrap/>
                    <w:overflowPunct/>
                    <w:topLinePunct w:val="0"/>
                    <w:autoSpaceDE/>
                    <w:autoSpaceDN/>
                    <w:bidi w:val="0"/>
                    <w:adjustRightInd/>
                    <w:snapToGrid/>
                    <w:spacing w:before="72" w:after="72" w:line="240" w:lineRule="auto"/>
                    <w:ind w:left="-42" w:leftChars="-20" w:right="-42" w:rightChars="-20" w:firstLine="0" w:firstLineChars="0"/>
                    <w:jc w:val="center"/>
                    <w:textAlignment w:val="auto"/>
                    <w:rPr>
                      <w:rFonts w:ascii="Times New Roman" w:hAnsi="Times New Roman"/>
                      <w:b w:val="0"/>
                      <w:color w:val="auto"/>
                      <w:sz w:val="21"/>
                      <w:szCs w:val="21"/>
                    </w:rPr>
                  </w:pPr>
                  <w:r>
                    <w:rPr>
                      <w:rFonts w:ascii="Times New Roman" w:hAnsi="Times New Roman"/>
                      <w:b w:val="0"/>
                      <w:color w:val="auto"/>
                      <w:sz w:val="21"/>
                      <w:szCs w:val="21"/>
                    </w:rPr>
                    <w:t>Leq</w:t>
                  </w:r>
                </w:p>
              </w:tc>
              <w:tc>
                <w:tcPr>
                  <w:tcW w:w="362" w:type="pct"/>
                  <w:noWrap w:val="0"/>
                  <w:vAlign w:val="center"/>
                </w:tcPr>
                <w:p>
                  <w:pPr>
                    <w:pStyle w:val="4"/>
                    <w:keepNext w:val="0"/>
                    <w:keepLines w:val="0"/>
                    <w:pageBreakBefore w:val="0"/>
                    <w:tabs>
                      <w:tab w:val="left" w:pos="0"/>
                    </w:tabs>
                    <w:kinsoku/>
                    <w:wordWrap/>
                    <w:overflowPunct/>
                    <w:topLinePunct w:val="0"/>
                    <w:autoSpaceDE/>
                    <w:autoSpaceDN/>
                    <w:bidi w:val="0"/>
                    <w:adjustRightInd/>
                    <w:snapToGrid/>
                    <w:spacing w:before="72" w:after="72" w:line="240" w:lineRule="auto"/>
                    <w:ind w:left="-42" w:leftChars="-20" w:right="-42" w:rightChars="-20" w:firstLine="0" w:firstLineChars="0"/>
                    <w:jc w:val="center"/>
                    <w:textAlignment w:val="auto"/>
                    <w:rPr>
                      <w:rFonts w:hint="default" w:ascii="Times New Roman" w:hAnsi="Times New Roman" w:eastAsia="宋体"/>
                      <w:b w:val="0"/>
                      <w:color w:val="auto"/>
                      <w:sz w:val="21"/>
                      <w:szCs w:val="21"/>
                      <w:lang w:val="en-US" w:eastAsia="zh-CN"/>
                    </w:rPr>
                  </w:pPr>
                  <w:r>
                    <w:rPr>
                      <w:rFonts w:ascii="Times New Roman" w:hAnsi="Times New Roman"/>
                      <w:b w:val="0"/>
                      <w:color w:val="auto"/>
                      <w:sz w:val="21"/>
                      <w:szCs w:val="21"/>
                    </w:rPr>
                    <w:t>L</w:t>
                  </w:r>
                  <w:r>
                    <w:rPr>
                      <w:rFonts w:hint="eastAsia" w:ascii="Times New Roman" w:hAnsi="Times New Roman"/>
                      <w:b w:val="0"/>
                      <w:color w:val="auto"/>
                      <w:sz w:val="21"/>
                      <w:szCs w:val="21"/>
                      <w:vertAlign w:val="subscript"/>
                      <w:lang w:val="en-US" w:eastAsia="zh-CN"/>
                    </w:rPr>
                    <w:t>90</w:t>
                  </w:r>
                </w:p>
              </w:tc>
              <w:tc>
                <w:tcPr>
                  <w:tcW w:w="391" w:type="pct"/>
                  <w:noWrap w:val="0"/>
                  <w:vAlign w:val="center"/>
                </w:tcPr>
                <w:p>
                  <w:pPr>
                    <w:pStyle w:val="4"/>
                    <w:keepNext w:val="0"/>
                    <w:keepLines w:val="0"/>
                    <w:pageBreakBefore w:val="0"/>
                    <w:tabs>
                      <w:tab w:val="left" w:pos="0"/>
                    </w:tabs>
                    <w:kinsoku/>
                    <w:wordWrap/>
                    <w:overflowPunct/>
                    <w:topLinePunct w:val="0"/>
                    <w:autoSpaceDE/>
                    <w:autoSpaceDN/>
                    <w:bidi w:val="0"/>
                    <w:adjustRightInd/>
                    <w:snapToGrid/>
                    <w:spacing w:before="72" w:after="72" w:line="240" w:lineRule="auto"/>
                    <w:ind w:left="-42" w:leftChars="-20" w:right="-42" w:rightChars="-20" w:firstLine="0" w:firstLineChars="0"/>
                    <w:jc w:val="center"/>
                    <w:textAlignment w:val="auto"/>
                    <w:rPr>
                      <w:rFonts w:ascii="Times New Roman" w:hAnsi="Times New Roman"/>
                      <w:b w:val="0"/>
                      <w:color w:val="auto"/>
                      <w:sz w:val="21"/>
                      <w:szCs w:val="21"/>
                    </w:rPr>
                  </w:pPr>
                  <w:r>
                    <w:rPr>
                      <w:rFonts w:ascii="Times New Roman" w:hAnsi="Times New Roman"/>
                      <w:b w:val="0"/>
                      <w:color w:val="auto"/>
                      <w:sz w:val="21"/>
                      <w:szCs w:val="21"/>
                    </w:rPr>
                    <w:t>L</w:t>
                  </w:r>
                  <w:r>
                    <w:rPr>
                      <w:rFonts w:ascii="Times New Roman" w:hAnsi="Times New Roman"/>
                      <w:b w:val="0"/>
                      <w:color w:val="auto"/>
                      <w:sz w:val="21"/>
                      <w:szCs w:val="21"/>
                      <w:vertAlign w:val="subscript"/>
                    </w:rPr>
                    <w:t>50</w:t>
                  </w:r>
                </w:p>
              </w:tc>
              <w:tc>
                <w:tcPr>
                  <w:tcW w:w="348" w:type="pct"/>
                  <w:noWrap w:val="0"/>
                  <w:vAlign w:val="center"/>
                </w:tcPr>
                <w:p>
                  <w:pPr>
                    <w:pStyle w:val="4"/>
                    <w:keepNext w:val="0"/>
                    <w:keepLines w:val="0"/>
                    <w:pageBreakBefore w:val="0"/>
                    <w:tabs>
                      <w:tab w:val="left" w:pos="0"/>
                    </w:tabs>
                    <w:kinsoku/>
                    <w:wordWrap/>
                    <w:overflowPunct/>
                    <w:topLinePunct w:val="0"/>
                    <w:autoSpaceDE/>
                    <w:autoSpaceDN/>
                    <w:bidi w:val="0"/>
                    <w:adjustRightInd/>
                    <w:snapToGrid/>
                    <w:spacing w:before="72" w:after="72" w:line="240" w:lineRule="auto"/>
                    <w:ind w:left="-42" w:leftChars="-20" w:right="-42" w:rightChars="-20" w:firstLine="0" w:firstLineChars="0"/>
                    <w:jc w:val="center"/>
                    <w:textAlignment w:val="auto"/>
                    <w:rPr>
                      <w:rFonts w:hint="default" w:ascii="Times New Roman" w:hAnsi="Times New Roman" w:eastAsia="宋体"/>
                      <w:b w:val="0"/>
                      <w:color w:val="auto"/>
                      <w:sz w:val="21"/>
                      <w:szCs w:val="21"/>
                      <w:lang w:val="en-US" w:eastAsia="zh-CN"/>
                    </w:rPr>
                  </w:pPr>
                  <w:r>
                    <w:rPr>
                      <w:rFonts w:ascii="Times New Roman" w:hAnsi="Times New Roman"/>
                      <w:b w:val="0"/>
                      <w:color w:val="auto"/>
                      <w:sz w:val="21"/>
                      <w:szCs w:val="21"/>
                    </w:rPr>
                    <w:t>L</w:t>
                  </w:r>
                  <w:r>
                    <w:rPr>
                      <w:rFonts w:hint="eastAsia" w:ascii="Times New Roman" w:hAnsi="Times New Roman"/>
                      <w:b w:val="0"/>
                      <w:color w:val="auto"/>
                      <w:sz w:val="21"/>
                      <w:szCs w:val="21"/>
                      <w:vertAlign w:val="subscript"/>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6" w:hRule="atLeast"/>
                <w:jc w:val="center"/>
              </w:trPr>
              <w:tc>
                <w:tcPr>
                  <w:tcW w:w="339" w:type="pct"/>
                  <w:noWrap w:val="0"/>
                  <w:vAlign w:val="center"/>
                </w:tcPr>
                <w:p>
                  <w:pPr>
                    <w:keepNext w:val="0"/>
                    <w:keepLines w:val="0"/>
                    <w:pageBreakBefore w:val="0"/>
                    <w:kinsoku/>
                    <w:wordWrap/>
                    <w:overflowPunct/>
                    <w:topLinePunct w:val="0"/>
                    <w:autoSpaceDE/>
                    <w:autoSpaceDN/>
                    <w:bidi w:val="0"/>
                    <w:adjustRightInd/>
                    <w:snapToGrid/>
                    <w:spacing w:line="240" w:lineRule="auto"/>
                    <w:ind w:left="-42" w:leftChars="-20" w:right="-42" w:rightChars="-20"/>
                    <w:jc w:val="center"/>
                    <w:textAlignment w:val="auto"/>
                    <w:rPr>
                      <w:rFonts w:ascii="Times New Roman" w:hAnsi="Times New Roman"/>
                      <w:bCs/>
                      <w:color w:val="auto"/>
                      <w:sz w:val="21"/>
                      <w:szCs w:val="21"/>
                    </w:rPr>
                  </w:pPr>
                  <w:r>
                    <w:rPr>
                      <w:rFonts w:ascii="Times New Roman" w:hAnsi="Times New Roman"/>
                      <w:bCs/>
                      <w:color w:val="auto"/>
                      <w:sz w:val="21"/>
                      <w:szCs w:val="21"/>
                    </w:rPr>
                    <w:t>1#</w:t>
                  </w:r>
                </w:p>
              </w:tc>
              <w:tc>
                <w:tcPr>
                  <w:tcW w:w="1658" w:type="pct"/>
                  <w:noWrap w:val="0"/>
                  <w:vAlign w:val="center"/>
                </w:tcPr>
                <w:p>
                  <w:pPr>
                    <w:keepNext w:val="0"/>
                    <w:keepLines w:val="0"/>
                    <w:pageBreakBefore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eastAsia="宋体"/>
                      <w:snapToGrid w:val="0"/>
                      <w:color w:val="auto"/>
                      <w:sz w:val="21"/>
                      <w:szCs w:val="21"/>
                      <w:lang w:val="en-US" w:eastAsia="zh-CN"/>
                    </w:rPr>
                  </w:pPr>
                  <w:r>
                    <w:rPr>
                      <w:rFonts w:hint="default" w:ascii="Times New Roman" w:hAnsi="Times New Roman" w:eastAsia="宋体"/>
                      <w:snapToGrid w:val="0"/>
                      <w:color w:val="auto"/>
                      <w:sz w:val="21"/>
                      <w:szCs w:val="21"/>
                      <w:lang w:val="en-US" w:eastAsia="zh-CN"/>
                    </w:rPr>
                    <w:t>碧海花园E区1号楼西侧1</w:t>
                  </w:r>
                  <w:r>
                    <w:rPr>
                      <w:rFonts w:hint="eastAsia" w:ascii="Times New Roman" w:hAnsi="Times New Roman"/>
                      <w:snapToGrid w:val="0"/>
                      <w:color w:val="auto"/>
                      <w:sz w:val="21"/>
                      <w:szCs w:val="21"/>
                      <w:lang w:val="en-US" w:eastAsia="zh-CN"/>
                    </w:rPr>
                    <w:t>层</w:t>
                  </w:r>
                </w:p>
              </w:tc>
              <w:tc>
                <w:tcPr>
                  <w:tcW w:w="390"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56.7</w:t>
                  </w:r>
                </w:p>
              </w:tc>
              <w:tc>
                <w:tcPr>
                  <w:tcW w:w="379"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54.7</w:t>
                  </w:r>
                </w:p>
              </w:tc>
              <w:tc>
                <w:tcPr>
                  <w:tcW w:w="363"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55.9</w:t>
                  </w:r>
                </w:p>
              </w:tc>
              <w:tc>
                <w:tcPr>
                  <w:tcW w:w="388"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57.8</w:t>
                  </w:r>
                </w:p>
              </w:tc>
              <w:tc>
                <w:tcPr>
                  <w:tcW w:w="379"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48.4</w:t>
                  </w:r>
                </w:p>
              </w:tc>
              <w:tc>
                <w:tcPr>
                  <w:tcW w:w="362"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46.3</w:t>
                  </w:r>
                </w:p>
              </w:tc>
              <w:tc>
                <w:tcPr>
                  <w:tcW w:w="391"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47.4</w:t>
                  </w:r>
                </w:p>
              </w:tc>
              <w:tc>
                <w:tcPr>
                  <w:tcW w:w="348"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6" w:hRule="atLeast"/>
                <w:jc w:val="center"/>
              </w:trPr>
              <w:tc>
                <w:tcPr>
                  <w:tcW w:w="339" w:type="pct"/>
                  <w:noWrap w:val="0"/>
                  <w:vAlign w:val="center"/>
                </w:tcPr>
                <w:p>
                  <w:pPr>
                    <w:keepNext w:val="0"/>
                    <w:keepLines w:val="0"/>
                    <w:pageBreakBefore w:val="0"/>
                    <w:kinsoku/>
                    <w:wordWrap/>
                    <w:overflowPunct/>
                    <w:topLinePunct w:val="0"/>
                    <w:autoSpaceDE/>
                    <w:autoSpaceDN/>
                    <w:bidi w:val="0"/>
                    <w:adjustRightInd/>
                    <w:snapToGrid/>
                    <w:spacing w:line="240" w:lineRule="auto"/>
                    <w:ind w:left="-42" w:leftChars="-20" w:right="-42" w:rightChars="-20"/>
                    <w:jc w:val="center"/>
                    <w:textAlignment w:val="auto"/>
                    <w:rPr>
                      <w:rFonts w:ascii="Times New Roman" w:hAnsi="Times New Roman"/>
                      <w:bCs/>
                      <w:color w:val="auto"/>
                      <w:sz w:val="21"/>
                      <w:szCs w:val="21"/>
                    </w:rPr>
                  </w:pPr>
                  <w:r>
                    <w:rPr>
                      <w:rFonts w:ascii="Times New Roman" w:hAnsi="Times New Roman"/>
                      <w:bCs/>
                      <w:color w:val="auto"/>
                      <w:sz w:val="21"/>
                      <w:szCs w:val="21"/>
                    </w:rPr>
                    <w:t>2#</w:t>
                  </w:r>
                </w:p>
              </w:tc>
              <w:tc>
                <w:tcPr>
                  <w:tcW w:w="1658" w:type="pct"/>
                  <w:noWrap w:val="0"/>
                  <w:vAlign w:val="center"/>
                </w:tcPr>
                <w:p>
                  <w:pPr>
                    <w:keepNext w:val="0"/>
                    <w:keepLines w:val="0"/>
                    <w:pageBreakBefore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eastAsia="宋体"/>
                      <w:snapToGrid w:val="0"/>
                      <w:color w:val="auto"/>
                      <w:sz w:val="21"/>
                      <w:szCs w:val="21"/>
                      <w:lang w:val="en-US" w:eastAsia="zh-CN"/>
                    </w:rPr>
                  </w:pPr>
                  <w:r>
                    <w:rPr>
                      <w:rFonts w:hint="default" w:ascii="Times New Roman" w:hAnsi="Times New Roman" w:eastAsia="宋体"/>
                      <w:snapToGrid w:val="0"/>
                      <w:color w:val="auto"/>
                      <w:sz w:val="21"/>
                      <w:szCs w:val="21"/>
                      <w:lang w:val="en-US" w:eastAsia="zh-CN"/>
                    </w:rPr>
                    <w:t>碧海花园E区1号楼西侧</w:t>
                  </w:r>
                  <w:r>
                    <w:rPr>
                      <w:rFonts w:hint="eastAsia"/>
                      <w:snapToGrid w:val="0"/>
                      <w:color w:val="auto"/>
                      <w:sz w:val="21"/>
                      <w:szCs w:val="21"/>
                      <w:lang w:val="en-US" w:eastAsia="zh-CN"/>
                    </w:rPr>
                    <w:t>3</w:t>
                  </w:r>
                  <w:r>
                    <w:rPr>
                      <w:rFonts w:hint="eastAsia" w:ascii="Times New Roman" w:hAnsi="Times New Roman"/>
                      <w:snapToGrid w:val="0"/>
                      <w:color w:val="auto"/>
                      <w:sz w:val="21"/>
                      <w:szCs w:val="21"/>
                      <w:lang w:val="en-US" w:eastAsia="zh-CN"/>
                    </w:rPr>
                    <w:t>层</w:t>
                  </w:r>
                </w:p>
              </w:tc>
              <w:tc>
                <w:tcPr>
                  <w:tcW w:w="390"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56.5</w:t>
                  </w:r>
                </w:p>
              </w:tc>
              <w:tc>
                <w:tcPr>
                  <w:tcW w:w="379"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54.5</w:t>
                  </w:r>
                </w:p>
              </w:tc>
              <w:tc>
                <w:tcPr>
                  <w:tcW w:w="363"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55.5</w:t>
                  </w:r>
                </w:p>
              </w:tc>
              <w:tc>
                <w:tcPr>
                  <w:tcW w:w="388"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57.4</w:t>
                  </w:r>
                </w:p>
              </w:tc>
              <w:tc>
                <w:tcPr>
                  <w:tcW w:w="379"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48.8</w:t>
                  </w:r>
                </w:p>
              </w:tc>
              <w:tc>
                <w:tcPr>
                  <w:tcW w:w="362"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46.7</w:t>
                  </w:r>
                </w:p>
              </w:tc>
              <w:tc>
                <w:tcPr>
                  <w:tcW w:w="391"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48.4</w:t>
                  </w:r>
                </w:p>
              </w:tc>
              <w:tc>
                <w:tcPr>
                  <w:tcW w:w="348"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6" w:hRule="atLeast"/>
                <w:jc w:val="center"/>
              </w:trPr>
              <w:tc>
                <w:tcPr>
                  <w:tcW w:w="339" w:type="pct"/>
                  <w:noWrap w:val="0"/>
                  <w:vAlign w:val="center"/>
                </w:tcPr>
                <w:p>
                  <w:pPr>
                    <w:keepNext w:val="0"/>
                    <w:keepLines w:val="0"/>
                    <w:pageBreakBefore w:val="0"/>
                    <w:kinsoku/>
                    <w:wordWrap/>
                    <w:overflowPunct/>
                    <w:topLinePunct w:val="0"/>
                    <w:autoSpaceDE/>
                    <w:autoSpaceDN/>
                    <w:bidi w:val="0"/>
                    <w:adjustRightInd/>
                    <w:snapToGrid/>
                    <w:spacing w:line="240" w:lineRule="auto"/>
                    <w:ind w:left="-42" w:leftChars="-20" w:right="-42" w:rightChars="-20"/>
                    <w:jc w:val="center"/>
                    <w:textAlignment w:val="auto"/>
                    <w:rPr>
                      <w:rFonts w:ascii="Times New Roman" w:hAnsi="Times New Roman"/>
                      <w:bCs/>
                      <w:color w:val="auto"/>
                      <w:sz w:val="21"/>
                      <w:szCs w:val="21"/>
                    </w:rPr>
                  </w:pPr>
                  <w:r>
                    <w:rPr>
                      <w:rFonts w:ascii="Times New Roman" w:hAnsi="Times New Roman"/>
                      <w:bCs/>
                      <w:color w:val="auto"/>
                      <w:sz w:val="21"/>
                      <w:szCs w:val="21"/>
                    </w:rPr>
                    <w:t>3#</w:t>
                  </w:r>
                </w:p>
              </w:tc>
              <w:tc>
                <w:tcPr>
                  <w:tcW w:w="1658" w:type="pct"/>
                  <w:noWrap w:val="0"/>
                  <w:vAlign w:val="center"/>
                </w:tcPr>
                <w:p>
                  <w:pPr>
                    <w:keepNext w:val="0"/>
                    <w:keepLines w:val="0"/>
                    <w:pageBreakBefore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eastAsia="宋体"/>
                      <w:snapToGrid w:val="0"/>
                      <w:color w:val="auto"/>
                      <w:sz w:val="21"/>
                      <w:szCs w:val="21"/>
                      <w:lang w:val="en-US" w:eastAsia="zh-CN"/>
                    </w:rPr>
                  </w:pPr>
                  <w:r>
                    <w:rPr>
                      <w:rFonts w:hint="default" w:ascii="Times New Roman" w:hAnsi="Times New Roman" w:eastAsia="宋体"/>
                      <w:snapToGrid w:val="0"/>
                      <w:color w:val="auto"/>
                      <w:sz w:val="21"/>
                      <w:szCs w:val="21"/>
                      <w:lang w:val="en-US" w:eastAsia="zh-CN"/>
                    </w:rPr>
                    <w:t>碧海花园E区1号楼西侧</w:t>
                  </w:r>
                  <w:r>
                    <w:rPr>
                      <w:rFonts w:hint="eastAsia"/>
                      <w:snapToGrid w:val="0"/>
                      <w:color w:val="auto"/>
                      <w:sz w:val="21"/>
                      <w:szCs w:val="21"/>
                      <w:lang w:val="en-US" w:eastAsia="zh-CN"/>
                    </w:rPr>
                    <w:t>5</w:t>
                  </w:r>
                  <w:r>
                    <w:rPr>
                      <w:rFonts w:hint="eastAsia" w:ascii="Times New Roman" w:hAnsi="Times New Roman"/>
                      <w:snapToGrid w:val="0"/>
                      <w:color w:val="auto"/>
                      <w:sz w:val="21"/>
                      <w:szCs w:val="21"/>
                      <w:lang w:val="en-US" w:eastAsia="zh-CN"/>
                    </w:rPr>
                    <w:t>层</w:t>
                  </w:r>
                </w:p>
              </w:tc>
              <w:tc>
                <w:tcPr>
                  <w:tcW w:w="390"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54.9</w:t>
                  </w:r>
                </w:p>
              </w:tc>
              <w:tc>
                <w:tcPr>
                  <w:tcW w:w="379"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52.9</w:t>
                  </w:r>
                </w:p>
              </w:tc>
              <w:tc>
                <w:tcPr>
                  <w:tcW w:w="363"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53.9</w:t>
                  </w:r>
                </w:p>
              </w:tc>
              <w:tc>
                <w:tcPr>
                  <w:tcW w:w="388"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56.1</w:t>
                  </w:r>
                </w:p>
              </w:tc>
              <w:tc>
                <w:tcPr>
                  <w:tcW w:w="379"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47.6</w:t>
                  </w:r>
                </w:p>
              </w:tc>
              <w:tc>
                <w:tcPr>
                  <w:tcW w:w="362"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45.4</w:t>
                  </w:r>
                </w:p>
              </w:tc>
              <w:tc>
                <w:tcPr>
                  <w:tcW w:w="391"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46.2</w:t>
                  </w:r>
                </w:p>
              </w:tc>
              <w:tc>
                <w:tcPr>
                  <w:tcW w:w="348"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6" w:hRule="atLeast"/>
                <w:jc w:val="center"/>
              </w:trPr>
              <w:tc>
                <w:tcPr>
                  <w:tcW w:w="339" w:type="pct"/>
                  <w:noWrap w:val="0"/>
                  <w:vAlign w:val="center"/>
                </w:tcPr>
                <w:p>
                  <w:pPr>
                    <w:keepNext w:val="0"/>
                    <w:keepLines w:val="0"/>
                    <w:pageBreakBefore w:val="0"/>
                    <w:kinsoku/>
                    <w:wordWrap/>
                    <w:overflowPunct/>
                    <w:topLinePunct w:val="0"/>
                    <w:autoSpaceDE/>
                    <w:autoSpaceDN/>
                    <w:bidi w:val="0"/>
                    <w:adjustRightInd/>
                    <w:snapToGrid/>
                    <w:spacing w:line="240" w:lineRule="auto"/>
                    <w:ind w:left="-42" w:leftChars="-20" w:right="-42" w:rightChars="-20"/>
                    <w:jc w:val="center"/>
                    <w:textAlignment w:val="auto"/>
                    <w:rPr>
                      <w:rFonts w:ascii="Times New Roman" w:hAnsi="Times New Roman"/>
                      <w:bCs/>
                      <w:color w:val="auto"/>
                      <w:sz w:val="21"/>
                      <w:szCs w:val="21"/>
                    </w:rPr>
                  </w:pPr>
                  <w:r>
                    <w:rPr>
                      <w:rFonts w:ascii="Times New Roman" w:hAnsi="Times New Roman"/>
                      <w:bCs/>
                      <w:color w:val="auto"/>
                      <w:sz w:val="21"/>
                      <w:szCs w:val="21"/>
                    </w:rPr>
                    <w:t>4#</w:t>
                  </w:r>
                </w:p>
              </w:tc>
              <w:tc>
                <w:tcPr>
                  <w:tcW w:w="1658" w:type="pct"/>
                  <w:noWrap w:val="0"/>
                  <w:vAlign w:val="center"/>
                </w:tcPr>
                <w:p>
                  <w:pPr>
                    <w:keepNext w:val="0"/>
                    <w:keepLines w:val="0"/>
                    <w:pageBreakBefore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eastAsia="宋体"/>
                      <w:snapToGrid w:val="0"/>
                      <w:color w:val="auto"/>
                      <w:sz w:val="21"/>
                      <w:szCs w:val="21"/>
                      <w:lang w:val="en-US" w:eastAsia="zh-CN"/>
                    </w:rPr>
                  </w:pPr>
                  <w:r>
                    <w:rPr>
                      <w:rFonts w:hint="default" w:ascii="Times New Roman" w:hAnsi="Times New Roman" w:eastAsia="宋体"/>
                      <w:snapToGrid w:val="0"/>
                      <w:color w:val="auto"/>
                      <w:sz w:val="21"/>
                      <w:szCs w:val="21"/>
                      <w:lang w:val="en-US" w:eastAsia="zh-CN"/>
                    </w:rPr>
                    <w:t>唐家湾村</w:t>
                  </w:r>
                </w:p>
              </w:tc>
              <w:tc>
                <w:tcPr>
                  <w:tcW w:w="390"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51.3</w:t>
                  </w:r>
                </w:p>
              </w:tc>
              <w:tc>
                <w:tcPr>
                  <w:tcW w:w="379"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49.3</w:t>
                  </w:r>
                </w:p>
              </w:tc>
              <w:tc>
                <w:tcPr>
                  <w:tcW w:w="363"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50.3</w:t>
                  </w:r>
                </w:p>
              </w:tc>
              <w:tc>
                <w:tcPr>
                  <w:tcW w:w="388"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52.5</w:t>
                  </w:r>
                </w:p>
              </w:tc>
              <w:tc>
                <w:tcPr>
                  <w:tcW w:w="379"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44.0</w:t>
                  </w:r>
                </w:p>
              </w:tc>
              <w:tc>
                <w:tcPr>
                  <w:tcW w:w="362"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41.8</w:t>
                  </w:r>
                </w:p>
              </w:tc>
              <w:tc>
                <w:tcPr>
                  <w:tcW w:w="391"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42.6</w:t>
                  </w:r>
                </w:p>
              </w:tc>
              <w:tc>
                <w:tcPr>
                  <w:tcW w:w="348"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6" w:hRule="atLeast"/>
                <w:jc w:val="center"/>
              </w:trPr>
              <w:tc>
                <w:tcPr>
                  <w:tcW w:w="339" w:type="pct"/>
                  <w:noWrap w:val="0"/>
                  <w:vAlign w:val="center"/>
                </w:tcPr>
                <w:p>
                  <w:pPr>
                    <w:keepNext w:val="0"/>
                    <w:keepLines w:val="0"/>
                    <w:pageBreakBefore w:val="0"/>
                    <w:kinsoku/>
                    <w:wordWrap/>
                    <w:overflowPunct/>
                    <w:topLinePunct w:val="0"/>
                    <w:autoSpaceDE/>
                    <w:autoSpaceDN/>
                    <w:bidi w:val="0"/>
                    <w:adjustRightInd/>
                    <w:snapToGrid/>
                    <w:spacing w:line="240" w:lineRule="auto"/>
                    <w:ind w:left="-42" w:leftChars="-20" w:right="-42" w:rightChars="-20"/>
                    <w:jc w:val="center"/>
                    <w:textAlignment w:val="auto"/>
                    <w:rPr>
                      <w:rFonts w:ascii="Times New Roman" w:hAnsi="Times New Roman"/>
                      <w:bCs/>
                      <w:color w:val="auto"/>
                      <w:sz w:val="21"/>
                      <w:szCs w:val="21"/>
                    </w:rPr>
                  </w:pPr>
                  <w:r>
                    <w:rPr>
                      <w:rFonts w:ascii="Times New Roman" w:hAnsi="Times New Roman"/>
                      <w:bCs/>
                      <w:color w:val="auto"/>
                      <w:sz w:val="21"/>
                      <w:szCs w:val="21"/>
                    </w:rPr>
                    <w:t>5#</w:t>
                  </w:r>
                </w:p>
              </w:tc>
              <w:tc>
                <w:tcPr>
                  <w:tcW w:w="1658" w:type="pct"/>
                  <w:noWrap w:val="0"/>
                  <w:vAlign w:val="center"/>
                </w:tcPr>
                <w:p>
                  <w:pPr>
                    <w:keepNext w:val="0"/>
                    <w:keepLines w:val="0"/>
                    <w:pageBreakBefore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eastAsia="宋体"/>
                      <w:snapToGrid w:val="0"/>
                      <w:color w:val="auto"/>
                      <w:sz w:val="21"/>
                      <w:szCs w:val="21"/>
                      <w:lang w:val="en-US" w:eastAsia="zh-CN"/>
                    </w:rPr>
                  </w:pPr>
                  <w:r>
                    <w:rPr>
                      <w:rFonts w:hint="default" w:ascii="Times New Roman" w:hAnsi="Times New Roman" w:eastAsia="宋体"/>
                      <w:snapToGrid w:val="0"/>
                      <w:color w:val="auto"/>
                      <w:sz w:val="21"/>
                      <w:szCs w:val="21"/>
                      <w:lang w:val="en-US" w:eastAsia="zh-CN"/>
                    </w:rPr>
                    <w:t>西富苑小区6号楼西侧1</w:t>
                  </w:r>
                  <w:r>
                    <w:rPr>
                      <w:rFonts w:hint="eastAsia" w:ascii="Times New Roman" w:hAnsi="Times New Roman"/>
                      <w:snapToGrid w:val="0"/>
                      <w:color w:val="auto"/>
                      <w:sz w:val="21"/>
                      <w:szCs w:val="21"/>
                      <w:lang w:val="en-US" w:eastAsia="zh-CN"/>
                    </w:rPr>
                    <w:t>层</w:t>
                  </w:r>
                </w:p>
              </w:tc>
              <w:tc>
                <w:tcPr>
                  <w:tcW w:w="390"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56.1</w:t>
                  </w:r>
                </w:p>
              </w:tc>
              <w:tc>
                <w:tcPr>
                  <w:tcW w:w="379"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54.0</w:t>
                  </w:r>
                </w:p>
              </w:tc>
              <w:tc>
                <w:tcPr>
                  <w:tcW w:w="363"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55.1</w:t>
                  </w:r>
                </w:p>
              </w:tc>
              <w:tc>
                <w:tcPr>
                  <w:tcW w:w="388"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58.3</w:t>
                  </w:r>
                </w:p>
              </w:tc>
              <w:tc>
                <w:tcPr>
                  <w:tcW w:w="379"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49.4</w:t>
                  </w:r>
                </w:p>
              </w:tc>
              <w:tc>
                <w:tcPr>
                  <w:tcW w:w="362"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47.2</w:t>
                  </w:r>
                </w:p>
              </w:tc>
              <w:tc>
                <w:tcPr>
                  <w:tcW w:w="391"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48.7</w:t>
                  </w:r>
                </w:p>
              </w:tc>
              <w:tc>
                <w:tcPr>
                  <w:tcW w:w="348"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6" w:hRule="atLeast"/>
                <w:jc w:val="center"/>
              </w:trPr>
              <w:tc>
                <w:tcPr>
                  <w:tcW w:w="339" w:type="pct"/>
                  <w:noWrap w:val="0"/>
                  <w:vAlign w:val="center"/>
                </w:tcPr>
                <w:p>
                  <w:pPr>
                    <w:keepNext w:val="0"/>
                    <w:keepLines w:val="0"/>
                    <w:pageBreakBefore w:val="0"/>
                    <w:kinsoku/>
                    <w:wordWrap/>
                    <w:overflowPunct/>
                    <w:topLinePunct w:val="0"/>
                    <w:autoSpaceDE/>
                    <w:autoSpaceDN/>
                    <w:bidi w:val="0"/>
                    <w:adjustRightInd/>
                    <w:snapToGrid/>
                    <w:spacing w:line="240" w:lineRule="auto"/>
                    <w:ind w:left="-42" w:leftChars="-20" w:right="-42" w:rightChars="-20"/>
                    <w:jc w:val="center"/>
                    <w:textAlignment w:val="auto"/>
                    <w:rPr>
                      <w:rFonts w:ascii="Times New Roman" w:hAnsi="Times New Roman"/>
                      <w:bCs/>
                      <w:color w:val="auto"/>
                      <w:sz w:val="21"/>
                      <w:szCs w:val="21"/>
                    </w:rPr>
                  </w:pPr>
                  <w:r>
                    <w:rPr>
                      <w:rFonts w:ascii="Times New Roman" w:hAnsi="Times New Roman"/>
                      <w:bCs/>
                      <w:color w:val="auto"/>
                      <w:sz w:val="21"/>
                      <w:szCs w:val="21"/>
                    </w:rPr>
                    <w:t>6#</w:t>
                  </w:r>
                </w:p>
              </w:tc>
              <w:tc>
                <w:tcPr>
                  <w:tcW w:w="1658" w:type="pct"/>
                  <w:noWrap w:val="0"/>
                  <w:vAlign w:val="center"/>
                </w:tcPr>
                <w:p>
                  <w:pPr>
                    <w:keepNext w:val="0"/>
                    <w:keepLines w:val="0"/>
                    <w:pageBreakBefore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eastAsia="宋体"/>
                      <w:snapToGrid w:val="0"/>
                      <w:color w:val="auto"/>
                      <w:sz w:val="21"/>
                      <w:szCs w:val="21"/>
                      <w:lang w:val="en-US" w:eastAsia="zh-CN"/>
                    </w:rPr>
                  </w:pPr>
                  <w:r>
                    <w:rPr>
                      <w:rFonts w:hint="default" w:ascii="Times New Roman" w:hAnsi="Times New Roman" w:eastAsia="宋体"/>
                      <w:snapToGrid w:val="0"/>
                      <w:color w:val="auto"/>
                      <w:sz w:val="21"/>
                      <w:szCs w:val="21"/>
                      <w:lang w:val="en-US" w:eastAsia="zh-CN"/>
                    </w:rPr>
                    <w:t>西富苑小区6号楼西侧</w:t>
                  </w:r>
                  <w:r>
                    <w:rPr>
                      <w:rFonts w:hint="eastAsia" w:ascii="Times New Roman" w:hAnsi="Times New Roman" w:eastAsia="宋体"/>
                      <w:snapToGrid w:val="0"/>
                      <w:color w:val="auto"/>
                      <w:sz w:val="21"/>
                      <w:szCs w:val="21"/>
                      <w:lang w:val="en-US" w:eastAsia="zh-CN"/>
                    </w:rPr>
                    <w:t>3</w:t>
                  </w:r>
                  <w:r>
                    <w:rPr>
                      <w:rFonts w:hint="eastAsia" w:ascii="Times New Roman" w:hAnsi="Times New Roman"/>
                      <w:snapToGrid w:val="0"/>
                      <w:color w:val="auto"/>
                      <w:sz w:val="21"/>
                      <w:szCs w:val="21"/>
                      <w:lang w:val="en-US" w:eastAsia="zh-CN"/>
                    </w:rPr>
                    <w:t>层</w:t>
                  </w:r>
                </w:p>
              </w:tc>
              <w:tc>
                <w:tcPr>
                  <w:tcW w:w="390"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55.4</w:t>
                  </w:r>
                </w:p>
              </w:tc>
              <w:tc>
                <w:tcPr>
                  <w:tcW w:w="379"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53.4</w:t>
                  </w:r>
                </w:p>
              </w:tc>
              <w:tc>
                <w:tcPr>
                  <w:tcW w:w="363"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54.6</w:t>
                  </w:r>
                </w:p>
              </w:tc>
              <w:tc>
                <w:tcPr>
                  <w:tcW w:w="388"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56.5</w:t>
                  </w:r>
                </w:p>
              </w:tc>
              <w:tc>
                <w:tcPr>
                  <w:tcW w:w="379"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47.1</w:t>
                  </w:r>
                </w:p>
              </w:tc>
              <w:tc>
                <w:tcPr>
                  <w:tcW w:w="362"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45.0</w:t>
                  </w:r>
                </w:p>
              </w:tc>
              <w:tc>
                <w:tcPr>
                  <w:tcW w:w="391"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46.1</w:t>
                  </w:r>
                </w:p>
              </w:tc>
              <w:tc>
                <w:tcPr>
                  <w:tcW w:w="348"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339" w:type="pct"/>
                  <w:noWrap w:val="0"/>
                  <w:vAlign w:val="center"/>
                </w:tcPr>
                <w:p>
                  <w:pPr>
                    <w:keepNext w:val="0"/>
                    <w:keepLines w:val="0"/>
                    <w:pageBreakBefore w:val="0"/>
                    <w:kinsoku/>
                    <w:wordWrap/>
                    <w:overflowPunct/>
                    <w:topLinePunct w:val="0"/>
                    <w:autoSpaceDE/>
                    <w:autoSpaceDN/>
                    <w:bidi w:val="0"/>
                    <w:adjustRightInd/>
                    <w:snapToGrid/>
                    <w:spacing w:line="240" w:lineRule="auto"/>
                    <w:ind w:left="-42" w:leftChars="-20" w:right="-42" w:rightChars="-20"/>
                    <w:jc w:val="center"/>
                    <w:textAlignment w:val="auto"/>
                    <w:rPr>
                      <w:rFonts w:ascii="Times New Roman" w:hAnsi="Times New Roman"/>
                      <w:bCs/>
                      <w:color w:val="auto"/>
                      <w:sz w:val="21"/>
                      <w:szCs w:val="21"/>
                    </w:rPr>
                  </w:pPr>
                  <w:r>
                    <w:rPr>
                      <w:rFonts w:ascii="Times New Roman" w:hAnsi="Times New Roman"/>
                      <w:bCs/>
                      <w:color w:val="auto"/>
                      <w:sz w:val="21"/>
                      <w:szCs w:val="21"/>
                    </w:rPr>
                    <w:t>7#</w:t>
                  </w:r>
                </w:p>
              </w:tc>
              <w:tc>
                <w:tcPr>
                  <w:tcW w:w="1658" w:type="pct"/>
                  <w:noWrap w:val="0"/>
                  <w:vAlign w:val="center"/>
                </w:tcPr>
                <w:p>
                  <w:pPr>
                    <w:keepNext w:val="0"/>
                    <w:keepLines w:val="0"/>
                    <w:pageBreakBefore w:val="0"/>
                    <w:kinsoku/>
                    <w:wordWrap/>
                    <w:overflowPunct/>
                    <w:topLinePunct w:val="0"/>
                    <w:autoSpaceDE/>
                    <w:autoSpaceDN/>
                    <w:bidi w:val="0"/>
                    <w:adjustRightInd/>
                    <w:snapToGrid/>
                    <w:spacing w:line="240" w:lineRule="auto"/>
                    <w:ind w:left="-42" w:leftChars="-20" w:right="-42" w:rightChars="-20"/>
                    <w:jc w:val="center"/>
                    <w:textAlignment w:val="auto"/>
                    <w:rPr>
                      <w:rFonts w:hint="eastAsia" w:ascii="Times New Roman" w:hAnsi="Times New Roman" w:eastAsia="宋体"/>
                      <w:snapToGrid w:val="0"/>
                      <w:color w:val="auto"/>
                      <w:sz w:val="21"/>
                      <w:szCs w:val="21"/>
                      <w:lang w:val="en-US" w:eastAsia="zh-CN"/>
                    </w:rPr>
                  </w:pPr>
                  <w:r>
                    <w:rPr>
                      <w:rFonts w:hint="default" w:ascii="Times New Roman" w:hAnsi="Times New Roman" w:eastAsia="宋体"/>
                      <w:snapToGrid w:val="0"/>
                      <w:color w:val="auto"/>
                      <w:sz w:val="21"/>
                      <w:szCs w:val="21"/>
                      <w:lang w:val="en-US" w:eastAsia="zh-CN"/>
                    </w:rPr>
                    <w:t>西富苑小区6号楼西侧</w:t>
                  </w:r>
                  <w:r>
                    <w:rPr>
                      <w:rFonts w:hint="eastAsia" w:ascii="Times New Roman" w:hAnsi="Times New Roman" w:eastAsia="宋体"/>
                      <w:snapToGrid w:val="0"/>
                      <w:color w:val="auto"/>
                      <w:sz w:val="21"/>
                      <w:szCs w:val="21"/>
                      <w:lang w:val="en-US" w:eastAsia="zh-CN"/>
                    </w:rPr>
                    <w:t>5</w:t>
                  </w:r>
                  <w:r>
                    <w:rPr>
                      <w:rFonts w:hint="eastAsia" w:ascii="Times New Roman" w:hAnsi="Times New Roman"/>
                      <w:snapToGrid w:val="0"/>
                      <w:color w:val="auto"/>
                      <w:sz w:val="21"/>
                      <w:szCs w:val="21"/>
                      <w:lang w:val="en-US" w:eastAsia="zh-CN"/>
                    </w:rPr>
                    <w:t>层</w:t>
                  </w:r>
                </w:p>
              </w:tc>
              <w:tc>
                <w:tcPr>
                  <w:tcW w:w="390"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54.7</w:t>
                  </w:r>
                </w:p>
              </w:tc>
              <w:tc>
                <w:tcPr>
                  <w:tcW w:w="379"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52.7</w:t>
                  </w:r>
                </w:p>
              </w:tc>
              <w:tc>
                <w:tcPr>
                  <w:tcW w:w="363"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53.7</w:t>
                  </w:r>
                </w:p>
              </w:tc>
              <w:tc>
                <w:tcPr>
                  <w:tcW w:w="388"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55.6</w:t>
                  </w:r>
                </w:p>
              </w:tc>
              <w:tc>
                <w:tcPr>
                  <w:tcW w:w="379"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47.0</w:t>
                  </w:r>
                </w:p>
              </w:tc>
              <w:tc>
                <w:tcPr>
                  <w:tcW w:w="362"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44.9</w:t>
                  </w:r>
                </w:p>
              </w:tc>
              <w:tc>
                <w:tcPr>
                  <w:tcW w:w="391"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45.6</w:t>
                  </w:r>
                </w:p>
              </w:tc>
              <w:tc>
                <w:tcPr>
                  <w:tcW w:w="348"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339" w:type="pct"/>
                  <w:noWrap w:val="0"/>
                  <w:vAlign w:val="center"/>
                </w:tcPr>
                <w:p>
                  <w:pPr>
                    <w:keepNext w:val="0"/>
                    <w:keepLines w:val="0"/>
                    <w:pageBreakBefore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eastAsia="宋体"/>
                      <w:bCs/>
                      <w:color w:val="auto"/>
                      <w:sz w:val="21"/>
                      <w:szCs w:val="21"/>
                      <w:lang w:val="en-US" w:eastAsia="zh-CN"/>
                    </w:rPr>
                  </w:pPr>
                  <w:r>
                    <w:rPr>
                      <w:rFonts w:hint="eastAsia" w:ascii="Times New Roman" w:hAnsi="Times New Roman"/>
                      <w:bCs/>
                      <w:color w:val="auto"/>
                      <w:sz w:val="21"/>
                      <w:szCs w:val="21"/>
                      <w:lang w:val="en-US" w:eastAsia="zh-CN"/>
                    </w:rPr>
                    <w:t>8#</w:t>
                  </w:r>
                </w:p>
              </w:tc>
              <w:tc>
                <w:tcPr>
                  <w:tcW w:w="1658" w:type="pct"/>
                  <w:noWrap w:val="0"/>
                  <w:vAlign w:val="center"/>
                </w:tcPr>
                <w:p>
                  <w:pPr>
                    <w:keepNext w:val="0"/>
                    <w:keepLines w:val="0"/>
                    <w:pageBreakBefore w:val="0"/>
                    <w:kinsoku/>
                    <w:wordWrap/>
                    <w:overflowPunct/>
                    <w:topLinePunct w:val="0"/>
                    <w:autoSpaceDE/>
                    <w:autoSpaceDN/>
                    <w:bidi w:val="0"/>
                    <w:adjustRightInd/>
                    <w:snapToGrid/>
                    <w:spacing w:line="240" w:lineRule="auto"/>
                    <w:ind w:left="-42" w:leftChars="-20" w:right="-42" w:rightChars="-20"/>
                    <w:jc w:val="center"/>
                    <w:textAlignment w:val="auto"/>
                    <w:rPr>
                      <w:rFonts w:hint="eastAsia" w:ascii="Times New Roman" w:hAnsi="Times New Roman" w:eastAsia="宋体"/>
                      <w:snapToGrid w:val="0"/>
                      <w:color w:val="auto"/>
                      <w:sz w:val="21"/>
                      <w:szCs w:val="21"/>
                      <w:lang w:val="en-US" w:eastAsia="zh-CN"/>
                    </w:rPr>
                  </w:pPr>
                  <w:r>
                    <w:rPr>
                      <w:rFonts w:hint="eastAsia" w:ascii="Times New Roman" w:hAnsi="Times New Roman" w:eastAsia="宋体"/>
                      <w:snapToGrid w:val="0"/>
                      <w:color w:val="auto"/>
                      <w:sz w:val="21"/>
                      <w:szCs w:val="21"/>
                      <w:lang w:val="en-US" w:eastAsia="zh-CN"/>
                    </w:rPr>
                    <w:t>王家沟村</w:t>
                  </w:r>
                </w:p>
              </w:tc>
              <w:tc>
                <w:tcPr>
                  <w:tcW w:w="390"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52.1</w:t>
                  </w:r>
                </w:p>
              </w:tc>
              <w:tc>
                <w:tcPr>
                  <w:tcW w:w="379"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50.0</w:t>
                  </w:r>
                </w:p>
              </w:tc>
              <w:tc>
                <w:tcPr>
                  <w:tcW w:w="363"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51.1</w:t>
                  </w:r>
                </w:p>
              </w:tc>
              <w:tc>
                <w:tcPr>
                  <w:tcW w:w="388"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54.3</w:t>
                  </w:r>
                </w:p>
              </w:tc>
              <w:tc>
                <w:tcPr>
                  <w:tcW w:w="379"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45.4</w:t>
                  </w:r>
                </w:p>
              </w:tc>
              <w:tc>
                <w:tcPr>
                  <w:tcW w:w="362"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43.2</w:t>
                  </w:r>
                </w:p>
              </w:tc>
              <w:tc>
                <w:tcPr>
                  <w:tcW w:w="391"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44.7</w:t>
                  </w:r>
                </w:p>
              </w:tc>
              <w:tc>
                <w:tcPr>
                  <w:tcW w:w="348"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339" w:type="pct"/>
                  <w:noWrap w:val="0"/>
                  <w:vAlign w:val="center"/>
                </w:tcPr>
                <w:p>
                  <w:pPr>
                    <w:keepNext w:val="0"/>
                    <w:keepLines w:val="0"/>
                    <w:pageBreakBefore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eastAsia="宋体"/>
                      <w:bCs/>
                      <w:color w:val="auto"/>
                      <w:sz w:val="21"/>
                      <w:szCs w:val="21"/>
                      <w:lang w:val="en-US" w:eastAsia="zh-CN"/>
                    </w:rPr>
                  </w:pPr>
                  <w:r>
                    <w:rPr>
                      <w:rFonts w:hint="eastAsia" w:ascii="Times New Roman" w:hAnsi="Times New Roman"/>
                      <w:bCs/>
                      <w:color w:val="auto"/>
                      <w:sz w:val="21"/>
                      <w:szCs w:val="21"/>
                      <w:lang w:val="en-US" w:eastAsia="zh-CN"/>
                    </w:rPr>
                    <w:t>9#</w:t>
                  </w:r>
                </w:p>
              </w:tc>
              <w:tc>
                <w:tcPr>
                  <w:tcW w:w="1658" w:type="pct"/>
                  <w:noWrap w:val="0"/>
                  <w:vAlign w:val="center"/>
                </w:tcPr>
                <w:p>
                  <w:pPr>
                    <w:keepNext w:val="0"/>
                    <w:keepLines w:val="0"/>
                    <w:pageBreakBefore w:val="0"/>
                    <w:kinsoku/>
                    <w:wordWrap/>
                    <w:overflowPunct/>
                    <w:topLinePunct w:val="0"/>
                    <w:autoSpaceDE/>
                    <w:autoSpaceDN/>
                    <w:bidi w:val="0"/>
                    <w:adjustRightInd/>
                    <w:snapToGrid/>
                    <w:spacing w:line="240" w:lineRule="auto"/>
                    <w:ind w:left="-42" w:leftChars="-20" w:right="-42" w:rightChars="-20"/>
                    <w:jc w:val="center"/>
                    <w:textAlignment w:val="auto"/>
                    <w:rPr>
                      <w:rFonts w:hint="eastAsia" w:ascii="Times New Roman" w:hAnsi="Times New Roman" w:eastAsia="宋体"/>
                      <w:snapToGrid w:val="0"/>
                      <w:color w:val="auto"/>
                      <w:sz w:val="21"/>
                      <w:szCs w:val="21"/>
                      <w:lang w:val="en-US" w:eastAsia="zh-CN"/>
                    </w:rPr>
                  </w:pPr>
                  <w:r>
                    <w:rPr>
                      <w:rFonts w:hint="eastAsia" w:ascii="Times New Roman" w:hAnsi="Times New Roman" w:eastAsia="宋体"/>
                      <w:snapToGrid w:val="0"/>
                      <w:color w:val="auto"/>
                      <w:sz w:val="21"/>
                      <w:szCs w:val="21"/>
                      <w:lang w:val="en-US" w:eastAsia="zh-CN"/>
                    </w:rPr>
                    <w:t>王庄村</w:t>
                  </w:r>
                </w:p>
              </w:tc>
              <w:tc>
                <w:tcPr>
                  <w:tcW w:w="390"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49.6</w:t>
                  </w:r>
                </w:p>
              </w:tc>
              <w:tc>
                <w:tcPr>
                  <w:tcW w:w="379"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47.5</w:t>
                  </w:r>
                </w:p>
              </w:tc>
              <w:tc>
                <w:tcPr>
                  <w:tcW w:w="363"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48.6</w:t>
                  </w:r>
                </w:p>
              </w:tc>
              <w:tc>
                <w:tcPr>
                  <w:tcW w:w="388"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51.8</w:t>
                  </w:r>
                </w:p>
              </w:tc>
              <w:tc>
                <w:tcPr>
                  <w:tcW w:w="379"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42.9</w:t>
                  </w:r>
                </w:p>
              </w:tc>
              <w:tc>
                <w:tcPr>
                  <w:tcW w:w="362"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40.7</w:t>
                  </w:r>
                </w:p>
              </w:tc>
              <w:tc>
                <w:tcPr>
                  <w:tcW w:w="391"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42.2</w:t>
                  </w:r>
                </w:p>
              </w:tc>
              <w:tc>
                <w:tcPr>
                  <w:tcW w:w="348"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6" w:hRule="atLeast"/>
                <w:jc w:val="center"/>
              </w:trPr>
              <w:tc>
                <w:tcPr>
                  <w:tcW w:w="1998" w:type="pct"/>
                  <w:gridSpan w:val="2"/>
                  <w:noWrap w:val="0"/>
                  <w:vAlign w:val="center"/>
                </w:tcPr>
                <w:p>
                  <w:pPr>
                    <w:keepNext w:val="0"/>
                    <w:keepLines w:val="0"/>
                    <w:pageBreakBefore w:val="0"/>
                    <w:kinsoku/>
                    <w:wordWrap/>
                    <w:overflowPunct/>
                    <w:topLinePunct w:val="0"/>
                    <w:autoSpaceDE/>
                    <w:autoSpaceDN/>
                    <w:bidi w:val="0"/>
                    <w:adjustRightInd/>
                    <w:snapToGrid/>
                    <w:spacing w:line="240" w:lineRule="auto"/>
                    <w:ind w:left="-42" w:leftChars="-20" w:right="-42" w:rightChars="-20"/>
                    <w:jc w:val="center"/>
                    <w:textAlignment w:val="auto"/>
                    <w:rPr>
                      <w:rFonts w:ascii="Times New Roman" w:hAnsi="Times New Roman"/>
                      <w:snapToGrid w:val="0"/>
                      <w:color w:val="auto"/>
                      <w:sz w:val="21"/>
                      <w:szCs w:val="21"/>
                    </w:rPr>
                  </w:pPr>
                  <w:r>
                    <w:rPr>
                      <w:rFonts w:ascii="Times New Roman" w:hAnsi="Times New Roman"/>
                      <w:bCs/>
                      <w:color w:val="auto"/>
                      <w:sz w:val="21"/>
                      <w:szCs w:val="21"/>
                    </w:rPr>
                    <w:t>标准</w:t>
                  </w:r>
                </w:p>
              </w:tc>
              <w:tc>
                <w:tcPr>
                  <w:tcW w:w="1520" w:type="pct"/>
                  <w:gridSpan w:val="4"/>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60</w:t>
                  </w:r>
                </w:p>
              </w:tc>
              <w:tc>
                <w:tcPr>
                  <w:tcW w:w="1480" w:type="pct"/>
                  <w:gridSpan w:val="4"/>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6" w:hRule="atLeast"/>
                <w:jc w:val="center"/>
              </w:trPr>
              <w:tc>
                <w:tcPr>
                  <w:tcW w:w="1998" w:type="pct"/>
                  <w:gridSpan w:val="2"/>
                  <w:noWrap w:val="0"/>
                  <w:vAlign w:val="center"/>
                </w:tcPr>
                <w:p>
                  <w:pPr>
                    <w:keepNext w:val="0"/>
                    <w:keepLines w:val="0"/>
                    <w:pageBreakBefore w:val="0"/>
                    <w:kinsoku/>
                    <w:wordWrap/>
                    <w:overflowPunct/>
                    <w:topLinePunct w:val="0"/>
                    <w:autoSpaceDE/>
                    <w:autoSpaceDN/>
                    <w:bidi w:val="0"/>
                    <w:adjustRightInd/>
                    <w:snapToGrid/>
                    <w:spacing w:line="240" w:lineRule="auto"/>
                    <w:ind w:left="-42" w:leftChars="-20" w:right="-42" w:rightChars="-20"/>
                    <w:jc w:val="center"/>
                    <w:textAlignment w:val="auto"/>
                    <w:rPr>
                      <w:rFonts w:ascii="Times New Roman" w:hAnsi="Times New Roman"/>
                      <w:bCs/>
                      <w:color w:val="auto"/>
                      <w:sz w:val="21"/>
                      <w:szCs w:val="21"/>
                    </w:rPr>
                  </w:pPr>
                  <w:r>
                    <w:rPr>
                      <w:rFonts w:ascii="Times New Roman" w:hAnsi="Times New Roman"/>
                      <w:bCs/>
                      <w:color w:val="auto"/>
                      <w:sz w:val="21"/>
                      <w:szCs w:val="21"/>
                    </w:rPr>
                    <w:t>达标分析</w:t>
                  </w:r>
                </w:p>
              </w:tc>
              <w:tc>
                <w:tcPr>
                  <w:tcW w:w="1520" w:type="pct"/>
                  <w:gridSpan w:val="4"/>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ascii="Times New Roman" w:hAnsi="Times New Roman"/>
                      <w:snapToGrid w:val="0"/>
                      <w:color w:val="auto"/>
                      <w:kern w:val="0"/>
                      <w:sz w:val="21"/>
                      <w:szCs w:val="21"/>
                    </w:rPr>
                  </w:pPr>
                  <w:r>
                    <w:rPr>
                      <w:rFonts w:ascii="Times New Roman" w:hAnsi="Times New Roman"/>
                      <w:snapToGrid w:val="0"/>
                      <w:color w:val="auto"/>
                      <w:kern w:val="0"/>
                      <w:sz w:val="21"/>
                      <w:szCs w:val="21"/>
                    </w:rPr>
                    <w:t>达标</w:t>
                  </w:r>
                </w:p>
              </w:tc>
              <w:tc>
                <w:tcPr>
                  <w:tcW w:w="1480" w:type="pct"/>
                  <w:gridSpan w:val="4"/>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ascii="Times New Roman" w:hAnsi="Times New Roman"/>
                      <w:snapToGrid w:val="0"/>
                      <w:color w:val="auto"/>
                      <w:kern w:val="0"/>
                      <w:sz w:val="21"/>
                      <w:szCs w:val="21"/>
                    </w:rPr>
                  </w:pPr>
                  <w:r>
                    <w:rPr>
                      <w:rFonts w:ascii="Times New Roman" w:hAnsi="Times New Roman"/>
                      <w:snapToGrid w:val="0"/>
                      <w:color w:val="auto"/>
                      <w:kern w:val="0"/>
                      <w:sz w:val="21"/>
                      <w:szCs w:val="21"/>
                    </w:rPr>
                    <w:t>达标</w:t>
                  </w:r>
                </w:p>
              </w:tc>
            </w:tr>
          </w:tbl>
          <w:p>
            <w:pPr>
              <w:adjustRightInd w:val="0"/>
              <w:snapToGrid w:val="0"/>
              <w:spacing w:line="480" w:lineRule="exact"/>
              <w:ind w:firstLine="480" w:firstLineChars="200"/>
              <w:rPr>
                <w:rFonts w:hint="eastAsia"/>
                <w:bCs/>
                <w:color w:val="auto"/>
                <w:sz w:val="24"/>
              </w:rPr>
            </w:pPr>
            <w:r>
              <w:rPr>
                <w:rFonts w:hint="eastAsia"/>
                <w:bCs/>
                <w:color w:val="auto"/>
                <w:sz w:val="24"/>
              </w:rPr>
              <w:t>由上表的监测结果可知，各敏感点昼、夜噪声监测值均可以满足《声环境质量标准》(GB3096-2008)中</w:t>
            </w:r>
            <w:r>
              <w:rPr>
                <w:rFonts w:hint="eastAsia"/>
                <w:bCs/>
                <w:color w:val="auto"/>
                <w:sz w:val="24"/>
                <w:lang w:val="en-US" w:eastAsia="zh-CN"/>
              </w:rPr>
              <w:t>2</w:t>
            </w:r>
            <w:r>
              <w:rPr>
                <w:rFonts w:hint="eastAsia"/>
                <w:bCs/>
                <w:color w:val="auto"/>
                <w:sz w:val="24"/>
              </w:rPr>
              <w:t>类标准要求。</w:t>
            </w:r>
          </w:p>
          <w:p>
            <w:pPr>
              <w:adjustRightInd w:val="0"/>
              <w:snapToGrid w:val="0"/>
              <w:spacing w:line="480" w:lineRule="exact"/>
              <w:ind w:firstLine="482" w:firstLineChars="200"/>
              <w:rPr>
                <w:rFonts w:hint="eastAsia" w:eastAsia="宋体"/>
                <w:b/>
                <w:bCs/>
                <w:kern w:val="0"/>
                <w:sz w:val="24"/>
                <w:szCs w:val="24"/>
                <w:lang w:val="en-US" w:eastAsia="zh-CN"/>
              </w:rPr>
            </w:pPr>
          </w:p>
          <w:p>
            <w:pPr>
              <w:adjustRightInd w:val="0"/>
              <w:snapToGrid w:val="0"/>
              <w:spacing w:line="480" w:lineRule="exact"/>
              <w:ind w:firstLine="480" w:firstLineChars="200"/>
              <w:rPr>
                <w:kern w:val="0"/>
                <w:sz w:val="24"/>
                <w:szCs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53" w:hRule="atLeast"/>
          <w:jc w:val="center"/>
        </w:trPr>
        <w:tc>
          <w:tcPr>
            <w:tcW w:w="699" w:type="dxa"/>
            <w:vAlign w:val="center"/>
          </w:tcPr>
          <w:p>
            <w:pPr>
              <w:adjustRightInd w:val="0"/>
              <w:snapToGrid w:val="0"/>
              <w:jc w:val="center"/>
              <w:rPr>
                <w:rFonts w:ascii="宋体" w:hAnsi="宋体" w:cs="宋体"/>
                <w:kern w:val="0"/>
              </w:rPr>
            </w:pPr>
            <w:r>
              <w:rPr>
                <w:rFonts w:hint="eastAsia" w:ascii="宋体" w:hAnsi="宋体"/>
                <w:bCs/>
              </w:rPr>
              <w:t>与项目有关的原有环境污染和生态破坏问题</w:t>
            </w:r>
          </w:p>
        </w:tc>
        <w:tc>
          <w:tcPr>
            <w:tcW w:w="8762" w:type="dxa"/>
            <w:vAlign w:val="center"/>
          </w:tcPr>
          <w:p>
            <w:pPr>
              <w:adjustRightInd w:val="0"/>
              <w:snapToGrid w:val="0"/>
              <w:spacing w:line="480" w:lineRule="exact"/>
              <w:ind w:firstLine="482" w:firstLineChars="200"/>
              <w:rPr>
                <w:rFonts w:hint="default"/>
                <w:b/>
                <w:bCs/>
                <w:kern w:val="0"/>
                <w:sz w:val="24"/>
                <w:szCs w:val="24"/>
                <w:lang w:val="en-US" w:eastAsia="zh-CN"/>
              </w:rPr>
            </w:pPr>
            <w:r>
              <w:rPr>
                <w:rFonts w:hint="eastAsia"/>
                <w:b/>
                <w:bCs/>
                <w:kern w:val="0"/>
                <w:sz w:val="24"/>
                <w:szCs w:val="24"/>
                <w:lang w:val="en-US" w:eastAsia="zh-CN"/>
              </w:rPr>
              <w:t>（1）现有道路情况</w:t>
            </w:r>
          </w:p>
          <w:p>
            <w:pPr>
              <w:adjustRightInd w:val="0"/>
              <w:snapToGrid w:val="0"/>
              <w:spacing w:line="480" w:lineRule="exact"/>
              <w:ind w:firstLine="482" w:firstLineChars="200"/>
              <w:rPr>
                <w:rFonts w:hint="eastAsia"/>
                <w:kern w:val="0"/>
                <w:sz w:val="24"/>
                <w:szCs w:val="24"/>
                <w:lang w:val="en-US" w:eastAsia="zh-CN"/>
              </w:rPr>
            </w:pPr>
            <w:r>
              <w:rPr>
                <w:rFonts w:hint="eastAsia"/>
                <w:b/>
                <w:bCs/>
                <w:kern w:val="0"/>
                <w:sz w:val="24"/>
                <w:lang w:val="en-US" w:eastAsia="zh-CN"/>
              </w:rPr>
              <w:t>东外环路：</w:t>
            </w:r>
            <w:r>
              <w:rPr>
                <w:rFonts w:hint="eastAsia"/>
                <w:b w:val="0"/>
                <w:bCs w:val="0"/>
                <w:kern w:val="0"/>
                <w:sz w:val="24"/>
                <w:lang w:val="en-US" w:eastAsia="zh-CN"/>
              </w:rPr>
              <w:t>现</w:t>
            </w:r>
            <w:r>
              <w:rPr>
                <w:rFonts w:hint="eastAsia"/>
                <w:kern w:val="0"/>
                <w:sz w:val="24"/>
                <w:lang w:val="en-US" w:eastAsia="zh-CN"/>
              </w:rPr>
              <w:t>有</w:t>
            </w:r>
            <w:r>
              <w:rPr>
                <w:rFonts w:hint="eastAsia" w:cs="Times New Roman"/>
                <w:kern w:val="0"/>
                <w:sz w:val="24"/>
                <w:szCs w:val="24"/>
                <w:lang w:val="en-US" w:eastAsia="zh-CN"/>
              </w:rPr>
              <w:t>东外环路作为城南区对外交通的一条主要通道，是规划路网中的一环；现有东外环路为南北走向，由五台南收费站至长原线平交后与北外环路连接，双向2车道，城市主干路；目前道路两侧有栽植松柏等绿化树木及灌木草丛；东外环路作为五台县城对外交通的主要交通要道，现状道路宽度较窄，随着五台县经济社会发展，交通量需求必将大大增加，现状道路已不能满足交通需求。</w:t>
            </w:r>
          </w:p>
          <w:p>
            <w:pPr>
              <w:adjustRightInd w:val="0"/>
              <w:snapToGrid w:val="0"/>
              <w:spacing w:line="480" w:lineRule="exact"/>
              <w:ind w:firstLine="482" w:firstLineChars="200"/>
              <w:rPr>
                <w:rFonts w:hint="eastAsia"/>
                <w:kern w:val="0"/>
                <w:sz w:val="24"/>
                <w:szCs w:val="24"/>
                <w:lang w:val="en-US" w:eastAsia="zh-CN"/>
              </w:rPr>
            </w:pPr>
            <w:r>
              <w:rPr>
                <w:rFonts w:hint="eastAsia"/>
                <w:b/>
                <w:bCs/>
                <w:kern w:val="0"/>
                <w:sz w:val="24"/>
                <w:lang w:val="en-US" w:eastAsia="zh-CN"/>
              </w:rPr>
              <w:t>文昌路：</w:t>
            </w:r>
            <w:r>
              <w:rPr>
                <w:rFonts w:hint="eastAsia"/>
                <w:b w:val="0"/>
                <w:bCs w:val="0"/>
                <w:kern w:val="0"/>
                <w:sz w:val="24"/>
                <w:lang w:val="en-US" w:eastAsia="zh-CN"/>
              </w:rPr>
              <w:t>文昌路既是中心城区南北向的主要道路，也是城北新区的一条环湖道路，是规划路网中的一纵；</w:t>
            </w:r>
            <w:r>
              <w:rPr>
                <w:rFonts w:hint="eastAsia" w:cs="Times New Roman"/>
                <w:kern w:val="0"/>
                <w:sz w:val="24"/>
                <w:szCs w:val="24"/>
                <w:lang w:val="en-US" w:eastAsia="zh-CN"/>
              </w:rPr>
              <w:t>现有</w:t>
            </w:r>
            <w:r>
              <w:rPr>
                <w:rFonts w:hint="eastAsia"/>
                <w:b w:val="0"/>
                <w:bCs w:val="0"/>
                <w:kern w:val="0"/>
                <w:sz w:val="24"/>
                <w:lang w:val="en-US" w:eastAsia="zh-CN"/>
              </w:rPr>
              <w:t>文昌路</w:t>
            </w:r>
            <w:r>
              <w:rPr>
                <w:rFonts w:hint="eastAsia" w:cs="Times New Roman"/>
                <w:kern w:val="0"/>
                <w:sz w:val="24"/>
                <w:szCs w:val="24"/>
                <w:lang w:val="en-US" w:eastAsia="zh-CN"/>
              </w:rPr>
              <w:t>为南北走向，由迎宾路至唐家湾水库南侧，双向4车道，城市主干路；目前道路两侧有栽植松柏等绿化树木及灌木草丛；</w:t>
            </w:r>
            <w:r>
              <w:rPr>
                <w:rFonts w:hint="eastAsia"/>
                <w:b w:val="0"/>
                <w:bCs w:val="0"/>
                <w:kern w:val="0"/>
                <w:sz w:val="24"/>
                <w:lang w:val="en-US" w:eastAsia="zh-CN"/>
              </w:rPr>
              <w:t>文昌路环唐家湾水库段作为唐家湾水库的西环路，现状路面破坏严重，坑洼不平，路面较窄且弯多，行车视线不好，急需裁弯取直，扩宽路面；该段路面两侧无绿化。</w:t>
            </w:r>
          </w:p>
          <w:p>
            <w:pPr>
              <w:adjustRightInd w:val="0"/>
              <w:snapToGrid w:val="0"/>
              <w:spacing w:line="480" w:lineRule="exact"/>
              <w:ind w:firstLine="482" w:firstLineChars="200"/>
              <w:rPr>
                <w:rFonts w:hint="eastAsia"/>
                <w:kern w:val="0"/>
                <w:sz w:val="24"/>
                <w:szCs w:val="24"/>
                <w:lang w:val="en-US" w:eastAsia="zh-CN"/>
              </w:rPr>
            </w:pPr>
            <w:r>
              <w:rPr>
                <w:rFonts w:hint="eastAsia"/>
                <w:b/>
                <w:bCs/>
                <w:kern w:val="0"/>
                <w:sz w:val="24"/>
                <w:lang w:val="en-US" w:eastAsia="zh-CN"/>
              </w:rPr>
              <w:t>湖滨大街：</w:t>
            </w:r>
            <w:r>
              <w:rPr>
                <w:rFonts w:hint="eastAsia" w:cs="Times New Roman"/>
                <w:kern w:val="0"/>
                <w:sz w:val="24"/>
                <w:szCs w:val="24"/>
                <w:lang w:val="en-US" w:eastAsia="zh-CN"/>
              </w:rPr>
              <w:t>湖滨大街作为中心城区东西向的主要通道，是规划路网中的一横；现有湖滨大街为东西走向，由古城路至唐家湾村东侧，双向6车道，城市主干路；目前道路两侧有栽植松柏等绿化树木及灌木草丛；湖滨大街西延作为湖滨大街向西的延伸段，一直因为唐家湾村的拆迁而使湖滨大街多年形成断头路。</w:t>
            </w:r>
          </w:p>
          <w:p>
            <w:pPr>
              <w:adjustRightInd w:val="0"/>
              <w:snapToGrid w:val="0"/>
              <w:spacing w:line="480" w:lineRule="exact"/>
              <w:ind w:firstLine="482" w:firstLineChars="200"/>
              <w:rPr>
                <w:rFonts w:hint="default"/>
                <w:b/>
                <w:bCs/>
                <w:kern w:val="0"/>
                <w:sz w:val="24"/>
                <w:szCs w:val="24"/>
                <w:lang w:val="en-US" w:eastAsia="zh-CN"/>
              </w:rPr>
            </w:pPr>
            <w:r>
              <w:rPr>
                <w:rFonts w:hint="eastAsia"/>
                <w:b/>
                <w:bCs/>
                <w:kern w:val="0"/>
                <w:sz w:val="24"/>
                <w:szCs w:val="24"/>
                <w:lang w:val="en-US" w:eastAsia="zh-CN"/>
              </w:rPr>
              <w:t>（2）对现有道路的改造情况</w:t>
            </w:r>
          </w:p>
          <w:p>
            <w:pPr>
              <w:adjustRightInd w:val="0"/>
              <w:snapToGrid w:val="0"/>
              <w:spacing w:line="480" w:lineRule="exact"/>
              <w:ind w:firstLine="482" w:firstLineChars="200"/>
              <w:rPr>
                <w:rFonts w:hint="eastAsia"/>
                <w:color w:val="auto"/>
                <w:kern w:val="0"/>
                <w:sz w:val="24"/>
                <w:szCs w:val="24"/>
                <w:lang w:val="en-US" w:eastAsia="zh-CN"/>
              </w:rPr>
            </w:pPr>
            <w:r>
              <w:rPr>
                <w:rFonts w:hint="eastAsia"/>
                <w:b/>
                <w:bCs/>
                <w:color w:val="auto"/>
                <w:kern w:val="0"/>
                <w:sz w:val="24"/>
                <w:lang w:val="en-US" w:eastAsia="zh-CN"/>
              </w:rPr>
              <w:t>东外环路：</w:t>
            </w:r>
            <w:r>
              <w:rPr>
                <w:rFonts w:hint="eastAsia" w:ascii="Times New Roman" w:hAnsi="Times New Roman" w:cs="Times New Roman"/>
                <w:b w:val="0"/>
                <w:bCs/>
                <w:color w:val="auto"/>
                <w:sz w:val="24"/>
                <w:szCs w:val="24"/>
                <w:lang w:val="en-US" w:eastAsia="zh-CN"/>
              </w:rPr>
              <w:t>现状道路按左幅路保留使用，道路总长1960m，道路总宽12m，为增加行车舒适性，路面需要重新找坡。</w:t>
            </w:r>
          </w:p>
          <w:p>
            <w:pPr>
              <w:adjustRightInd w:val="0"/>
              <w:snapToGrid w:val="0"/>
              <w:spacing w:line="480" w:lineRule="exact"/>
              <w:ind w:firstLine="482" w:firstLineChars="200"/>
              <w:rPr>
                <w:rFonts w:hint="default"/>
                <w:color w:val="auto"/>
                <w:kern w:val="0"/>
                <w:sz w:val="24"/>
                <w:szCs w:val="24"/>
                <w:lang w:val="en-US" w:eastAsia="zh-CN"/>
              </w:rPr>
            </w:pPr>
            <w:r>
              <w:rPr>
                <w:rFonts w:hint="eastAsia"/>
                <w:b/>
                <w:bCs/>
                <w:color w:val="auto"/>
                <w:kern w:val="0"/>
                <w:sz w:val="24"/>
                <w:lang w:val="en-US" w:eastAsia="zh-CN"/>
              </w:rPr>
              <w:t>文昌路：</w:t>
            </w:r>
            <w:r>
              <w:rPr>
                <w:rFonts w:hint="eastAsia" w:ascii="Times New Roman" w:hAnsi="Times New Roman" w:cs="Times New Roman"/>
                <w:b w:val="0"/>
                <w:bCs/>
                <w:color w:val="auto"/>
                <w:sz w:val="24"/>
                <w:szCs w:val="24"/>
                <w:lang w:val="en-US" w:eastAsia="zh-CN"/>
              </w:rPr>
              <w:t>现状</w:t>
            </w:r>
            <w:r>
              <w:rPr>
                <w:rFonts w:hint="eastAsia" w:cs="Times New Roman"/>
                <w:b w:val="0"/>
                <w:bCs/>
                <w:color w:val="auto"/>
                <w:sz w:val="24"/>
                <w:szCs w:val="24"/>
                <w:lang w:val="en-US" w:eastAsia="zh-CN"/>
              </w:rPr>
              <w:t>文昌路不进行改动；</w:t>
            </w:r>
            <w:r>
              <w:rPr>
                <w:rFonts w:hint="eastAsia"/>
                <w:b w:val="0"/>
                <w:bCs w:val="0"/>
                <w:color w:val="auto"/>
                <w:kern w:val="0"/>
                <w:sz w:val="24"/>
                <w:lang w:val="en-US" w:eastAsia="zh-CN"/>
              </w:rPr>
              <w:t>文昌路环唐家湾水库段现状路面破坏严重，坑洼不平，路面较窄且弯多，行车视线不好，急需裁弯取直。</w:t>
            </w:r>
          </w:p>
          <w:p>
            <w:pPr>
              <w:adjustRightInd w:val="0"/>
              <w:snapToGrid w:val="0"/>
              <w:spacing w:line="480" w:lineRule="exact"/>
              <w:ind w:firstLine="482" w:firstLineChars="200"/>
              <w:rPr>
                <w:rFonts w:hint="default"/>
                <w:color w:val="auto"/>
                <w:kern w:val="0"/>
                <w:sz w:val="24"/>
                <w:szCs w:val="24"/>
                <w:lang w:val="en-US" w:eastAsia="zh-CN"/>
              </w:rPr>
            </w:pPr>
            <w:r>
              <w:rPr>
                <w:rFonts w:hint="eastAsia"/>
                <w:b/>
                <w:bCs/>
                <w:color w:val="auto"/>
                <w:kern w:val="0"/>
                <w:sz w:val="24"/>
                <w:lang w:val="en-US" w:eastAsia="zh-CN"/>
              </w:rPr>
              <w:t>湖滨大街：</w:t>
            </w:r>
            <w:r>
              <w:rPr>
                <w:rFonts w:hint="eastAsia"/>
                <w:b w:val="0"/>
                <w:bCs w:val="0"/>
                <w:color w:val="auto"/>
                <w:kern w:val="0"/>
                <w:sz w:val="24"/>
                <w:lang w:val="en-US" w:eastAsia="zh-CN"/>
              </w:rPr>
              <w:t>现状</w:t>
            </w:r>
            <w:r>
              <w:rPr>
                <w:rFonts w:hint="eastAsia" w:cs="Times New Roman"/>
                <w:color w:val="auto"/>
                <w:kern w:val="0"/>
                <w:sz w:val="24"/>
                <w:szCs w:val="24"/>
                <w:lang w:val="en-US" w:eastAsia="zh-CN"/>
              </w:rPr>
              <w:t>湖滨大街不进行改动。</w:t>
            </w:r>
          </w:p>
          <w:p>
            <w:pPr>
              <w:adjustRightInd w:val="0"/>
              <w:snapToGrid w:val="0"/>
              <w:spacing w:line="480" w:lineRule="exact"/>
              <w:ind w:firstLine="482" w:firstLineChars="200"/>
              <w:rPr>
                <w:rFonts w:hint="default"/>
                <w:b/>
                <w:bCs/>
                <w:kern w:val="0"/>
                <w:sz w:val="24"/>
                <w:szCs w:val="24"/>
                <w:lang w:val="en-US" w:eastAsia="zh-CN"/>
              </w:rPr>
            </w:pPr>
            <w:r>
              <w:rPr>
                <w:rFonts w:hint="eastAsia"/>
                <w:b/>
                <w:bCs/>
                <w:kern w:val="0"/>
                <w:sz w:val="24"/>
                <w:szCs w:val="24"/>
                <w:lang w:val="en-US" w:eastAsia="zh-CN"/>
              </w:rPr>
              <w:t>（3）现有道路存在的环境问题及整改措施</w:t>
            </w:r>
          </w:p>
          <w:p>
            <w:pPr>
              <w:adjustRightInd w:val="0"/>
              <w:snapToGrid w:val="0"/>
              <w:spacing w:line="480" w:lineRule="exact"/>
              <w:ind w:firstLine="480" w:firstLineChars="200"/>
              <w:rPr>
                <w:rFonts w:hint="default"/>
                <w:kern w:val="0"/>
                <w:sz w:val="24"/>
                <w:szCs w:val="24"/>
                <w:lang w:val="en-US" w:eastAsia="zh-CN"/>
              </w:rPr>
            </w:pPr>
            <w:r>
              <w:rPr>
                <w:rFonts w:hint="eastAsia"/>
                <w:kern w:val="0"/>
                <w:sz w:val="24"/>
                <w:szCs w:val="24"/>
                <w:lang w:val="en-US" w:eastAsia="zh-CN"/>
              </w:rPr>
              <w:t>现状东外环路、文昌路、湖滨大街两侧绿化情况较好，不存在环境问题；本项目实施时，将对东外环路现有路面、文昌路环唐家湾水库段路面进行拆除，拆除过程中将产生路面建筑垃圾，如混凝土块、弃土、钢筋等废弃物；路面拆除产生的建筑垃圾首先外售相关建筑垃圾回收单位综合利用，无法回收的运至市政指定的渣场处理。</w:t>
            </w:r>
          </w:p>
          <w:p>
            <w:pPr>
              <w:adjustRightInd w:val="0"/>
              <w:snapToGrid w:val="0"/>
              <w:spacing w:line="480" w:lineRule="exact"/>
              <w:ind w:firstLine="480" w:firstLineChars="200"/>
              <w:rPr>
                <w:rFonts w:hint="default"/>
                <w:kern w:val="0"/>
                <w:sz w:val="24"/>
                <w:szCs w:val="24"/>
                <w:lang w:val="en-US" w:eastAsia="zh-CN"/>
              </w:rPr>
            </w:pPr>
            <w:r>
              <w:rPr>
                <w:rFonts w:hint="eastAsia"/>
                <w:kern w:val="0"/>
                <w:sz w:val="24"/>
                <w:szCs w:val="24"/>
                <w:lang w:val="en-US" w:eastAsia="zh-CN"/>
              </w:rPr>
              <w:t>同时，东外环路两侧现有绿化树木，建设单位在路面拆除前应会同园林部门制定树木移植方案，将现有树木移植到附近林场或苗圃园内，由专业技术人员养护照料，尽量降低现有树木的死亡干枯。</w:t>
            </w:r>
          </w:p>
          <w:p>
            <w:pPr>
              <w:adjustRightInd w:val="0"/>
              <w:snapToGrid w:val="0"/>
              <w:spacing w:line="480" w:lineRule="exact"/>
              <w:ind w:firstLine="480" w:firstLineChars="200"/>
              <w:rPr>
                <w:rFonts w:hint="eastAsia"/>
                <w:kern w:val="0"/>
                <w:sz w:val="24"/>
                <w:szCs w:val="24"/>
                <w:lang w:val="en-US" w:eastAsia="zh-CN"/>
              </w:rPr>
            </w:pPr>
          </w:p>
          <w:p>
            <w:pPr>
              <w:adjustRightInd w:val="0"/>
              <w:snapToGrid w:val="0"/>
              <w:spacing w:line="480" w:lineRule="exact"/>
              <w:ind w:firstLine="480" w:firstLineChars="200"/>
              <w:rPr>
                <w:rFonts w:hint="eastAsia" w:eastAsia="宋体"/>
                <w:kern w:val="0"/>
                <w:sz w:val="24"/>
                <w:szCs w:val="24"/>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35" w:hRule="atLeast"/>
          <w:jc w:val="center"/>
        </w:trPr>
        <w:tc>
          <w:tcPr>
            <w:tcW w:w="699" w:type="dxa"/>
            <w:vAlign w:val="center"/>
          </w:tcPr>
          <w:p>
            <w:pPr>
              <w:adjustRightInd w:val="0"/>
              <w:snapToGrid w:val="0"/>
              <w:jc w:val="center"/>
              <w:rPr>
                <w:rFonts w:ascii="宋体" w:hAnsi="宋体" w:cs="宋体"/>
                <w:kern w:val="0"/>
              </w:rPr>
            </w:pPr>
            <w:r>
              <w:rPr>
                <w:rFonts w:hint="eastAsia" w:ascii="宋体" w:hAnsi="宋体" w:cs="宋体"/>
                <w:kern w:val="0"/>
              </w:rPr>
              <w:t>生态环境保护目标</w:t>
            </w:r>
          </w:p>
        </w:tc>
        <w:tc>
          <w:tcPr>
            <w:tcW w:w="8762" w:type="dxa"/>
            <w:vAlign w:val="center"/>
          </w:tcPr>
          <w:p>
            <w:pPr>
              <w:spacing w:line="500" w:lineRule="exact"/>
              <w:ind w:firstLine="496" w:firstLineChars="200"/>
              <w:rPr>
                <w:spacing w:val="4"/>
                <w:sz w:val="24"/>
                <w:szCs w:val="24"/>
              </w:rPr>
            </w:pPr>
            <w:r>
              <w:rPr>
                <w:spacing w:val="4"/>
                <w:sz w:val="24"/>
                <w:szCs w:val="24"/>
              </w:rPr>
              <w:t>本评价确定的生态环境保护目标及对象见</w:t>
            </w:r>
            <w:r>
              <w:rPr>
                <w:rFonts w:hint="eastAsia"/>
                <w:spacing w:val="4"/>
                <w:sz w:val="24"/>
                <w:szCs w:val="24"/>
              </w:rPr>
              <w:t>下</w:t>
            </w:r>
            <w:r>
              <w:rPr>
                <w:spacing w:val="4"/>
                <w:sz w:val="24"/>
                <w:szCs w:val="24"/>
              </w:rPr>
              <w:t>表。</w:t>
            </w:r>
          </w:p>
          <w:p>
            <w:pPr>
              <w:pStyle w:val="5"/>
              <w:spacing w:line="480" w:lineRule="exact"/>
              <w:ind w:firstLine="0"/>
              <w:jc w:val="center"/>
              <w:rPr>
                <w:rFonts w:ascii="黑体" w:hAnsi="黑体" w:eastAsia="黑体"/>
                <w:sz w:val="24"/>
                <w:szCs w:val="21"/>
              </w:rPr>
            </w:pPr>
            <w:r>
              <w:rPr>
                <w:rFonts w:ascii="黑体" w:hAnsi="黑体" w:eastAsia="黑体"/>
                <w:sz w:val="24"/>
                <w:szCs w:val="21"/>
              </w:rPr>
              <w:t>表3-</w:t>
            </w:r>
            <w:r>
              <w:rPr>
                <w:rFonts w:hint="eastAsia" w:ascii="黑体" w:hAnsi="黑体" w:eastAsia="黑体"/>
                <w:sz w:val="24"/>
                <w:szCs w:val="21"/>
                <w:lang w:val="en-US" w:eastAsia="zh-CN"/>
              </w:rPr>
              <w:t>10</w:t>
            </w:r>
            <w:r>
              <w:rPr>
                <w:rFonts w:hint="eastAsia" w:ascii="黑体" w:hAnsi="黑体" w:eastAsia="黑体"/>
                <w:sz w:val="24"/>
                <w:szCs w:val="21"/>
              </w:rPr>
              <w:t xml:space="preserve">  主要环境保护目标表</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1"/>
              <w:gridCol w:w="1122"/>
              <w:gridCol w:w="1679"/>
              <w:gridCol w:w="668"/>
              <w:gridCol w:w="540"/>
              <w:gridCol w:w="1854"/>
              <w:gridCol w:w="19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404" w:type="pct"/>
                  <w:vMerge w:val="restart"/>
                  <w:vAlign w:val="center"/>
                </w:tcPr>
                <w:p>
                  <w:pPr>
                    <w:keepNext w:val="0"/>
                    <w:keepLines w:val="0"/>
                    <w:pageBreakBefore w:val="0"/>
                    <w:kinsoku/>
                    <w:wordWrap/>
                    <w:overflowPunct/>
                    <w:topLinePunct w:val="0"/>
                    <w:autoSpaceDE/>
                    <w:autoSpaceDN/>
                    <w:bidi w:val="0"/>
                    <w:snapToGrid/>
                    <w:spacing w:line="240" w:lineRule="auto"/>
                    <w:jc w:val="center"/>
                    <w:rPr>
                      <w:bCs/>
                    </w:rPr>
                  </w:pPr>
                  <w:r>
                    <w:rPr>
                      <w:bCs/>
                    </w:rPr>
                    <w:t>类别</w:t>
                  </w:r>
                </w:p>
              </w:tc>
              <w:tc>
                <w:tcPr>
                  <w:tcW w:w="657" w:type="pct"/>
                  <w:vMerge w:val="restart"/>
                  <w:vAlign w:val="center"/>
                </w:tcPr>
                <w:p>
                  <w:pPr>
                    <w:keepNext w:val="0"/>
                    <w:keepLines w:val="0"/>
                    <w:pageBreakBefore w:val="0"/>
                    <w:kinsoku/>
                    <w:wordWrap/>
                    <w:overflowPunct/>
                    <w:topLinePunct w:val="0"/>
                    <w:autoSpaceDE/>
                    <w:autoSpaceDN/>
                    <w:bidi w:val="0"/>
                    <w:snapToGrid/>
                    <w:spacing w:line="240" w:lineRule="auto"/>
                    <w:jc w:val="center"/>
                    <w:rPr>
                      <w:bCs/>
                    </w:rPr>
                  </w:pPr>
                  <w:r>
                    <w:rPr>
                      <w:bCs/>
                    </w:rPr>
                    <w:t>保护</w:t>
                  </w:r>
                </w:p>
                <w:p>
                  <w:pPr>
                    <w:keepNext w:val="0"/>
                    <w:keepLines w:val="0"/>
                    <w:pageBreakBefore w:val="0"/>
                    <w:kinsoku/>
                    <w:wordWrap/>
                    <w:overflowPunct/>
                    <w:topLinePunct w:val="0"/>
                    <w:autoSpaceDE/>
                    <w:autoSpaceDN/>
                    <w:bidi w:val="0"/>
                    <w:snapToGrid/>
                    <w:spacing w:line="240" w:lineRule="auto"/>
                    <w:jc w:val="center"/>
                    <w:rPr>
                      <w:bCs/>
                    </w:rPr>
                  </w:pPr>
                  <w:r>
                    <w:rPr>
                      <w:bCs/>
                    </w:rPr>
                    <w:t>目标</w:t>
                  </w:r>
                </w:p>
              </w:tc>
              <w:tc>
                <w:tcPr>
                  <w:tcW w:w="983" w:type="pct"/>
                  <w:vAlign w:val="center"/>
                </w:tcPr>
                <w:p>
                  <w:pPr>
                    <w:keepNext w:val="0"/>
                    <w:keepLines w:val="0"/>
                    <w:pageBreakBefore w:val="0"/>
                    <w:kinsoku/>
                    <w:wordWrap/>
                    <w:overflowPunct/>
                    <w:topLinePunct w:val="0"/>
                    <w:autoSpaceDE/>
                    <w:autoSpaceDN/>
                    <w:bidi w:val="0"/>
                    <w:snapToGrid/>
                    <w:spacing w:line="240" w:lineRule="auto"/>
                    <w:jc w:val="center"/>
                    <w:rPr>
                      <w:bCs/>
                    </w:rPr>
                  </w:pPr>
                  <w:r>
                    <w:rPr>
                      <w:bCs/>
                    </w:rPr>
                    <w:t>目标地理坐标</w:t>
                  </w:r>
                </w:p>
              </w:tc>
              <w:tc>
                <w:tcPr>
                  <w:tcW w:w="391" w:type="pct"/>
                  <w:vMerge w:val="restart"/>
                  <w:vAlign w:val="center"/>
                </w:tcPr>
                <w:p>
                  <w:pPr>
                    <w:keepNext w:val="0"/>
                    <w:keepLines w:val="0"/>
                    <w:pageBreakBefore w:val="0"/>
                    <w:kinsoku/>
                    <w:wordWrap/>
                    <w:overflowPunct/>
                    <w:topLinePunct w:val="0"/>
                    <w:autoSpaceDE/>
                    <w:autoSpaceDN/>
                    <w:bidi w:val="0"/>
                    <w:snapToGrid/>
                    <w:spacing w:line="240" w:lineRule="auto"/>
                    <w:jc w:val="center"/>
                    <w:rPr>
                      <w:rFonts w:hint="eastAsia" w:eastAsia="宋体"/>
                      <w:bCs/>
                      <w:lang w:eastAsia="zh-CN"/>
                    </w:rPr>
                  </w:pPr>
                  <w:r>
                    <w:rPr>
                      <w:bCs/>
                    </w:rPr>
                    <w:t>保护</w:t>
                  </w:r>
                  <w:r>
                    <w:rPr>
                      <w:rFonts w:hint="eastAsia"/>
                      <w:bCs/>
                      <w:lang w:val="en-US" w:eastAsia="zh-CN"/>
                    </w:rPr>
                    <w:t>对象</w:t>
                  </w:r>
                </w:p>
              </w:tc>
              <w:tc>
                <w:tcPr>
                  <w:tcW w:w="316" w:type="pct"/>
                  <w:vMerge w:val="restart"/>
                  <w:vAlign w:val="center"/>
                </w:tcPr>
                <w:p>
                  <w:pPr>
                    <w:keepNext w:val="0"/>
                    <w:keepLines w:val="0"/>
                    <w:pageBreakBefore w:val="0"/>
                    <w:kinsoku/>
                    <w:wordWrap/>
                    <w:overflowPunct/>
                    <w:topLinePunct w:val="0"/>
                    <w:autoSpaceDE/>
                    <w:autoSpaceDN/>
                    <w:bidi w:val="0"/>
                    <w:snapToGrid/>
                    <w:spacing w:line="240" w:lineRule="auto"/>
                    <w:jc w:val="center"/>
                    <w:rPr>
                      <w:bCs/>
                    </w:rPr>
                  </w:pPr>
                  <w:r>
                    <w:rPr>
                      <w:bCs/>
                    </w:rPr>
                    <w:t>方位</w:t>
                  </w:r>
                </w:p>
              </w:tc>
              <w:tc>
                <w:tcPr>
                  <w:tcW w:w="1085" w:type="pct"/>
                  <w:vMerge w:val="restart"/>
                  <w:vAlign w:val="center"/>
                </w:tcPr>
                <w:p>
                  <w:pPr>
                    <w:keepNext w:val="0"/>
                    <w:keepLines w:val="0"/>
                    <w:pageBreakBefore w:val="0"/>
                    <w:kinsoku/>
                    <w:wordWrap/>
                    <w:overflowPunct/>
                    <w:topLinePunct w:val="0"/>
                    <w:autoSpaceDE/>
                    <w:autoSpaceDN/>
                    <w:bidi w:val="0"/>
                    <w:snapToGrid/>
                    <w:spacing w:line="240" w:lineRule="auto"/>
                    <w:jc w:val="center"/>
                    <w:rPr>
                      <w:bCs/>
                    </w:rPr>
                  </w:pPr>
                  <w:r>
                    <w:rPr>
                      <w:bCs/>
                    </w:rPr>
                    <w:t>距离(m)</w:t>
                  </w:r>
                </w:p>
              </w:tc>
              <w:tc>
                <w:tcPr>
                  <w:tcW w:w="1160" w:type="pct"/>
                  <w:vMerge w:val="restart"/>
                  <w:vAlign w:val="center"/>
                </w:tcPr>
                <w:p>
                  <w:pPr>
                    <w:keepNext w:val="0"/>
                    <w:keepLines w:val="0"/>
                    <w:pageBreakBefore w:val="0"/>
                    <w:kinsoku/>
                    <w:wordWrap/>
                    <w:overflowPunct/>
                    <w:topLinePunct w:val="0"/>
                    <w:autoSpaceDE/>
                    <w:autoSpaceDN/>
                    <w:bidi w:val="0"/>
                    <w:snapToGrid/>
                    <w:spacing w:line="240" w:lineRule="auto"/>
                    <w:jc w:val="center"/>
                    <w:rPr>
                      <w:bCs/>
                    </w:rPr>
                  </w:pPr>
                  <w:r>
                    <w:rPr>
                      <w:bCs/>
                    </w:rPr>
                    <w:t>控制目标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3" w:hRule="atLeast"/>
                <w:jc w:val="center"/>
              </w:trPr>
              <w:tc>
                <w:tcPr>
                  <w:tcW w:w="404" w:type="pct"/>
                  <w:vMerge w:val="continue"/>
                  <w:vAlign w:val="center"/>
                </w:tcPr>
                <w:p>
                  <w:pPr>
                    <w:keepNext w:val="0"/>
                    <w:keepLines w:val="0"/>
                    <w:pageBreakBefore w:val="0"/>
                    <w:widowControl/>
                    <w:kinsoku/>
                    <w:wordWrap/>
                    <w:overflowPunct/>
                    <w:topLinePunct w:val="0"/>
                    <w:autoSpaceDE/>
                    <w:autoSpaceDN/>
                    <w:bidi w:val="0"/>
                    <w:snapToGrid/>
                    <w:spacing w:line="240" w:lineRule="auto"/>
                    <w:jc w:val="center"/>
                    <w:rPr>
                      <w:bCs/>
                    </w:rPr>
                  </w:pPr>
                </w:p>
              </w:tc>
              <w:tc>
                <w:tcPr>
                  <w:tcW w:w="657" w:type="pct"/>
                  <w:vMerge w:val="continue"/>
                  <w:vAlign w:val="center"/>
                </w:tcPr>
                <w:p>
                  <w:pPr>
                    <w:keepNext w:val="0"/>
                    <w:keepLines w:val="0"/>
                    <w:pageBreakBefore w:val="0"/>
                    <w:widowControl/>
                    <w:kinsoku/>
                    <w:wordWrap/>
                    <w:overflowPunct/>
                    <w:topLinePunct w:val="0"/>
                    <w:autoSpaceDE/>
                    <w:autoSpaceDN/>
                    <w:bidi w:val="0"/>
                    <w:snapToGrid/>
                    <w:spacing w:line="240" w:lineRule="auto"/>
                    <w:jc w:val="center"/>
                    <w:rPr>
                      <w:bCs/>
                    </w:rPr>
                  </w:pPr>
                </w:p>
              </w:tc>
              <w:tc>
                <w:tcPr>
                  <w:tcW w:w="983" w:type="pct"/>
                  <w:vAlign w:val="center"/>
                </w:tcPr>
                <w:p>
                  <w:pPr>
                    <w:keepNext w:val="0"/>
                    <w:keepLines w:val="0"/>
                    <w:pageBreakBefore w:val="0"/>
                    <w:kinsoku/>
                    <w:wordWrap/>
                    <w:overflowPunct/>
                    <w:topLinePunct w:val="0"/>
                    <w:autoSpaceDE/>
                    <w:autoSpaceDN/>
                    <w:bidi w:val="0"/>
                    <w:snapToGrid/>
                    <w:spacing w:line="240" w:lineRule="auto"/>
                    <w:jc w:val="center"/>
                    <w:rPr>
                      <w:bCs/>
                    </w:rPr>
                  </w:pPr>
                  <w:r>
                    <w:rPr>
                      <w:bCs/>
                    </w:rPr>
                    <w:t>经度</w:t>
                  </w:r>
                  <w:r>
                    <w:rPr>
                      <w:rFonts w:hint="eastAsia"/>
                      <w:bCs/>
                      <w:lang w:val="en-US" w:eastAsia="zh-CN"/>
                    </w:rPr>
                    <w:t>/维度</w:t>
                  </w:r>
                </w:p>
              </w:tc>
              <w:tc>
                <w:tcPr>
                  <w:tcW w:w="391" w:type="pct"/>
                  <w:vMerge w:val="continue"/>
                  <w:vAlign w:val="center"/>
                </w:tcPr>
                <w:p>
                  <w:pPr>
                    <w:keepNext w:val="0"/>
                    <w:keepLines w:val="0"/>
                    <w:pageBreakBefore w:val="0"/>
                    <w:widowControl/>
                    <w:kinsoku/>
                    <w:wordWrap/>
                    <w:overflowPunct/>
                    <w:topLinePunct w:val="0"/>
                    <w:autoSpaceDE/>
                    <w:autoSpaceDN/>
                    <w:bidi w:val="0"/>
                    <w:snapToGrid/>
                    <w:spacing w:line="240" w:lineRule="auto"/>
                    <w:jc w:val="center"/>
                    <w:rPr>
                      <w:bCs/>
                    </w:rPr>
                  </w:pPr>
                </w:p>
              </w:tc>
              <w:tc>
                <w:tcPr>
                  <w:tcW w:w="316" w:type="pct"/>
                  <w:vMerge w:val="continue"/>
                  <w:vAlign w:val="center"/>
                </w:tcPr>
                <w:p>
                  <w:pPr>
                    <w:keepNext w:val="0"/>
                    <w:keepLines w:val="0"/>
                    <w:pageBreakBefore w:val="0"/>
                    <w:widowControl/>
                    <w:kinsoku/>
                    <w:wordWrap/>
                    <w:overflowPunct/>
                    <w:topLinePunct w:val="0"/>
                    <w:autoSpaceDE/>
                    <w:autoSpaceDN/>
                    <w:bidi w:val="0"/>
                    <w:snapToGrid/>
                    <w:spacing w:line="240" w:lineRule="auto"/>
                    <w:jc w:val="center"/>
                    <w:rPr>
                      <w:bCs/>
                    </w:rPr>
                  </w:pPr>
                </w:p>
              </w:tc>
              <w:tc>
                <w:tcPr>
                  <w:tcW w:w="1085" w:type="pct"/>
                  <w:vMerge w:val="continue"/>
                  <w:vAlign w:val="center"/>
                </w:tcPr>
                <w:p>
                  <w:pPr>
                    <w:keepNext w:val="0"/>
                    <w:keepLines w:val="0"/>
                    <w:pageBreakBefore w:val="0"/>
                    <w:widowControl/>
                    <w:kinsoku/>
                    <w:wordWrap/>
                    <w:overflowPunct/>
                    <w:topLinePunct w:val="0"/>
                    <w:autoSpaceDE/>
                    <w:autoSpaceDN/>
                    <w:bidi w:val="0"/>
                    <w:snapToGrid/>
                    <w:spacing w:line="240" w:lineRule="auto"/>
                    <w:jc w:val="center"/>
                    <w:rPr>
                      <w:bCs/>
                    </w:rPr>
                  </w:pPr>
                </w:p>
              </w:tc>
              <w:tc>
                <w:tcPr>
                  <w:tcW w:w="1160" w:type="pct"/>
                  <w:vMerge w:val="continue"/>
                  <w:vAlign w:val="center"/>
                </w:tcPr>
                <w:p>
                  <w:pPr>
                    <w:keepNext w:val="0"/>
                    <w:keepLines w:val="0"/>
                    <w:pageBreakBefore w:val="0"/>
                    <w:widowControl/>
                    <w:kinsoku/>
                    <w:wordWrap/>
                    <w:overflowPunct/>
                    <w:topLinePunct w:val="0"/>
                    <w:autoSpaceDE/>
                    <w:autoSpaceDN/>
                    <w:bidi w:val="0"/>
                    <w:snapToGrid/>
                    <w:spacing w:line="240" w:lineRule="auto"/>
                    <w:jc w:val="center"/>
                    <w:rPr>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404" w:type="pct"/>
                  <w:vMerge w:val="restart"/>
                  <w:vAlign w:val="center"/>
                </w:tcPr>
                <w:p>
                  <w:pPr>
                    <w:keepNext w:val="0"/>
                    <w:keepLines w:val="0"/>
                    <w:pageBreakBefore w:val="0"/>
                    <w:kinsoku/>
                    <w:wordWrap/>
                    <w:overflowPunct/>
                    <w:topLinePunct w:val="0"/>
                    <w:autoSpaceDE/>
                    <w:autoSpaceDN/>
                    <w:bidi w:val="0"/>
                    <w:snapToGrid/>
                    <w:spacing w:line="240" w:lineRule="auto"/>
                    <w:jc w:val="center"/>
                    <w:rPr>
                      <w:rFonts w:hint="default" w:eastAsia="宋体"/>
                      <w:bCs/>
                      <w:lang w:val="en-US" w:eastAsia="zh-CN"/>
                    </w:rPr>
                  </w:pPr>
                  <w:r>
                    <w:rPr>
                      <w:rFonts w:hint="eastAsia"/>
                      <w:bCs/>
                      <w:lang w:val="en-US" w:eastAsia="zh-CN"/>
                    </w:rPr>
                    <w:t>大气环境</w:t>
                  </w:r>
                </w:p>
              </w:tc>
              <w:tc>
                <w:tcPr>
                  <w:tcW w:w="657" w:type="pct"/>
                  <w:vAlign w:val="center"/>
                </w:tcPr>
                <w:p>
                  <w:pPr>
                    <w:keepNext w:val="0"/>
                    <w:keepLines w:val="0"/>
                    <w:pageBreakBefore w:val="0"/>
                    <w:kinsoku/>
                    <w:wordWrap/>
                    <w:overflowPunct/>
                    <w:topLinePunct w:val="0"/>
                    <w:autoSpaceDE/>
                    <w:autoSpaceDN/>
                    <w:bidi w:val="0"/>
                    <w:snapToGrid/>
                    <w:spacing w:line="240" w:lineRule="auto"/>
                    <w:jc w:val="center"/>
                    <w:rPr>
                      <w:rFonts w:hint="default" w:eastAsia="宋体"/>
                      <w:lang w:val="en-US" w:eastAsia="zh-CN"/>
                    </w:rPr>
                  </w:pPr>
                  <w:r>
                    <w:rPr>
                      <w:rFonts w:hint="eastAsia"/>
                      <w:lang w:val="en-US" w:eastAsia="zh-CN"/>
                    </w:rPr>
                    <w:t>唐家湾村</w:t>
                  </w:r>
                </w:p>
              </w:tc>
              <w:tc>
                <w:tcPr>
                  <w:tcW w:w="983" w:type="pct"/>
                  <w:vAlign w:val="center"/>
                </w:tcPr>
                <w:p>
                  <w:pPr>
                    <w:keepNext w:val="0"/>
                    <w:keepLines w:val="0"/>
                    <w:pageBreakBefore w:val="0"/>
                    <w:kinsoku/>
                    <w:wordWrap/>
                    <w:overflowPunct/>
                    <w:topLinePunct w:val="0"/>
                    <w:autoSpaceDE/>
                    <w:autoSpaceDN/>
                    <w:bidi w:val="0"/>
                    <w:snapToGrid/>
                    <w:spacing w:line="240" w:lineRule="auto"/>
                    <w:jc w:val="center"/>
                    <w:rPr>
                      <w:rFonts w:hint="eastAsia"/>
                    </w:rPr>
                  </w:pPr>
                  <w:r>
                    <w:rPr>
                      <w:rFonts w:hint="eastAsia"/>
                      <w:lang w:val="en-US" w:eastAsia="zh-CN"/>
                    </w:rPr>
                    <w:t>E</w:t>
                  </w:r>
                  <w:r>
                    <w:rPr>
                      <w:rFonts w:hint="eastAsia"/>
                    </w:rPr>
                    <w:t>113.244864°</w:t>
                  </w:r>
                </w:p>
                <w:p>
                  <w:pPr>
                    <w:keepNext w:val="0"/>
                    <w:keepLines w:val="0"/>
                    <w:pageBreakBefore w:val="0"/>
                    <w:kinsoku/>
                    <w:wordWrap/>
                    <w:overflowPunct/>
                    <w:topLinePunct w:val="0"/>
                    <w:autoSpaceDE/>
                    <w:autoSpaceDN/>
                    <w:bidi w:val="0"/>
                    <w:snapToGrid/>
                    <w:spacing w:line="240" w:lineRule="auto"/>
                    <w:jc w:val="center"/>
                  </w:pPr>
                  <w:r>
                    <w:rPr>
                      <w:rFonts w:hint="eastAsia"/>
                      <w:lang w:val="en-US" w:eastAsia="zh-CN"/>
                    </w:rPr>
                    <w:t>N</w:t>
                  </w:r>
                  <w:r>
                    <w:rPr>
                      <w:rFonts w:hint="eastAsia"/>
                    </w:rPr>
                    <w:t>38.738200°</w:t>
                  </w:r>
                </w:p>
              </w:tc>
              <w:tc>
                <w:tcPr>
                  <w:tcW w:w="391" w:type="pct"/>
                  <w:vMerge w:val="restart"/>
                  <w:vAlign w:val="center"/>
                </w:tcPr>
                <w:p>
                  <w:pPr>
                    <w:keepNext w:val="0"/>
                    <w:keepLines w:val="0"/>
                    <w:pageBreakBefore w:val="0"/>
                    <w:kinsoku/>
                    <w:wordWrap/>
                    <w:overflowPunct/>
                    <w:topLinePunct w:val="0"/>
                    <w:autoSpaceDE/>
                    <w:autoSpaceDN/>
                    <w:bidi w:val="0"/>
                    <w:snapToGrid/>
                    <w:spacing w:line="240" w:lineRule="auto"/>
                    <w:jc w:val="center"/>
                  </w:pPr>
                  <w:r>
                    <w:t>居民</w:t>
                  </w:r>
                </w:p>
              </w:tc>
              <w:tc>
                <w:tcPr>
                  <w:tcW w:w="316" w:type="pct"/>
                  <w:vAlign w:val="center"/>
                </w:tcPr>
                <w:p>
                  <w:pPr>
                    <w:keepNext w:val="0"/>
                    <w:keepLines w:val="0"/>
                    <w:pageBreakBefore w:val="0"/>
                    <w:kinsoku/>
                    <w:wordWrap/>
                    <w:overflowPunct/>
                    <w:topLinePunct w:val="0"/>
                    <w:autoSpaceDE/>
                    <w:autoSpaceDN/>
                    <w:bidi w:val="0"/>
                    <w:snapToGrid/>
                    <w:spacing w:line="240" w:lineRule="auto"/>
                    <w:jc w:val="center"/>
                    <w:rPr>
                      <w:rFonts w:hint="default" w:eastAsia="宋体"/>
                      <w:lang w:val="en-US" w:eastAsia="zh-CN"/>
                    </w:rPr>
                  </w:pPr>
                  <w:r>
                    <w:rPr>
                      <w:rFonts w:hint="eastAsia"/>
                      <w:lang w:val="en-US" w:eastAsia="zh-CN"/>
                    </w:rPr>
                    <w:t>N/S</w:t>
                  </w:r>
                </w:p>
              </w:tc>
              <w:tc>
                <w:tcPr>
                  <w:tcW w:w="1085" w:type="pct"/>
                  <w:vAlign w:val="center"/>
                </w:tcPr>
                <w:p>
                  <w:pPr>
                    <w:keepNext w:val="0"/>
                    <w:keepLines w:val="0"/>
                    <w:pageBreakBefore w:val="0"/>
                    <w:kinsoku/>
                    <w:wordWrap/>
                    <w:overflowPunct/>
                    <w:topLinePunct w:val="0"/>
                    <w:autoSpaceDE/>
                    <w:autoSpaceDN/>
                    <w:bidi w:val="0"/>
                    <w:snapToGrid/>
                    <w:spacing w:line="240" w:lineRule="auto"/>
                    <w:jc w:val="center"/>
                    <w:rPr>
                      <w:rFonts w:hint="default" w:eastAsia="宋体"/>
                      <w:lang w:val="en-US" w:eastAsia="zh-CN"/>
                    </w:rPr>
                  </w:pPr>
                  <w:r>
                    <w:rPr>
                      <w:rFonts w:hint="eastAsia"/>
                      <w:lang w:val="en-US" w:eastAsia="zh-CN"/>
                    </w:rPr>
                    <w:t>湖滨大街西延北侧、南侧约10m，平层建筑</w:t>
                  </w:r>
                </w:p>
              </w:tc>
              <w:tc>
                <w:tcPr>
                  <w:tcW w:w="1160" w:type="pct"/>
                  <w:vMerge w:val="restart"/>
                  <w:vAlign w:val="center"/>
                </w:tcPr>
                <w:p>
                  <w:pPr>
                    <w:keepNext w:val="0"/>
                    <w:keepLines w:val="0"/>
                    <w:pageBreakBefore w:val="0"/>
                    <w:kinsoku/>
                    <w:wordWrap/>
                    <w:overflowPunct/>
                    <w:topLinePunct w:val="0"/>
                    <w:autoSpaceDE/>
                    <w:autoSpaceDN/>
                    <w:bidi w:val="0"/>
                    <w:snapToGrid/>
                    <w:spacing w:line="240" w:lineRule="auto"/>
                    <w:jc w:val="center"/>
                    <w:rPr>
                      <w:bCs/>
                    </w:rPr>
                  </w:pPr>
                  <w:r>
                    <w:rPr>
                      <w:bCs/>
                    </w:rPr>
                    <w:t>《环境空气质量标准》（GB3095-2012）二级标准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404" w:type="pct"/>
                  <w:vMerge w:val="continue"/>
                  <w:vAlign w:val="center"/>
                </w:tcPr>
                <w:p>
                  <w:pPr>
                    <w:keepNext w:val="0"/>
                    <w:keepLines w:val="0"/>
                    <w:pageBreakBefore w:val="0"/>
                    <w:kinsoku/>
                    <w:wordWrap/>
                    <w:overflowPunct/>
                    <w:topLinePunct w:val="0"/>
                    <w:autoSpaceDE/>
                    <w:autoSpaceDN/>
                    <w:bidi w:val="0"/>
                    <w:snapToGrid/>
                    <w:spacing w:line="240" w:lineRule="auto"/>
                    <w:jc w:val="center"/>
                    <w:rPr>
                      <w:bCs/>
                    </w:rPr>
                  </w:pPr>
                </w:p>
              </w:tc>
              <w:tc>
                <w:tcPr>
                  <w:tcW w:w="657" w:type="pct"/>
                  <w:vAlign w:val="center"/>
                </w:tcPr>
                <w:p>
                  <w:pPr>
                    <w:keepNext w:val="0"/>
                    <w:keepLines w:val="0"/>
                    <w:pageBreakBefore w:val="0"/>
                    <w:kinsoku/>
                    <w:wordWrap/>
                    <w:overflowPunct/>
                    <w:topLinePunct w:val="0"/>
                    <w:autoSpaceDE/>
                    <w:autoSpaceDN/>
                    <w:bidi w:val="0"/>
                    <w:snapToGrid/>
                    <w:spacing w:line="240" w:lineRule="auto"/>
                    <w:jc w:val="center"/>
                    <w:rPr>
                      <w:rFonts w:hint="default"/>
                      <w:lang w:val="en-US" w:eastAsia="zh-CN"/>
                    </w:rPr>
                  </w:pPr>
                  <w:r>
                    <w:rPr>
                      <w:rFonts w:hint="eastAsia"/>
                      <w:lang w:val="en-US" w:eastAsia="zh-CN"/>
                    </w:rPr>
                    <w:t>碧海花园E区</w:t>
                  </w:r>
                </w:p>
              </w:tc>
              <w:tc>
                <w:tcPr>
                  <w:tcW w:w="983" w:type="pct"/>
                  <w:vAlign w:val="center"/>
                </w:tcPr>
                <w:p>
                  <w:pPr>
                    <w:keepNext w:val="0"/>
                    <w:keepLines w:val="0"/>
                    <w:pageBreakBefore w:val="0"/>
                    <w:kinsoku/>
                    <w:wordWrap/>
                    <w:overflowPunct/>
                    <w:topLinePunct w:val="0"/>
                    <w:autoSpaceDE/>
                    <w:autoSpaceDN/>
                    <w:bidi w:val="0"/>
                    <w:snapToGrid/>
                    <w:spacing w:line="240" w:lineRule="auto"/>
                    <w:jc w:val="center"/>
                    <w:rPr>
                      <w:rFonts w:hint="eastAsia"/>
                    </w:rPr>
                  </w:pPr>
                  <w:r>
                    <w:rPr>
                      <w:rFonts w:hint="eastAsia"/>
                      <w:lang w:val="en-US" w:eastAsia="zh-CN"/>
                    </w:rPr>
                    <w:t>E</w:t>
                  </w:r>
                  <w:r>
                    <w:rPr>
                      <w:rFonts w:hint="eastAsia"/>
                    </w:rPr>
                    <w:t>113.247165°</w:t>
                  </w:r>
                </w:p>
                <w:p>
                  <w:pPr>
                    <w:keepNext w:val="0"/>
                    <w:keepLines w:val="0"/>
                    <w:pageBreakBefore w:val="0"/>
                    <w:kinsoku/>
                    <w:wordWrap/>
                    <w:overflowPunct/>
                    <w:topLinePunct w:val="0"/>
                    <w:autoSpaceDE/>
                    <w:autoSpaceDN/>
                    <w:bidi w:val="0"/>
                    <w:snapToGrid/>
                    <w:spacing w:line="240" w:lineRule="auto"/>
                    <w:jc w:val="center"/>
                    <w:rPr>
                      <w:rFonts w:hint="eastAsia" w:eastAsia="宋体"/>
                      <w:lang w:val="en-US" w:eastAsia="zh-CN"/>
                    </w:rPr>
                  </w:pPr>
                  <w:r>
                    <w:rPr>
                      <w:rFonts w:hint="eastAsia"/>
                      <w:lang w:val="en-US" w:eastAsia="zh-CN"/>
                    </w:rPr>
                    <w:t>N38.738131°</w:t>
                  </w:r>
                </w:p>
              </w:tc>
              <w:tc>
                <w:tcPr>
                  <w:tcW w:w="391" w:type="pct"/>
                  <w:vMerge w:val="continue"/>
                  <w:vAlign w:val="center"/>
                </w:tcPr>
                <w:p>
                  <w:pPr>
                    <w:keepNext w:val="0"/>
                    <w:keepLines w:val="0"/>
                    <w:pageBreakBefore w:val="0"/>
                    <w:kinsoku/>
                    <w:wordWrap/>
                    <w:overflowPunct/>
                    <w:topLinePunct w:val="0"/>
                    <w:autoSpaceDE/>
                    <w:autoSpaceDN/>
                    <w:bidi w:val="0"/>
                    <w:snapToGrid/>
                    <w:spacing w:line="240" w:lineRule="auto"/>
                    <w:jc w:val="center"/>
                  </w:pPr>
                </w:p>
              </w:tc>
              <w:tc>
                <w:tcPr>
                  <w:tcW w:w="316" w:type="pct"/>
                  <w:vAlign w:val="center"/>
                </w:tcPr>
                <w:p>
                  <w:pPr>
                    <w:keepNext w:val="0"/>
                    <w:keepLines w:val="0"/>
                    <w:pageBreakBefore w:val="0"/>
                    <w:kinsoku/>
                    <w:wordWrap/>
                    <w:overflowPunct/>
                    <w:topLinePunct w:val="0"/>
                    <w:autoSpaceDE/>
                    <w:autoSpaceDN/>
                    <w:bidi w:val="0"/>
                    <w:snapToGrid/>
                    <w:spacing w:line="240" w:lineRule="auto"/>
                    <w:jc w:val="center"/>
                    <w:rPr>
                      <w:rFonts w:hint="default"/>
                      <w:lang w:val="en-US" w:eastAsia="zh-CN"/>
                    </w:rPr>
                  </w:pPr>
                  <w:r>
                    <w:rPr>
                      <w:rFonts w:hint="eastAsia"/>
                      <w:lang w:val="en-US" w:eastAsia="zh-CN"/>
                    </w:rPr>
                    <w:t>NE</w:t>
                  </w:r>
                </w:p>
              </w:tc>
              <w:tc>
                <w:tcPr>
                  <w:tcW w:w="1085" w:type="pct"/>
                  <w:vAlign w:val="center"/>
                </w:tcPr>
                <w:p>
                  <w:pPr>
                    <w:keepNext w:val="0"/>
                    <w:keepLines w:val="0"/>
                    <w:pageBreakBefore w:val="0"/>
                    <w:kinsoku/>
                    <w:wordWrap/>
                    <w:overflowPunct/>
                    <w:topLinePunct w:val="0"/>
                    <w:autoSpaceDE/>
                    <w:autoSpaceDN/>
                    <w:bidi w:val="0"/>
                    <w:snapToGrid/>
                    <w:spacing w:line="240" w:lineRule="auto"/>
                    <w:jc w:val="center"/>
                    <w:rPr>
                      <w:rFonts w:hint="default"/>
                      <w:lang w:val="en-US" w:eastAsia="zh-CN"/>
                    </w:rPr>
                  </w:pPr>
                  <w:r>
                    <w:rPr>
                      <w:rFonts w:hint="eastAsia"/>
                      <w:lang w:val="en-US" w:eastAsia="zh-CN"/>
                    </w:rPr>
                    <w:t>湖滨大街西延终点东北侧，20m，为6层建筑</w:t>
                  </w:r>
                </w:p>
              </w:tc>
              <w:tc>
                <w:tcPr>
                  <w:tcW w:w="1160" w:type="pct"/>
                  <w:vMerge w:val="continue"/>
                  <w:vAlign w:val="center"/>
                </w:tcPr>
                <w:p>
                  <w:pPr>
                    <w:keepNext w:val="0"/>
                    <w:keepLines w:val="0"/>
                    <w:pageBreakBefore w:val="0"/>
                    <w:kinsoku/>
                    <w:wordWrap/>
                    <w:overflowPunct/>
                    <w:topLinePunct w:val="0"/>
                    <w:autoSpaceDE/>
                    <w:autoSpaceDN/>
                    <w:bidi w:val="0"/>
                    <w:snapToGrid/>
                    <w:spacing w:line="240" w:lineRule="auto"/>
                    <w:jc w:val="center"/>
                    <w:rPr>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 w:hRule="atLeast"/>
                <w:jc w:val="center"/>
              </w:trPr>
              <w:tc>
                <w:tcPr>
                  <w:tcW w:w="404" w:type="pct"/>
                  <w:vMerge w:val="continue"/>
                  <w:vAlign w:val="center"/>
                </w:tcPr>
                <w:p>
                  <w:pPr>
                    <w:keepNext w:val="0"/>
                    <w:keepLines w:val="0"/>
                    <w:pageBreakBefore w:val="0"/>
                    <w:widowControl/>
                    <w:kinsoku/>
                    <w:wordWrap/>
                    <w:overflowPunct/>
                    <w:topLinePunct w:val="0"/>
                    <w:autoSpaceDE/>
                    <w:autoSpaceDN/>
                    <w:bidi w:val="0"/>
                    <w:snapToGrid/>
                    <w:spacing w:line="240" w:lineRule="auto"/>
                    <w:jc w:val="center"/>
                    <w:rPr>
                      <w:bCs/>
                    </w:rPr>
                  </w:pPr>
                </w:p>
              </w:tc>
              <w:tc>
                <w:tcPr>
                  <w:tcW w:w="657" w:type="pct"/>
                  <w:vAlign w:val="center"/>
                </w:tcPr>
                <w:p>
                  <w:pPr>
                    <w:keepNext w:val="0"/>
                    <w:keepLines w:val="0"/>
                    <w:pageBreakBefore w:val="0"/>
                    <w:kinsoku/>
                    <w:wordWrap/>
                    <w:overflowPunct/>
                    <w:topLinePunct w:val="0"/>
                    <w:autoSpaceDE/>
                    <w:autoSpaceDN/>
                    <w:bidi w:val="0"/>
                    <w:snapToGrid/>
                    <w:spacing w:line="240" w:lineRule="auto"/>
                    <w:jc w:val="center"/>
                  </w:pPr>
                  <w:r>
                    <w:rPr>
                      <w:rFonts w:hint="eastAsia"/>
                      <w:lang w:val="en-US" w:eastAsia="zh-CN"/>
                    </w:rPr>
                    <w:t>西富苑小区</w:t>
                  </w:r>
                </w:p>
              </w:tc>
              <w:tc>
                <w:tcPr>
                  <w:tcW w:w="983" w:type="pct"/>
                  <w:vAlign w:val="center"/>
                </w:tcPr>
                <w:p>
                  <w:pPr>
                    <w:keepNext w:val="0"/>
                    <w:keepLines w:val="0"/>
                    <w:pageBreakBefore w:val="0"/>
                    <w:kinsoku/>
                    <w:wordWrap/>
                    <w:overflowPunct/>
                    <w:topLinePunct w:val="0"/>
                    <w:autoSpaceDE/>
                    <w:autoSpaceDN/>
                    <w:bidi w:val="0"/>
                    <w:snapToGrid/>
                    <w:spacing w:line="240" w:lineRule="auto"/>
                    <w:jc w:val="center"/>
                    <w:rPr>
                      <w:rFonts w:hint="eastAsia"/>
                    </w:rPr>
                  </w:pPr>
                  <w:r>
                    <w:rPr>
                      <w:rFonts w:hint="eastAsia"/>
                      <w:lang w:val="en-US" w:eastAsia="zh-CN"/>
                    </w:rPr>
                    <w:t>E</w:t>
                  </w:r>
                  <w:r>
                    <w:rPr>
                      <w:rFonts w:hint="eastAsia"/>
                    </w:rPr>
                    <w:t>113.244020°</w:t>
                  </w:r>
                </w:p>
                <w:p>
                  <w:pPr>
                    <w:keepNext w:val="0"/>
                    <w:keepLines w:val="0"/>
                    <w:pageBreakBefore w:val="0"/>
                    <w:kinsoku/>
                    <w:wordWrap/>
                    <w:overflowPunct/>
                    <w:topLinePunct w:val="0"/>
                    <w:autoSpaceDE/>
                    <w:autoSpaceDN/>
                    <w:bidi w:val="0"/>
                    <w:snapToGrid/>
                    <w:spacing w:line="240" w:lineRule="auto"/>
                    <w:jc w:val="center"/>
                  </w:pPr>
                  <w:r>
                    <w:rPr>
                      <w:rFonts w:hint="eastAsia"/>
                      <w:lang w:val="en-US" w:eastAsia="zh-CN"/>
                    </w:rPr>
                    <w:t>N38.729702°</w:t>
                  </w:r>
                </w:p>
              </w:tc>
              <w:tc>
                <w:tcPr>
                  <w:tcW w:w="391" w:type="pct"/>
                  <w:vMerge w:val="continue"/>
                  <w:vAlign w:val="center"/>
                </w:tcPr>
                <w:p>
                  <w:pPr>
                    <w:keepNext w:val="0"/>
                    <w:keepLines w:val="0"/>
                    <w:pageBreakBefore w:val="0"/>
                    <w:widowControl/>
                    <w:kinsoku/>
                    <w:wordWrap/>
                    <w:overflowPunct/>
                    <w:topLinePunct w:val="0"/>
                    <w:autoSpaceDE/>
                    <w:autoSpaceDN/>
                    <w:bidi w:val="0"/>
                    <w:snapToGrid/>
                    <w:spacing w:line="240" w:lineRule="auto"/>
                    <w:jc w:val="center"/>
                  </w:pPr>
                </w:p>
              </w:tc>
              <w:tc>
                <w:tcPr>
                  <w:tcW w:w="316" w:type="pct"/>
                  <w:vAlign w:val="center"/>
                </w:tcPr>
                <w:p>
                  <w:pPr>
                    <w:keepNext w:val="0"/>
                    <w:keepLines w:val="0"/>
                    <w:pageBreakBefore w:val="0"/>
                    <w:kinsoku/>
                    <w:wordWrap/>
                    <w:overflowPunct/>
                    <w:topLinePunct w:val="0"/>
                    <w:autoSpaceDE/>
                    <w:autoSpaceDN/>
                    <w:bidi w:val="0"/>
                    <w:snapToGrid/>
                    <w:spacing w:line="240" w:lineRule="auto"/>
                    <w:jc w:val="center"/>
                  </w:pPr>
                  <w:r>
                    <w:t>SE</w:t>
                  </w:r>
                </w:p>
              </w:tc>
              <w:tc>
                <w:tcPr>
                  <w:tcW w:w="1085" w:type="pct"/>
                  <w:vAlign w:val="center"/>
                </w:tcPr>
                <w:p>
                  <w:pPr>
                    <w:keepNext w:val="0"/>
                    <w:keepLines w:val="0"/>
                    <w:pageBreakBefore w:val="0"/>
                    <w:kinsoku/>
                    <w:wordWrap/>
                    <w:overflowPunct/>
                    <w:topLinePunct w:val="0"/>
                    <w:autoSpaceDE/>
                    <w:autoSpaceDN/>
                    <w:bidi w:val="0"/>
                    <w:snapToGrid/>
                    <w:spacing w:line="240" w:lineRule="auto"/>
                    <w:jc w:val="center"/>
                    <w:rPr>
                      <w:rFonts w:hint="default" w:eastAsia="宋体"/>
                      <w:lang w:val="en-US" w:eastAsia="zh-CN"/>
                    </w:rPr>
                  </w:pPr>
                  <w:r>
                    <w:rPr>
                      <w:rFonts w:hint="eastAsia"/>
                      <w:lang w:val="en-US" w:eastAsia="zh-CN"/>
                    </w:rPr>
                    <w:t>新建文昌路起点东南侧，50m，为18层高层建筑</w:t>
                  </w:r>
                </w:p>
              </w:tc>
              <w:tc>
                <w:tcPr>
                  <w:tcW w:w="1160" w:type="pct"/>
                  <w:vMerge w:val="continue"/>
                  <w:vAlign w:val="center"/>
                </w:tcPr>
                <w:p>
                  <w:pPr>
                    <w:keepNext w:val="0"/>
                    <w:keepLines w:val="0"/>
                    <w:pageBreakBefore w:val="0"/>
                    <w:widowControl/>
                    <w:kinsoku/>
                    <w:wordWrap/>
                    <w:overflowPunct/>
                    <w:topLinePunct w:val="0"/>
                    <w:autoSpaceDE/>
                    <w:autoSpaceDN/>
                    <w:bidi w:val="0"/>
                    <w:snapToGrid/>
                    <w:spacing w:line="240" w:lineRule="auto"/>
                    <w:jc w:val="center"/>
                    <w:rPr>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404" w:type="pct"/>
                  <w:vMerge w:val="continue"/>
                  <w:vAlign w:val="center"/>
                </w:tcPr>
                <w:p>
                  <w:pPr>
                    <w:keepNext w:val="0"/>
                    <w:keepLines w:val="0"/>
                    <w:pageBreakBefore w:val="0"/>
                    <w:widowControl/>
                    <w:kinsoku/>
                    <w:wordWrap/>
                    <w:overflowPunct/>
                    <w:topLinePunct w:val="0"/>
                    <w:autoSpaceDE/>
                    <w:autoSpaceDN/>
                    <w:bidi w:val="0"/>
                    <w:snapToGrid/>
                    <w:spacing w:line="240" w:lineRule="auto"/>
                    <w:jc w:val="center"/>
                    <w:rPr>
                      <w:bCs/>
                    </w:rPr>
                  </w:pPr>
                </w:p>
              </w:tc>
              <w:tc>
                <w:tcPr>
                  <w:tcW w:w="657" w:type="pct"/>
                  <w:vAlign w:val="center"/>
                </w:tcPr>
                <w:p>
                  <w:pPr>
                    <w:keepNext w:val="0"/>
                    <w:keepLines w:val="0"/>
                    <w:pageBreakBefore w:val="0"/>
                    <w:kinsoku/>
                    <w:wordWrap/>
                    <w:overflowPunct/>
                    <w:topLinePunct w:val="0"/>
                    <w:autoSpaceDE/>
                    <w:autoSpaceDN/>
                    <w:bidi w:val="0"/>
                    <w:snapToGrid/>
                    <w:spacing w:line="240" w:lineRule="auto"/>
                    <w:jc w:val="center"/>
                  </w:pPr>
                  <w:r>
                    <w:rPr>
                      <w:rFonts w:hint="eastAsia"/>
                      <w:lang w:val="en-US" w:eastAsia="zh-CN"/>
                    </w:rPr>
                    <w:t>王家沟</w:t>
                  </w:r>
                  <w:r>
                    <w:t>村</w:t>
                  </w:r>
                </w:p>
              </w:tc>
              <w:tc>
                <w:tcPr>
                  <w:tcW w:w="983" w:type="pct"/>
                  <w:vAlign w:val="center"/>
                </w:tcPr>
                <w:p>
                  <w:pPr>
                    <w:keepNext w:val="0"/>
                    <w:keepLines w:val="0"/>
                    <w:pageBreakBefore w:val="0"/>
                    <w:kinsoku/>
                    <w:wordWrap/>
                    <w:overflowPunct/>
                    <w:topLinePunct w:val="0"/>
                    <w:autoSpaceDE/>
                    <w:autoSpaceDN/>
                    <w:bidi w:val="0"/>
                    <w:snapToGrid/>
                    <w:spacing w:line="240" w:lineRule="auto"/>
                    <w:jc w:val="center"/>
                    <w:rPr>
                      <w:rFonts w:hint="eastAsia"/>
                    </w:rPr>
                  </w:pPr>
                  <w:r>
                    <w:rPr>
                      <w:rFonts w:hint="eastAsia"/>
                      <w:lang w:val="en-US" w:eastAsia="zh-CN"/>
                    </w:rPr>
                    <w:t>E</w:t>
                  </w:r>
                  <w:r>
                    <w:rPr>
                      <w:rFonts w:hint="eastAsia"/>
                    </w:rPr>
                    <w:t>113.261841°</w:t>
                  </w:r>
                </w:p>
                <w:p>
                  <w:pPr>
                    <w:keepNext w:val="0"/>
                    <w:keepLines w:val="0"/>
                    <w:pageBreakBefore w:val="0"/>
                    <w:kinsoku/>
                    <w:wordWrap/>
                    <w:overflowPunct/>
                    <w:topLinePunct w:val="0"/>
                    <w:autoSpaceDE/>
                    <w:autoSpaceDN/>
                    <w:bidi w:val="0"/>
                    <w:snapToGrid/>
                    <w:spacing w:line="240" w:lineRule="auto"/>
                    <w:jc w:val="center"/>
                    <w:rPr>
                      <w:rFonts w:hint="eastAsia" w:eastAsia="宋体"/>
                      <w:lang w:val="en-US" w:eastAsia="zh-CN"/>
                    </w:rPr>
                  </w:pPr>
                  <w:r>
                    <w:rPr>
                      <w:rFonts w:hint="eastAsia"/>
                      <w:lang w:val="en-US" w:eastAsia="zh-CN"/>
                    </w:rPr>
                    <w:t>N38.720748°</w:t>
                  </w:r>
                </w:p>
              </w:tc>
              <w:tc>
                <w:tcPr>
                  <w:tcW w:w="391" w:type="pct"/>
                  <w:vMerge w:val="continue"/>
                  <w:vAlign w:val="center"/>
                </w:tcPr>
                <w:p>
                  <w:pPr>
                    <w:keepNext w:val="0"/>
                    <w:keepLines w:val="0"/>
                    <w:pageBreakBefore w:val="0"/>
                    <w:widowControl/>
                    <w:kinsoku/>
                    <w:wordWrap/>
                    <w:overflowPunct/>
                    <w:topLinePunct w:val="0"/>
                    <w:autoSpaceDE/>
                    <w:autoSpaceDN/>
                    <w:bidi w:val="0"/>
                    <w:snapToGrid/>
                    <w:spacing w:line="240" w:lineRule="auto"/>
                    <w:jc w:val="center"/>
                  </w:pPr>
                </w:p>
              </w:tc>
              <w:tc>
                <w:tcPr>
                  <w:tcW w:w="316" w:type="pct"/>
                  <w:vAlign w:val="center"/>
                </w:tcPr>
                <w:p>
                  <w:pPr>
                    <w:keepNext w:val="0"/>
                    <w:keepLines w:val="0"/>
                    <w:pageBreakBefore w:val="0"/>
                    <w:kinsoku/>
                    <w:wordWrap/>
                    <w:overflowPunct/>
                    <w:topLinePunct w:val="0"/>
                    <w:autoSpaceDE/>
                    <w:autoSpaceDN/>
                    <w:bidi w:val="0"/>
                    <w:snapToGrid/>
                    <w:spacing w:line="240" w:lineRule="auto"/>
                    <w:jc w:val="center"/>
                    <w:rPr>
                      <w:rFonts w:hint="eastAsia" w:eastAsia="宋体"/>
                      <w:lang w:eastAsia="zh-CN"/>
                    </w:rPr>
                  </w:pPr>
                  <w:r>
                    <w:rPr>
                      <w:rFonts w:hint="eastAsia"/>
                      <w:lang w:val="en-US" w:eastAsia="zh-CN"/>
                    </w:rPr>
                    <w:t>E</w:t>
                  </w:r>
                </w:p>
              </w:tc>
              <w:tc>
                <w:tcPr>
                  <w:tcW w:w="1085" w:type="pct"/>
                  <w:vAlign w:val="center"/>
                </w:tcPr>
                <w:p>
                  <w:pPr>
                    <w:keepNext w:val="0"/>
                    <w:keepLines w:val="0"/>
                    <w:pageBreakBefore w:val="0"/>
                    <w:kinsoku/>
                    <w:wordWrap/>
                    <w:overflowPunct/>
                    <w:topLinePunct w:val="0"/>
                    <w:autoSpaceDE/>
                    <w:autoSpaceDN/>
                    <w:bidi w:val="0"/>
                    <w:snapToGrid/>
                    <w:spacing w:line="240" w:lineRule="auto"/>
                    <w:jc w:val="center"/>
                    <w:rPr>
                      <w:rFonts w:hint="default" w:eastAsia="宋体"/>
                      <w:lang w:val="en-US" w:eastAsia="zh-CN"/>
                    </w:rPr>
                  </w:pPr>
                  <w:r>
                    <w:rPr>
                      <w:rFonts w:hint="eastAsia"/>
                      <w:lang w:val="en-US" w:eastAsia="zh-CN"/>
                    </w:rPr>
                    <w:t>东外环路东70m，为平层建筑</w:t>
                  </w:r>
                </w:p>
              </w:tc>
              <w:tc>
                <w:tcPr>
                  <w:tcW w:w="1160" w:type="pct"/>
                  <w:vMerge w:val="continue"/>
                  <w:vAlign w:val="center"/>
                </w:tcPr>
                <w:p>
                  <w:pPr>
                    <w:keepNext w:val="0"/>
                    <w:keepLines w:val="0"/>
                    <w:pageBreakBefore w:val="0"/>
                    <w:widowControl/>
                    <w:kinsoku/>
                    <w:wordWrap/>
                    <w:overflowPunct/>
                    <w:topLinePunct w:val="0"/>
                    <w:autoSpaceDE/>
                    <w:autoSpaceDN/>
                    <w:bidi w:val="0"/>
                    <w:snapToGrid/>
                    <w:spacing w:line="240" w:lineRule="auto"/>
                    <w:jc w:val="center"/>
                    <w:rPr>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404" w:type="pct"/>
                  <w:vMerge w:val="continue"/>
                  <w:vAlign w:val="center"/>
                </w:tcPr>
                <w:p>
                  <w:pPr>
                    <w:keepNext w:val="0"/>
                    <w:keepLines w:val="0"/>
                    <w:pageBreakBefore w:val="0"/>
                    <w:widowControl/>
                    <w:kinsoku/>
                    <w:wordWrap/>
                    <w:overflowPunct/>
                    <w:topLinePunct w:val="0"/>
                    <w:autoSpaceDE/>
                    <w:autoSpaceDN/>
                    <w:bidi w:val="0"/>
                    <w:snapToGrid/>
                    <w:spacing w:line="240" w:lineRule="auto"/>
                    <w:jc w:val="center"/>
                    <w:rPr>
                      <w:bCs/>
                    </w:rPr>
                  </w:pPr>
                </w:p>
              </w:tc>
              <w:tc>
                <w:tcPr>
                  <w:tcW w:w="657" w:type="pct"/>
                  <w:vAlign w:val="center"/>
                </w:tcPr>
                <w:p>
                  <w:pPr>
                    <w:keepNext w:val="0"/>
                    <w:keepLines w:val="0"/>
                    <w:pageBreakBefore w:val="0"/>
                    <w:kinsoku/>
                    <w:wordWrap/>
                    <w:overflowPunct/>
                    <w:topLinePunct w:val="0"/>
                    <w:autoSpaceDE/>
                    <w:autoSpaceDN/>
                    <w:bidi w:val="0"/>
                    <w:snapToGrid/>
                    <w:spacing w:line="240" w:lineRule="auto"/>
                    <w:jc w:val="center"/>
                  </w:pPr>
                  <w:r>
                    <w:rPr>
                      <w:rFonts w:hint="eastAsia"/>
                      <w:lang w:val="en-US" w:eastAsia="zh-CN"/>
                    </w:rPr>
                    <w:t>王庄</w:t>
                  </w:r>
                  <w:r>
                    <w:rPr>
                      <w:rFonts w:hint="eastAsia"/>
                    </w:rPr>
                    <w:t>村</w:t>
                  </w:r>
                </w:p>
              </w:tc>
              <w:tc>
                <w:tcPr>
                  <w:tcW w:w="983" w:type="pct"/>
                  <w:vAlign w:val="center"/>
                </w:tcPr>
                <w:p>
                  <w:pPr>
                    <w:keepNext w:val="0"/>
                    <w:keepLines w:val="0"/>
                    <w:pageBreakBefore w:val="0"/>
                    <w:kinsoku/>
                    <w:wordWrap/>
                    <w:overflowPunct/>
                    <w:topLinePunct w:val="0"/>
                    <w:autoSpaceDE/>
                    <w:autoSpaceDN/>
                    <w:bidi w:val="0"/>
                    <w:snapToGrid/>
                    <w:spacing w:line="240" w:lineRule="auto"/>
                    <w:jc w:val="center"/>
                    <w:rPr>
                      <w:rFonts w:hint="eastAsia"/>
                    </w:rPr>
                  </w:pPr>
                  <w:r>
                    <w:rPr>
                      <w:rFonts w:hint="eastAsia"/>
                      <w:lang w:val="en-US" w:eastAsia="zh-CN"/>
                    </w:rPr>
                    <w:t>E</w:t>
                  </w:r>
                  <w:r>
                    <w:rPr>
                      <w:rFonts w:hint="eastAsia"/>
                    </w:rPr>
                    <w:t>113.267423°</w:t>
                  </w:r>
                </w:p>
                <w:p>
                  <w:pPr>
                    <w:keepNext w:val="0"/>
                    <w:keepLines w:val="0"/>
                    <w:pageBreakBefore w:val="0"/>
                    <w:kinsoku/>
                    <w:wordWrap/>
                    <w:overflowPunct/>
                    <w:topLinePunct w:val="0"/>
                    <w:autoSpaceDE/>
                    <w:autoSpaceDN/>
                    <w:bidi w:val="0"/>
                    <w:snapToGrid/>
                    <w:spacing w:line="240" w:lineRule="auto"/>
                    <w:jc w:val="center"/>
                    <w:rPr>
                      <w:rFonts w:hint="eastAsia" w:eastAsia="宋体"/>
                      <w:lang w:val="en-US" w:eastAsia="zh-CN"/>
                    </w:rPr>
                  </w:pPr>
                  <w:r>
                    <w:rPr>
                      <w:rFonts w:hint="eastAsia"/>
                      <w:lang w:val="en-US" w:eastAsia="zh-CN"/>
                    </w:rPr>
                    <w:t>N38.695470°</w:t>
                  </w:r>
                </w:p>
              </w:tc>
              <w:tc>
                <w:tcPr>
                  <w:tcW w:w="391" w:type="pct"/>
                  <w:vMerge w:val="continue"/>
                  <w:vAlign w:val="center"/>
                </w:tcPr>
                <w:p>
                  <w:pPr>
                    <w:keepNext w:val="0"/>
                    <w:keepLines w:val="0"/>
                    <w:pageBreakBefore w:val="0"/>
                    <w:widowControl/>
                    <w:kinsoku/>
                    <w:wordWrap/>
                    <w:overflowPunct/>
                    <w:topLinePunct w:val="0"/>
                    <w:autoSpaceDE/>
                    <w:autoSpaceDN/>
                    <w:bidi w:val="0"/>
                    <w:snapToGrid/>
                    <w:spacing w:line="240" w:lineRule="auto"/>
                    <w:jc w:val="center"/>
                  </w:pPr>
                </w:p>
              </w:tc>
              <w:tc>
                <w:tcPr>
                  <w:tcW w:w="316" w:type="pct"/>
                  <w:vAlign w:val="center"/>
                </w:tcPr>
                <w:p>
                  <w:pPr>
                    <w:keepNext w:val="0"/>
                    <w:keepLines w:val="0"/>
                    <w:pageBreakBefore w:val="0"/>
                    <w:kinsoku/>
                    <w:wordWrap/>
                    <w:overflowPunct/>
                    <w:topLinePunct w:val="0"/>
                    <w:autoSpaceDE/>
                    <w:autoSpaceDN/>
                    <w:bidi w:val="0"/>
                    <w:snapToGrid/>
                    <w:spacing w:line="240" w:lineRule="auto"/>
                    <w:jc w:val="center"/>
                  </w:pPr>
                  <w:r>
                    <w:t>SE</w:t>
                  </w:r>
                </w:p>
              </w:tc>
              <w:tc>
                <w:tcPr>
                  <w:tcW w:w="1085" w:type="pct"/>
                  <w:vAlign w:val="center"/>
                </w:tcPr>
                <w:p>
                  <w:pPr>
                    <w:keepNext w:val="0"/>
                    <w:keepLines w:val="0"/>
                    <w:pageBreakBefore w:val="0"/>
                    <w:kinsoku/>
                    <w:wordWrap/>
                    <w:overflowPunct/>
                    <w:topLinePunct w:val="0"/>
                    <w:autoSpaceDE/>
                    <w:autoSpaceDN/>
                    <w:bidi w:val="0"/>
                    <w:snapToGrid/>
                    <w:spacing w:line="240" w:lineRule="auto"/>
                    <w:jc w:val="center"/>
                  </w:pPr>
                  <w:r>
                    <w:rPr>
                      <w:rFonts w:hint="eastAsia"/>
                      <w:lang w:val="en-US" w:eastAsia="zh-CN"/>
                    </w:rPr>
                    <w:t>东外环路起点东南90m，为平层建筑</w:t>
                  </w:r>
                </w:p>
              </w:tc>
              <w:tc>
                <w:tcPr>
                  <w:tcW w:w="1160" w:type="pct"/>
                  <w:vMerge w:val="continue"/>
                  <w:vAlign w:val="center"/>
                </w:tcPr>
                <w:p>
                  <w:pPr>
                    <w:keepNext w:val="0"/>
                    <w:keepLines w:val="0"/>
                    <w:pageBreakBefore w:val="0"/>
                    <w:widowControl/>
                    <w:kinsoku/>
                    <w:wordWrap/>
                    <w:overflowPunct/>
                    <w:topLinePunct w:val="0"/>
                    <w:autoSpaceDE/>
                    <w:autoSpaceDN/>
                    <w:bidi w:val="0"/>
                    <w:snapToGrid/>
                    <w:spacing w:line="240" w:lineRule="auto"/>
                    <w:jc w:val="center"/>
                    <w:rPr>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404" w:type="pct"/>
                  <w:vMerge w:val="restart"/>
                  <w:vAlign w:val="center"/>
                </w:tcPr>
                <w:p>
                  <w:pPr>
                    <w:keepNext w:val="0"/>
                    <w:keepLines w:val="0"/>
                    <w:pageBreakBefore w:val="0"/>
                    <w:widowControl/>
                    <w:kinsoku/>
                    <w:wordWrap/>
                    <w:overflowPunct/>
                    <w:topLinePunct w:val="0"/>
                    <w:autoSpaceDE/>
                    <w:autoSpaceDN/>
                    <w:bidi w:val="0"/>
                    <w:snapToGrid/>
                    <w:spacing w:line="240" w:lineRule="auto"/>
                    <w:jc w:val="center"/>
                    <w:rPr>
                      <w:rFonts w:hint="eastAsia" w:eastAsia="宋体"/>
                      <w:bCs/>
                      <w:lang w:val="en-US" w:eastAsia="zh-CN"/>
                    </w:rPr>
                  </w:pPr>
                  <w:r>
                    <w:rPr>
                      <w:rFonts w:hint="eastAsia"/>
                      <w:bCs/>
                      <w:lang w:val="en-US" w:eastAsia="zh-CN"/>
                    </w:rPr>
                    <w:t>声环境</w:t>
                  </w:r>
                </w:p>
              </w:tc>
              <w:tc>
                <w:tcPr>
                  <w:tcW w:w="657" w:type="pct"/>
                  <w:vAlign w:val="center"/>
                </w:tcPr>
                <w:p>
                  <w:pPr>
                    <w:keepNext w:val="0"/>
                    <w:keepLines w:val="0"/>
                    <w:pageBreakBefore w:val="0"/>
                    <w:kinsoku/>
                    <w:wordWrap/>
                    <w:overflowPunct/>
                    <w:topLinePunct w:val="0"/>
                    <w:autoSpaceDE/>
                    <w:autoSpaceDN/>
                    <w:bidi w:val="0"/>
                    <w:snapToGrid/>
                    <w:spacing w:line="240" w:lineRule="auto"/>
                    <w:jc w:val="center"/>
                    <w:rPr>
                      <w:rFonts w:hint="eastAsia"/>
                      <w:lang w:val="en-US" w:eastAsia="zh-CN"/>
                    </w:rPr>
                  </w:pPr>
                  <w:r>
                    <w:rPr>
                      <w:rFonts w:hint="eastAsia"/>
                      <w:lang w:val="en-US" w:eastAsia="zh-CN"/>
                    </w:rPr>
                    <w:t>唐家湾村</w:t>
                  </w:r>
                </w:p>
              </w:tc>
              <w:tc>
                <w:tcPr>
                  <w:tcW w:w="983" w:type="pct"/>
                  <w:vAlign w:val="center"/>
                </w:tcPr>
                <w:p>
                  <w:pPr>
                    <w:keepNext w:val="0"/>
                    <w:keepLines w:val="0"/>
                    <w:pageBreakBefore w:val="0"/>
                    <w:kinsoku/>
                    <w:wordWrap/>
                    <w:overflowPunct/>
                    <w:topLinePunct w:val="0"/>
                    <w:autoSpaceDE/>
                    <w:autoSpaceDN/>
                    <w:bidi w:val="0"/>
                    <w:snapToGrid/>
                    <w:spacing w:line="240" w:lineRule="auto"/>
                    <w:jc w:val="center"/>
                    <w:rPr>
                      <w:rFonts w:hint="eastAsia"/>
                    </w:rPr>
                  </w:pPr>
                  <w:r>
                    <w:rPr>
                      <w:rFonts w:hint="eastAsia"/>
                      <w:lang w:val="en-US" w:eastAsia="zh-CN"/>
                    </w:rPr>
                    <w:t>E</w:t>
                  </w:r>
                  <w:r>
                    <w:rPr>
                      <w:rFonts w:hint="eastAsia"/>
                    </w:rPr>
                    <w:t>113.244864°</w:t>
                  </w:r>
                </w:p>
                <w:p>
                  <w:pPr>
                    <w:keepNext w:val="0"/>
                    <w:keepLines w:val="0"/>
                    <w:pageBreakBefore w:val="0"/>
                    <w:kinsoku/>
                    <w:wordWrap/>
                    <w:overflowPunct/>
                    <w:topLinePunct w:val="0"/>
                    <w:autoSpaceDE/>
                    <w:autoSpaceDN/>
                    <w:bidi w:val="0"/>
                    <w:snapToGrid/>
                    <w:spacing w:line="240" w:lineRule="auto"/>
                    <w:jc w:val="center"/>
                    <w:rPr>
                      <w:rFonts w:hint="eastAsia"/>
                      <w:lang w:val="en-US" w:eastAsia="zh-CN"/>
                    </w:rPr>
                  </w:pPr>
                  <w:r>
                    <w:rPr>
                      <w:rFonts w:hint="eastAsia"/>
                      <w:lang w:val="en-US" w:eastAsia="zh-CN"/>
                    </w:rPr>
                    <w:t>N</w:t>
                  </w:r>
                  <w:r>
                    <w:rPr>
                      <w:rFonts w:hint="eastAsia"/>
                    </w:rPr>
                    <w:t>38.738200°</w:t>
                  </w:r>
                </w:p>
              </w:tc>
              <w:tc>
                <w:tcPr>
                  <w:tcW w:w="391" w:type="pct"/>
                  <w:vMerge w:val="restart"/>
                  <w:vAlign w:val="center"/>
                </w:tcPr>
                <w:p>
                  <w:pPr>
                    <w:keepNext w:val="0"/>
                    <w:keepLines w:val="0"/>
                    <w:pageBreakBefore w:val="0"/>
                    <w:widowControl/>
                    <w:kinsoku/>
                    <w:wordWrap/>
                    <w:overflowPunct/>
                    <w:topLinePunct w:val="0"/>
                    <w:autoSpaceDE/>
                    <w:autoSpaceDN/>
                    <w:bidi w:val="0"/>
                    <w:snapToGrid/>
                    <w:spacing w:line="240" w:lineRule="auto"/>
                    <w:jc w:val="center"/>
                    <w:rPr>
                      <w:rFonts w:hint="eastAsia" w:eastAsia="宋体"/>
                      <w:lang w:val="en-US" w:eastAsia="zh-CN"/>
                    </w:rPr>
                  </w:pPr>
                  <w:r>
                    <w:rPr>
                      <w:rFonts w:hint="eastAsia"/>
                      <w:lang w:val="en-US" w:eastAsia="zh-CN"/>
                    </w:rPr>
                    <w:t>居民</w:t>
                  </w:r>
                </w:p>
              </w:tc>
              <w:tc>
                <w:tcPr>
                  <w:tcW w:w="316" w:type="pct"/>
                  <w:vAlign w:val="center"/>
                </w:tcPr>
                <w:p>
                  <w:pPr>
                    <w:keepNext w:val="0"/>
                    <w:keepLines w:val="0"/>
                    <w:pageBreakBefore w:val="0"/>
                    <w:kinsoku/>
                    <w:wordWrap/>
                    <w:overflowPunct/>
                    <w:topLinePunct w:val="0"/>
                    <w:autoSpaceDE/>
                    <w:autoSpaceDN/>
                    <w:bidi w:val="0"/>
                    <w:snapToGrid/>
                    <w:spacing w:line="240" w:lineRule="auto"/>
                    <w:jc w:val="center"/>
                  </w:pPr>
                  <w:r>
                    <w:rPr>
                      <w:rFonts w:hint="eastAsia"/>
                      <w:lang w:val="en-US" w:eastAsia="zh-CN"/>
                    </w:rPr>
                    <w:t>N/S</w:t>
                  </w:r>
                </w:p>
              </w:tc>
              <w:tc>
                <w:tcPr>
                  <w:tcW w:w="1085" w:type="pct"/>
                  <w:vAlign w:val="center"/>
                </w:tcPr>
                <w:p>
                  <w:pPr>
                    <w:keepNext w:val="0"/>
                    <w:keepLines w:val="0"/>
                    <w:pageBreakBefore w:val="0"/>
                    <w:kinsoku/>
                    <w:wordWrap/>
                    <w:overflowPunct/>
                    <w:topLinePunct w:val="0"/>
                    <w:autoSpaceDE/>
                    <w:autoSpaceDN/>
                    <w:bidi w:val="0"/>
                    <w:snapToGrid/>
                    <w:spacing w:line="240" w:lineRule="auto"/>
                    <w:jc w:val="center"/>
                    <w:rPr>
                      <w:rFonts w:hint="eastAsia"/>
                      <w:lang w:val="en-US" w:eastAsia="zh-CN"/>
                    </w:rPr>
                  </w:pPr>
                  <w:r>
                    <w:rPr>
                      <w:rFonts w:hint="eastAsia"/>
                      <w:lang w:val="en-US" w:eastAsia="zh-CN"/>
                    </w:rPr>
                    <w:t>湖滨大街西延北侧南侧约10m，平层建筑</w:t>
                  </w:r>
                </w:p>
              </w:tc>
              <w:tc>
                <w:tcPr>
                  <w:tcW w:w="1160" w:type="pct"/>
                  <w:vMerge w:val="restart"/>
                  <w:vAlign w:val="center"/>
                </w:tcPr>
                <w:p>
                  <w:pPr>
                    <w:keepNext w:val="0"/>
                    <w:keepLines w:val="0"/>
                    <w:pageBreakBefore w:val="0"/>
                    <w:widowControl/>
                    <w:kinsoku/>
                    <w:wordWrap/>
                    <w:overflowPunct/>
                    <w:topLinePunct w:val="0"/>
                    <w:autoSpaceDE/>
                    <w:autoSpaceDN/>
                    <w:bidi w:val="0"/>
                    <w:snapToGrid/>
                    <w:spacing w:line="240" w:lineRule="auto"/>
                    <w:jc w:val="center"/>
                    <w:rPr>
                      <w:rFonts w:hint="default" w:eastAsia="宋体"/>
                      <w:bCs/>
                      <w:lang w:val="en-US" w:eastAsia="zh-CN"/>
                    </w:rPr>
                  </w:pPr>
                  <w:r>
                    <w:rPr>
                      <w:rFonts w:hint="eastAsia"/>
                      <w:bCs/>
                      <w:lang w:val="en-US" w:eastAsia="zh-CN"/>
                    </w:rPr>
                    <w:t>《声环境质量标准》（GB3095-2008），道路35m范围内执行4a类标准，35-200m范围内执行2类标准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404" w:type="pct"/>
                  <w:vMerge w:val="continue"/>
                  <w:vAlign w:val="center"/>
                </w:tcPr>
                <w:p>
                  <w:pPr>
                    <w:keepNext w:val="0"/>
                    <w:keepLines w:val="0"/>
                    <w:pageBreakBefore w:val="0"/>
                    <w:widowControl/>
                    <w:kinsoku/>
                    <w:wordWrap/>
                    <w:overflowPunct/>
                    <w:topLinePunct w:val="0"/>
                    <w:autoSpaceDE/>
                    <w:autoSpaceDN/>
                    <w:bidi w:val="0"/>
                    <w:snapToGrid/>
                    <w:spacing w:line="240" w:lineRule="auto"/>
                    <w:jc w:val="center"/>
                    <w:rPr>
                      <w:bCs/>
                    </w:rPr>
                  </w:pPr>
                </w:p>
              </w:tc>
              <w:tc>
                <w:tcPr>
                  <w:tcW w:w="657" w:type="pct"/>
                  <w:vAlign w:val="center"/>
                </w:tcPr>
                <w:p>
                  <w:pPr>
                    <w:keepNext w:val="0"/>
                    <w:keepLines w:val="0"/>
                    <w:pageBreakBefore w:val="0"/>
                    <w:kinsoku/>
                    <w:wordWrap/>
                    <w:overflowPunct/>
                    <w:topLinePunct w:val="0"/>
                    <w:autoSpaceDE/>
                    <w:autoSpaceDN/>
                    <w:bidi w:val="0"/>
                    <w:snapToGrid/>
                    <w:spacing w:line="240" w:lineRule="auto"/>
                    <w:jc w:val="center"/>
                    <w:rPr>
                      <w:rFonts w:hint="eastAsia"/>
                      <w:lang w:val="en-US" w:eastAsia="zh-CN"/>
                    </w:rPr>
                  </w:pPr>
                  <w:r>
                    <w:rPr>
                      <w:rFonts w:hint="eastAsia"/>
                      <w:lang w:val="en-US" w:eastAsia="zh-CN"/>
                    </w:rPr>
                    <w:t>碧海花园E区</w:t>
                  </w:r>
                </w:p>
              </w:tc>
              <w:tc>
                <w:tcPr>
                  <w:tcW w:w="983" w:type="pct"/>
                  <w:vAlign w:val="center"/>
                </w:tcPr>
                <w:p>
                  <w:pPr>
                    <w:keepNext w:val="0"/>
                    <w:keepLines w:val="0"/>
                    <w:pageBreakBefore w:val="0"/>
                    <w:kinsoku/>
                    <w:wordWrap/>
                    <w:overflowPunct/>
                    <w:topLinePunct w:val="0"/>
                    <w:autoSpaceDE/>
                    <w:autoSpaceDN/>
                    <w:bidi w:val="0"/>
                    <w:snapToGrid/>
                    <w:spacing w:line="240" w:lineRule="auto"/>
                    <w:jc w:val="center"/>
                    <w:rPr>
                      <w:rFonts w:hint="eastAsia"/>
                    </w:rPr>
                  </w:pPr>
                  <w:r>
                    <w:rPr>
                      <w:rFonts w:hint="eastAsia"/>
                      <w:lang w:val="en-US" w:eastAsia="zh-CN"/>
                    </w:rPr>
                    <w:t>E</w:t>
                  </w:r>
                  <w:r>
                    <w:rPr>
                      <w:rFonts w:hint="eastAsia"/>
                    </w:rPr>
                    <w:t>113.247165°</w:t>
                  </w:r>
                </w:p>
                <w:p>
                  <w:pPr>
                    <w:keepNext w:val="0"/>
                    <w:keepLines w:val="0"/>
                    <w:pageBreakBefore w:val="0"/>
                    <w:kinsoku/>
                    <w:wordWrap/>
                    <w:overflowPunct/>
                    <w:topLinePunct w:val="0"/>
                    <w:autoSpaceDE/>
                    <w:autoSpaceDN/>
                    <w:bidi w:val="0"/>
                    <w:snapToGrid/>
                    <w:spacing w:line="240" w:lineRule="auto"/>
                    <w:jc w:val="center"/>
                    <w:rPr>
                      <w:rFonts w:hint="eastAsia"/>
                      <w:lang w:val="en-US" w:eastAsia="zh-CN"/>
                    </w:rPr>
                  </w:pPr>
                  <w:r>
                    <w:rPr>
                      <w:rFonts w:hint="eastAsia"/>
                      <w:lang w:val="en-US" w:eastAsia="zh-CN"/>
                    </w:rPr>
                    <w:t>N38.738131°</w:t>
                  </w:r>
                </w:p>
              </w:tc>
              <w:tc>
                <w:tcPr>
                  <w:tcW w:w="391" w:type="pct"/>
                  <w:vMerge w:val="continue"/>
                  <w:vAlign w:val="center"/>
                </w:tcPr>
                <w:p>
                  <w:pPr>
                    <w:keepNext w:val="0"/>
                    <w:keepLines w:val="0"/>
                    <w:pageBreakBefore w:val="0"/>
                    <w:widowControl/>
                    <w:kinsoku/>
                    <w:wordWrap/>
                    <w:overflowPunct/>
                    <w:topLinePunct w:val="0"/>
                    <w:autoSpaceDE/>
                    <w:autoSpaceDN/>
                    <w:bidi w:val="0"/>
                    <w:snapToGrid/>
                    <w:spacing w:line="240" w:lineRule="auto"/>
                    <w:jc w:val="center"/>
                  </w:pPr>
                </w:p>
              </w:tc>
              <w:tc>
                <w:tcPr>
                  <w:tcW w:w="316" w:type="pct"/>
                  <w:vAlign w:val="center"/>
                </w:tcPr>
                <w:p>
                  <w:pPr>
                    <w:keepNext w:val="0"/>
                    <w:keepLines w:val="0"/>
                    <w:pageBreakBefore w:val="0"/>
                    <w:kinsoku/>
                    <w:wordWrap/>
                    <w:overflowPunct/>
                    <w:topLinePunct w:val="0"/>
                    <w:autoSpaceDE/>
                    <w:autoSpaceDN/>
                    <w:bidi w:val="0"/>
                    <w:snapToGrid/>
                    <w:spacing w:line="240" w:lineRule="auto"/>
                    <w:jc w:val="center"/>
                  </w:pPr>
                  <w:r>
                    <w:rPr>
                      <w:rFonts w:hint="eastAsia"/>
                      <w:lang w:val="en-US" w:eastAsia="zh-CN"/>
                    </w:rPr>
                    <w:t>NE</w:t>
                  </w:r>
                </w:p>
              </w:tc>
              <w:tc>
                <w:tcPr>
                  <w:tcW w:w="1085" w:type="pct"/>
                  <w:vAlign w:val="center"/>
                </w:tcPr>
                <w:p>
                  <w:pPr>
                    <w:keepNext w:val="0"/>
                    <w:keepLines w:val="0"/>
                    <w:pageBreakBefore w:val="0"/>
                    <w:kinsoku/>
                    <w:wordWrap/>
                    <w:overflowPunct/>
                    <w:topLinePunct w:val="0"/>
                    <w:autoSpaceDE/>
                    <w:autoSpaceDN/>
                    <w:bidi w:val="0"/>
                    <w:snapToGrid/>
                    <w:spacing w:line="240" w:lineRule="auto"/>
                    <w:jc w:val="center"/>
                    <w:rPr>
                      <w:rFonts w:hint="eastAsia"/>
                      <w:lang w:val="en-US" w:eastAsia="zh-CN"/>
                    </w:rPr>
                  </w:pPr>
                  <w:r>
                    <w:rPr>
                      <w:rFonts w:hint="eastAsia"/>
                      <w:lang w:val="en-US" w:eastAsia="zh-CN"/>
                    </w:rPr>
                    <w:t>湖滨大街西延终点东北侧，20m，为6层建筑</w:t>
                  </w:r>
                </w:p>
              </w:tc>
              <w:tc>
                <w:tcPr>
                  <w:tcW w:w="1160" w:type="pct"/>
                  <w:vMerge w:val="continue"/>
                  <w:vAlign w:val="center"/>
                </w:tcPr>
                <w:p>
                  <w:pPr>
                    <w:keepNext w:val="0"/>
                    <w:keepLines w:val="0"/>
                    <w:pageBreakBefore w:val="0"/>
                    <w:widowControl/>
                    <w:kinsoku/>
                    <w:wordWrap/>
                    <w:overflowPunct/>
                    <w:topLinePunct w:val="0"/>
                    <w:autoSpaceDE/>
                    <w:autoSpaceDN/>
                    <w:bidi w:val="0"/>
                    <w:snapToGrid/>
                    <w:spacing w:line="240" w:lineRule="auto"/>
                    <w:jc w:val="center"/>
                    <w:rPr>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404" w:type="pct"/>
                  <w:vMerge w:val="continue"/>
                  <w:vAlign w:val="center"/>
                </w:tcPr>
                <w:p>
                  <w:pPr>
                    <w:keepNext w:val="0"/>
                    <w:keepLines w:val="0"/>
                    <w:pageBreakBefore w:val="0"/>
                    <w:widowControl/>
                    <w:kinsoku/>
                    <w:wordWrap/>
                    <w:overflowPunct/>
                    <w:topLinePunct w:val="0"/>
                    <w:autoSpaceDE/>
                    <w:autoSpaceDN/>
                    <w:bidi w:val="0"/>
                    <w:snapToGrid/>
                    <w:spacing w:line="240" w:lineRule="auto"/>
                    <w:jc w:val="center"/>
                    <w:rPr>
                      <w:bCs/>
                    </w:rPr>
                  </w:pPr>
                </w:p>
              </w:tc>
              <w:tc>
                <w:tcPr>
                  <w:tcW w:w="657" w:type="pct"/>
                  <w:vAlign w:val="center"/>
                </w:tcPr>
                <w:p>
                  <w:pPr>
                    <w:keepNext w:val="0"/>
                    <w:keepLines w:val="0"/>
                    <w:pageBreakBefore w:val="0"/>
                    <w:kinsoku/>
                    <w:wordWrap/>
                    <w:overflowPunct/>
                    <w:topLinePunct w:val="0"/>
                    <w:autoSpaceDE/>
                    <w:autoSpaceDN/>
                    <w:bidi w:val="0"/>
                    <w:snapToGrid/>
                    <w:spacing w:line="240" w:lineRule="auto"/>
                    <w:jc w:val="center"/>
                    <w:rPr>
                      <w:rFonts w:hint="eastAsia"/>
                      <w:lang w:val="en-US" w:eastAsia="zh-CN"/>
                    </w:rPr>
                  </w:pPr>
                  <w:r>
                    <w:rPr>
                      <w:rFonts w:hint="eastAsia"/>
                      <w:lang w:val="en-US" w:eastAsia="zh-CN"/>
                    </w:rPr>
                    <w:t>西富苑小区</w:t>
                  </w:r>
                </w:p>
              </w:tc>
              <w:tc>
                <w:tcPr>
                  <w:tcW w:w="983" w:type="pct"/>
                  <w:vAlign w:val="center"/>
                </w:tcPr>
                <w:p>
                  <w:pPr>
                    <w:keepNext w:val="0"/>
                    <w:keepLines w:val="0"/>
                    <w:pageBreakBefore w:val="0"/>
                    <w:kinsoku/>
                    <w:wordWrap/>
                    <w:overflowPunct/>
                    <w:topLinePunct w:val="0"/>
                    <w:autoSpaceDE/>
                    <w:autoSpaceDN/>
                    <w:bidi w:val="0"/>
                    <w:snapToGrid/>
                    <w:spacing w:line="240" w:lineRule="auto"/>
                    <w:jc w:val="center"/>
                    <w:rPr>
                      <w:rFonts w:hint="eastAsia"/>
                    </w:rPr>
                  </w:pPr>
                  <w:r>
                    <w:rPr>
                      <w:rFonts w:hint="eastAsia"/>
                      <w:lang w:val="en-US" w:eastAsia="zh-CN"/>
                    </w:rPr>
                    <w:t>E</w:t>
                  </w:r>
                  <w:r>
                    <w:rPr>
                      <w:rFonts w:hint="eastAsia"/>
                    </w:rPr>
                    <w:t>113.244020°</w:t>
                  </w:r>
                </w:p>
                <w:p>
                  <w:pPr>
                    <w:keepNext w:val="0"/>
                    <w:keepLines w:val="0"/>
                    <w:pageBreakBefore w:val="0"/>
                    <w:kinsoku/>
                    <w:wordWrap/>
                    <w:overflowPunct/>
                    <w:topLinePunct w:val="0"/>
                    <w:autoSpaceDE/>
                    <w:autoSpaceDN/>
                    <w:bidi w:val="0"/>
                    <w:snapToGrid/>
                    <w:spacing w:line="240" w:lineRule="auto"/>
                    <w:jc w:val="center"/>
                    <w:rPr>
                      <w:rFonts w:hint="eastAsia"/>
                      <w:lang w:val="en-US" w:eastAsia="zh-CN"/>
                    </w:rPr>
                  </w:pPr>
                  <w:r>
                    <w:rPr>
                      <w:rFonts w:hint="eastAsia"/>
                      <w:lang w:val="en-US" w:eastAsia="zh-CN"/>
                    </w:rPr>
                    <w:t>N38.729702°</w:t>
                  </w:r>
                </w:p>
              </w:tc>
              <w:tc>
                <w:tcPr>
                  <w:tcW w:w="391" w:type="pct"/>
                  <w:vMerge w:val="continue"/>
                  <w:vAlign w:val="center"/>
                </w:tcPr>
                <w:p>
                  <w:pPr>
                    <w:keepNext w:val="0"/>
                    <w:keepLines w:val="0"/>
                    <w:pageBreakBefore w:val="0"/>
                    <w:widowControl/>
                    <w:kinsoku/>
                    <w:wordWrap/>
                    <w:overflowPunct/>
                    <w:topLinePunct w:val="0"/>
                    <w:autoSpaceDE/>
                    <w:autoSpaceDN/>
                    <w:bidi w:val="0"/>
                    <w:snapToGrid/>
                    <w:spacing w:line="240" w:lineRule="auto"/>
                    <w:jc w:val="center"/>
                  </w:pPr>
                </w:p>
              </w:tc>
              <w:tc>
                <w:tcPr>
                  <w:tcW w:w="316" w:type="pct"/>
                  <w:vAlign w:val="center"/>
                </w:tcPr>
                <w:p>
                  <w:pPr>
                    <w:keepNext w:val="0"/>
                    <w:keepLines w:val="0"/>
                    <w:pageBreakBefore w:val="0"/>
                    <w:kinsoku/>
                    <w:wordWrap/>
                    <w:overflowPunct/>
                    <w:topLinePunct w:val="0"/>
                    <w:autoSpaceDE/>
                    <w:autoSpaceDN/>
                    <w:bidi w:val="0"/>
                    <w:snapToGrid/>
                    <w:spacing w:line="240" w:lineRule="auto"/>
                    <w:jc w:val="center"/>
                  </w:pPr>
                  <w:r>
                    <w:t>SE</w:t>
                  </w:r>
                </w:p>
              </w:tc>
              <w:tc>
                <w:tcPr>
                  <w:tcW w:w="1085" w:type="pct"/>
                  <w:vAlign w:val="center"/>
                </w:tcPr>
                <w:p>
                  <w:pPr>
                    <w:keepNext w:val="0"/>
                    <w:keepLines w:val="0"/>
                    <w:pageBreakBefore w:val="0"/>
                    <w:kinsoku/>
                    <w:wordWrap/>
                    <w:overflowPunct/>
                    <w:topLinePunct w:val="0"/>
                    <w:autoSpaceDE/>
                    <w:autoSpaceDN/>
                    <w:bidi w:val="0"/>
                    <w:snapToGrid/>
                    <w:spacing w:line="240" w:lineRule="auto"/>
                    <w:jc w:val="center"/>
                    <w:rPr>
                      <w:rFonts w:hint="eastAsia"/>
                      <w:lang w:val="en-US" w:eastAsia="zh-CN"/>
                    </w:rPr>
                  </w:pPr>
                  <w:r>
                    <w:rPr>
                      <w:rFonts w:hint="eastAsia"/>
                      <w:lang w:val="en-US" w:eastAsia="zh-CN"/>
                    </w:rPr>
                    <w:t>新建文昌路起点东南侧，50m，为18层高层建筑</w:t>
                  </w:r>
                </w:p>
              </w:tc>
              <w:tc>
                <w:tcPr>
                  <w:tcW w:w="1160" w:type="pct"/>
                  <w:vMerge w:val="continue"/>
                  <w:vAlign w:val="center"/>
                </w:tcPr>
                <w:p>
                  <w:pPr>
                    <w:keepNext w:val="0"/>
                    <w:keepLines w:val="0"/>
                    <w:pageBreakBefore w:val="0"/>
                    <w:widowControl/>
                    <w:kinsoku/>
                    <w:wordWrap/>
                    <w:overflowPunct/>
                    <w:topLinePunct w:val="0"/>
                    <w:autoSpaceDE/>
                    <w:autoSpaceDN/>
                    <w:bidi w:val="0"/>
                    <w:snapToGrid/>
                    <w:spacing w:line="240" w:lineRule="auto"/>
                    <w:jc w:val="center"/>
                    <w:rPr>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404" w:type="pct"/>
                  <w:vMerge w:val="continue"/>
                  <w:vAlign w:val="center"/>
                </w:tcPr>
                <w:p>
                  <w:pPr>
                    <w:keepNext w:val="0"/>
                    <w:keepLines w:val="0"/>
                    <w:pageBreakBefore w:val="0"/>
                    <w:widowControl/>
                    <w:kinsoku/>
                    <w:wordWrap/>
                    <w:overflowPunct/>
                    <w:topLinePunct w:val="0"/>
                    <w:autoSpaceDE/>
                    <w:autoSpaceDN/>
                    <w:bidi w:val="0"/>
                    <w:snapToGrid/>
                    <w:spacing w:line="240" w:lineRule="auto"/>
                    <w:jc w:val="center"/>
                    <w:rPr>
                      <w:bCs/>
                    </w:rPr>
                  </w:pPr>
                </w:p>
              </w:tc>
              <w:tc>
                <w:tcPr>
                  <w:tcW w:w="657" w:type="pct"/>
                  <w:vAlign w:val="center"/>
                </w:tcPr>
                <w:p>
                  <w:pPr>
                    <w:keepNext w:val="0"/>
                    <w:keepLines w:val="0"/>
                    <w:pageBreakBefore w:val="0"/>
                    <w:kinsoku/>
                    <w:wordWrap/>
                    <w:overflowPunct/>
                    <w:topLinePunct w:val="0"/>
                    <w:autoSpaceDE/>
                    <w:autoSpaceDN/>
                    <w:bidi w:val="0"/>
                    <w:snapToGrid/>
                    <w:spacing w:line="240" w:lineRule="auto"/>
                    <w:jc w:val="center"/>
                    <w:rPr>
                      <w:rFonts w:hint="eastAsia"/>
                      <w:lang w:val="en-US" w:eastAsia="zh-CN"/>
                    </w:rPr>
                  </w:pPr>
                  <w:r>
                    <w:rPr>
                      <w:rFonts w:hint="eastAsia"/>
                      <w:lang w:val="en-US" w:eastAsia="zh-CN"/>
                    </w:rPr>
                    <w:t>王家沟</w:t>
                  </w:r>
                  <w:r>
                    <w:t>村</w:t>
                  </w:r>
                </w:p>
              </w:tc>
              <w:tc>
                <w:tcPr>
                  <w:tcW w:w="983" w:type="pct"/>
                  <w:vAlign w:val="center"/>
                </w:tcPr>
                <w:p>
                  <w:pPr>
                    <w:keepNext w:val="0"/>
                    <w:keepLines w:val="0"/>
                    <w:pageBreakBefore w:val="0"/>
                    <w:kinsoku/>
                    <w:wordWrap/>
                    <w:overflowPunct/>
                    <w:topLinePunct w:val="0"/>
                    <w:autoSpaceDE/>
                    <w:autoSpaceDN/>
                    <w:bidi w:val="0"/>
                    <w:snapToGrid/>
                    <w:spacing w:line="240" w:lineRule="auto"/>
                    <w:jc w:val="center"/>
                    <w:rPr>
                      <w:rFonts w:hint="eastAsia"/>
                    </w:rPr>
                  </w:pPr>
                  <w:r>
                    <w:rPr>
                      <w:rFonts w:hint="eastAsia"/>
                      <w:lang w:val="en-US" w:eastAsia="zh-CN"/>
                    </w:rPr>
                    <w:t>E</w:t>
                  </w:r>
                  <w:r>
                    <w:rPr>
                      <w:rFonts w:hint="eastAsia"/>
                    </w:rPr>
                    <w:t>113.261841°</w:t>
                  </w:r>
                </w:p>
                <w:p>
                  <w:pPr>
                    <w:keepNext w:val="0"/>
                    <w:keepLines w:val="0"/>
                    <w:pageBreakBefore w:val="0"/>
                    <w:kinsoku/>
                    <w:wordWrap/>
                    <w:overflowPunct/>
                    <w:topLinePunct w:val="0"/>
                    <w:autoSpaceDE/>
                    <w:autoSpaceDN/>
                    <w:bidi w:val="0"/>
                    <w:snapToGrid/>
                    <w:spacing w:line="240" w:lineRule="auto"/>
                    <w:jc w:val="center"/>
                    <w:rPr>
                      <w:rFonts w:hint="eastAsia"/>
                      <w:lang w:val="en-US" w:eastAsia="zh-CN"/>
                    </w:rPr>
                  </w:pPr>
                  <w:r>
                    <w:rPr>
                      <w:rFonts w:hint="eastAsia"/>
                      <w:lang w:val="en-US" w:eastAsia="zh-CN"/>
                    </w:rPr>
                    <w:t>N38.720748°</w:t>
                  </w:r>
                </w:p>
              </w:tc>
              <w:tc>
                <w:tcPr>
                  <w:tcW w:w="391" w:type="pct"/>
                  <w:vMerge w:val="continue"/>
                  <w:vAlign w:val="center"/>
                </w:tcPr>
                <w:p>
                  <w:pPr>
                    <w:keepNext w:val="0"/>
                    <w:keepLines w:val="0"/>
                    <w:pageBreakBefore w:val="0"/>
                    <w:widowControl/>
                    <w:kinsoku/>
                    <w:wordWrap/>
                    <w:overflowPunct/>
                    <w:topLinePunct w:val="0"/>
                    <w:autoSpaceDE/>
                    <w:autoSpaceDN/>
                    <w:bidi w:val="0"/>
                    <w:snapToGrid/>
                    <w:spacing w:line="240" w:lineRule="auto"/>
                    <w:jc w:val="center"/>
                  </w:pPr>
                </w:p>
              </w:tc>
              <w:tc>
                <w:tcPr>
                  <w:tcW w:w="316" w:type="pct"/>
                  <w:vAlign w:val="center"/>
                </w:tcPr>
                <w:p>
                  <w:pPr>
                    <w:keepNext w:val="0"/>
                    <w:keepLines w:val="0"/>
                    <w:pageBreakBefore w:val="0"/>
                    <w:kinsoku/>
                    <w:wordWrap/>
                    <w:overflowPunct/>
                    <w:topLinePunct w:val="0"/>
                    <w:autoSpaceDE/>
                    <w:autoSpaceDN/>
                    <w:bidi w:val="0"/>
                    <w:snapToGrid/>
                    <w:spacing w:line="240" w:lineRule="auto"/>
                    <w:jc w:val="center"/>
                  </w:pPr>
                  <w:r>
                    <w:rPr>
                      <w:rFonts w:hint="eastAsia"/>
                      <w:lang w:val="en-US" w:eastAsia="zh-CN"/>
                    </w:rPr>
                    <w:t>E</w:t>
                  </w:r>
                </w:p>
              </w:tc>
              <w:tc>
                <w:tcPr>
                  <w:tcW w:w="1085" w:type="pct"/>
                  <w:vAlign w:val="center"/>
                </w:tcPr>
                <w:p>
                  <w:pPr>
                    <w:keepNext w:val="0"/>
                    <w:keepLines w:val="0"/>
                    <w:pageBreakBefore w:val="0"/>
                    <w:kinsoku/>
                    <w:wordWrap/>
                    <w:overflowPunct/>
                    <w:topLinePunct w:val="0"/>
                    <w:autoSpaceDE/>
                    <w:autoSpaceDN/>
                    <w:bidi w:val="0"/>
                    <w:snapToGrid/>
                    <w:spacing w:line="240" w:lineRule="auto"/>
                    <w:jc w:val="center"/>
                    <w:rPr>
                      <w:rFonts w:hint="eastAsia"/>
                      <w:lang w:val="en-US" w:eastAsia="zh-CN"/>
                    </w:rPr>
                  </w:pPr>
                  <w:r>
                    <w:rPr>
                      <w:rFonts w:hint="eastAsia"/>
                      <w:lang w:val="en-US" w:eastAsia="zh-CN"/>
                    </w:rPr>
                    <w:t>东外环路东70m，为平层建筑</w:t>
                  </w:r>
                </w:p>
              </w:tc>
              <w:tc>
                <w:tcPr>
                  <w:tcW w:w="1160" w:type="pct"/>
                  <w:vMerge w:val="continue"/>
                  <w:vAlign w:val="center"/>
                </w:tcPr>
                <w:p>
                  <w:pPr>
                    <w:keepNext w:val="0"/>
                    <w:keepLines w:val="0"/>
                    <w:pageBreakBefore w:val="0"/>
                    <w:widowControl/>
                    <w:kinsoku/>
                    <w:wordWrap/>
                    <w:overflowPunct/>
                    <w:topLinePunct w:val="0"/>
                    <w:autoSpaceDE/>
                    <w:autoSpaceDN/>
                    <w:bidi w:val="0"/>
                    <w:snapToGrid/>
                    <w:spacing w:line="240" w:lineRule="auto"/>
                    <w:jc w:val="center"/>
                    <w:rPr>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404" w:type="pct"/>
                  <w:vMerge w:val="continue"/>
                  <w:vAlign w:val="center"/>
                </w:tcPr>
                <w:p>
                  <w:pPr>
                    <w:keepNext w:val="0"/>
                    <w:keepLines w:val="0"/>
                    <w:pageBreakBefore w:val="0"/>
                    <w:widowControl/>
                    <w:kinsoku/>
                    <w:wordWrap/>
                    <w:overflowPunct/>
                    <w:topLinePunct w:val="0"/>
                    <w:autoSpaceDE/>
                    <w:autoSpaceDN/>
                    <w:bidi w:val="0"/>
                    <w:snapToGrid/>
                    <w:spacing w:line="240" w:lineRule="auto"/>
                    <w:jc w:val="center"/>
                    <w:rPr>
                      <w:bCs/>
                    </w:rPr>
                  </w:pPr>
                </w:p>
              </w:tc>
              <w:tc>
                <w:tcPr>
                  <w:tcW w:w="657" w:type="pct"/>
                  <w:vAlign w:val="center"/>
                </w:tcPr>
                <w:p>
                  <w:pPr>
                    <w:keepNext w:val="0"/>
                    <w:keepLines w:val="0"/>
                    <w:pageBreakBefore w:val="0"/>
                    <w:kinsoku/>
                    <w:wordWrap/>
                    <w:overflowPunct/>
                    <w:topLinePunct w:val="0"/>
                    <w:autoSpaceDE/>
                    <w:autoSpaceDN/>
                    <w:bidi w:val="0"/>
                    <w:snapToGrid/>
                    <w:spacing w:line="240" w:lineRule="auto"/>
                    <w:jc w:val="center"/>
                    <w:rPr>
                      <w:rFonts w:hint="eastAsia"/>
                      <w:lang w:val="en-US" w:eastAsia="zh-CN"/>
                    </w:rPr>
                  </w:pPr>
                  <w:r>
                    <w:rPr>
                      <w:rFonts w:hint="eastAsia"/>
                      <w:lang w:val="en-US" w:eastAsia="zh-CN"/>
                    </w:rPr>
                    <w:t>王庄</w:t>
                  </w:r>
                  <w:r>
                    <w:rPr>
                      <w:rFonts w:hint="eastAsia"/>
                    </w:rPr>
                    <w:t>村</w:t>
                  </w:r>
                </w:p>
              </w:tc>
              <w:tc>
                <w:tcPr>
                  <w:tcW w:w="983" w:type="pct"/>
                  <w:vAlign w:val="center"/>
                </w:tcPr>
                <w:p>
                  <w:pPr>
                    <w:keepNext w:val="0"/>
                    <w:keepLines w:val="0"/>
                    <w:pageBreakBefore w:val="0"/>
                    <w:kinsoku/>
                    <w:wordWrap/>
                    <w:overflowPunct/>
                    <w:topLinePunct w:val="0"/>
                    <w:autoSpaceDE/>
                    <w:autoSpaceDN/>
                    <w:bidi w:val="0"/>
                    <w:snapToGrid/>
                    <w:spacing w:line="240" w:lineRule="auto"/>
                    <w:jc w:val="center"/>
                    <w:rPr>
                      <w:rFonts w:hint="eastAsia"/>
                    </w:rPr>
                  </w:pPr>
                  <w:r>
                    <w:rPr>
                      <w:rFonts w:hint="eastAsia"/>
                      <w:lang w:val="en-US" w:eastAsia="zh-CN"/>
                    </w:rPr>
                    <w:t>E</w:t>
                  </w:r>
                  <w:r>
                    <w:rPr>
                      <w:rFonts w:hint="eastAsia"/>
                    </w:rPr>
                    <w:t>113.267423°</w:t>
                  </w:r>
                </w:p>
                <w:p>
                  <w:pPr>
                    <w:keepNext w:val="0"/>
                    <w:keepLines w:val="0"/>
                    <w:pageBreakBefore w:val="0"/>
                    <w:kinsoku/>
                    <w:wordWrap/>
                    <w:overflowPunct/>
                    <w:topLinePunct w:val="0"/>
                    <w:autoSpaceDE/>
                    <w:autoSpaceDN/>
                    <w:bidi w:val="0"/>
                    <w:snapToGrid/>
                    <w:spacing w:line="240" w:lineRule="auto"/>
                    <w:jc w:val="center"/>
                    <w:rPr>
                      <w:rFonts w:hint="eastAsia"/>
                      <w:lang w:val="en-US" w:eastAsia="zh-CN"/>
                    </w:rPr>
                  </w:pPr>
                  <w:r>
                    <w:rPr>
                      <w:rFonts w:hint="eastAsia"/>
                      <w:lang w:val="en-US" w:eastAsia="zh-CN"/>
                    </w:rPr>
                    <w:t>N38.695470°</w:t>
                  </w:r>
                </w:p>
              </w:tc>
              <w:tc>
                <w:tcPr>
                  <w:tcW w:w="391" w:type="pct"/>
                  <w:vMerge w:val="continue"/>
                  <w:vAlign w:val="center"/>
                </w:tcPr>
                <w:p>
                  <w:pPr>
                    <w:keepNext w:val="0"/>
                    <w:keepLines w:val="0"/>
                    <w:pageBreakBefore w:val="0"/>
                    <w:widowControl/>
                    <w:kinsoku/>
                    <w:wordWrap/>
                    <w:overflowPunct/>
                    <w:topLinePunct w:val="0"/>
                    <w:autoSpaceDE/>
                    <w:autoSpaceDN/>
                    <w:bidi w:val="0"/>
                    <w:snapToGrid/>
                    <w:spacing w:line="240" w:lineRule="auto"/>
                    <w:jc w:val="center"/>
                  </w:pPr>
                </w:p>
              </w:tc>
              <w:tc>
                <w:tcPr>
                  <w:tcW w:w="316" w:type="pct"/>
                  <w:vAlign w:val="center"/>
                </w:tcPr>
                <w:p>
                  <w:pPr>
                    <w:keepNext w:val="0"/>
                    <w:keepLines w:val="0"/>
                    <w:pageBreakBefore w:val="0"/>
                    <w:kinsoku/>
                    <w:wordWrap/>
                    <w:overflowPunct/>
                    <w:topLinePunct w:val="0"/>
                    <w:autoSpaceDE/>
                    <w:autoSpaceDN/>
                    <w:bidi w:val="0"/>
                    <w:snapToGrid/>
                    <w:spacing w:line="240" w:lineRule="auto"/>
                    <w:jc w:val="center"/>
                  </w:pPr>
                  <w:r>
                    <w:t>SE</w:t>
                  </w:r>
                </w:p>
              </w:tc>
              <w:tc>
                <w:tcPr>
                  <w:tcW w:w="1085" w:type="pct"/>
                  <w:vAlign w:val="center"/>
                </w:tcPr>
                <w:p>
                  <w:pPr>
                    <w:keepNext w:val="0"/>
                    <w:keepLines w:val="0"/>
                    <w:pageBreakBefore w:val="0"/>
                    <w:kinsoku/>
                    <w:wordWrap/>
                    <w:overflowPunct/>
                    <w:topLinePunct w:val="0"/>
                    <w:autoSpaceDE/>
                    <w:autoSpaceDN/>
                    <w:bidi w:val="0"/>
                    <w:snapToGrid/>
                    <w:spacing w:line="240" w:lineRule="auto"/>
                    <w:jc w:val="center"/>
                    <w:rPr>
                      <w:rFonts w:hint="eastAsia"/>
                      <w:lang w:val="en-US" w:eastAsia="zh-CN"/>
                    </w:rPr>
                  </w:pPr>
                  <w:r>
                    <w:rPr>
                      <w:rFonts w:hint="eastAsia"/>
                      <w:lang w:val="en-US" w:eastAsia="zh-CN"/>
                    </w:rPr>
                    <w:t>东外环路起点东南90m，为平层建筑</w:t>
                  </w:r>
                </w:p>
              </w:tc>
              <w:tc>
                <w:tcPr>
                  <w:tcW w:w="1160" w:type="pct"/>
                  <w:vMerge w:val="continue"/>
                  <w:vAlign w:val="center"/>
                </w:tcPr>
                <w:p>
                  <w:pPr>
                    <w:keepNext w:val="0"/>
                    <w:keepLines w:val="0"/>
                    <w:pageBreakBefore w:val="0"/>
                    <w:widowControl/>
                    <w:kinsoku/>
                    <w:wordWrap/>
                    <w:overflowPunct/>
                    <w:topLinePunct w:val="0"/>
                    <w:autoSpaceDE/>
                    <w:autoSpaceDN/>
                    <w:bidi w:val="0"/>
                    <w:snapToGrid/>
                    <w:spacing w:line="240" w:lineRule="auto"/>
                    <w:jc w:val="center"/>
                    <w:rPr>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404" w:type="pct"/>
                  <w:vAlign w:val="center"/>
                </w:tcPr>
                <w:p>
                  <w:pPr>
                    <w:keepNext w:val="0"/>
                    <w:keepLines w:val="0"/>
                    <w:pageBreakBefore w:val="0"/>
                    <w:widowControl/>
                    <w:kinsoku/>
                    <w:wordWrap/>
                    <w:overflowPunct/>
                    <w:topLinePunct w:val="0"/>
                    <w:autoSpaceDE/>
                    <w:autoSpaceDN/>
                    <w:bidi w:val="0"/>
                    <w:snapToGrid/>
                    <w:spacing w:line="240" w:lineRule="auto"/>
                    <w:jc w:val="center"/>
                    <w:rPr>
                      <w:rFonts w:hint="eastAsia" w:eastAsia="宋体"/>
                      <w:bCs/>
                      <w:lang w:val="en-US" w:eastAsia="zh-CN"/>
                    </w:rPr>
                  </w:pPr>
                  <w:r>
                    <w:rPr>
                      <w:rFonts w:hint="eastAsia"/>
                      <w:lang w:val="en-US" w:eastAsia="zh-CN"/>
                    </w:rPr>
                    <w:t>地表水</w:t>
                  </w:r>
                </w:p>
              </w:tc>
              <w:tc>
                <w:tcPr>
                  <w:tcW w:w="2031" w:type="pct"/>
                  <w:gridSpan w:val="3"/>
                  <w:vAlign w:val="center"/>
                </w:tcPr>
                <w:p>
                  <w:pPr>
                    <w:keepNext w:val="0"/>
                    <w:keepLines w:val="0"/>
                    <w:pageBreakBefore w:val="0"/>
                    <w:widowControl/>
                    <w:kinsoku/>
                    <w:wordWrap/>
                    <w:overflowPunct/>
                    <w:topLinePunct w:val="0"/>
                    <w:autoSpaceDE/>
                    <w:autoSpaceDN/>
                    <w:bidi w:val="0"/>
                    <w:snapToGrid/>
                    <w:spacing w:line="240" w:lineRule="auto"/>
                    <w:jc w:val="center"/>
                    <w:rPr>
                      <w:rFonts w:hint="default" w:eastAsia="宋体"/>
                      <w:lang w:val="en-US" w:eastAsia="zh-CN"/>
                    </w:rPr>
                  </w:pPr>
                  <w:r>
                    <w:rPr>
                      <w:rFonts w:hint="eastAsia"/>
                      <w:lang w:val="en-US" w:eastAsia="zh-CN"/>
                    </w:rPr>
                    <w:t>滤泗河、唐家湾水库</w:t>
                  </w:r>
                </w:p>
              </w:tc>
              <w:tc>
                <w:tcPr>
                  <w:tcW w:w="1402" w:type="pct"/>
                  <w:gridSpan w:val="2"/>
                  <w:vAlign w:val="center"/>
                </w:tcPr>
                <w:p>
                  <w:pPr>
                    <w:keepNext w:val="0"/>
                    <w:keepLines w:val="0"/>
                    <w:pageBreakBefore w:val="0"/>
                    <w:widowControl/>
                    <w:kinsoku/>
                    <w:wordWrap/>
                    <w:overflowPunct/>
                    <w:topLinePunct w:val="0"/>
                    <w:autoSpaceDE/>
                    <w:autoSpaceDN/>
                    <w:bidi w:val="0"/>
                    <w:snapToGrid/>
                    <w:spacing w:line="240" w:lineRule="auto"/>
                    <w:jc w:val="center"/>
                    <w:rPr>
                      <w:rFonts w:hint="default" w:eastAsia="宋体"/>
                      <w:bCs/>
                      <w:lang w:val="en-US" w:eastAsia="zh-CN"/>
                    </w:rPr>
                  </w:pPr>
                  <w:r>
                    <w:rPr>
                      <w:rFonts w:hint="eastAsia"/>
                      <w:bCs/>
                      <w:lang w:val="en-US" w:eastAsia="zh-CN"/>
                    </w:rPr>
                    <w:t>文昌路、东外环路各有一处跨滤泗河桥梁</w:t>
                  </w:r>
                </w:p>
              </w:tc>
              <w:tc>
                <w:tcPr>
                  <w:tcW w:w="1160" w:type="pct"/>
                  <w:vAlign w:val="center"/>
                </w:tcPr>
                <w:p>
                  <w:pPr>
                    <w:keepNext w:val="0"/>
                    <w:keepLines w:val="0"/>
                    <w:pageBreakBefore w:val="0"/>
                    <w:widowControl/>
                    <w:kinsoku/>
                    <w:wordWrap/>
                    <w:overflowPunct/>
                    <w:topLinePunct w:val="0"/>
                    <w:autoSpaceDE/>
                    <w:autoSpaceDN/>
                    <w:bidi w:val="0"/>
                    <w:snapToGrid/>
                    <w:spacing w:line="240" w:lineRule="auto"/>
                    <w:jc w:val="center"/>
                    <w:rPr>
                      <w:rFonts w:hint="eastAsia"/>
                      <w:bCs/>
                      <w:color w:val="auto"/>
                      <w:sz w:val="21"/>
                      <w:szCs w:val="21"/>
                      <w:highlight w:val="none"/>
                    </w:rPr>
                  </w:pPr>
                  <w:r>
                    <w:rPr>
                      <w:rFonts w:hint="eastAsia"/>
                      <w:bCs/>
                      <w:color w:val="auto"/>
                      <w:sz w:val="21"/>
                      <w:szCs w:val="21"/>
                      <w:highlight w:val="none"/>
                      <w:lang w:eastAsia="zh-CN"/>
                    </w:rPr>
                    <w:t>《</w:t>
                  </w:r>
                  <w:r>
                    <w:rPr>
                      <w:rFonts w:hint="eastAsia"/>
                      <w:bCs/>
                      <w:color w:val="auto"/>
                      <w:sz w:val="21"/>
                      <w:szCs w:val="21"/>
                      <w:highlight w:val="none"/>
                    </w:rPr>
                    <w:t>地表水环境质量标准</w:t>
                  </w:r>
                  <w:r>
                    <w:rPr>
                      <w:rFonts w:hint="eastAsia"/>
                      <w:bCs/>
                      <w:color w:val="auto"/>
                      <w:sz w:val="21"/>
                      <w:szCs w:val="21"/>
                      <w:highlight w:val="none"/>
                      <w:lang w:eastAsia="zh-CN"/>
                    </w:rPr>
                    <w:t>》</w:t>
                  </w:r>
                  <w:r>
                    <w:rPr>
                      <w:rFonts w:hint="eastAsia"/>
                      <w:bCs/>
                      <w:color w:val="auto"/>
                      <w:sz w:val="21"/>
                      <w:szCs w:val="21"/>
                      <w:highlight w:val="none"/>
                    </w:rPr>
                    <w:t>（GB3838-2002）中Ⅳ类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404" w:type="pct"/>
                  <w:vAlign w:val="center"/>
                </w:tcPr>
                <w:p>
                  <w:pPr>
                    <w:keepNext w:val="0"/>
                    <w:keepLines w:val="0"/>
                    <w:pageBreakBefore w:val="0"/>
                    <w:widowControl/>
                    <w:kinsoku/>
                    <w:wordWrap/>
                    <w:overflowPunct/>
                    <w:topLinePunct w:val="0"/>
                    <w:autoSpaceDE/>
                    <w:autoSpaceDN/>
                    <w:bidi w:val="0"/>
                    <w:snapToGrid/>
                    <w:spacing w:line="240" w:lineRule="auto"/>
                    <w:jc w:val="center"/>
                    <w:rPr>
                      <w:rFonts w:hint="default"/>
                      <w:lang w:val="en-US" w:eastAsia="zh-CN"/>
                    </w:rPr>
                  </w:pPr>
                  <w:r>
                    <w:rPr>
                      <w:rFonts w:hint="eastAsia"/>
                      <w:lang w:val="en-US" w:eastAsia="zh-CN"/>
                    </w:rPr>
                    <w:t>地下水</w:t>
                  </w:r>
                </w:p>
              </w:tc>
              <w:tc>
                <w:tcPr>
                  <w:tcW w:w="2031" w:type="pct"/>
                  <w:gridSpan w:val="3"/>
                  <w:vAlign w:val="center"/>
                </w:tcPr>
                <w:p>
                  <w:pPr>
                    <w:keepNext w:val="0"/>
                    <w:keepLines w:val="0"/>
                    <w:pageBreakBefore w:val="0"/>
                    <w:widowControl/>
                    <w:kinsoku/>
                    <w:wordWrap/>
                    <w:overflowPunct/>
                    <w:topLinePunct w:val="0"/>
                    <w:autoSpaceDE/>
                    <w:autoSpaceDN/>
                    <w:bidi w:val="0"/>
                    <w:snapToGrid/>
                    <w:spacing w:line="240" w:lineRule="auto"/>
                    <w:jc w:val="center"/>
                    <w:rPr>
                      <w:rFonts w:hint="default"/>
                      <w:lang w:val="en-US" w:eastAsia="zh-CN"/>
                    </w:rPr>
                  </w:pPr>
                  <w:r>
                    <w:rPr>
                      <w:rFonts w:hint="eastAsia"/>
                      <w:lang w:val="en-US" w:eastAsia="zh-CN"/>
                    </w:rPr>
                    <w:t>西庄水源地</w:t>
                  </w:r>
                </w:p>
              </w:tc>
              <w:tc>
                <w:tcPr>
                  <w:tcW w:w="1402" w:type="pct"/>
                  <w:gridSpan w:val="2"/>
                  <w:vAlign w:val="center"/>
                </w:tcPr>
                <w:p>
                  <w:pPr>
                    <w:keepNext w:val="0"/>
                    <w:keepLines w:val="0"/>
                    <w:pageBreakBefore w:val="0"/>
                    <w:widowControl/>
                    <w:kinsoku/>
                    <w:wordWrap/>
                    <w:overflowPunct/>
                    <w:topLinePunct w:val="0"/>
                    <w:autoSpaceDE/>
                    <w:autoSpaceDN/>
                    <w:bidi w:val="0"/>
                    <w:snapToGrid/>
                    <w:spacing w:line="240" w:lineRule="auto"/>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一级保护区边界新建文昌路起点东55m</w:t>
                  </w:r>
                </w:p>
              </w:tc>
              <w:tc>
                <w:tcPr>
                  <w:tcW w:w="1160" w:type="pct"/>
                  <w:vAlign w:val="center"/>
                </w:tcPr>
                <w:p>
                  <w:pPr>
                    <w:keepNext w:val="0"/>
                    <w:keepLines w:val="0"/>
                    <w:pageBreakBefore w:val="0"/>
                    <w:widowControl/>
                    <w:kinsoku/>
                    <w:wordWrap/>
                    <w:overflowPunct/>
                    <w:topLinePunct w:val="0"/>
                    <w:autoSpaceDE/>
                    <w:autoSpaceDN/>
                    <w:bidi w:val="0"/>
                    <w:snapToGrid/>
                    <w:spacing w:line="240" w:lineRule="auto"/>
                    <w:jc w:val="center"/>
                    <w:rPr>
                      <w:rFonts w:hint="eastAsia"/>
                      <w:bCs/>
                      <w:color w:val="auto"/>
                      <w:sz w:val="21"/>
                      <w:szCs w:val="21"/>
                      <w:highlight w:val="none"/>
                    </w:rPr>
                  </w:pPr>
                  <w:r>
                    <w:rPr>
                      <w:rFonts w:hint="eastAsia"/>
                      <w:bCs/>
                      <w:color w:val="auto"/>
                      <w:sz w:val="21"/>
                      <w:szCs w:val="21"/>
                      <w:highlight w:val="none"/>
                      <w:lang w:eastAsia="zh-CN"/>
                    </w:rPr>
                    <w:t>《</w:t>
                  </w:r>
                  <w:r>
                    <w:rPr>
                      <w:rFonts w:hint="eastAsia"/>
                      <w:bCs/>
                      <w:color w:val="auto"/>
                      <w:sz w:val="21"/>
                      <w:szCs w:val="21"/>
                      <w:highlight w:val="none"/>
                    </w:rPr>
                    <w:t>地</w:t>
                  </w:r>
                  <w:r>
                    <w:rPr>
                      <w:rFonts w:hint="eastAsia"/>
                      <w:bCs/>
                      <w:color w:val="auto"/>
                      <w:sz w:val="21"/>
                      <w:szCs w:val="21"/>
                      <w:highlight w:val="none"/>
                      <w:lang w:val="en-US" w:eastAsia="zh-CN"/>
                    </w:rPr>
                    <w:t>下</w:t>
                  </w:r>
                  <w:r>
                    <w:rPr>
                      <w:rFonts w:hint="eastAsia"/>
                      <w:bCs/>
                      <w:color w:val="auto"/>
                      <w:sz w:val="21"/>
                      <w:szCs w:val="21"/>
                      <w:highlight w:val="none"/>
                    </w:rPr>
                    <w:t>水质量标准</w:t>
                  </w:r>
                  <w:r>
                    <w:rPr>
                      <w:rFonts w:hint="eastAsia"/>
                      <w:bCs/>
                      <w:color w:val="auto"/>
                      <w:sz w:val="21"/>
                      <w:szCs w:val="21"/>
                      <w:highlight w:val="none"/>
                      <w:lang w:eastAsia="zh-CN"/>
                    </w:rPr>
                    <w:t>》</w:t>
                  </w:r>
                  <w:r>
                    <w:rPr>
                      <w:rFonts w:hint="eastAsia"/>
                      <w:bCs/>
                      <w:color w:val="auto"/>
                      <w:sz w:val="21"/>
                      <w:szCs w:val="21"/>
                      <w:highlight w:val="none"/>
                    </w:rPr>
                    <w:t>（GB3838-2002）中Ⅲ类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4" w:hRule="atLeast"/>
                <w:jc w:val="center"/>
              </w:trPr>
              <w:tc>
                <w:tcPr>
                  <w:tcW w:w="404" w:type="pct"/>
                  <w:vAlign w:val="center"/>
                </w:tcPr>
                <w:p>
                  <w:pPr>
                    <w:keepNext w:val="0"/>
                    <w:keepLines w:val="0"/>
                    <w:pageBreakBefore w:val="0"/>
                    <w:widowControl/>
                    <w:kinsoku/>
                    <w:wordWrap/>
                    <w:overflowPunct/>
                    <w:topLinePunct w:val="0"/>
                    <w:autoSpaceDE/>
                    <w:autoSpaceDN/>
                    <w:bidi w:val="0"/>
                    <w:snapToGrid/>
                    <w:spacing w:line="240" w:lineRule="auto"/>
                    <w:jc w:val="center"/>
                    <w:rPr>
                      <w:rFonts w:hint="eastAsia" w:eastAsia="宋体"/>
                      <w:bCs/>
                      <w:lang w:val="en-US" w:eastAsia="zh-CN"/>
                    </w:rPr>
                  </w:pPr>
                  <w:r>
                    <w:rPr>
                      <w:rFonts w:hint="eastAsia"/>
                      <w:bCs/>
                      <w:lang w:val="en-US" w:eastAsia="zh-CN"/>
                    </w:rPr>
                    <w:t>生态环境</w:t>
                  </w:r>
                </w:p>
              </w:tc>
              <w:tc>
                <w:tcPr>
                  <w:tcW w:w="2031" w:type="pct"/>
                  <w:gridSpan w:val="3"/>
                  <w:vAlign w:val="center"/>
                </w:tcPr>
                <w:p>
                  <w:pPr>
                    <w:keepNext w:val="0"/>
                    <w:keepLines w:val="0"/>
                    <w:pageBreakBefore w:val="0"/>
                    <w:kinsoku/>
                    <w:wordWrap/>
                    <w:overflowPunct/>
                    <w:topLinePunct w:val="0"/>
                    <w:autoSpaceDE/>
                    <w:autoSpaceDN/>
                    <w:bidi w:val="0"/>
                    <w:adjustRightInd w:val="0"/>
                    <w:snapToGrid/>
                    <w:spacing w:line="240" w:lineRule="auto"/>
                    <w:jc w:val="center"/>
                    <w:textAlignment w:val="baseline"/>
                    <w:rPr>
                      <w:bCs/>
                    </w:rPr>
                  </w:pPr>
                  <w:r>
                    <w:rPr>
                      <w:bCs/>
                    </w:rPr>
                    <w:t>评价区土壤植被、水土流失</w:t>
                  </w:r>
                </w:p>
              </w:tc>
              <w:tc>
                <w:tcPr>
                  <w:tcW w:w="2563" w:type="pct"/>
                  <w:gridSpan w:val="3"/>
                  <w:vAlign w:val="center"/>
                </w:tcPr>
                <w:p>
                  <w:pPr>
                    <w:keepNext w:val="0"/>
                    <w:keepLines w:val="0"/>
                    <w:pageBreakBefore w:val="0"/>
                    <w:kinsoku/>
                    <w:wordWrap/>
                    <w:overflowPunct/>
                    <w:topLinePunct w:val="0"/>
                    <w:autoSpaceDE/>
                    <w:autoSpaceDN/>
                    <w:bidi w:val="0"/>
                    <w:adjustRightInd w:val="0"/>
                    <w:snapToGrid/>
                    <w:spacing w:line="240" w:lineRule="auto"/>
                    <w:jc w:val="center"/>
                    <w:textAlignment w:val="baseline"/>
                    <w:rPr>
                      <w:bCs/>
                    </w:rPr>
                  </w:pPr>
                  <w:r>
                    <w:rPr>
                      <w:bCs/>
                    </w:rPr>
                    <w:t>严格控制施工范围，</w:t>
                  </w:r>
                  <w:r>
                    <w:rPr>
                      <w:rFonts w:hint="eastAsia"/>
                      <w:bCs/>
                    </w:rPr>
                    <w:t>尽量减少</w:t>
                  </w:r>
                  <w:r>
                    <w:rPr>
                      <w:bCs/>
                    </w:rPr>
                    <w:t>破坏植被，施工过程中采取水保措施，防治和减缓水土流失，施工结束后临时占地按原土地性质恢复</w:t>
                  </w:r>
                </w:p>
              </w:tc>
            </w:tr>
          </w:tbl>
          <w:p>
            <w:pPr>
              <w:adjustRightInd w:val="0"/>
              <w:snapToGrid w:val="0"/>
              <w:spacing w:line="480" w:lineRule="exact"/>
              <w:rPr>
                <w:kern w:val="0"/>
                <w:sz w:val="24"/>
                <w:szCs w:val="24"/>
              </w:rPr>
            </w:pPr>
          </w:p>
          <w:p>
            <w:pPr>
              <w:adjustRightInd w:val="0"/>
              <w:snapToGrid w:val="0"/>
              <w:spacing w:line="480" w:lineRule="exact"/>
              <w:rPr>
                <w:rFonts w:hint="eastAsia"/>
                <w:kern w:val="0"/>
                <w:sz w:val="24"/>
                <w:szCs w:val="24"/>
                <w:lang w:val="en-US" w:eastAsia="zh-CN"/>
              </w:rPr>
            </w:pPr>
          </w:p>
          <w:p>
            <w:pPr>
              <w:adjustRightInd w:val="0"/>
              <w:snapToGrid w:val="0"/>
              <w:spacing w:line="480" w:lineRule="exact"/>
              <w:rPr>
                <w:rFonts w:hint="default" w:eastAsia="宋体"/>
                <w:kern w:val="0"/>
                <w:sz w:val="24"/>
                <w:szCs w:val="24"/>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11" w:hRule="atLeast"/>
          <w:jc w:val="center"/>
        </w:trPr>
        <w:tc>
          <w:tcPr>
            <w:tcW w:w="699" w:type="dxa"/>
            <w:vAlign w:val="center"/>
          </w:tcPr>
          <w:p>
            <w:pPr>
              <w:adjustRightInd w:val="0"/>
              <w:snapToGrid w:val="0"/>
              <w:jc w:val="center"/>
              <w:rPr>
                <w:rFonts w:ascii="宋体" w:hAnsi="宋体" w:cs="宋体"/>
                <w:kern w:val="0"/>
              </w:rPr>
            </w:pPr>
            <w:r>
              <w:rPr>
                <w:rFonts w:hint="eastAsia" w:ascii="宋体" w:hAnsi="宋体" w:cs="宋体"/>
                <w:kern w:val="0"/>
              </w:rPr>
              <w:t>评价</w:t>
            </w:r>
          </w:p>
          <w:p>
            <w:pPr>
              <w:adjustRightInd w:val="0"/>
              <w:snapToGrid w:val="0"/>
              <w:jc w:val="center"/>
              <w:rPr>
                <w:rFonts w:ascii="宋体" w:hAnsi="宋体" w:cs="宋体"/>
                <w:kern w:val="0"/>
              </w:rPr>
            </w:pPr>
            <w:r>
              <w:rPr>
                <w:rFonts w:hint="eastAsia" w:ascii="宋体" w:hAnsi="宋体" w:cs="宋体"/>
                <w:kern w:val="0"/>
              </w:rPr>
              <w:t>标准</w:t>
            </w:r>
          </w:p>
        </w:tc>
        <w:tc>
          <w:tcPr>
            <w:tcW w:w="8762" w:type="dxa"/>
            <w:vAlign w:val="center"/>
          </w:tcPr>
          <w:p>
            <w:pPr>
              <w:pStyle w:val="19"/>
              <w:keepNext w:val="0"/>
              <w:keepLines w:val="0"/>
              <w:pageBreakBefore w:val="0"/>
              <w:kinsoku/>
              <w:wordWrap/>
              <w:overflowPunct/>
              <w:topLinePunct w:val="0"/>
              <w:autoSpaceDE/>
              <w:autoSpaceDN/>
              <w:bidi w:val="0"/>
              <w:spacing w:before="0" w:beforeAutospacing="0" w:after="0" w:afterAutospacing="0" w:line="480" w:lineRule="exact"/>
              <w:ind w:firstLine="482" w:firstLineChars="200"/>
              <w:jc w:val="both"/>
              <w:textAlignment w:val="auto"/>
              <w:rPr>
                <w:rFonts w:ascii="Times New Roman" w:hAnsi="Times New Roman"/>
                <w:b/>
              </w:rPr>
            </w:pPr>
            <w:r>
              <w:rPr>
                <w:rFonts w:ascii="Times New Roman" w:hAnsi="Times New Roman"/>
                <w:b/>
              </w:rPr>
              <w:t>1</w:t>
            </w:r>
            <w:r>
              <w:rPr>
                <w:rFonts w:hint="eastAsia" w:ascii="Times New Roman" w:hAnsi="Times New Roman"/>
                <w:b/>
              </w:rPr>
              <w:t>、</w:t>
            </w:r>
            <w:r>
              <w:rPr>
                <w:rFonts w:ascii="Times New Roman" w:hAnsi="Times New Roman"/>
                <w:b/>
              </w:rPr>
              <w:t>环境质量标准</w:t>
            </w:r>
          </w:p>
          <w:p>
            <w:pPr>
              <w:keepNext w:val="0"/>
              <w:keepLines w:val="0"/>
              <w:pageBreakBefore w:val="0"/>
              <w:kinsoku/>
              <w:wordWrap/>
              <w:overflowPunct/>
              <w:topLinePunct w:val="0"/>
              <w:autoSpaceDE/>
              <w:autoSpaceDN/>
              <w:bidi w:val="0"/>
              <w:adjustRightInd w:val="0"/>
              <w:snapToGrid w:val="0"/>
              <w:spacing w:line="480" w:lineRule="exact"/>
              <w:ind w:firstLine="480" w:firstLineChars="200"/>
              <w:textAlignment w:val="auto"/>
              <w:rPr>
                <w:sz w:val="24"/>
              </w:rPr>
            </w:pPr>
            <w:r>
              <w:rPr>
                <w:sz w:val="24"/>
              </w:rPr>
              <w:t>根据项目所在地的自然环境和社会环境特征，按照相应的环境保护法规，本项目环境影响评价选用以下标准。</w:t>
            </w:r>
          </w:p>
          <w:p>
            <w:pPr>
              <w:keepNext w:val="0"/>
              <w:keepLines w:val="0"/>
              <w:pageBreakBefore w:val="0"/>
              <w:kinsoku/>
              <w:wordWrap/>
              <w:overflowPunct/>
              <w:topLinePunct w:val="0"/>
              <w:autoSpaceDE/>
              <w:autoSpaceDN/>
              <w:bidi w:val="0"/>
              <w:adjustRightInd w:val="0"/>
              <w:snapToGrid w:val="0"/>
              <w:spacing w:line="480" w:lineRule="exact"/>
              <w:ind w:firstLine="482" w:firstLineChars="200"/>
              <w:textAlignment w:val="auto"/>
              <w:rPr>
                <w:rFonts w:hint="default" w:eastAsia="宋体"/>
                <w:b/>
                <w:bCs/>
                <w:sz w:val="24"/>
                <w:lang w:val="en-US" w:eastAsia="zh-CN"/>
              </w:rPr>
            </w:pPr>
            <w:r>
              <w:rPr>
                <w:rFonts w:hint="eastAsia"/>
                <w:b/>
                <w:bCs/>
                <w:sz w:val="24"/>
                <w:lang w:eastAsia="zh-CN"/>
              </w:rPr>
              <w:t>（</w:t>
            </w:r>
            <w:r>
              <w:rPr>
                <w:rFonts w:hint="eastAsia"/>
                <w:b/>
                <w:bCs/>
                <w:sz w:val="24"/>
                <w:lang w:val="en-US" w:eastAsia="zh-CN"/>
              </w:rPr>
              <w:t>1</w:t>
            </w:r>
            <w:r>
              <w:rPr>
                <w:rFonts w:hint="eastAsia"/>
                <w:b/>
                <w:bCs/>
                <w:sz w:val="24"/>
                <w:lang w:eastAsia="zh-CN"/>
              </w:rPr>
              <w:t>）</w:t>
            </w:r>
            <w:r>
              <w:rPr>
                <w:rFonts w:hint="eastAsia"/>
                <w:b/>
                <w:bCs/>
                <w:sz w:val="24"/>
                <w:lang w:val="en-US" w:eastAsia="zh-CN"/>
              </w:rPr>
              <w:t>环境空气</w:t>
            </w:r>
          </w:p>
          <w:p>
            <w:pPr>
              <w:keepNext w:val="0"/>
              <w:keepLines w:val="0"/>
              <w:pageBreakBefore w:val="0"/>
              <w:kinsoku/>
              <w:wordWrap/>
              <w:overflowPunct/>
              <w:topLinePunct w:val="0"/>
              <w:autoSpaceDE/>
              <w:autoSpaceDN/>
              <w:bidi w:val="0"/>
              <w:adjustRightInd w:val="0"/>
              <w:snapToGrid w:val="0"/>
              <w:spacing w:line="480" w:lineRule="exact"/>
              <w:ind w:firstLine="480" w:firstLineChars="200"/>
              <w:textAlignment w:val="auto"/>
              <w:rPr>
                <w:sz w:val="24"/>
              </w:rPr>
            </w:pPr>
            <w:r>
              <w:rPr>
                <w:sz w:val="24"/>
              </w:rPr>
              <w:t>执行《环境空气质量标准》（GB3095-2012）中二级标准，总挥发性有机物执行《环境影响评价技术导则大气环境》（HJ2.2-2018）附录D.1其他污染物空气质量浓度参考限值，见表3-</w:t>
            </w:r>
            <w:r>
              <w:rPr>
                <w:rFonts w:hint="eastAsia"/>
                <w:sz w:val="24"/>
                <w:lang w:val="en-US" w:eastAsia="zh-CN"/>
              </w:rPr>
              <w:t>11</w:t>
            </w:r>
            <w:r>
              <w:rPr>
                <w:sz w:val="24"/>
              </w:rPr>
              <w:t>。</w:t>
            </w:r>
          </w:p>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b/>
                <w:bCs/>
                <w:color w:val="000000"/>
                <w:sz w:val="21"/>
                <w:szCs w:val="20"/>
              </w:rPr>
            </w:pPr>
            <w:r>
              <w:rPr>
                <w:b/>
                <w:bCs/>
                <w:color w:val="000000"/>
                <w:sz w:val="21"/>
                <w:szCs w:val="20"/>
              </w:rPr>
              <w:t>表3-</w:t>
            </w:r>
            <w:r>
              <w:rPr>
                <w:rFonts w:hint="eastAsia"/>
                <w:b/>
                <w:bCs/>
                <w:color w:val="000000"/>
                <w:sz w:val="21"/>
                <w:szCs w:val="20"/>
                <w:lang w:val="en-US" w:eastAsia="zh-CN"/>
              </w:rPr>
              <w:t>11</w:t>
            </w:r>
            <w:r>
              <w:rPr>
                <w:b/>
                <w:bCs/>
                <w:color w:val="000000"/>
                <w:sz w:val="21"/>
                <w:szCs w:val="20"/>
              </w:rPr>
              <w:t xml:space="preserve">  环境空气质量评价标准</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98"/>
              <w:gridCol w:w="2013"/>
              <w:gridCol w:w="2063"/>
              <w:gridCol w:w="1184"/>
              <w:gridCol w:w="19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0" w:type="pct"/>
                  <w:noWrap w:val="0"/>
                  <w:vAlign w:val="center"/>
                </w:tcPr>
                <w:p>
                  <w:pPr>
                    <w:pStyle w:val="36"/>
                    <w:keepNext w:val="0"/>
                    <w:keepLines w:val="0"/>
                    <w:pageBreakBefore w:val="0"/>
                    <w:widowControl w:val="0"/>
                    <w:kinsoku/>
                    <w:wordWrap/>
                    <w:overflowPunct/>
                    <w:topLinePunct w:val="0"/>
                    <w:autoSpaceDE/>
                    <w:autoSpaceDN/>
                    <w:bidi w:val="0"/>
                    <w:adjustRightInd/>
                    <w:spacing w:line="240" w:lineRule="auto"/>
                    <w:ind w:right="0" w:firstLine="0"/>
                    <w:jc w:val="center"/>
                    <w:textAlignment w:val="auto"/>
                    <w:rPr>
                      <w:rFonts w:ascii="Times New Roman" w:hAnsi="Times New Roman"/>
                      <w:b w:val="0"/>
                      <w:bCs/>
                      <w:color w:val="000000"/>
                      <w:sz w:val="21"/>
                    </w:rPr>
                  </w:pPr>
                  <w:r>
                    <w:rPr>
                      <w:rFonts w:ascii="Times New Roman" w:hAnsi="Times New Roman"/>
                      <w:b w:val="0"/>
                      <w:bCs/>
                      <w:color w:val="000000"/>
                      <w:sz w:val="21"/>
                    </w:rPr>
                    <w:t>污染物名称</w:t>
                  </w:r>
                </w:p>
              </w:tc>
              <w:tc>
                <w:tcPr>
                  <w:tcW w:w="1179" w:type="pct"/>
                  <w:noWrap w:val="0"/>
                  <w:vAlign w:val="center"/>
                </w:tcPr>
                <w:p>
                  <w:pPr>
                    <w:pStyle w:val="36"/>
                    <w:keepNext w:val="0"/>
                    <w:keepLines w:val="0"/>
                    <w:pageBreakBefore w:val="0"/>
                    <w:widowControl w:val="0"/>
                    <w:kinsoku/>
                    <w:wordWrap/>
                    <w:overflowPunct/>
                    <w:topLinePunct w:val="0"/>
                    <w:autoSpaceDE/>
                    <w:autoSpaceDN/>
                    <w:bidi w:val="0"/>
                    <w:adjustRightInd/>
                    <w:spacing w:line="240" w:lineRule="auto"/>
                    <w:ind w:right="0" w:firstLine="0"/>
                    <w:jc w:val="center"/>
                    <w:textAlignment w:val="auto"/>
                    <w:rPr>
                      <w:rFonts w:ascii="Times New Roman" w:hAnsi="Times New Roman"/>
                      <w:b w:val="0"/>
                      <w:bCs/>
                      <w:color w:val="000000"/>
                      <w:sz w:val="21"/>
                    </w:rPr>
                  </w:pPr>
                  <w:r>
                    <w:rPr>
                      <w:rFonts w:ascii="Times New Roman" w:hAnsi="Times New Roman"/>
                      <w:b w:val="0"/>
                      <w:bCs/>
                      <w:color w:val="000000"/>
                      <w:sz w:val="21"/>
                    </w:rPr>
                    <w:t>取值时间</w:t>
                  </w:r>
                </w:p>
              </w:tc>
              <w:tc>
                <w:tcPr>
                  <w:tcW w:w="1208" w:type="pct"/>
                  <w:noWrap w:val="0"/>
                  <w:vAlign w:val="center"/>
                </w:tcPr>
                <w:p>
                  <w:pPr>
                    <w:pStyle w:val="36"/>
                    <w:keepNext w:val="0"/>
                    <w:keepLines w:val="0"/>
                    <w:pageBreakBefore w:val="0"/>
                    <w:widowControl w:val="0"/>
                    <w:kinsoku/>
                    <w:wordWrap/>
                    <w:overflowPunct/>
                    <w:topLinePunct w:val="0"/>
                    <w:autoSpaceDE/>
                    <w:autoSpaceDN/>
                    <w:bidi w:val="0"/>
                    <w:adjustRightInd/>
                    <w:spacing w:line="240" w:lineRule="auto"/>
                    <w:ind w:right="0" w:firstLine="0"/>
                    <w:jc w:val="center"/>
                    <w:textAlignment w:val="auto"/>
                    <w:rPr>
                      <w:rFonts w:ascii="Times New Roman" w:hAnsi="Times New Roman"/>
                      <w:b w:val="0"/>
                      <w:bCs/>
                      <w:color w:val="000000"/>
                      <w:sz w:val="21"/>
                    </w:rPr>
                  </w:pPr>
                  <w:r>
                    <w:rPr>
                      <w:rFonts w:ascii="Times New Roman" w:hAnsi="Times New Roman"/>
                      <w:b w:val="0"/>
                      <w:bCs/>
                      <w:color w:val="000000"/>
                      <w:sz w:val="21"/>
                    </w:rPr>
                    <w:t>二级标准浓度限值</w:t>
                  </w:r>
                </w:p>
              </w:tc>
              <w:tc>
                <w:tcPr>
                  <w:tcW w:w="693" w:type="pct"/>
                  <w:noWrap w:val="0"/>
                  <w:vAlign w:val="center"/>
                </w:tcPr>
                <w:p>
                  <w:pPr>
                    <w:pStyle w:val="36"/>
                    <w:keepNext w:val="0"/>
                    <w:keepLines w:val="0"/>
                    <w:pageBreakBefore w:val="0"/>
                    <w:widowControl w:val="0"/>
                    <w:kinsoku/>
                    <w:wordWrap/>
                    <w:overflowPunct/>
                    <w:topLinePunct w:val="0"/>
                    <w:autoSpaceDE/>
                    <w:autoSpaceDN/>
                    <w:bidi w:val="0"/>
                    <w:adjustRightInd/>
                    <w:spacing w:line="240" w:lineRule="auto"/>
                    <w:ind w:right="0" w:firstLine="0"/>
                    <w:jc w:val="center"/>
                    <w:textAlignment w:val="auto"/>
                    <w:rPr>
                      <w:rFonts w:ascii="Times New Roman" w:hAnsi="Times New Roman"/>
                      <w:b w:val="0"/>
                      <w:bCs/>
                      <w:color w:val="000000"/>
                      <w:sz w:val="21"/>
                    </w:rPr>
                  </w:pPr>
                  <w:r>
                    <w:rPr>
                      <w:rFonts w:ascii="Times New Roman" w:hAnsi="Times New Roman"/>
                      <w:b w:val="0"/>
                      <w:bCs/>
                      <w:color w:val="000000"/>
                      <w:sz w:val="21"/>
                    </w:rPr>
                    <w:t>浓度单位</w:t>
                  </w:r>
                </w:p>
              </w:tc>
              <w:tc>
                <w:tcPr>
                  <w:tcW w:w="1158" w:type="pct"/>
                  <w:noWrap w:val="0"/>
                  <w:vAlign w:val="center"/>
                </w:tcPr>
                <w:p>
                  <w:pPr>
                    <w:pStyle w:val="36"/>
                    <w:keepNext w:val="0"/>
                    <w:keepLines w:val="0"/>
                    <w:pageBreakBefore w:val="0"/>
                    <w:widowControl w:val="0"/>
                    <w:kinsoku/>
                    <w:wordWrap/>
                    <w:overflowPunct/>
                    <w:topLinePunct w:val="0"/>
                    <w:autoSpaceDE/>
                    <w:autoSpaceDN/>
                    <w:bidi w:val="0"/>
                    <w:adjustRightInd/>
                    <w:spacing w:line="240" w:lineRule="auto"/>
                    <w:ind w:right="0" w:firstLine="0"/>
                    <w:jc w:val="center"/>
                    <w:textAlignment w:val="auto"/>
                    <w:rPr>
                      <w:rFonts w:ascii="Times New Roman" w:hAnsi="Times New Roman"/>
                      <w:b w:val="0"/>
                      <w:bCs/>
                      <w:color w:val="000000"/>
                      <w:sz w:val="21"/>
                    </w:rPr>
                  </w:pPr>
                  <w:r>
                    <w:rPr>
                      <w:rFonts w:ascii="Times New Roman" w:hAnsi="Times New Roman"/>
                      <w:b w:val="0"/>
                      <w:bCs/>
                      <w:color w:val="000000"/>
                      <w:sz w:val="21"/>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60" w:type="pct"/>
                  <w:noWrap w:val="0"/>
                  <w:vAlign w:val="center"/>
                </w:tcPr>
                <w:p>
                  <w:pPr>
                    <w:pStyle w:val="36"/>
                    <w:keepNext w:val="0"/>
                    <w:keepLines w:val="0"/>
                    <w:pageBreakBefore w:val="0"/>
                    <w:widowControl w:val="0"/>
                    <w:kinsoku/>
                    <w:wordWrap/>
                    <w:overflowPunct/>
                    <w:topLinePunct w:val="0"/>
                    <w:autoSpaceDE/>
                    <w:autoSpaceDN/>
                    <w:bidi w:val="0"/>
                    <w:adjustRightInd/>
                    <w:spacing w:line="240" w:lineRule="auto"/>
                    <w:ind w:right="0" w:firstLine="0"/>
                    <w:jc w:val="center"/>
                    <w:textAlignment w:val="auto"/>
                    <w:rPr>
                      <w:rFonts w:ascii="Times New Roman" w:hAnsi="Times New Roman"/>
                      <w:b w:val="0"/>
                      <w:bCs/>
                      <w:color w:val="000000"/>
                      <w:sz w:val="21"/>
                      <w:vertAlign w:val="subscript"/>
                    </w:rPr>
                  </w:pPr>
                  <w:r>
                    <w:rPr>
                      <w:rFonts w:ascii="Times New Roman" w:hAnsi="Times New Roman"/>
                      <w:b w:val="0"/>
                      <w:bCs/>
                      <w:color w:val="000000"/>
                      <w:sz w:val="21"/>
                    </w:rPr>
                    <w:t>SO</w:t>
                  </w:r>
                  <w:r>
                    <w:rPr>
                      <w:rFonts w:ascii="Times New Roman" w:hAnsi="Times New Roman"/>
                      <w:b w:val="0"/>
                      <w:bCs/>
                      <w:color w:val="000000"/>
                      <w:sz w:val="21"/>
                      <w:vertAlign w:val="subscript"/>
                    </w:rPr>
                    <w:t>2</w:t>
                  </w:r>
                </w:p>
              </w:tc>
              <w:tc>
                <w:tcPr>
                  <w:tcW w:w="1179" w:type="pct"/>
                  <w:noWrap w:val="0"/>
                  <w:vAlign w:val="center"/>
                </w:tcPr>
                <w:p>
                  <w:pPr>
                    <w:pStyle w:val="36"/>
                    <w:keepNext w:val="0"/>
                    <w:keepLines w:val="0"/>
                    <w:pageBreakBefore w:val="0"/>
                    <w:widowControl w:val="0"/>
                    <w:kinsoku/>
                    <w:wordWrap/>
                    <w:overflowPunct/>
                    <w:topLinePunct w:val="0"/>
                    <w:autoSpaceDE/>
                    <w:autoSpaceDN/>
                    <w:bidi w:val="0"/>
                    <w:adjustRightInd/>
                    <w:spacing w:line="240" w:lineRule="auto"/>
                    <w:ind w:right="0" w:firstLine="0"/>
                    <w:jc w:val="center"/>
                    <w:textAlignment w:val="auto"/>
                    <w:rPr>
                      <w:rFonts w:ascii="Times New Roman" w:hAnsi="Times New Roman"/>
                      <w:b w:val="0"/>
                      <w:bCs/>
                      <w:color w:val="000000"/>
                      <w:sz w:val="21"/>
                    </w:rPr>
                  </w:pPr>
                  <w:r>
                    <w:rPr>
                      <w:rFonts w:ascii="Times New Roman" w:hAnsi="Times New Roman"/>
                      <w:b w:val="0"/>
                      <w:bCs/>
                      <w:color w:val="000000"/>
                      <w:sz w:val="21"/>
                    </w:rPr>
                    <w:t>年平均</w:t>
                  </w:r>
                </w:p>
                <w:p>
                  <w:pPr>
                    <w:pStyle w:val="36"/>
                    <w:keepNext w:val="0"/>
                    <w:keepLines w:val="0"/>
                    <w:pageBreakBefore w:val="0"/>
                    <w:widowControl w:val="0"/>
                    <w:kinsoku/>
                    <w:wordWrap/>
                    <w:overflowPunct/>
                    <w:topLinePunct w:val="0"/>
                    <w:autoSpaceDE/>
                    <w:autoSpaceDN/>
                    <w:bidi w:val="0"/>
                    <w:adjustRightInd/>
                    <w:spacing w:line="240" w:lineRule="auto"/>
                    <w:ind w:right="0" w:firstLine="0"/>
                    <w:jc w:val="center"/>
                    <w:textAlignment w:val="auto"/>
                    <w:rPr>
                      <w:rFonts w:ascii="Times New Roman" w:hAnsi="Times New Roman"/>
                      <w:b w:val="0"/>
                      <w:bCs/>
                      <w:color w:val="000000"/>
                      <w:sz w:val="21"/>
                    </w:rPr>
                  </w:pPr>
                  <w:r>
                    <w:rPr>
                      <w:rFonts w:ascii="Times New Roman" w:hAnsi="Times New Roman"/>
                      <w:b w:val="0"/>
                      <w:bCs/>
                      <w:color w:val="000000"/>
                      <w:sz w:val="21"/>
                    </w:rPr>
                    <w:t>24小时平均</w:t>
                  </w:r>
                </w:p>
                <w:p>
                  <w:pPr>
                    <w:pStyle w:val="36"/>
                    <w:keepNext w:val="0"/>
                    <w:keepLines w:val="0"/>
                    <w:pageBreakBefore w:val="0"/>
                    <w:widowControl w:val="0"/>
                    <w:kinsoku/>
                    <w:wordWrap/>
                    <w:overflowPunct/>
                    <w:topLinePunct w:val="0"/>
                    <w:autoSpaceDE/>
                    <w:autoSpaceDN/>
                    <w:bidi w:val="0"/>
                    <w:adjustRightInd/>
                    <w:spacing w:line="240" w:lineRule="auto"/>
                    <w:ind w:right="0" w:firstLine="0"/>
                    <w:jc w:val="center"/>
                    <w:textAlignment w:val="auto"/>
                    <w:rPr>
                      <w:rFonts w:ascii="Times New Roman" w:hAnsi="Times New Roman"/>
                      <w:b w:val="0"/>
                      <w:bCs/>
                      <w:color w:val="000000"/>
                      <w:sz w:val="21"/>
                    </w:rPr>
                  </w:pPr>
                  <w:r>
                    <w:rPr>
                      <w:rFonts w:ascii="Times New Roman" w:hAnsi="Times New Roman"/>
                      <w:b w:val="0"/>
                      <w:bCs/>
                      <w:color w:val="000000"/>
                      <w:sz w:val="21"/>
                    </w:rPr>
                    <w:t>1小时平均</w:t>
                  </w:r>
                </w:p>
              </w:tc>
              <w:tc>
                <w:tcPr>
                  <w:tcW w:w="1208" w:type="pct"/>
                  <w:noWrap w:val="0"/>
                  <w:vAlign w:val="center"/>
                </w:tcPr>
                <w:p>
                  <w:pPr>
                    <w:pStyle w:val="36"/>
                    <w:keepNext w:val="0"/>
                    <w:keepLines w:val="0"/>
                    <w:pageBreakBefore w:val="0"/>
                    <w:widowControl w:val="0"/>
                    <w:kinsoku/>
                    <w:wordWrap/>
                    <w:overflowPunct/>
                    <w:topLinePunct w:val="0"/>
                    <w:autoSpaceDE/>
                    <w:autoSpaceDN/>
                    <w:bidi w:val="0"/>
                    <w:adjustRightInd/>
                    <w:spacing w:line="240" w:lineRule="auto"/>
                    <w:ind w:right="0" w:firstLine="0"/>
                    <w:jc w:val="center"/>
                    <w:textAlignment w:val="auto"/>
                    <w:rPr>
                      <w:rFonts w:ascii="Times New Roman" w:hAnsi="Times New Roman"/>
                      <w:b w:val="0"/>
                      <w:bCs/>
                      <w:color w:val="000000"/>
                      <w:sz w:val="21"/>
                    </w:rPr>
                  </w:pPr>
                  <w:r>
                    <w:rPr>
                      <w:rFonts w:ascii="Times New Roman" w:hAnsi="Times New Roman"/>
                      <w:b w:val="0"/>
                      <w:bCs/>
                      <w:color w:val="000000"/>
                      <w:sz w:val="21"/>
                    </w:rPr>
                    <w:t>60</w:t>
                  </w:r>
                </w:p>
                <w:p>
                  <w:pPr>
                    <w:pStyle w:val="36"/>
                    <w:keepNext w:val="0"/>
                    <w:keepLines w:val="0"/>
                    <w:pageBreakBefore w:val="0"/>
                    <w:widowControl w:val="0"/>
                    <w:kinsoku/>
                    <w:wordWrap/>
                    <w:overflowPunct/>
                    <w:topLinePunct w:val="0"/>
                    <w:autoSpaceDE/>
                    <w:autoSpaceDN/>
                    <w:bidi w:val="0"/>
                    <w:adjustRightInd/>
                    <w:spacing w:line="240" w:lineRule="auto"/>
                    <w:ind w:right="0" w:firstLine="0"/>
                    <w:jc w:val="center"/>
                    <w:textAlignment w:val="auto"/>
                    <w:rPr>
                      <w:rFonts w:ascii="Times New Roman" w:hAnsi="Times New Roman"/>
                      <w:b w:val="0"/>
                      <w:bCs/>
                      <w:color w:val="000000"/>
                      <w:sz w:val="21"/>
                    </w:rPr>
                  </w:pPr>
                  <w:r>
                    <w:rPr>
                      <w:rFonts w:ascii="Times New Roman" w:hAnsi="Times New Roman"/>
                      <w:b w:val="0"/>
                      <w:bCs/>
                      <w:color w:val="000000"/>
                      <w:sz w:val="21"/>
                    </w:rPr>
                    <w:t>150</w:t>
                  </w:r>
                </w:p>
                <w:p>
                  <w:pPr>
                    <w:pStyle w:val="36"/>
                    <w:keepNext w:val="0"/>
                    <w:keepLines w:val="0"/>
                    <w:pageBreakBefore w:val="0"/>
                    <w:widowControl w:val="0"/>
                    <w:kinsoku/>
                    <w:wordWrap/>
                    <w:overflowPunct/>
                    <w:topLinePunct w:val="0"/>
                    <w:autoSpaceDE/>
                    <w:autoSpaceDN/>
                    <w:bidi w:val="0"/>
                    <w:adjustRightInd/>
                    <w:spacing w:line="240" w:lineRule="auto"/>
                    <w:ind w:right="0" w:firstLine="0"/>
                    <w:jc w:val="center"/>
                    <w:textAlignment w:val="auto"/>
                    <w:rPr>
                      <w:rFonts w:ascii="Times New Roman" w:hAnsi="Times New Roman"/>
                      <w:b w:val="0"/>
                      <w:bCs/>
                      <w:color w:val="000000"/>
                      <w:sz w:val="21"/>
                    </w:rPr>
                  </w:pPr>
                  <w:r>
                    <w:rPr>
                      <w:rFonts w:ascii="Times New Roman" w:hAnsi="Times New Roman"/>
                      <w:b w:val="0"/>
                      <w:bCs/>
                      <w:color w:val="000000"/>
                      <w:sz w:val="21"/>
                    </w:rPr>
                    <w:t>500</w:t>
                  </w:r>
                </w:p>
              </w:tc>
              <w:tc>
                <w:tcPr>
                  <w:tcW w:w="693" w:type="pct"/>
                  <w:vMerge w:val="restart"/>
                  <w:noWrap w:val="0"/>
                  <w:vAlign w:val="center"/>
                </w:tcPr>
                <w:p>
                  <w:pPr>
                    <w:pStyle w:val="36"/>
                    <w:keepNext w:val="0"/>
                    <w:keepLines w:val="0"/>
                    <w:pageBreakBefore w:val="0"/>
                    <w:widowControl w:val="0"/>
                    <w:kinsoku/>
                    <w:wordWrap/>
                    <w:overflowPunct/>
                    <w:topLinePunct w:val="0"/>
                    <w:autoSpaceDE/>
                    <w:autoSpaceDN/>
                    <w:bidi w:val="0"/>
                    <w:adjustRightInd/>
                    <w:spacing w:line="240" w:lineRule="auto"/>
                    <w:ind w:right="0" w:firstLine="0"/>
                    <w:jc w:val="center"/>
                    <w:textAlignment w:val="auto"/>
                    <w:rPr>
                      <w:rFonts w:ascii="Times New Roman" w:hAnsi="Times New Roman"/>
                      <w:b w:val="0"/>
                      <w:bCs/>
                      <w:color w:val="000000"/>
                      <w:sz w:val="21"/>
                      <w:vertAlign w:val="superscript"/>
                    </w:rPr>
                  </w:pPr>
                  <w:r>
                    <w:rPr>
                      <w:rFonts w:ascii="Times New Roman" w:hAnsi="Times New Roman"/>
                      <w:b w:val="0"/>
                      <w:bCs/>
                      <w:color w:val="000000"/>
                      <w:sz w:val="21"/>
                    </w:rPr>
                    <w:t>μg/Nm</w:t>
                  </w:r>
                  <w:r>
                    <w:rPr>
                      <w:rFonts w:ascii="Times New Roman" w:hAnsi="Times New Roman"/>
                      <w:b w:val="0"/>
                      <w:bCs/>
                      <w:color w:val="000000"/>
                      <w:sz w:val="21"/>
                      <w:vertAlign w:val="superscript"/>
                    </w:rPr>
                    <w:t>3</w:t>
                  </w:r>
                </w:p>
              </w:tc>
              <w:tc>
                <w:tcPr>
                  <w:tcW w:w="1158" w:type="pct"/>
                  <w:vMerge w:val="restart"/>
                  <w:noWrap w:val="0"/>
                  <w:vAlign w:val="center"/>
                </w:tcPr>
                <w:p>
                  <w:pPr>
                    <w:pStyle w:val="36"/>
                    <w:keepNext w:val="0"/>
                    <w:keepLines w:val="0"/>
                    <w:pageBreakBefore w:val="0"/>
                    <w:widowControl w:val="0"/>
                    <w:kinsoku/>
                    <w:wordWrap/>
                    <w:overflowPunct/>
                    <w:topLinePunct w:val="0"/>
                    <w:autoSpaceDE/>
                    <w:autoSpaceDN/>
                    <w:bidi w:val="0"/>
                    <w:adjustRightInd/>
                    <w:spacing w:line="240" w:lineRule="auto"/>
                    <w:ind w:right="0" w:firstLine="0"/>
                    <w:jc w:val="center"/>
                    <w:textAlignment w:val="auto"/>
                    <w:rPr>
                      <w:rFonts w:ascii="Times New Roman" w:hAnsi="Times New Roman"/>
                      <w:b w:val="0"/>
                      <w:bCs/>
                      <w:color w:val="000000"/>
                      <w:sz w:val="21"/>
                      <w:vertAlign w:val="superscript"/>
                    </w:rPr>
                  </w:pPr>
                  <w:r>
                    <w:rPr>
                      <w:rFonts w:ascii="Times New Roman" w:hAnsi="Times New Roman"/>
                      <w:b w:val="0"/>
                      <w:bCs/>
                      <w:color w:val="000000"/>
                      <w:sz w:val="21"/>
                    </w:rPr>
                    <w:t>《环境空气质量标准》（GB3095-2012）中二级标准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60" w:type="pct"/>
                  <w:noWrap w:val="0"/>
                  <w:vAlign w:val="center"/>
                </w:tcPr>
                <w:p>
                  <w:pPr>
                    <w:pStyle w:val="36"/>
                    <w:keepNext w:val="0"/>
                    <w:keepLines w:val="0"/>
                    <w:pageBreakBefore w:val="0"/>
                    <w:widowControl w:val="0"/>
                    <w:kinsoku/>
                    <w:wordWrap/>
                    <w:overflowPunct/>
                    <w:topLinePunct w:val="0"/>
                    <w:autoSpaceDE/>
                    <w:autoSpaceDN/>
                    <w:bidi w:val="0"/>
                    <w:adjustRightInd/>
                    <w:spacing w:line="240" w:lineRule="auto"/>
                    <w:ind w:right="0" w:firstLine="0"/>
                    <w:jc w:val="center"/>
                    <w:textAlignment w:val="auto"/>
                    <w:rPr>
                      <w:rFonts w:ascii="Times New Roman" w:hAnsi="Times New Roman"/>
                      <w:b w:val="0"/>
                      <w:bCs/>
                      <w:color w:val="000000"/>
                      <w:sz w:val="21"/>
                      <w:vertAlign w:val="subscript"/>
                    </w:rPr>
                  </w:pPr>
                  <w:r>
                    <w:rPr>
                      <w:rFonts w:ascii="Times New Roman" w:hAnsi="Times New Roman"/>
                      <w:b w:val="0"/>
                      <w:bCs/>
                      <w:color w:val="000000"/>
                      <w:sz w:val="21"/>
                    </w:rPr>
                    <w:t>PM</w:t>
                  </w:r>
                  <w:r>
                    <w:rPr>
                      <w:rFonts w:ascii="Times New Roman" w:hAnsi="Times New Roman"/>
                      <w:b w:val="0"/>
                      <w:bCs/>
                      <w:color w:val="000000"/>
                      <w:sz w:val="21"/>
                      <w:vertAlign w:val="subscript"/>
                    </w:rPr>
                    <w:t>10</w:t>
                  </w:r>
                </w:p>
              </w:tc>
              <w:tc>
                <w:tcPr>
                  <w:tcW w:w="1179" w:type="pct"/>
                  <w:noWrap w:val="0"/>
                  <w:vAlign w:val="center"/>
                </w:tcPr>
                <w:p>
                  <w:pPr>
                    <w:pStyle w:val="36"/>
                    <w:keepNext w:val="0"/>
                    <w:keepLines w:val="0"/>
                    <w:pageBreakBefore w:val="0"/>
                    <w:widowControl w:val="0"/>
                    <w:kinsoku/>
                    <w:wordWrap/>
                    <w:overflowPunct/>
                    <w:topLinePunct w:val="0"/>
                    <w:autoSpaceDE/>
                    <w:autoSpaceDN/>
                    <w:bidi w:val="0"/>
                    <w:adjustRightInd/>
                    <w:spacing w:line="240" w:lineRule="auto"/>
                    <w:ind w:right="0" w:firstLine="0"/>
                    <w:jc w:val="center"/>
                    <w:textAlignment w:val="auto"/>
                    <w:rPr>
                      <w:rFonts w:ascii="Times New Roman" w:hAnsi="Times New Roman"/>
                      <w:b w:val="0"/>
                      <w:bCs/>
                      <w:color w:val="000000"/>
                      <w:sz w:val="21"/>
                    </w:rPr>
                  </w:pPr>
                  <w:r>
                    <w:rPr>
                      <w:rFonts w:ascii="Times New Roman" w:hAnsi="Times New Roman"/>
                      <w:b w:val="0"/>
                      <w:bCs/>
                      <w:color w:val="000000"/>
                      <w:sz w:val="21"/>
                    </w:rPr>
                    <w:t>年平均</w:t>
                  </w:r>
                </w:p>
                <w:p>
                  <w:pPr>
                    <w:pStyle w:val="36"/>
                    <w:keepNext w:val="0"/>
                    <w:keepLines w:val="0"/>
                    <w:pageBreakBefore w:val="0"/>
                    <w:widowControl w:val="0"/>
                    <w:kinsoku/>
                    <w:wordWrap/>
                    <w:overflowPunct/>
                    <w:topLinePunct w:val="0"/>
                    <w:autoSpaceDE/>
                    <w:autoSpaceDN/>
                    <w:bidi w:val="0"/>
                    <w:adjustRightInd/>
                    <w:spacing w:line="240" w:lineRule="auto"/>
                    <w:ind w:right="0" w:firstLine="0"/>
                    <w:jc w:val="center"/>
                    <w:textAlignment w:val="auto"/>
                    <w:rPr>
                      <w:rFonts w:ascii="Times New Roman" w:hAnsi="Times New Roman"/>
                      <w:b w:val="0"/>
                      <w:bCs/>
                      <w:color w:val="000000"/>
                      <w:sz w:val="21"/>
                    </w:rPr>
                  </w:pPr>
                  <w:r>
                    <w:rPr>
                      <w:rFonts w:ascii="Times New Roman" w:hAnsi="Times New Roman"/>
                      <w:b w:val="0"/>
                      <w:bCs/>
                      <w:color w:val="000000"/>
                      <w:sz w:val="21"/>
                    </w:rPr>
                    <w:t>24小时平均</w:t>
                  </w:r>
                </w:p>
              </w:tc>
              <w:tc>
                <w:tcPr>
                  <w:tcW w:w="1208" w:type="pct"/>
                  <w:noWrap w:val="0"/>
                  <w:vAlign w:val="center"/>
                </w:tcPr>
                <w:p>
                  <w:pPr>
                    <w:pStyle w:val="36"/>
                    <w:keepNext w:val="0"/>
                    <w:keepLines w:val="0"/>
                    <w:pageBreakBefore w:val="0"/>
                    <w:widowControl w:val="0"/>
                    <w:kinsoku/>
                    <w:wordWrap/>
                    <w:overflowPunct/>
                    <w:topLinePunct w:val="0"/>
                    <w:autoSpaceDE/>
                    <w:autoSpaceDN/>
                    <w:bidi w:val="0"/>
                    <w:adjustRightInd/>
                    <w:spacing w:line="240" w:lineRule="auto"/>
                    <w:ind w:right="0" w:firstLine="0"/>
                    <w:jc w:val="center"/>
                    <w:textAlignment w:val="auto"/>
                    <w:rPr>
                      <w:rFonts w:ascii="Times New Roman" w:hAnsi="Times New Roman"/>
                      <w:b w:val="0"/>
                      <w:bCs/>
                      <w:color w:val="000000"/>
                      <w:sz w:val="21"/>
                    </w:rPr>
                  </w:pPr>
                  <w:r>
                    <w:rPr>
                      <w:rFonts w:ascii="Times New Roman" w:hAnsi="Times New Roman"/>
                      <w:b w:val="0"/>
                      <w:bCs/>
                      <w:color w:val="000000"/>
                      <w:sz w:val="21"/>
                    </w:rPr>
                    <w:t>70</w:t>
                  </w:r>
                </w:p>
                <w:p>
                  <w:pPr>
                    <w:pStyle w:val="36"/>
                    <w:keepNext w:val="0"/>
                    <w:keepLines w:val="0"/>
                    <w:pageBreakBefore w:val="0"/>
                    <w:widowControl w:val="0"/>
                    <w:kinsoku/>
                    <w:wordWrap/>
                    <w:overflowPunct/>
                    <w:topLinePunct w:val="0"/>
                    <w:autoSpaceDE/>
                    <w:autoSpaceDN/>
                    <w:bidi w:val="0"/>
                    <w:adjustRightInd/>
                    <w:spacing w:line="240" w:lineRule="auto"/>
                    <w:ind w:right="0" w:firstLine="0"/>
                    <w:jc w:val="center"/>
                    <w:textAlignment w:val="auto"/>
                    <w:rPr>
                      <w:rFonts w:ascii="Times New Roman" w:hAnsi="Times New Roman"/>
                      <w:b w:val="0"/>
                      <w:bCs/>
                      <w:color w:val="000000"/>
                      <w:sz w:val="21"/>
                    </w:rPr>
                  </w:pPr>
                  <w:r>
                    <w:rPr>
                      <w:rFonts w:ascii="Times New Roman" w:hAnsi="Times New Roman"/>
                      <w:b w:val="0"/>
                      <w:bCs/>
                      <w:color w:val="000000"/>
                      <w:sz w:val="21"/>
                    </w:rPr>
                    <w:t>150</w:t>
                  </w:r>
                </w:p>
              </w:tc>
              <w:tc>
                <w:tcPr>
                  <w:tcW w:w="693" w:type="pct"/>
                  <w:vMerge w:val="continue"/>
                  <w:noWrap w:val="0"/>
                  <w:vAlign w:val="center"/>
                </w:tcPr>
                <w:p>
                  <w:pPr>
                    <w:pStyle w:val="36"/>
                    <w:keepNext w:val="0"/>
                    <w:keepLines w:val="0"/>
                    <w:pageBreakBefore w:val="0"/>
                    <w:widowControl w:val="0"/>
                    <w:kinsoku/>
                    <w:wordWrap/>
                    <w:overflowPunct/>
                    <w:topLinePunct w:val="0"/>
                    <w:autoSpaceDE/>
                    <w:autoSpaceDN/>
                    <w:bidi w:val="0"/>
                    <w:adjustRightInd/>
                    <w:spacing w:line="240" w:lineRule="auto"/>
                    <w:ind w:right="0" w:firstLine="0"/>
                    <w:jc w:val="center"/>
                    <w:textAlignment w:val="auto"/>
                    <w:rPr>
                      <w:rFonts w:ascii="Times New Roman" w:hAnsi="Times New Roman"/>
                      <w:b w:val="0"/>
                      <w:bCs/>
                      <w:color w:val="000000"/>
                      <w:sz w:val="21"/>
                    </w:rPr>
                  </w:pPr>
                </w:p>
              </w:tc>
              <w:tc>
                <w:tcPr>
                  <w:tcW w:w="1158" w:type="pct"/>
                  <w:vMerge w:val="continue"/>
                  <w:noWrap w:val="0"/>
                  <w:vAlign w:val="center"/>
                </w:tcPr>
                <w:p>
                  <w:pPr>
                    <w:pStyle w:val="36"/>
                    <w:keepNext w:val="0"/>
                    <w:keepLines w:val="0"/>
                    <w:pageBreakBefore w:val="0"/>
                    <w:widowControl w:val="0"/>
                    <w:kinsoku/>
                    <w:wordWrap/>
                    <w:overflowPunct/>
                    <w:topLinePunct w:val="0"/>
                    <w:autoSpaceDE/>
                    <w:autoSpaceDN/>
                    <w:bidi w:val="0"/>
                    <w:adjustRightInd/>
                    <w:spacing w:line="240" w:lineRule="auto"/>
                    <w:ind w:right="0" w:firstLine="0"/>
                    <w:jc w:val="center"/>
                    <w:textAlignment w:val="auto"/>
                    <w:rPr>
                      <w:rFonts w:ascii="Times New Roman" w:hAnsi="Times New Roman"/>
                      <w:b w:val="0"/>
                      <w:bCs/>
                      <w:color w:val="000000"/>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60" w:type="pct"/>
                  <w:noWrap w:val="0"/>
                  <w:vAlign w:val="center"/>
                </w:tcPr>
                <w:p>
                  <w:pPr>
                    <w:pStyle w:val="36"/>
                    <w:keepNext w:val="0"/>
                    <w:keepLines w:val="0"/>
                    <w:pageBreakBefore w:val="0"/>
                    <w:widowControl w:val="0"/>
                    <w:kinsoku/>
                    <w:wordWrap/>
                    <w:overflowPunct/>
                    <w:topLinePunct w:val="0"/>
                    <w:autoSpaceDE/>
                    <w:autoSpaceDN/>
                    <w:bidi w:val="0"/>
                    <w:adjustRightInd/>
                    <w:spacing w:line="240" w:lineRule="auto"/>
                    <w:ind w:right="0" w:firstLine="0"/>
                    <w:jc w:val="center"/>
                    <w:textAlignment w:val="auto"/>
                    <w:rPr>
                      <w:rFonts w:ascii="Times New Roman" w:hAnsi="Times New Roman"/>
                      <w:b w:val="0"/>
                      <w:bCs/>
                      <w:color w:val="000000"/>
                      <w:sz w:val="21"/>
                    </w:rPr>
                  </w:pPr>
                  <w:r>
                    <w:rPr>
                      <w:rFonts w:ascii="Times New Roman" w:hAnsi="Times New Roman"/>
                      <w:b w:val="0"/>
                      <w:bCs/>
                      <w:color w:val="000000"/>
                      <w:sz w:val="21"/>
                    </w:rPr>
                    <w:t>PM</w:t>
                  </w:r>
                  <w:r>
                    <w:rPr>
                      <w:rFonts w:ascii="Times New Roman" w:hAnsi="Times New Roman"/>
                      <w:b w:val="0"/>
                      <w:bCs/>
                      <w:color w:val="000000"/>
                      <w:sz w:val="21"/>
                      <w:vertAlign w:val="subscript"/>
                    </w:rPr>
                    <w:t>2.5</w:t>
                  </w:r>
                </w:p>
              </w:tc>
              <w:tc>
                <w:tcPr>
                  <w:tcW w:w="1179" w:type="pct"/>
                  <w:noWrap w:val="0"/>
                  <w:vAlign w:val="center"/>
                </w:tcPr>
                <w:p>
                  <w:pPr>
                    <w:pStyle w:val="36"/>
                    <w:keepNext w:val="0"/>
                    <w:keepLines w:val="0"/>
                    <w:pageBreakBefore w:val="0"/>
                    <w:widowControl w:val="0"/>
                    <w:kinsoku/>
                    <w:wordWrap/>
                    <w:overflowPunct/>
                    <w:topLinePunct w:val="0"/>
                    <w:autoSpaceDE/>
                    <w:autoSpaceDN/>
                    <w:bidi w:val="0"/>
                    <w:adjustRightInd/>
                    <w:spacing w:line="240" w:lineRule="auto"/>
                    <w:ind w:right="0" w:firstLine="0"/>
                    <w:jc w:val="center"/>
                    <w:textAlignment w:val="auto"/>
                    <w:rPr>
                      <w:rFonts w:ascii="Times New Roman" w:hAnsi="Times New Roman"/>
                      <w:b w:val="0"/>
                      <w:bCs/>
                      <w:color w:val="000000"/>
                      <w:sz w:val="21"/>
                    </w:rPr>
                  </w:pPr>
                  <w:r>
                    <w:rPr>
                      <w:rFonts w:ascii="Times New Roman" w:hAnsi="Times New Roman"/>
                      <w:b w:val="0"/>
                      <w:bCs/>
                      <w:color w:val="000000"/>
                      <w:sz w:val="21"/>
                    </w:rPr>
                    <w:t>年平均</w:t>
                  </w:r>
                </w:p>
                <w:p>
                  <w:pPr>
                    <w:pStyle w:val="36"/>
                    <w:keepNext w:val="0"/>
                    <w:keepLines w:val="0"/>
                    <w:pageBreakBefore w:val="0"/>
                    <w:widowControl w:val="0"/>
                    <w:kinsoku/>
                    <w:wordWrap/>
                    <w:overflowPunct/>
                    <w:topLinePunct w:val="0"/>
                    <w:autoSpaceDE/>
                    <w:autoSpaceDN/>
                    <w:bidi w:val="0"/>
                    <w:adjustRightInd/>
                    <w:spacing w:line="240" w:lineRule="auto"/>
                    <w:ind w:right="0" w:firstLine="0"/>
                    <w:jc w:val="center"/>
                    <w:textAlignment w:val="auto"/>
                    <w:rPr>
                      <w:rFonts w:ascii="Times New Roman" w:hAnsi="Times New Roman"/>
                      <w:b w:val="0"/>
                      <w:bCs/>
                      <w:color w:val="000000"/>
                      <w:sz w:val="21"/>
                    </w:rPr>
                  </w:pPr>
                  <w:r>
                    <w:rPr>
                      <w:rFonts w:ascii="Times New Roman" w:hAnsi="Times New Roman"/>
                      <w:b w:val="0"/>
                      <w:bCs/>
                      <w:color w:val="000000"/>
                      <w:sz w:val="21"/>
                    </w:rPr>
                    <w:t>24小时平均</w:t>
                  </w:r>
                </w:p>
              </w:tc>
              <w:tc>
                <w:tcPr>
                  <w:tcW w:w="1208" w:type="pct"/>
                  <w:noWrap w:val="0"/>
                  <w:vAlign w:val="center"/>
                </w:tcPr>
                <w:p>
                  <w:pPr>
                    <w:pStyle w:val="36"/>
                    <w:keepNext w:val="0"/>
                    <w:keepLines w:val="0"/>
                    <w:pageBreakBefore w:val="0"/>
                    <w:widowControl w:val="0"/>
                    <w:kinsoku/>
                    <w:wordWrap/>
                    <w:overflowPunct/>
                    <w:topLinePunct w:val="0"/>
                    <w:autoSpaceDE/>
                    <w:autoSpaceDN/>
                    <w:bidi w:val="0"/>
                    <w:adjustRightInd/>
                    <w:spacing w:line="240" w:lineRule="auto"/>
                    <w:ind w:right="0" w:firstLine="0"/>
                    <w:jc w:val="center"/>
                    <w:textAlignment w:val="auto"/>
                    <w:rPr>
                      <w:rFonts w:ascii="Times New Roman" w:hAnsi="Times New Roman"/>
                      <w:b w:val="0"/>
                      <w:bCs/>
                      <w:color w:val="000000"/>
                      <w:sz w:val="21"/>
                    </w:rPr>
                  </w:pPr>
                  <w:r>
                    <w:rPr>
                      <w:rFonts w:ascii="Times New Roman" w:hAnsi="Times New Roman"/>
                      <w:b w:val="0"/>
                      <w:bCs/>
                      <w:color w:val="000000"/>
                      <w:sz w:val="21"/>
                    </w:rPr>
                    <w:t>35</w:t>
                  </w:r>
                </w:p>
                <w:p>
                  <w:pPr>
                    <w:pStyle w:val="36"/>
                    <w:keepNext w:val="0"/>
                    <w:keepLines w:val="0"/>
                    <w:pageBreakBefore w:val="0"/>
                    <w:widowControl w:val="0"/>
                    <w:kinsoku/>
                    <w:wordWrap/>
                    <w:overflowPunct/>
                    <w:topLinePunct w:val="0"/>
                    <w:autoSpaceDE/>
                    <w:autoSpaceDN/>
                    <w:bidi w:val="0"/>
                    <w:adjustRightInd/>
                    <w:spacing w:line="240" w:lineRule="auto"/>
                    <w:ind w:right="0" w:firstLine="0"/>
                    <w:jc w:val="center"/>
                    <w:textAlignment w:val="auto"/>
                    <w:rPr>
                      <w:rFonts w:ascii="Times New Roman" w:hAnsi="Times New Roman"/>
                      <w:b w:val="0"/>
                      <w:bCs/>
                      <w:color w:val="000000"/>
                      <w:sz w:val="21"/>
                    </w:rPr>
                  </w:pPr>
                  <w:r>
                    <w:rPr>
                      <w:rFonts w:ascii="Times New Roman" w:hAnsi="Times New Roman"/>
                      <w:b w:val="0"/>
                      <w:bCs/>
                      <w:color w:val="000000"/>
                      <w:sz w:val="21"/>
                    </w:rPr>
                    <w:t>75</w:t>
                  </w:r>
                </w:p>
              </w:tc>
              <w:tc>
                <w:tcPr>
                  <w:tcW w:w="693" w:type="pct"/>
                  <w:vMerge w:val="continue"/>
                  <w:noWrap w:val="0"/>
                  <w:vAlign w:val="center"/>
                </w:tcPr>
                <w:p>
                  <w:pPr>
                    <w:pStyle w:val="36"/>
                    <w:keepNext w:val="0"/>
                    <w:keepLines w:val="0"/>
                    <w:pageBreakBefore w:val="0"/>
                    <w:widowControl w:val="0"/>
                    <w:kinsoku/>
                    <w:wordWrap/>
                    <w:overflowPunct/>
                    <w:topLinePunct w:val="0"/>
                    <w:autoSpaceDE/>
                    <w:autoSpaceDN/>
                    <w:bidi w:val="0"/>
                    <w:adjustRightInd/>
                    <w:spacing w:line="240" w:lineRule="auto"/>
                    <w:ind w:right="0" w:firstLine="0"/>
                    <w:jc w:val="center"/>
                    <w:textAlignment w:val="auto"/>
                    <w:rPr>
                      <w:rFonts w:ascii="Times New Roman" w:hAnsi="Times New Roman"/>
                      <w:b w:val="0"/>
                      <w:bCs/>
                      <w:color w:val="000000"/>
                      <w:sz w:val="21"/>
                    </w:rPr>
                  </w:pPr>
                </w:p>
              </w:tc>
              <w:tc>
                <w:tcPr>
                  <w:tcW w:w="1158" w:type="pct"/>
                  <w:vMerge w:val="continue"/>
                  <w:noWrap w:val="0"/>
                  <w:vAlign w:val="center"/>
                </w:tcPr>
                <w:p>
                  <w:pPr>
                    <w:pStyle w:val="36"/>
                    <w:keepNext w:val="0"/>
                    <w:keepLines w:val="0"/>
                    <w:pageBreakBefore w:val="0"/>
                    <w:widowControl w:val="0"/>
                    <w:kinsoku/>
                    <w:wordWrap/>
                    <w:overflowPunct/>
                    <w:topLinePunct w:val="0"/>
                    <w:autoSpaceDE/>
                    <w:autoSpaceDN/>
                    <w:bidi w:val="0"/>
                    <w:adjustRightInd/>
                    <w:spacing w:line="240" w:lineRule="auto"/>
                    <w:ind w:right="0" w:firstLine="0"/>
                    <w:jc w:val="center"/>
                    <w:textAlignment w:val="auto"/>
                    <w:rPr>
                      <w:rFonts w:ascii="Times New Roman" w:hAnsi="Times New Roman"/>
                      <w:b w:val="0"/>
                      <w:bCs/>
                      <w:color w:val="000000"/>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60" w:type="pct"/>
                  <w:noWrap w:val="0"/>
                  <w:vAlign w:val="center"/>
                </w:tcPr>
                <w:p>
                  <w:pPr>
                    <w:pStyle w:val="36"/>
                    <w:keepNext w:val="0"/>
                    <w:keepLines w:val="0"/>
                    <w:pageBreakBefore w:val="0"/>
                    <w:widowControl w:val="0"/>
                    <w:kinsoku/>
                    <w:wordWrap/>
                    <w:overflowPunct/>
                    <w:topLinePunct w:val="0"/>
                    <w:autoSpaceDE/>
                    <w:autoSpaceDN/>
                    <w:bidi w:val="0"/>
                    <w:adjustRightInd/>
                    <w:spacing w:line="240" w:lineRule="auto"/>
                    <w:ind w:right="0" w:firstLine="0"/>
                    <w:jc w:val="center"/>
                    <w:textAlignment w:val="auto"/>
                    <w:rPr>
                      <w:rFonts w:ascii="Times New Roman" w:hAnsi="Times New Roman"/>
                      <w:b w:val="0"/>
                      <w:bCs/>
                      <w:color w:val="000000"/>
                      <w:sz w:val="21"/>
                    </w:rPr>
                  </w:pPr>
                  <w:r>
                    <w:rPr>
                      <w:rFonts w:ascii="Times New Roman" w:hAnsi="Times New Roman"/>
                      <w:b w:val="0"/>
                      <w:bCs/>
                      <w:color w:val="000000"/>
                      <w:sz w:val="21"/>
                    </w:rPr>
                    <w:t>NO</w:t>
                  </w:r>
                  <w:r>
                    <w:rPr>
                      <w:rFonts w:ascii="Times New Roman" w:hAnsi="Times New Roman"/>
                      <w:b w:val="0"/>
                      <w:bCs/>
                      <w:color w:val="000000"/>
                      <w:sz w:val="21"/>
                      <w:vertAlign w:val="subscript"/>
                    </w:rPr>
                    <w:t>2</w:t>
                  </w:r>
                </w:p>
              </w:tc>
              <w:tc>
                <w:tcPr>
                  <w:tcW w:w="1179" w:type="pct"/>
                  <w:noWrap w:val="0"/>
                  <w:vAlign w:val="center"/>
                </w:tcPr>
                <w:p>
                  <w:pPr>
                    <w:pStyle w:val="36"/>
                    <w:keepNext w:val="0"/>
                    <w:keepLines w:val="0"/>
                    <w:pageBreakBefore w:val="0"/>
                    <w:widowControl w:val="0"/>
                    <w:kinsoku/>
                    <w:wordWrap/>
                    <w:overflowPunct/>
                    <w:topLinePunct w:val="0"/>
                    <w:autoSpaceDE/>
                    <w:autoSpaceDN/>
                    <w:bidi w:val="0"/>
                    <w:adjustRightInd/>
                    <w:spacing w:line="240" w:lineRule="auto"/>
                    <w:ind w:right="0" w:firstLine="0"/>
                    <w:jc w:val="center"/>
                    <w:textAlignment w:val="auto"/>
                    <w:rPr>
                      <w:rFonts w:ascii="Times New Roman" w:hAnsi="Times New Roman"/>
                      <w:b w:val="0"/>
                      <w:bCs/>
                      <w:color w:val="000000"/>
                      <w:sz w:val="21"/>
                    </w:rPr>
                  </w:pPr>
                  <w:r>
                    <w:rPr>
                      <w:rFonts w:ascii="Times New Roman" w:hAnsi="Times New Roman"/>
                      <w:b w:val="0"/>
                      <w:bCs/>
                      <w:color w:val="000000"/>
                      <w:sz w:val="21"/>
                    </w:rPr>
                    <w:t>年平均</w:t>
                  </w:r>
                </w:p>
                <w:p>
                  <w:pPr>
                    <w:pStyle w:val="36"/>
                    <w:keepNext w:val="0"/>
                    <w:keepLines w:val="0"/>
                    <w:pageBreakBefore w:val="0"/>
                    <w:widowControl w:val="0"/>
                    <w:kinsoku/>
                    <w:wordWrap/>
                    <w:overflowPunct/>
                    <w:topLinePunct w:val="0"/>
                    <w:autoSpaceDE/>
                    <w:autoSpaceDN/>
                    <w:bidi w:val="0"/>
                    <w:adjustRightInd/>
                    <w:spacing w:line="240" w:lineRule="auto"/>
                    <w:ind w:right="0" w:firstLine="0"/>
                    <w:jc w:val="center"/>
                    <w:textAlignment w:val="auto"/>
                    <w:rPr>
                      <w:rFonts w:ascii="Times New Roman" w:hAnsi="Times New Roman"/>
                      <w:b w:val="0"/>
                      <w:bCs/>
                      <w:color w:val="000000"/>
                      <w:sz w:val="21"/>
                    </w:rPr>
                  </w:pPr>
                  <w:r>
                    <w:rPr>
                      <w:rFonts w:ascii="Times New Roman" w:hAnsi="Times New Roman"/>
                      <w:b w:val="0"/>
                      <w:bCs/>
                      <w:color w:val="000000"/>
                      <w:sz w:val="21"/>
                    </w:rPr>
                    <w:t>24小时平均</w:t>
                  </w:r>
                </w:p>
                <w:p>
                  <w:pPr>
                    <w:pStyle w:val="36"/>
                    <w:keepNext w:val="0"/>
                    <w:keepLines w:val="0"/>
                    <w:pageBreakBefore w:val="0"/>
                    <w:widowControl w:val="0"/>
                    <w:kinsoku/>
                    <w:wordWrap/>
                    <w:overflowPunct/>
                    <w:topLinePunct w:val="0"/>
                    <w:autoSpaceDE/>
                    <w:autoSpaceDN/>
                    <w:bidi w:val="0"/>
                    <w:adjustRightInd/>
                    <w:spacing w:line="240" w:lineRule="auto"/>
                    <w:ind w:right="0" w:firstLine="0"/>
                    <w:jc w:val="center"/>
                    <w:textAlignment w:val="auto"/>
                    <w:rPr>
                      <w:rFonts w:ascii="Times New Roman" w:hAnsi="Times New Roman"/>
                      <w:b w:val="0"/>
                      <w:bCs/>
                      <w:color w:val="000000"/>
                      <w:sz w:val="21"/>
                    </w:rPr>
                  </w:pPr>
                  <w:r>
                    <w:rPr>
                      <w:rFonts w:ascii="Times New Roman" w:hAnsi="Times New Roman"/>
                      <w:b w:val="0"/>
                      <w:bCs/>
                      <w:color w:val="000000"/>
                      <w:sz w:val="21"/>
                    </w:rPr>
                    <w:t>1小时平均</w:t>
                  </w:r>
                </w:p>
              </w:tc>
              <w:tc>
                <w:tcPr>
                  <w:tcW w:w="1208" w:type="pct"/>
                  <w:noWrap w:val="0"/>
                  <w:vAlign w:val="center"/>
                </w:tcPr>
                <w:p>
                  <w:pPr>
                    <w:pStyle w:val="36"/>
                    <w:keepNext w:val="0"/>
                    <w:keepLines w:val="0"/>
                    <w:pageBreakBefore w:val="0"/>
                    <w:widowControl w:val="0"/>
                    <w:kinsoku/>
                    <w:wordWrap/>
                    <w:overflowPunct/>
                    <w:topLinePunct w:val="0"/>
                    <w:autoSpaceDE/>
                    <w:autoSpaceDN/>
                    <w:bidi w:val="0"/>
                    <w:adjustRightInd/>
                    <w:spacing w:line="240" w:lineRule="auto"/>
                    <w:ind w:right="0" w:firstLine="0"/>
                    <w:jc w:val="center"/>
                    <w:textAlignment w:val="auto"/>
                    <w:rPr>
                      <w:rFonts w:ascii="Times New Roman" w:hAnsi="Times New Roman"/>
                      <w:b w:val="0"/>
                      <w:bCs/>
                      <w:color w:val="000000"/>
                      <w:sz w:val="21"/>
                    </w:rPr>
                  </w:pPr>
                  <w:r>
                    <w:rPr>
                      <w:rFonts w:ascii="Times New Roman" w:hAnsi="Times New Roman"/>
                      <w:b w:val="0"/>
                      <w:bCs/>
                      <w:color w:val="000000"/>
                      <w:sz w:val="21"/>
                    </w:rPr>
                    <w:t>40</w:t>
                  </w:r>
                </w:p>
                <w:p>
                  <w:pPr>
                    <w:keepNext w:val="0"/>
                    <w:keepLines w:val="0"/>
                    <w:pageBreakBefore w:val="0"/>
                    <w:widowControl w:val="0"/>
                    <w:kinsoku/>
                    <w:wordWrap/>
                    <w:overflowPunct/>
                    <w:topLinePunct w:val="0"/>
                    <w:autoSpaceDE/>
                    <w:autoSpaceDN/>
                    <w:bidi w:val="0"/>
                    <w:adjustRightInd/>
                    <w:spacing w:line="240" w:lineRule="auto"/>
                    <w:contextualSpacing/>
                    <w:jc w:val="center"/>
                    <w:textAlignment w:val="auto"/>
                    <w:rPr>
                      <w:bCs/>
                      <w:color w:val="000000"/>
                      <w:sz w:val="21"/>
                      <w:szCs w:val="21"/>
                    </w:rPr>
                  </w:pPr>
                  <w:r>
                    <w:rPr>
                      <w:bCs/>
                      <w:color w:val="000000"/>
                      <w:sz w:val="21"/>
                      <w:szCs w:val="21"/>
                    </w:rPr>
                    <w:t>80</w:t>
                  </w:r>
                </w:p>
                <w:p>
                  <w:pPr>
                    <w:keepNext w:val="0"/>
                    <w:keepLines w:val="0"/>
                    <w:pageBreakBefore w:val="0"/>
                    <w:widowControl w:val="0"/>
                    <w:kinsoku/>
                    <w:wordWrap/>
                    <w:overflowPunct/>
                    <w:topLinePunct w:val="0"/>
                    <w:autoSpaceDE/>
                    <w:autoSpaceDN/>
                    <w:bidi w:val="0"/>
                    <w:adjustRightInd/>
                    <w:spacing w:line="240" w:lineRule="auto"/>
                    <w:contextualSpacing/>
                    <w:jc w:val="center"/>
                    <w:textAlignment w:val="auto"/>
                    <w:rPr>
                      <w:bCs/>
                      <w:color w:val="000000"/>
                      <w:sz w:val="21"/>
                      <w:szCs w:val="21"/>
                    </w:rPr>
                  </w:pPr>
                  <w:r>
                    <w:rPr>
                      <w:bCs/>
                      <w:color w:val="000000"/>
                      <w:sz w:val="21"/>
                      <w:szCs w:val="21"/>
                    </w:rPr>
                    <w:t>200</w:t>
                  </w:r>
                </w:p>
              </w:tc>
              <w:tc>
                <w:tcPr>
                  <w:tcW w:w="693" w:type="pct"/>
                  <w:vMerge w:val="continue"/>
                  <w:noWrap w:val="0"/>
                  <w:vAlign w:val="center"/>
                </w:tcPr>
                <w:p>
                  <w:pPr>
                    <w:pStyle w:val="36"/>
                    <w:keepNext w:val="0"/>
                    <w:keepLines w:val="0"/>
                    <w:pageBreakBefore w:val="0"/>
                    <w:widowControl w:val="0"/>
                    <w:kinsoku/>
                    <w:wordWrap/>
                    <w:overflowPunct/>
                    <w:topLinePunct w:val="0"/>
                    <w:autoSpaceDE/>
                    <w:autoSpaceDN/>
                    <w:bidi w:val="0"/>
                    <w:adjustRightInd/>
                    <w:spacing w:line="240" w:lineRule="auto"/>
                    <w:ind w:right="0" w:firstLine="0"/>
                    <w:jc w:val="center"/>
                    <w:textAlignment w:val="auto"/>
                    <w:rPr>
                      <w:rFonts w:ascii="Times New Roman" w:hAnsi="Times New Roman"/>
                      <w:b w:val="0"/>
                      <w:bCs/>
                      <w:color w:val="000000"/>
                      <w:sz w:val="21"/>
                    </w:rPr>
                  </w:pPr>
                </w:p>
              </w:tc>
              <w:tc>
                <w:tcPr>
                  <w:tcW w:w="1158" w:type="pct"/>
                  <w:vMerge w:val="continue"/>
                  <w:noWrap w:val="0"/>
                  <w:vAlign w:val="center"/>
                </w:tcPr>
                <w:p>
                  <w:pPr>
                    <w:pStyle w:val="36"/>
                    <w:keepNext w:val="0"/>
                    <w:keepLines w:val="0"/>
                    <w:pageBreakBefore w:val="0"/>
                    <w:widowControl w:val="0"/>
                    <w:kinsoku/>
                    <w:wordWrap/>
                    <w:overflowPunct/>
                    <w:topLinePunct w:val="0"/>
                    <w:autoSpaceDE/>
                    <w:autoSpaceDN/>
                    <w:bidi w:val="0"/>
                    <w:adjustRightInd/>
                    <w:spacing w:line="240" w:lineRule="auto"/>
                    <w:ind w:right="0" w:firstLine="0"/>
                    <w:jc w:val="center"/>
                    <w:textAlignment w:val="auto"/>
                    <w:rPr>
                      <w:rFonts w:ascii="Times New Roman" w:hAnsi="Times New Roman"/>
                      <w:b w:val="0"/>
                      <w:bCs/>
                      <w:color w:val="000000"/>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60" w:type="pct"/>
                  <w:noWrap w:val="0"/>
                  <w:vAlign w:val="center"/>
                </w:tcPr>
                <w:p>
                  <w:pPr>
                    <w:pStyle w:val="36"/>
                    <w:keepNext w:val="0"/>
                    <w:keepLines w:val="0"/>
                    <w:pageBreakBefore w:val="0"/>
                    <w:widowControl w:val="0"/>
                    <w:kinsoku/>
                    <w:wordWrap/>
                    <w:overflowPunct/>
                    <w:topLinePunct w:val="0"/>
                    <w:autoSpaceDE/>
                    <w:autoSpaceDN/>
                    <w:bidi w:val="0"/>
                    <w:adjustRightInd/>
                    <w:spacing w:line="240" w:lineRule="auto"/>
                    <w:ind w:right="0" w:firstLine="0"/>
                    <w:jc w:val="center"/>
                    <w:textAlignment w:val="auto"/>
                    <w:rPr>
                      <w:rFonts w:ascii="Times New Roman" w:hAnsi="Times New Roman"/>
                      <w:b w:val="0"/>
                      <w:bCs/>
                      <w:color w:val="000000"/>
                      <w:sz w:val="21"/>
                    </w:rPr>
                  </w:pPr>
                  <w:r>
                    <w:rPr>
                      <w:rFonts w:ascii="Times New Roman" w:hAnsi="Times New Roman"/>
                      <w:b w:val="0"/>
                      <w:bCs/>
                      <w:color w:val="000000"/>
                      <w:sz w:val="21"/>
                    </w:rPr>
                    <w:t>CO</w:t>
                  </w:r>
                </w:p>
              </w:tc>
              <w:tc>
                <w:tcPr>
                  <w:tcW w:w="1179" w:type="pct"/>
                  <w:noWrap w:val="0"/>
                  <w:vAlign w:val="center"/>
                </w:tcPr>
                <w:p>
                  <w:pPr>
                    <w:pStyle w:val="36"/>
                    <w:keepNext w:val="0"/>
                    <w:keepLines w:val="0"/>
                    <w:pageBreakBefore w:val="0"/>
                    <w:widowControl w:val="0"/>
                    <w:kinsoku/>
                    <w:wordWrap/>
                    <w:overflowPunct/>
                    <w:topLinePunct w:val="0"/>
                    <w:autoSpaceDE/>
                    <w:autoSpaceDN/>
                    <w:bidi w:val="0"/>
                    <w:adjustRightInd/>
                    <w:spacing w:line="240" w:lineRule="auto"/>
                    <w:ind w:right="0" w:firstLine="0"/>
                    <w:jc w:val="center"/>
                    <w:textAlignment w:val="auto"/>
                    <w:rPr>
                      <w:rFonts w:ascii="Times New Roman" w:hAnsi="Times New Roman"/>
                      <w:b w:val="0"/>
                      <w:bCs/>
                      <w:color w:val="000000"/>
                      <w:sz w:val="21"/>
                    </w:rPr>
                  </w:pPr>
                  <w:r>
                    <w:rPr>
                      <w:rFonts w:ascii="Times New Roman" w:hAnsi="Times New Roman"/>
                      <w:b w:val="0"/>
                      <w:bCs/>
                      <w:color w:val="000000"/>
                      <w:sz w:val="21"/>
                    </w:rPr>
                    <w:t>1小时平均</w:t>
                  </w:r>
                </w:p>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000000"/>
                      <w:sz w:val="21"/>
                      <w:szCs w:val="21"/>
                    </w:rPr>
                  </w:pPr>
                  <w:r>
                    <w:rPr>
                      <w:bCs/>
                      <w:color w:val="000000"/>
                      <w:sz w:val="21"/>
                      <w:szCs w:val="21"/>
                    </w:rPr>
                    <w:t>24小时平均</w:t>
                  </w:r>
                </w:p>
              </w:tc>
              <w:tc>
                <w:tcPr>
                  <w:tcW w:w="1208" w:type="pct"/>
                  <w:noWrap w:val="0"/>
                  <w:vAlign w:val="center"/>
                </w:tcPr>
                <w:p>
                  <w:pPr>
                    <w:pStyle w:val="36"/>
                    <w:keepNext w:val="0"/>
                    <w:keepLines w:val="0"/>
                    <w:pageBreakBefore w:val="0"/>
                    <w:widowControl w:val="0"/>
                    <w:kinsoku/>
                    <w:wordWrap/>
                    <w:overflowPunct/>
                    <w:topLinePunct w:val="0"/>
                    <w:autoSpaceDE/>
                    <w:autoSpaceDN/>
                    <w:bidi w:val="0"/>
                    <w:adjustRightInd/>
                    <w:spacing w:line="240" w:lineRule="auto"/>
                    <w:ind w:right="0" w:firstLine="0"/>
                    <w:jc w:val="center"/>
                    <w:textAlignment w:val="auto"/>
                    <w:rPr>
                      <w:rFonts w:ascii="Times New Roman" w:hAnsi="Times New Roman"/>
                      <w:b w:val="0"/>
                      <w:bCs/>
                      <w:color w:val="000000"/>
                      <w:sz w:val="21"/>
                      <w:vertAlign w:val="superscript"/>
                    </w:rPr>
                  </w:pPr>
                  <w:r>
                    <w:rPr>
                      <w:rFonts w:ascii="Times New Roman" w:hAnsi="Times New Roman"/>
                      <w:b w:val="0"/>
                      <w:bCs/>
                      <w:color w:val="000000"/>
                      <w:sz w:val="21"/>
                    </w:rPr>
                    <w:t>10</w:t>
                  </w:r>
                  <w:bookmarkStart w:id="4" w:name="OLE_LINK4"/>
                  <w:r>
                    <w:rPr>
                      <w:rFonts w:ascii="Times New Roman" w:hAnsi="Times New Roman"/>
                      <w:b w:val="0"/>
                      <w:bCs/>
                      <w:color w:val="000000"/>
                      <w:sz w:val="21"/>
                    </w:rPr>
                    <w:t>mg/m</w:t>
                  </w:r>
                  <w:r>
                    <w:rPr>
                      <w:rFonts w:ascii="Times New Roman" w:hAnsi="Times New Roman"/>
                      <w:b w:val="0"/>
                      <w:bCs/>
                      <w:color w:val="000000"/>
                      <w:sz w:val="21"/>
                      <w:vertAlign w:val="superscript"/>
                    </w:rPr>
                    <w:t>3</w:t>
                  </w:r>
                  <w:bookmarkEnd w:id="4"/>
                </w:p>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000000"/>
                      <w:sz w:val="21"/>
                      <w:szCs w:val="21"/>
                    </w:rPr>
                  </w:pPr>
                  <w:r>
                    <w:rPr>
                      <w:bCs/>
                      <w:color w:val="000000"/>
                      <w:sz w:val="21"/>
                      <w:szCs w:val="21"/>
                    </w:rPr>
                    <w:t>4mg/m</w:t>
                  </w:r>
                  <w:r>
                    <w:rPr>
                      <w:bCs/>
                      <w:color w:val="000000"/>
                      <w:sz w:val="21"/>
                      <w:szCs w:val="21"/>
                      <w:vertAlign w:val="superscript"/>
                    </w:rPr>
                    <w:t>3</w:t>
                  </w:r>
                </w:p>
              </w:tc>
              <w:tc>
                <w:tcPr>
                  <w:tcW w:w="693" w:type="pct"/>
                  <w:vMerge w:val="continue"/>
                  <w:noWrap w:val="0"/>
                  <w:vAlign w:val="center"/>
                </w:tcPr>
                <w:p>
                  <w:pPr>
                    <w:pStyle w:val="36"/>
                    <w:keepNext w:val="0"/>
                    <w:keepLines w:val="0"/>
                    <w:pageBreakBefore w:val="0"/>
                    <w:widowControl w:val="0"/>
                    <w:kinsoku/>
                    <w:wordWrap/>
                    <w:overflowPunct/>
                    <w:topLinePunct w:val="0"/>
                    <w:autoSpaceDE/>
                    <w:autoSpaceDN/>
                    <w:bidi w:val="0"/>
                    <w:adjustRightInd/>
                    <w:spacing w:line="240" w:lineRule="auto"/>
                    <w:ind w:right="0" w:firstLine="0"/>
                    <w:jc w:val="center"/>
                    <w:textAlignment w:val="auto"/>
                    <w:rPr>
                      <w:rFonts w:ascii="Times New Roman" w:hAnsi="Times New Roman"/>
                      <w:b w:val="0"/>
                      <w:bCs/>
                      <w:color w:val="000000"/>
                      <w:sz w:val="21"/>
                    </w:rPr>
                  </w:pPr>
                </w:p>
              </w:tc>
              <w:tc>
                <w:tcPr>
                  <w:tcW w:w="1158" w:type="pct"/>
                  <w:vMerge w:val="continue"/>
                  <w:noWrap w:val="0"/>
                  <w:vAlign w:val="center"/>
                </w:tcPr>
                <w:p>
                  <w:pPr>
                    <w:pStyle w:val="36"/>
                    <w:keepNext w:val="0"/>
                    <w:keepLines w:val="0"/>
                    <w:pageBreakBefore w:val="0"/>
                    <w:widowControl w:val="0"/>
                    <w:kinsoku/>
                    <w:wordWrap/>
                    <w:overflowPunct/>
                    <w:topLinePunct w:val="0"/>
                    <w:autoSpaceDE/>
                    <w:autoSpaceDN/>
                    <w:bidi w:val="0"/>
                    <w:adjustRightInd/>
                    <w:spacing w:line="240" w:lineRule="auto"/>
                    <w:ind w:right="0" w:firstLine="0"/>
                    <w:jc w:val="center"/>
                    <w:textAlignment w:val="auto"/>
                    <w:rPr>
                      <w:rFonts w:ascii="Times New Roman" w:hAnsi="Times New Roman"/>
                      <w:b w:val="0"/>
                      <w:bCs/>
                      <w:color w:val="000000"/>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60" w:type="pct"/>
                  <w:noWrap w:val="0"/>
                  <w:vAlign w:val="center"/>
                </w:tcPr>
                <w:p>
                  <w:pPr>
                    <w:pStyle w:val="36"/>
                    <w:keepNext w:val="0"/>
                    <w:keepLines w:val="0"/>
                    <w:pageBreakBefore w:val="0"/>
                    <w:widowControl w:val="0"/>
                    <w:kinsoku/>
                    <w:wordWrap/>
                    <w:overflowPunct/>
                    <w:topLinePunct w:val="0"/>
                    <w:autoSpaceDE/>
                    <w:autoSpaceDN/>
                    <w:bidi w:val="0"/>
                    <w:adjustRightInd/>
                    <w:spacing w:line="240" w:lineRule="auto"/>
                    <w:ind w:right="0" w:firstLine="0"/>
                    <w:jc w:val="center"/>
                    <w:textAlignment w:val="auto"/>
                    <w:rPr>
                      <w:rFonts w:ascii="Times New Roman" w:hAnsi="Times New Roman"/>
                      <w:b w:val="0"/>
                      <w:bCs/>
                      <w:color w:val="000000"/>
                      <w:sz w:val="21"/>
                    </w:rPr>
                  </w:pPr>
                  <w:r>
                    <w:rPr>
                      <w:rFonts w:ascii="Times New Roman" w:hAnsi="Times New Roman"/>
                      <w:b w:val="0"/>
                      <w:bCs/>
                      <w:color w:val="000000"/>
                      <w:sz w:val="21"/>
                    </w:rPr>
                    <w:t>O</w:t>
                  </w:r>
                  <w:r>
                    <w:rPr>
                      <w:rFonts w:ascii="Times New Roman" w:hAnsi="Times New Roman"/>
                      <w:b w:val="0"/>
                      <w:bCs/>
                      <w:color w:val="000000"/>
                      <w:sz w:val="21"/>
                      <w:vertAlign w:val="subscript"/>
                    </w:rPr>
                    <w:t>3</w:t>
                  </w:r>
                </w:p>
              </w:tc>
              <w:tc>
                <w:tcPr>
                  <w:tcW w:w="1179" w:type="pct"/>
                  <w:noWrap w:val="0"/>
                  <w:vAlign w:val="center"/>
                </w:tcPr>
                <w:p>
                  <w:pPr>
                    <w:pStyle w:val="36"/>
                    <w:keepNext w:val="0"/>
                    <w:keepLines w:val="0"/>
                    <w:pageBreakBefore w:val="0"/>
                    <w:widowControl w:val="0"/>
                    <w:kinsoku/>
                    <w:wordWrap/>
                    <w:overflowPunct/>
                    <w:topLinePunct w:val="0"/>
                    <w:autoSpaceDE/>
                    <w:autoSpaceDN/>
                    <w:bidi w:val="0"/>
                    <w:adjustRightInd/>
                    <w:spacing w:line="240" w:lineRule="auto"/>
                    <w:ind w:right="0" w:firstLine="0"/>
                    <w:jc w:val="center"/>
                    <w:textAlignment w:val="auto"/>
                    <w:rPr>
                      <w:rFonts w:ascii="Times New Roman" w:hAnsi="Times New Roman"/>
                      <w:b w:val="0"/>
                      <w:bCs/>
                      <w:color w:val="000000"/>
                      <w:sz w:val="21"/>
                    </w:rPr>
                  </w:pPr>
                  <w:r>
                    <w:rPr>
                      <w:rFonts w:ascii="Times New Roman" w:hAnsi="Times New Roman"/>
                      <w:b w:val="0"/>
                      <w:bCs/>
                      <w:color w:val="000000"/>
                      <w:sz w:val="21"/>
                    </w:rPr>
                    <w:t>日最大8小时平均</w:t>
                  </w:r>
                </w:p>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000000"/>
                      <w:sz w:val="21"/>
                      <w:szCs w:val="21"/>
                    </w:rPr>
                  </w:pPr>
                  <w:r>
                    <w:rPr>
                      <w:bCs/>
                      <w:color w:val="000000"/>
                      <w:sz w:val="21"/>
                      <w:szCs w:val="21"/>
                    </w:rPr>
                    <w:t>1小时平均</w:t>
                  </w:r>
                </w:p>
              </w:tc>
              <w:tc>
                <w:tcPr>
                  <w:tcW w:w="1208" w:type="pct"/>
                  <w:noWrap w:val="0"/>
                  <w:vAlign w:val="center"/>
                </w:tcPr>
                <w:p>
                  <w:pPr>
                    <w:keepNext w:val="0"/>
                    <w:keepLines w:val="0"/>
                    <w:pageBreakBefore w:val="0"/>
                    <w:widowControl w:val="0"/>
                    <w:kinsoku/>
                    <w:wordWrap/>
                    <w:overflowPunct/>
                    <w:topLinePunct w:val="0"/>
                    <w:autoSpaceDE/>
                    <w:autoSpaceDN/>
                    <w:bidi w:val="0"/>
                    <w:adjustRightInd/>
                    <w:spacing w:line="240" w:lineRule="auto"/>
                    <w:contextualSpacing/>
                    <w:jc w:val="center"/>
                    <w:textAlignment w:val="auto"/>
                    <w:rPr>
                      <w:bCs/>
                      <w:color w:val="000000"/>
                      <w:sz w:val="21"/>
                      <w:szCs w:val="21"/>
                    </w:rPr>
                  </w:pPr>
                  <w:r>
                    <w:rPr>
                      <w:bCs/>
                      <w:color w:val="000000"/>
                      <w:sz w:val="21"/>
                      <w:szCs w:val="21"/>
                    </w:rPr>
                    <w:t>160</w:t>
                  </w:r>
                </w:p>
                <w:p>
                  <w:pPr>
                    <w:keepNext w:val="0"/>
                    <w:keepLines w:val="0"/>
                    <w:pageBreakBefore w:val="0"/>
                    <w:widowControl w:val="0"/>
                    <w:kinsoku/>
                    <w:wordWrap/>
                    <w:overflowPunct/>
                    <w:topLinePunct w:val="0"/>
                    <w:autoSpaceDE/>
                    <w:autoSpaceDN/>
                    <w:bidi w:val="0"/>
                    <w:adjustRightInd/>
                    <w:spacing w:line="240" w:lineRule="auto"/>
                    <w:contextualSpacing/>
                    <w:jc w:val="center"/>
                    <w:textAlignment w:val="auto"/>
                    <w:rPr>
                      <w:bCs/>
                      <w:color w:val="000000"/>
                      <w:sz w:val="21"/>
                      <w:szCs w:val="21"/>
                    </w:rPr>
                  </w:pPr>
                  <w:r>
                    <w:rPr>
                      <w:bCs/>
                      <w:color w:val="000000"/>
                      <w:sz w:val="21"/>
                      <w:szCs w:val="21"/>
                    </w:rPr>
                    <w:t>200</w:t>
                  </w:r>
                </w:p>
              </w:tc>
              <w:tc>
                <w:tcPr>
                  <w:tcW w:w="693" w:type="pct"/>
                  <w:vMerge w:val="continue"/>
                  <w:noWrap w:val="0"/>
                  <w:vAlign w:val="center"/>
                </w:tcPr>
                <w:p>
                  <w:pPr>
                    <w:pStyle w:val="36"/>
                    <w:keepNext w:val="0"/>
                    <w:keepLines w:val="0"/>
                    <w:pageBreakBefore w:val="0"/>
                    <w:widowControl w:val="0"/>
                    <w:kinsoku/>
                    <w:wordWrap/>
                    <w:overflowPunct/>
                    <w:topLinePunct w:val="0"/>
                    <w:autoSpaceDE/>
                    <w:autoSpaceDN/>
                    <w:bidi w:val="0"/>
                    <w:adjustRightInd/>
                    <w:spacing w:line="240" w:lineRule="auto"/>
                    <w:ind w:right="0" w:firstLine="0"/>
                    <w:jc w:val="center"/>
                    <w:textAlignment w:val="auto"/>
                    <w:rPr>
                      <w:rFonts w:ascii="Times New Roman" w:hAnsi="Times New Roman"/>
                      <w:b w:val="0"/>
                      <w:bCs/>
                      <w:color w:val="000000"/>
                      <w:sz w:val="21"/>
                    </w:rPr>
                  </w:pPr>
                </w:p>
              </w:tc>
              <w:tc>
                <w:tcPr>
                  <w:tcW w:w="1158" w:type="pct"/>
                  <w:vMerge w:val="continue"/>
                  <w:noWrap w:val="0"/>
                  <w:vAlign w:val="center"/>
                </w:tcPr>
                <w:p>
                  <w:pPr>
                    <w:pStyle w:val="36"/>
                    <w:keepNext w:val="0"/>
                    <w:keepLines w:val="0"/>
                    <w:pageBreakBefore w:val="0"/>
                    <w:widowControl w:val="0"/>
                    <w:kinsoku/>
                    <w:wordWrap/>
                    <w:overflowPunct/>
                    <w:topLinePunct w:val="0"/>
                    <w:autoSpaceDE/>
                    <w:autoSpaceDN/>
                    <w:bidi w:val="0"/>
                    <w:adjustRightInd/>
                    <w:spacing w:line="240" w:lineRule="auto"/>
                    <w:ind w:right="0" w:firstLine="0"/>
                    <w:jc w:val="center"/>
                    <w:textAlignment w:val="auto"/>
                    <w:rPr>
                      <w:rFonts w:ascii="Times New Roman" w:hAnsi="Times New Roman"/>
                      <w:b w:val="0"/>
                      <w:bCs/>
                      <w:color w:val="000000"/>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60" w:type="pct"/>
                  <w:noWrap w:val="0"/>
                  <w:vAlign w:val="center"/>
                </w:tcPr>
                <w:p>
                  <w:pPr>
                    <w:pStyle w:val="36"/>
                    <w:keepNext w:val="0"/>
                    <w:keepLines w:val="0"/>
                    <w:pageBreakBefore w:val="0"/>
                    <w:widowControl w:val="0"/>
                    <w:kinsoku/>
                    <w:wordWrap/>
                    <w:overflowPunct/>
                    <w:topLinePunct w:val="0"/>
                    <w:autoSpaceDE/>
                    <w:autoSpaceDN/>
                    <w:bidi w:val="0"/>
                    <w:adjustRightInd/>
                    <w:spacing w:line="240" w:lineRule="auto"/>
                    <w:ind w:right="0" w:rightChars="0" w:firstLine="0" w:firstLineChars="0"/>
                    <w:jc w:val="center"/>
                    <w:textAlignment w:val="auto"/>
                    <w:rPr>
                      <w:rFonts w:ascii="Times New Roman" w:hAnsi="Times New Roman"/>
                      <w:b w:val="0"/>
                      <w:bCs/>
                      <w:color w:val="000000"/>
                      <w:sz w:val="21"/>
                    </w:rPr>
                  </w:pPr>
                  <w:r>
                    <w:rPr>
                      <w:rFonts w:ascii="Times New Roman" w:hAnsi="Times New Roman"/>
                      <w:b w:val="0"/>
                      <w:bCs/>
                      <w:color w:val="000000"/>
                      <w:sz w:val="21"/>
                    </w:rPr>
                    <w:t>TSP</w:t>
                  </w:r>
                </w:p>
              </w:tc>
              <w:tc>
                <w:tcPr>
                  <w:tcW w:w="1179" w:type="pct"/>
                  <w:noWrap w:val="0"/>
                  <w:vAlign w:val="center"/>
                </w:tcPr>
                <w:p>
                  <w:pPr>
                    <w:pStyle w:val="36"/>
                    <w:keepNext w:val="0"/>
                    <w:keepLines w:val="0"/>
                    <w:pageBreakBefore w:val="0"/>
                    <w:widowControl w:val="0"/>
                    <w:kinsoku/>
                    <w:wordWrap/>
                    <w:overflowPunct/>
                    <w:topLinePunct w:val="0"/>
                    <w:autoSpaceDE/>
                    <w:autoSpaceDN/>
                    <w:bidi w:val="0"/>
                    <w:adjustRightInd/>
                    <w:spacing w:line="240" w:lineRule="auto"/>
                    <w:ind w:right="0" w:firstLine="0"/>
                    <w:jc w:val="center"/>
                    <w:textAlignment w:val="auto"/>
                    <w:rPr>
                      <w:rFonts w:ascii="Times New Roman" w:hAnsi="Times New Roman"/>
                      <w:b w:val="0"/>
                      <w:bCs/>
                      <w:color w:val="000000"/>
                      <w:sz w:val="21"/>
                    </w:rPr>
                  </w:pPr>
                  <w:r>
                    <w:rPr>
                      <w:rFonts w:ascii="Times New Roman" w:hAnsi="Times New Roman"/>
                      <w:b w:val="0"/>
                      <w:bCs/>
                      <w:color w:val="000000"/>
                      <w:sz w:val="21"/>
                    </w:rPr>
                    <w:t>年平均</w:t>
                  </w:r>
                </w:p>
                <w:p>
                  <w:pPr>
                    <w:pStyle w:val="36"/>
                    <w:keepNext w:val="0"/>
                    <w:keepLines w:val="0"/>
                    <w:pageBreakBefore w:val="0"/>
                    <w:widowControl w:val="0"/>
                    <w:kinsoku/>
                    <w:wordWrap/>
                    <w:overflowPunct/>
                    <w:topLinePunct w:val="0"/>
                    <w:autoSpaceDE/>
                    <w:autoSpaceDN/>
                    <w:bidi w:val="0"/>
                    <w:adjustRightInd/>
                    <w:spacing w:line="240" w:lineRule="auto"/>
                    <w:ind w:right="0" w:rightChars="0" w:firstLine="0" w:firstLineChars="0"/>
                    <w:jc w:val="center"/>
                    <w:textAlignment w:val="auto"/>
                    <w:rPr>
                      <w:bCs/>
                      <w:color w:val="000000"/>
                      <w:sz w:val="21"/>
                      <w:szCs w:val="21"/>
                    </w:rPr>
                  </w:pPr>
                  <w:r>
                    <w:rPr>
                      <w:rFonts w:ascii="Times New Roman" w:hAnsi="Times New Roman"/>
                      <w:b w:val="0"/>
                      <w:bCs/>
                      <w:color w:val="000000"/>
                      <w:sz w:val="21"/>
                    </w:rPr>
                    <w:t>24小时平均</w:t>
                  </w:r>
                </w:p>
              </w:tc>
              <w:tc>
                <w:tcPr>
                  <w:tcW w:w="1208" w:type="pct"/>
                  <w:noWrap w:val="0"/>
                  <w:vAlign w:val="center"/>
                </w:tcPr>
                <w:p>
                  <w:pPr>
                    <w:pStyle w:val="36"/>
                    <w:keepNext w:val="0"/>
                    <w:keepLines w:val="0"/>
                    <w:pageBreakBefore w:val="0"/>
                    <w:widowControl w:val="0"/>
                    <w:kinsoku/>
                    <w:wordWrap/>
                    <w:overflowPunct/>
                    <w:topLinePunct w:val="0"/>
                    <w:autoSpaceDE/>
                    <w:autoSpaceDN/>
                    <w:bidi w:val="0"/>
                    <w:adjustRightInd/>
                    <w:spacing w:line="240" w:lineRule="auto"/>
                    <w:ind w:right="0" w:firstLine="0"/>
                    <w:jc w:val="center"/>
                    <w:textAlignment w:val="auto"/>
                    <w:rPr>
                      <w:rFonts w:ascii="Times New Roman" w:hAnsi="Times New Roman"/>
                      <w:b w:val="0"/>
                      <w:bCs/>
                      <w:color w:val="000000"/>
                      <w:sz w:val="21"/>
                    </w:rPr>
                  </w:pPr>
                  <w:r>
                    <w:rPr>
                      <w:rFonts w:ascii="Times New Roman" w:hAnsi="Times New Roman"/>
                      <w:b w:val="0"/>
                      <w:bCs/>
                      <w:color w:val="000000"/>
                      <w:sz w:val="21"/>
                    </w:rPr>
                    <w:t>200</w:t>
                  </w:r>
                </w:p>
                <w:p>
                  <w:pPr>
                    <w:pStyle w:val="36"/>
                    <w:keepNext w:val="0"/>
                    <w:keepLines w:val="0"/>
                    <w:pageBreakBefore w:val="0"/>
                    <w:widowControl w:val="0"/>
                    <w:kinsoku/>
                    <w:wordWrap/>
                    <w:overflowPunct/>
                    <w:topLinePunct w:val="0"/>
                    <w:autoSpaceDE/>
                    <w:autoSpaceDN/>
                    <w:bidi w:val="0"/>
                    <w:adjustRightInd/>
                    <w:spacing w:line="240" w:lineRule="auto"/>
                    <w:ind w:right="0" w:rightChars="0" w:firstLine="0" w:firstLineChars="0"/>
                    <w:jc w:val="center"/>
                    <w:textAlignment w:val="auto"/>
                    <w:rPr>
                      <w:bCs/>
                      <w:color w:val="000000"/>
                      <w:sz w:val="21"/>
                      <w:szCs w:val="21"/>
                    </w:rPr>
                  </w:pPr>
                  <w:r>
                    <w:rPr>
                      <w:rFonts w:ascii="Times New Roman" w:hAnsi="Times New Roman"/>
                      <w:b w:val="0"/>
                      <w:bCs/>
                      <w:color w:val="000000"/>
                      <w:sz w:val="21"/>
                    </w:rPr>
                    <w:t>300</w:t>
                  </w:r>
                </w:p>
              </w:tc>
              <w:tc>
                <w:tcPr>
                  <w:tcW w:w="693" w:type="pct"/>
                  <w:vMerge w:val="continue"/>
                  <w:noWrap w:val="0"/>
                  <w:vAlign w:val="center"/>
                </w:tcPr>
                <w:p>
                  <w:pPr>
                    <w:pStyle w:val="36"/>
                    <w:keepNext w:val="0"/>
                    <w:keepLines w:val="0"/>
                    <w:pageBreakBefore w:val="0"/>
                    <w:widowControl w:val="0"/>
                    <w:kinsoku/>
                    <w:wordWrap/>
                    <w:overflowPunct/>
                    <w:topLinePunct w:val="0"/>
                    <w:autoSpaceDE/>
                    <w:autoSpaceDN/>
                    <w:bidi w:val="0"/>
                    <w:adjustRightInd/>
                    <w:spacing w:line="240" w:lineRule="auto"/>
                    <w:ind w:right="0" w:firstLine="0"/>
                    <w:jc w:val="center"/>
                    <w:textAlignment w:val="auto"/>
                    <w:rPr>
                      <w:rFonts w:ascii="Times New Roman" w:hAnsi="Times New Roman"/>
                      <w:b w:val="0"/>
                      <w:bCs/>
                      <w:color w:val="000000"/>
                      <w:sz w:val="21"/>
                    </w:rPr>
                  </w:pPr>
                </w:p>
              </w:tc>
              <w:tc>
                <w:tcPr>
                  <w:tcW w:w="1158" w:type="pct"/>
                  <w:vMerge w:val="continue"/>
                  <w:noWrap w:val="0"/>
                  <w:vAlign w:val="center"/>
                </w:tcPr>
                <w:p>
                  <w:pPr>
                    <w:pStyle w:val="36"/>
                    <w:keepNext w:val="0"/>
                    <w:keepLines w:val="0"/>
                    <w:pageBreakBefore w:val="0"/>
                    <w:widowControl w:val="0"/>
                    <w:kinsoku/>
                    <w:wordWrap/>
                    <w:overflowPunct/>
                    <w:topLinePunct w:val="0"/>
                    <w:autoSpaceDE/>
                    <w:autoSpaceDN/>
                    <w:bidi w:val="0"/>
                    <w:adjustRightInd/>
                    <w:spacing w:line="240" w:lineRule="auto"/>
                    <w:ind w:right="0" w:firstLine="0"/>
                    <w:jc w:val="center"/>
                    <w:textAlignment w:val="auto"/>
                    <w:rPr>
                      <w:rFonts w:ascii="Times New Roman" w:hAnsi="Times New Roman"/>
                      <w:b w:val="0"/>
                      <w:bCs/>
                      <w:color w:val="000000"/>
                      <w:sz w:val="21"/>
                    </w:rPr>
                  </w:pPr>
                </w:p>
              </w:tc>
            </w:tr>
          </w:tbl>
          <w:p>
            <w:pPr>
              <w:adjustRightInd w:val="0"/>
              <w:snapToGrid w:val="0"/>
              <w:spacing w:line="480" w:lineRule="exact"/>
              <w:ind w:firstLine="482" w:firstLineChars="200"/>
              <w:rPr>
                <w:rFonts w:hint="default" w:eastAsia="宋体"/>
                <w:b/>
                <w:bCs/>
                <w:sz w:val="24"/>
                <w:lang w:val="en-US" w:eastAsia="zh-CN"/>
              </w:rPr>
            </w:pPr>
            <w:r>
              <w:rPr>
                <w:rFonts w:hint="eastAsia"/>
                <w:b/>
                <w:bCs/>
                <w:sz w:val="24"/>
                <w:lang w:eastAsia="zh-CN"/>
              </w:rPr>
              <w:t>（</w:t>
            </w:r>
            <w:r>
              <w:rPr>
                <w:rFonts w:hint="eastAsia"/>
                <w:b/>
                <w:bCs/>
                <w:sz w:val="24"/>
                <w:lang w:val="en-US" w:eastAsia="zh-CN"/>
              </w:rPr>
              <w:t>2</w:t>
            </w:r>
            <w:r>
              <w:rPr>
                <w:rFonts w:hint="eastAsia"/>
                <w:b/>
                <w:bCs/>
                <w:sz w:val="24"/>
                <w:lang w:eastAsia="zh-CN"/>
              </w:rPr>
              <w:t>）</w:t>
            </w:r>
            <w:r>
              <w:rPr>
                <w:rFonts w:hint="eastAsia"/>
                <w:b/>
                <w:bCs/>
                <w:sz w:val="24"/>
                <w:lang w:val="en-US" w:eastAsia="zh-CN"/>
              </w:rPr>
              <w:t>声环境</w:t>
            </w:r>
          </w:p>
          <w:p>
            <w:pPr>
              <w:adjustRightInd w:val="0"/>
              <w:snapToGrid w:val="0"/>
              <w:spacing w:line="480" w:lineRule="exact"/>
              <w:ind w:firstLine="480" w:firstLineChars="200"/>
              <w:rPr>
                <w:sz w:val="24"/>
              </w:rPr>
            </w:pPr>
            <w:r>
              <w:rPr>
                <w:rFonts w:hint="eastAsia"/>
                <w:sz w:val="24"/>
                <w:lang w:val="en-US" w:eastAsia="zh-CN"/>
              </w:rPr>
              <w:t>道路边界35m范围内</w:t>
            </w:r>
            <w:r>
              <w:rPr>
                <w:rFonts w:hint="default"/>
                <w:sz w:val="24"/>
              </w:rPr>
              <w:t>执行《声环境质量标准》（GB3096-2008）中的</w:t>
            </w:r>
            <w:r>
              <w:rPr>
                <w:rFonts w:hint="eastAsia"/>
                <w:sz w:val="24"/>
                <w:lang w:val="en-US" w:eastAsia="zh-CN"/>
              </w:rPr>
              <w:t>4a</w:t>
            </w:r>
            <w:r>
              <w:rPr>
                <w:rFonts w:hint="default"/>
                <w:sz w:val="24"/>
              </w:rPr>
              <w:t>类标准</w:t>
            </w:r>
            <w:r>
              <w:rPr>
                <w:rFonts w:hint="eastAsia"/>
                <w:sz w:val="24"/>
                <w:lang w:eastAsia="zh-CN"/>
              </w:rPr>
              <w:t>，</w:t>
            </w:r>
            <w:r>
              <w:rPr>
                <w:rFonts w:hint="eastAsia"/>
                <w:sz w:val="24"/>
                <w:lang w:val="en-US" w:eastAsia="zh-CN"/>
              </w:rPr>
              <w:t>35m范围外为城区范围，执行2类标准</w:t>
            </w:r>
            <w:r>
              <w:rPr>
                <w:rFonts w:hint="default"/>
                <w:sz w:val="24"/>
              </w:rPr>
              <w:t>，见表</w:t>
            </w:r>
            <w:r>
              <w:rPr>
                <w:rFonts w:hint="eastAsia"/>
                <w:sz w:val="24"/>
                <w:lang w:val="en-US" w:eastAsia="zh-CN"/>
              </w:rPr>
              <w:t>3-6</w:t>
            </w:r>
            <w:r>
              <w:rPr>
                <w:rFonts w:hint="default"/>
                <w:sz w:val="24"/>
              </w:rPr>
              <w:t>。</w:t>
            </w:r>
          </w:p>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b/>
                <w:bCs/>
                <w:color w:val="000000"/>
                <w:sz w:val="21"/>
                <w:szCs w:val="20"/>
              </w:rPr>
            </w:pPr>
          </w:p>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b/>
                <w:bCs/>
                <w:color w:val="000000"/>
                <w:sz w:val="21"/>
                <w:szCs w:val="20"/>
              </w:rPr>
            </w:pPr>
            <w:r>
              <w:rPr>
                <w:b/>
                <w:bCs/>
                <w:color w:val="000000"/>
                <w:sz w:val="21"/>
                <w:szCs w:val="20"/>
              </w:rPr>
              <w:t>表3-</w:t>
            </w:r>
            <w:r>
              <w:rPr>
                <w:rFonts w:hint="eastAsia"/>
                <w:b/>
                <w:bCs/>
                <w:color w:val="000000"/>
                <w:sz w:val="21"/>
                <w:szCs w:val="20"/>
                <w:lang w:val="en-US" w:eastAsia="zh-CN"/>
              </w:rPr>
              <w:t>12</w:t>
            </w:r>
            <w:r>
              <w:rPr>
                <w:b/>
                <w:bCs/>
                <w:color w:val="000000"/>
                <w:sz w:val="21"/>
                <w:szCs w:val="20"/>
              </w:rPr>
              <w:t xml:space="preserve">  </w:t>
            </w:r>
            <w:r>
              <w:rPr>
                <w:rFonts w:hint="default"/>
                <w:b/>
                <w:bCs/>
                <w:color w:val="000000"/>
                <w:sz w:val="21"/>
                <w:szCs w:val="20"/>
              </w:rPr>
              <w:t>声环境质量标准  单位：dB（A）</w:t>
            </w: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55"/>
              <w:gridCol w:w="2254"/>
              <w:gridCol w:w="2073"/>
              <w:gridCol w:w="23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7" w:type="pct"/>
                  <w:tcBorders>
                    <w:tl2br w:val="nil"/>
                    <w:tr2bl w:val="nil"/>
                  </w:tcBorders>
                  <w:noWrap w:val="0"/>
                  <w:vAlign w:val="center"/>
                </w:tcPr>
                <w:p>
                  <w:pPr>
                    <w:keepNext w:val="0"/>
                    <w:keepLines w:val="0"/>
                    <w:pageBreakBefore w:val="0"/>
                    <w:widowControl w:val="0"/>
                    <w:kinsoku/>
                    <w:overflowPunct/>
                    <w:topLinePunct w:val="0"/>
                    <w:autoSpaceDE/>
                    <w:autoSpaceDN/>
                    <w:bidi w:val="0"/>
                    <w:adjustRightInd/>
                    <w:snapToGrid/>
                    <w:spacing w:line="240" w:lineRule="auto"/>
                    <w:ind w:right="0" w:firstLine="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类  别</w:t>
                  </w:r>
                </w:p>
              </w:tc>
              <w:tc>
                <w:tcPr>
                  <w:tcW w:w="1320" w:type="pct"/>
                  <w:tcBorders>
                    <w:tl2br w:val="nil"/>
                    <w:tr2bl w:val="nil"/>
                  </w:tcBorders>
                  <w:noWrap w:val="0"/>
                  <w:vAlign w:val="center"/>
                </w:tcPr>
                <w:p>
                  <w:pPr>
                    <w:keepNext w:val="0"/>
                    <w:keepLines w:val="0"/>
                    <w:pageBreakBefore w:val="0"/>
                    <w:widowControl w:val="0"/>
                    <w:kinsoku/>
                    <w:overflowPunct/>
                    <w:topLinePunct w:val="0"/>
                    <w:autoSpaceDE/>
                    <w:autoSpaceDN/>
                    <w:bidi w:val="0"/>
                    <w:adjustRightInd/>
                    <w:snapToGrid/>
                    <w:spacing w:line="240" w:lineRule="auto"/>
                    <w:ind w:right="0" w:firstLine="0" w:firstLineChars="0"/>
                    <w:jc w:val="center"/>
                    <w:textAlignment w:val="auto"/>
                    <w:rPr>
                      <w:rFonts w:hint="eastAsia" w:ascii="Times New Roman" w:hAnsi="Times New Roman" w:eastAsia="宋体" w:cs="Times New Roman"/>
                      <w:bCs/>
                      <w:color w:val="000000"/>
                      <w:sz w:val="21"/>
                      <w:szCs w:val="21"/>
                      <w:lang w:eastAsia="zh-CN"/>
                    </w:rPr>
                  </w:pPr>
                  <w:r>
                    <w:rPr>
                      <w:rFonts w:hint="default" w:ascii="Times New Roman" w:hAnsi="Times New Roman" w:eastAsia="宋体" w:cs="Times New Roman"/>
                      <w:bCs/>
                      <w:color w:val="000000"/>
                      <w:sz w:val="21"/>
                      <w:szCs w:val="21"/>
                    </w:rPr>
                    <w:t xml:space="preserve">昼  </w:t>
                  </w:r>
                  <w:r>
                    <w:rPr>
                      <w:rFonts w:hint="eastAsia" w:ascii="Times New Roman" w:hAnsi="Times New Roman" w:eastAsia="宋体" w:cs="Times New Roman"/>
                      <w:bCs/>
                      <w:color w:val="000000"/>
                      <w:sz w:val="21"/>
                      <w:szCs w:val="21"/>
                      <w:lang w:val="en-US" w:eastAsia="zh-CN"/>
                    </w:rPr>
                    <w:t>间</w:t>
                  </w:r>
                </w:p>
              </w:tc>
              <w:tc>
                <w:tcPr>
                  <w:tcW w:w="1214" w:type="pct"/>
                  <w:tcBorders>
                    <w:tl2br w:val="nil"/>
                    <w:tr2bl w:val="nil"/>
                  </w:tcBorders>
                  <w:noWrap w:val="0"/>
                  <w:vAlign w:val="center"/>
                </w:tcPr>
                <w:p>
                  <w:pPr>
                    <w:keepNext w:val="0"/>
                    <w:keepLines w:val="0"/>
                    <w:pageBreakBefore w:val="0"/>
                    <w:widowControl w:val="0"/>
                    <w:kinsoku/>
                    <w:overflowPunct/>
                    <w:topLinePunct w:val="0"/>
                    <w:autoSpaceDE/>
                    <w:autoSpaceDN/>
                    <w:bidi w:val="0"/>
                    <w:adjustRightInd/>
                    <w:snapToGrid/>
                    <w:spacing w:line="240" w:lineRule="auto"/>
                    <w:ind w:right="0" w:firstLine="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夜  间</w:t>
                  </w:r>
                </w:p>
              </w:tc>
              <w:tc>
                <w:tcPr>
                  <w:tcW w:w="1377" w:type="pct"/>
                  <w:tcBorders>
                    <w:tl2br w:val="nil"/>
                    <w:tr2bl w:val="nil"/>
                  </w:tcBorders>
                  <w:noWrap w:val="0"/>
                  <w:vAlign w:val="center"/>
                </w:tcPr>
                <w:p>
                  <w:pPr>
                    <w:keepNext w:val="0"/>
                    <w:keepLines w:val="0"/>
                    <w:pageBreakBefore w:val="0"/>
                    <w:widowControl w:val="0"/>
                    <w:kinsoku/>
                    <w:overflowPunct/>
                    <w:topLinePunct w:val="0"/>
                    <w:autoSpaceDE/>
                    <w:autoSpaceDN/>
                    <w:bidi w:val="0"/>
                    <w:adjustRightInd/>
                    <w:snapToGrid/>
                    <w:spacing w:line="240" w:lineRule="auto"/>
                    <w:ind w:right="0" w:firstLine="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1087" w:type="pct"/>
                  <w:tcBorders>
                    <w:tl2br w:val="nil"/>
                    <w:tr2bl w:val="nil"/>
                  </w:tcBorders>
                  <w:noWrap w:val="0"/>
                  <w:vAlign w:val="center"/>
                </w:tcPr>
                <w:p>
                  <w:pPr>
                    <w:keepNext w:val="0"/>
                    <w:keepLines w:val="0"/>
                    <w:pageBreakBefore w:val="0"/>
                    <w:widowControl w:val="0"/>
                    <w:kinsoku/>
                    <w:overflowPunct/>
                    <w:topLinePunct w:val="0"/>
                    <w:autoSpaceDE/>
                    <w:autoSpaceDN/>
                    <w:bidi w:val="0"/>
                    <w:adjustRightInd/>
                    <w:snapToGrid/>
                    <w:spacing w:line="240" w:lineRule="auto"/>
                    <w:ind w:right="0" w:firstLine="0" w:firstLineChars="0"/>
                    <w:jc w:val="center"/>
                    <w:textAlignment w:val="auto"/>
                    <w:rPr>
                      <w:rFonts w:hint="default" w:ascii="Times New Roman" w:hAnsi="Times New Roman" w:eastAsia="宋体" w:cs="Times New Roman"/>
                      <w:bCs/>
                      <w:color w:val="000000"/>
                      <w:sz w:val="21"/>
                      <w:szCs w:val="21"/>
                      <w:lang w:val="en-US" w:eastAsia="zh-CN"/>
                    </w:rPr>
                  </w:pPr>
                  <w:r>
                    <w:rPr>
                      <w:rFonts w:hint="eastAsia" w:cs="Times New Roman"/>
                      <w:bCs/>
                      <w:color w:val="000000"/>
                      <w:sz w:val="21"/>
                      <w:szCs w:val="21"/>
                      <w:lang w:val="en-US" w:eastAsia="zh-CN"/>
                    </w:rPr>
                    <w:t>4a</w:t>
                  </w:r>
                </w:p>
              </w:tc>
              <w:tc>
                <w:tcPr>
                  <w:tcW w:w="1320" w:type="pct"/>
                  <w:tcBorders>
                    <w:tl2br w:val="nil"/>
                    <w:tr2bl w:val="nil"/>
                  </w:tcBorders>
                  <w:noWrap w:val="0"/>
                  <w:vAlign w:val="center"/>
                </w:tcPr>
                <w:p>
                  <w:pPr>
                    <w:keepNext w:val="0"/>
                    <w:keepLines w:val="0"/>
                    <w:pageBreakBefore w:val="0"/>
                    <w:widowControl w:val="0"/>
                    <w:kinsoku/>
                    <w:overflowPunct/>
                    <w:topLinePunct w:val="0"/>
                    <w:autoSpaceDE/>
                    <w:autoSpaceDN/>
                    <w:bidi w:val="0"/>
                    <w:adjustRightInd/>
                    <w:snapToGrid/>
                    <w:spacing w:line="240" w:lineRule="auto"/>
                    <w:ind w:right="0" w:firstLine="0" w:firstLineChars="0"/>
                    <w:jc w:val="center"/>
                    <w:textAlignment w:val="auto"/>
                    <w:rPr>
                      <w:rFonts w:hint="default" w:ascii="Times New Roman" w:hAnsi="Times New Roman" w:eastAsia="宋体" w:cs="Times New Roman"/>
                      <w:bCs/>
                      <w:color w:val="000000"/>
                      <w:sz w:val="21"/>
                      <w:szCs w:val="21"/>
                      <w:lang w:val="en-US" w:eastAsia="zh-CN"/>
                    </w:rPr>
                  </w:pPr>
                  <w:r>
                    <w:rPr>
                      <w:rFonts w:hint="eastAsia" w:cs="Times New Roman"/>
                      <w:bCs/>
                      <w:color w:val="000000"/>
                      <w:sz w:val="21"/>
                      <w:szCs w:val="21"/>
                      <w:lang w:val="en-US" w:eastAsia="zh-CN"/>
                    </w:rPr>
                    <w:t>70</w:t>
                  </w:r>
                </w:p>
              </w:tc>
              <w:tc>
                <w:tcPr>
                  <w:tcW w:w="1214" w:type="pct"/>
                  <w:tcBorders>
                    <w:tl2br w:val="nil"/>
                    <w:tr2bl w:val="nil"/>
                  </w:tcBorders>
                  <w:noWrap w:val="0"/>
                  <w:vAlign w:val="center"/>
                </w:tcPr>
                <w:p>
                  <w:pPr>
                    <w:keepNext w:val="0"/>
                    <w:keepLines w:val="0"/>
                    <w:pageBreakBefore w:val="0"/>
                    <w:widowControl w:val="0"/>
                    <w:kinsoku/>
                    <w:overflowPunct/>
                    <w:topLinePunct w:val="0"/>
                    <w:autoSpaceDE/>
                    <w:autoSpaceDN/>
                    <w:bidi w:val="0"/>
                    <w:adjustRightInd/>
                    <w:snapToGrid/>
                    <w:spacing w:line="240" w:lineRule="auto"/>
                    <w:ind w:right="0" w:firstLine="0" w:firstLineChars="0"/>
                    <w:jc w:val="center"/>
                    <w:textAlignment w:val="auto"/>
                    <w:rPr>
                      <w:rFonts w:hint="default" w:ascii="Times New Roman" w:hAnsi="Times New Roman" w:eastAsia="宋体" w:cs="Times New Roman"/>
                      <w:bCs/>
                      <w:color w:val="000000"/>
                      <w:sz w:val="21"/>
                      <w:szCs w:val="21"/>
                      <w:lang w:val="en-US" w:eastAsia="zh-CN"/>
                    </w:rPr>
                  </w:pPr>
                  <w:r>
                    <w:rPr>
                      <w:rFonts w:hint="eastAsia" w:cs="Times New Roman"/>
                      <w:bCs/>
                      <w:color w:val="000000"/>
                      <w:sz w:val="21"/>
                      <w:szCs w:val="21"/>
                      <w:lang w:val="en-US" w:eastAsia="zh-CN"/>
                    </w:rPr>
                    <w:t>55</w:t>
                  </w:r>
                </w:p>
              </w:tc>
              <w:tc>
                <w:tcPr>
                  <w:tcW w:w="1377" w:type="pct"/>
                  <w:tcBorders>
                    <w:tl2br w:val="nil"/>
                    <w:tr2bl w:val="nil"/>
                  </w:tcBorders>
                  <w:noWrap w:val="0"/>
                  <w:vAlign w:val="center"/>
                </w:tcPr>
                <w:p>
                  <w:pPr>
                    <w:keepNext w:val="0"/>
                    <w:keepLines w:val="0"/>
                    <w:pageBreakBefore w:val="0"/>
                    <w:widowControl w:val="0"/>
                    <w:kinsoku/>
                    <w:overflowPunct/>
                    <w:topLinePunct w:val="0"/>
                    <w:autoSpaceDE/>
                    <w:autoSpaceDN/>
                    <w:bidi w:val="0"/>
                    <w:adjustRightInd/>
                    <w:snapToGrid/>
                    <w:spacing w:line="240" w:lineRule="auto"/>
                    <w:ind w:right="0" w:firstLine="0" w:firstLineChars="0"/>
                    <w:jc w:val="center"/>
                    <w:textAlignment w:val="auto"/>
                    <w:rPr>
                      <w:rFonts w:hint="default" w:ascii="Times New Roman" w:hAnsi="Times New Roman" w:eastAsia="宋体" w:cs="Times New Roman"/>
                      <w:bCs/>
                      <w:color w:val="000000"/>
                      <w:sz w:val="21"/>
                      <w:szCs w:val="21"/>
                      <w:lang w:val="en-US"/>
                    </w:rPr>
                  </w:pPr>
                  <w:r>
                    <w:rPr>
                      <w:rFonts w:hint="eastAsia" w:cs="Times New Roman"/>
                      <w:bCs/>
                      <w:color w:val="000000"/>
                      <w:sz w:val="21"/>
                      <w:szCs w:val="21"/>
                      <w:lang w:val="en-US" w:eastAsia="zh-CN"/>
                    </w:rPr>
                    <w:t>道路周边35米内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7" w:type="pct"/>
                  <w:tcBorders>
                    <w:tl2br w:val="nil"/>
                    <w:tr2bl w:val="nil"/>
                  </w:tcBorders>
                  <w:noWrap w:val="0"/>
                  <w:vAlign w:val="center"/>
                </w:tcPr>
                <w:p>
                  <w:pPr>
                    <w:keepNext w:val="0"/>
                    <w:keepLines w:val="0"/>
                    <w:pageBreakBefore w:val="0"/>
                    <w:widowControl w:val="0"/>
                    <w:kinsoku/>
                    <w:overflowPunct/>
                    <w:topLinePunct w:val="0"/>
                    <w:autoSpaceDE/>
                    <w:autoSpaceDN/>
                    <w:bidi w:val="0"/>
                    <w:adjustRightInd/>
                    <w:snapToGrid/>
                    <w:spacing w:line="240" w:lineRule="auto"/>
                    <w:ind w:right="0" w:firstLine="0" w:firstLineChars="0"/>
                    <w:jc w:val="center"/>
                    <w:textAlignment w:val="auto"/>
                    <w:rPr>
                      <w:rFonts w:hint="default" w:cs="Times New Roman"/>
                      <w:bCs/>
                      <w:color w:val="000000"/>
                      <w:sz w:val="21"/>
                      <w:szCs w:val="21"/>
                      <w:lang w:val="en-US" w:eastAsia="zh-CN"/>
                    </w:rPr>
                  </w:pPr>
                  <w:r>
                    <w:rPr>
                      <w:rFonts w:hint="eastAsia" w:cs="Times New Roman"/>
                      <w:bCs/>
                      <w:color w:val="000000"/>
                      <w:sz w:val="21"/>
                      <w:szCs w:val="21"/>
                      <w:lang w:val="en-US" w:eastAsia="zh-CN"/>
                    </w:rPr>
                    <w:t>2</w:t>
                  </w:r>
                </w:p>
              </w:tc>
              <w:tc>
                <w:tcPr>
                  <w:tcW w:w="1320" w:type="pct"/>
                  <w:tcBorders>
                    <w:tl2br w:val="nil"/>
                    <w:tr2bl w:val="nil"/>
                  </w:tcBorders>
                  <w:noWrap w:val="0"/>
                  <w:vAlign w:val="center"/>
                </w:tcPr>
                <w:p>
                  <w:pPr>
                    <w:keepNext w:val="0"/>
                    <w:keepLines w:val="0"/>
                    <w:pageBreakBefore w:val="0"/>
                    <w:widowControl w:val="0"/>
                    <w:kinsoku/>
                    <w:overflowPunct/>
                    <w:topLinePunct w:val="0"/>
                    <w:autoSpaceDE/>
                    <w:autoSpaceDN/>
                    <w:bidi w:val="0"/>
                    <w:adjustRightInd/>
                    <w:snapToGrid/>
                    <w:spacing w:line="240" w:lineRule="auto"/>
                    <w:ind w:right="0" w:firstLine="0" w:firstLineChars="0"/>
                    <w:jc w:val="center"/>
                    <w:textAlignment w:val="auto"/>
                    <w:rPr>
                      <w:rFonts w:hint="default" w:cs="Times New Roman"/>
                      <w:bCs/>
                      <w:color w:val="000000"/>
                      <w:sz w:val="21"/>
                      <w:szCs w:val="21"/>
                      <w:lang w:val="en-US" w:eastAsia="zh-CN"/>
                    </w:rPr>
                  </w:pPr>
                  <w:r>
                    <w:rPr>
                      <w:rFonts w:hint="eastAsia" w:cs="Times New Roman"/>
                      <w:bCs/>
                      <w:color w:val="000000"/>
                      <w:sz w:val="21"/>
                      <w:szCs w:val="21"/>
                      <w:lang w:val="en-US" w:eastAsia="zh-CN"/>
                    </w:rPr>
                    <w:t>60</w:t>
                  </w:r>
                </w:p>
              </w:tc>
              <w:tc>
                <w:tcPr>
                  <w:tcW w:w="1214" w:type="pct"/>
                  <w:tcBorders>
                    <w:tl2br w:val="nil"/>
                    <w:tr2bl w:val="nil"/>
                  </w:tcBorders>
                  <w:noWrap w:val="0"/>
                  <w:vAlign w:val="center"/>
                </w:tcPr>
                <w:p>
                  <w:pPr>
                    <w:keepNext w:val="0"/>
                    <w:keepLines w:val="0"/>
                    <w:pageBreakBefore w:val="0"/>
                    <w:widowControl w:val="0"/>
                    <w:kinsoku/>
                    <w:overflowPunct/>
                    <w:topLinePunct w:val="0"/>
                    <w:autoSpaceDE/>
                    <w:autoSpaceDN/>
                    <w:bidi w:val="0"/>
                    <w:adjustRightInd/>
                    <w:snapToGrid/>
                    <w:spacing w:line="240" w:lineRule="auto"/>
                    <w:ind w:right="0" w:firstLine="0" w:firstLineChars="0"/>
                    <w:jc w:val="center"/>
                    <w:textAlignment w:val="auto"/>
                    <w:rPr>
                      <w:rFonts w:hint="default" w:cs="Times New Roman"/>
                      <w:bCs/>
                      <w:color w:val="000000"/>
                      <w:sz w:val="21"/>
                      <w:szCs w:val="21"/>
                      <w:lang w:val="en-US" w:eastAsia="zh-CN"/>
                    </w:rPr>
                  </w:pPr>
                  <w:r>
                    <w:rPr>
                      <w:rFonts w:hint="eastAsia" w:cs="Times New Roman"/>
                      <w:bCs/>
                      <w:color w:val="000000"/>
                      <w:sz w:val="21"/>
                      <w:szCs w:val="21"/>
                      <w:lang w:val="en-US" w:eastAsia="zh-CN"/>
                    </w:rPr>
                    <w:t>50</w:t>
                  </w:r>
                </w:p>
              </w:tc>
              <w:tc>
                <w:tcPr>
                  <w:tcW w:w="1377" w:type="pct"/>
                  <w:tcBorders>
                    <w:tl2br w:val="nil"/>
                    <w:tr2bl w:val="nil"/>
                  </w:tcBorders>
                  <w:noWrap w:val="0"/>
                  <w:vAlign w:val="center"/>
                </w:tcPr>
                <w:p>
                  <w:pPr>
                    <w:keepNext w:val="0"/>
                    <w:keepLines w:val="0"/>
                    <w:pageBreakBefore w:val="0"/>
                    <w:widowControl w:val="0"/>
                    <w:kinsoku/>
                    <w:overflowPunct/>
                    <w:topLinePunct w:val="0"/>
                    <w:autoSpaceDE/>
                    <w:autoSpaceDN/>
                    <w:bidi w:val="0"/>
                    <w:adjustRightInd/>
                    <w:snapToGrid/>
                    <w:spacing w:line="240" w:lineRule="auto"/>
                    <w:ind w:right="0" w:firstLine="0" w:firstLineChars="0"/>
                    <w:jc w:val="center"/>
                    <w:textAlignment w:val="auto"/>
                    <w:rPr>
                      <w:rFonts w:hint="default" w:cs="Times New Roman"/>
                      <w:bCs/>
                      <w:color w:val="000000"/>
                      <w:sz w:val="21"/>
                      <w:szCs w:val="21"/>
                      <w:lang w:val="en-US" w:eastAsia="zh-CN"/>
                    </w:rPr>
                  </w:pPr>
                  <w:r>
                    <w:rPr>
                      <w:rFonts w:hint="eastAsia" w:cs="Times New Roman"/>
                      <w:bCs/>
                      <w:color w:val="000000"/>
                      <w:sz w:val="21"/>
                      <w:szCs w:val="21"/>
                      <w:lang w:val="en-US" w:eastAsia="zh-CN"/>
                    </w:rPr>
                    <w:t>道路周边35米外</w:t>
                  </w:r>
                </w:p>
              </w:tc>
            </w:tr>
          </w:tbl>
          <w:p>
            <w:pPr>
              <w:pStyle w:val="19"/>
              <w:spacing w:before="0" w:beforeAutospacing="0" w:after="0" w:afterAutospacing="0" w:line="480" w:lineRule="exact"/>
              <w:ind w:firstLine="482" w:firstLineChars="200"/>
              <w:jc w:val="both"/>
              <w:rPr>
                <w:rFonts w:hint="default" w:ascii="Times New Roman" w:hAnsi="Times New Roman" w:eastAsia="宋体"/>
                <w:b/>
                <w:lang w:val="en-US" w:eastAsia="zh-CN"/>
              </w:rPr>
            </w:pPr>
            <w:r>
              <w:rPr>
                <w:rFonts w:hint="eastAsia" w:ascii="Times New Roman" w:hAnsi="Times New Roman"/>
                <w:b/>
                <w:lang w:eastAsia="zh-CN"/>
              </w:rPr>
              <w:t>（</w:t>
            </w:r>
            <w:r>
              <w:rPr>
                <w:rFonts w:hint="eastAsia" w:ascii="Times New Roman" w:hAnsi="Times New Roman"/>
                <w:b/>
                <w:lang w:val="en-US" w:eastAsia="zh-CN"/>
              </w:rPr>
              <w:t>3</w:t>
            </w:r>
            <w:r>
              <w:rPr>
                <w:rFonts w:hint="eastAsia" w:ascii="Times New Roman" w:hAnsi="Times New Roman"/>
                <w:b/>
                <w:lang w:eastAsia="zh-CN"/>
              </w:rPr>
              <w:t>）</w:t>
            </w:r>
            <w:r>
              <w:rPr>
                <w:rFonts w:hint="eastAsia" w:ascii="Times New Roman" w:hAnsi="Times New Roman"/>
                <w:b/>
                <w:lang w:val="en-US" w:eastAsia="zh-CN"/>
              </w:rPr>
              <w:t>地表水</w:t>
            </w:r>
          </w:p>
          <w:p>
            <w:pPr>
              <w:pStyle w:val="19"/>
              <w:spacing w:before="0" w:beforeAutospacing="0" w:after="0" w:afterAutospacing="0" w:line="480" w:lineRule="exact"/>
              <w:ind w:firstLine="480" w:firstLineChars="200"/>
              <w:jc w:val="both"/>
              <w:rPr>
                <w:rFonts w:ascii="Times New Roman" w:hAnsi="Times New Roman"/>
                <w:b w:val="0"/>
                <w:bCs/>
              </w:rPr>
            </w:pPr>
            <w:r>
              <w:rPr>
                <w:rFonts w:hint="eastAsia" w:ascii="Times New Roman" w:hAnsi="Times New Roman"/>
                <w:b w:val="0"/>
                <w:bCs/>
                <w:lang w:val="en-US" w:eastAsia="zh-CN"/>
              </w:rPr>
              <w:t>根据《山西省地表水环境功能区划》（DB14/67-2019），滤泗河执行Ⅳ类水质标准。具体指标见下表。</w:t>
            </w:r>
          </w:p>
          <w:p>
            <w:pPr>
              <w:pStyle w:val="19"/>
              <w:spacing w:before="0" w:beforeAutospacing="0" w:after="0" w:afterAutospacing="0" w:line="480" w:lineRule="exact"/>
              <w:jc w:val="center"/>
              <w:rPr>
                <w:rFonts w:hint="default" w:ascii="Times New Roman" w:hAnsi="Times New Roman" w:eastAsia="宋体" w:cs="Times New Roman"/>
                <w:b/>
                <w:lang w:val="en-US" w:eastAsia="zh-CN"/>
              </w:rPr>
            </w:pPr>
            <w:r>
              <w:rPr>
                <w:rFonts w:hint="default" w:ascii="Times New Roman" w:hAnsi="Times New Roman" w:eastAsia="宋体" w:cs="Times New Roman"/>
                <w:b/>
                <w:bCs/>
                <w:color w:val="000000"/>
                <w:sz w:val="21"/>
                <w:szCs w:val="20"/>
              </w:rPr>
              <w:t>表3-</w:t>
            </w:r>
            <w:r>
              <w:rPr>
                <w:rFonts w:hint="eastAsia" w:ascii="Times New Roman" w:hAnsi="Times New Roman" w:eastAsia="宋体" w:cs="Times New Roman"/>
                <w:b/>
                <w:bCs/>
                <w:color w:val="000000"/>
                <w:sz w:val="21"/>
                <w:szCs w:val="20"/>
                <w:lang w:val="en-US" w:eastAsia="zh-CN"/>
              </w:rPr>
              <w:t>13</w:t>
            </w:r>
            <w:r>
              <w:rPr>
                <w:rFonts w:hint="default" w:ascii="Times New Roman" w:hAnsi="Times New Roman" w:eastAsia="宋体" w:cs="Times New Roman"/>
                <w:b/>
                <w:bCs/>
                <w:color w:val="000000"/>
                <w:sz w:val="21"/>
                <w:szCs w:val="20"/>
              </w:rPr>
              <w:t xml:space="preserve">  地表水环境质量标准（GB3838-2002）中</w:t>
            </w:r>
            <w:r>
              <w:rPr>
                <w:rFonts w:hint="default" w:ascii="Times New Roman" w:hAnsi="Times New Roman" w:eastAsia="宋体" w:cs="Times New Roman"/>
                <w:b/>
                <w:bCs/>
                <w:color w:val="000000"/>
                <w:sz w:val="21"/>
                <w:szCs w:val="20"/>
                <w:lang w:val="en-US" w:eastAsia="zh-CN"/>
              </w:rPr>
              <w:t>Ⅳ</w:t>
            </w:r>
            <w:r>
              <w:rPr>
                <w:rFonts w:hint="default" w:ascii="Times New Roman" w:hAnsi="Times New Roman" w:eastAsia="宋体" w:cs="Times New Roman"/>
                <w:b/>
                <w:bCs/>
                <w:color w:val="000000"/>
                <w:sz w:val="21"/>
                <w:szCs w:val="20"/>
              </w:rPr>
              <w:t>类水质</w:t>
            </w:r>
            <w:r>
              <w:rPr>
                <w:rFonts w:hint="eastAsia" w:ascii="Times New Roman" w:hAnsi="Times New Roman" w:eastAsia="宋体" w:cs="Times New Roman"/>
                <w:b/>
                <w:bCs/>
                <w:color w:val="000000"/>
                <w:sz w:val="21"/>
                <w:szCs w:val="20"/>
                <w:lang w:val="en-US" w:eastAsia="zh-CN"/>
              </w:rPr>
              <w:t xml:space="preserve">  </w:t>
            </w:r>
            <w:r>
              <w:rPr>
                <w:rFonts w:hint="default" w:ascii="Times New Roman" w:hAnsi="Times New Roman" w:eastAsia="宋体" w:cs="Times New Roman"/>
                <w:b/>
                <w:bCs/>
                <w:color w:val="000000"/>
                <w:sz w:val="21"/>
                <w:szCs w:val="20"/>
              </w:rPr>
              <w:t>单位mg/L</w:t>
            </w:r>
          </w:p>
          <w:tbl>
            <w:tblPr>
              <w:tblStyle w:val="21"/>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066"/>
              <w:gridCol w:w="1066"/>
              <w:gridCol w:w="1066"/>
              <w:gridCol w:w="1066"/>
              <w:gridCol w:w="1066"/>
              <w:gridCol w:w="1066"/>
              <w:gridCol w:w="1066"/>
              <w:gridCol w:w="10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类别</w:t>
                  </w:r>
                </w:p>
              </w:tc>
              <w:tc>
                <w:tcPr>
                  <w:tcW w:w="6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p</w:t>
                  </w:r>
                  <w:r>
                    <w:rPr>
                      <w:rFonts w:hint="default" w:ascii="Times New Roman" w:hAnsi="Times New Roman" w:eastAsia="宋体" w:cs="Times New Roman"/>
                      <w:color w:val="auto"/>
                      <w:sz w:val="21"/>
                      <w:szCs w:val="21"/>
                    </w:rPr>
                    <w:t>H</w:t>
                  </w:r>
                </w:p>
              </w:tc>
              <w:tc>
                <w:tcPr>
                  <w:tcW w:w="6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氨氮</w:t>
                  </w:r>
                </w:p>
              </w:tc>
              <w:tc>
                <w:tcPr>
                  <w:tcW w:w="6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石油类</w:t>
                  </w:r>
                </w:p>
              </w:tc>
              <w:tc>
                <w:tcPr>
                  <w:tcW w:w="6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挥发酚</w:t>
                  </w:r>
                </w:p>
              </w:tc>
              <w:tc>
                <w:tcPr>
                  <w:tcW w:w="6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硫化物</w:t>
                  </w:r>
                </w:p>
              </w:tc>
              <w:tc>
                <w:tcPr>
                  <w:tcW w:w="6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BOD</w:t>
                  </w:r>
                  <w:r>
                    <w:rPr>
                      <w:rFonts w:hint="default" w:ascii="Times New Roman" w:hAnsi="Times New Roman" w:eastAsia="宋体" w:cs="Times New Roman"/>
                      <w:color w:val="auto"/>
                      <w:sz w:val="21"/>
                      <w:szCs w:val="21"/>
                      <w:vertAlign w:val="subscript"/>
                    </w:rPr>
                    <w:t>5</w:t>
                  </w:r>
                </w:p>
              </w:tc>
              <w:tc>
                <w:tcPr>
                  <w:tcW w:w="6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CODcr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标准值</w:t>
                  </w:r>
                </w:p>
              </w:tc>
              <w:tc>
                <w:tcPr>
                  <w:tcW w:w="6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vertAlign w:val="subscript"/>
                    </w:rPr>
                  </w:pPr>
                  <w:r>
                    <w:rPr>
                      <w:rFonts w:hint="default" w:ascii="Times New Roman" w:hAnsi="Times New Roman" w:eastAsia="宋体" w:cs="Times New Roman"/>
                      <w:color w:val="auto"/>
                      <w:sz w:val="21"/>
                      <w:szCs w:val="21"/>
                    </w:rPr>
                    <w:t>6-9</w:t>
                  </w:r>
                </w:p>
              </w:tc>
              <w:tc>
                <w:tcPr>
                  <w:tcW w:w="6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宋体" w:hAnsi="宋体" w:eastAsia="宋体" w:cs="宋体"/>
                      <w:color w:val="auto"/>
                      <w:sz w:val="21"/>
                      <w:szCs w:val="21"/>
                    </w:rPr>
                    <w:t>≤</w:t>
                  </w:r>
                  <w:r>
                    <w:rPr>
                      <w:rFonts w:hint="eastAsia" w:cs="Times New Roman"/>
                      <w:color w:val="auto"/>
                      <w:sz w:val="21"/>
                      <w:szCs w:val="21"/>
                      <w:lang w:val="en-US" w:eastAsia="zh-CN"/>
                    </w:rPr>
                    <w:t>1.5</w:t>
                  </w:r>
                </w:p>
              </w:tc>
              <w:tc>
                <w:tcPr>
                  <w:tcW w:w="6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Cs/>
                      <w:color w:val="auto"/>
                      <w:sz w:val="21"/>
                      <w:szCs w:val="21"/>
                      <w:lang w:val="en-US" w:eastAsia="zh-CN"/>
                    </w:rPr>
                  </w:pPr>
                  <w:r>
                    <w:rPr>
                      <w:rFonts w:hint="eastAsia" w:ascii="宋体" w:hAnsi="宋体" w:eastAsia="宋体" w:cs="宋体"/>
                      <w:color w:val="auto"/>
                      <w:sz w:val="21"/>
                      <w:szCs w:val="21"/>
                    </w:rPr>
                    <w:t>≤</w:t>
                  </w:r>
                  <w:r>
                    <w:rPr>
                      <w:rFonts w:hint="eastAsia" w:ascii="Times New Roman" w:hAnsi="Times New Roman" w:cs="Times New Roman"/>
                      <w:color w:val="auto"/>
                      <w:sz w:val="21"/>
                      <w:szCs w:val="21"/>
                      <w:lang w:val="en-US" w:eastAsia="zh-CN"/>
                    </w:rPr>
                    <w:t>0.5</w:t>
                  </w:r>
                </w:p>
              </w:tc>
              <w:tc>
                <w:tcPr>
                  <w:tcW w:w="6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bCs/>
                      <w:color w:val="auto"/>
                      <w:sz w:val="21"/>
                      <w:szCs w:val="21"/>
                      <w:lang w:eastAsia="zh-CN"/>
                    </w:rPr>
                  </w:pPr>
                  <w:r>
                    <w:rPr>
                      <w:rFonts w:hint="eastAsia" w:ascii="宋体" w:hAnsi="宋体" w:eastAsia="宋体" w:cs="宋体"/>
                      <w:color w:val="auto"/>
                      <w:sz w:val="21"/>
                      <w:szCs w:val="21"/>
                    </w:rPr>
                    <w:t>≤</w:t>
                  </w:r>
                  <w:r>
                    <w:rPr>
                      <w:rFonts w:hint="default" w:ascii="Times New Roman" w:hAnsi="Times New Roman" w:eastAsia="宋体" w:cs="Times New Roman"/>
                      <w:bCs/>
                      <w:color w:val="auto"/>
                      <w:sz w:val="21"/>
                      <w:szCs w:val="21"/>
                    </w:rPr>
                    <w:t>0.0</w:t>
                  </w:r>
                  <w:r>
                    <w:rPr>
                      <w:rFonts w:hint="eastAsia" w:ascii="Times New Roman" w:hAnsi="Times New Roman" w:cs="Times New Roman"/>
                      <w:bCs/>
                      <w:color w:val="auto"/>
                      <w:sz w:val="21"/>
                      <w:szCs w:val="21"/>
                      <w:lang w:val="en-US" w:eastAsia="zh-CN"/>
                    </w:rPr>
                    <w:t>1</w:t>
                  </w:r>
                </w:p>
              </w:tc>
              <w:tc>
                <w:tcPr>
                  <w:tcW w:w="6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auto"/>
                      <w:sz w:val="21"/>
                      <w:szCs w:val="21"/>
                      <w:lang w:eastAsia="zh-CN"/>
                    </w:rPr>
                  </w:pPr>
                  <w:r>
                    <w:rPr>
                      <w:rFonts w:hint="eastAsia" w:ascii="宋体" w:hAnsi="宋体" w:eastAsia="宋体" w:cs="宋体"/>
                      <w:color w:val="auto"/>
                      <w:sz w:val="21"/>
                      <w:szCs w:val="21"/>
                    </w:rPr>
                    <w:t>≤</w:t>
                  </w:r>
                  <w:r>
                    <w:rPr>
                      <w:rFonts w:hint="default" w:ascii="Times New Roman" w:hAnsi="Times New Roman" w:eastAsia="宋体" w:cs="Times New Roman"/>
                      <w:color w:val="auto"/>
                      <w:sz w:val="21"/>
                      <w:szCs w:val="21"/>
                    </w:rPr>
                    <w:t>0.</w:t>
                  </w:r>
                  <w:r>
                    <w:rPr>
                      <w:rFonts w:hint="eastAsia" w:cs="Times New Roman"/>
                      <w:color w:val="auto"/>
                      <w:sz w:val="21"/>
                      <w:szCs w:val="21"/>
                      <w:lang w:val="en-US" w:eastAsia="zh-CN"/>
                    </w:rPr>
                    <w:t>5</w:t>
                  </w:r>
                </w:p>
              </w:tc>
              <w:tc>
                <w:tcPr>
                  <w:tcW w:w="6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宋体" w:hAnsi="宋体" w:eastAsia="宋体" w:cs="宋体"/>
                      <w:color w:val="auto"/>
                      <w:sz w:val="21"/>
                      <w:szCs w:val="21"/>
                    </w:rPr>
                    <w:t>≤</w:t>
                  </w:r>
                  <w:r>
                    <w:rPr>
                      <w:rFonts w:hint="eastAsia" w:cs="Times New Roman"/>
                      <w:color w:val="auto"/>
                      <w:sz w:val="21"/>
                      <w:szCs w:val="21"/>
                      <w:lang w:val="en-US" w:eastAsia="zh-CN"/>
                    </w:rPr>
                    <w:t>6</w:t>
                  </w:r>
                </w:p>
              </w:tc>
              <w:tc>
                <w:tcPr>
                  <w:tcW w:w="6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宋体" w:hAnsi="宋体" w:eastAsia="宋体" w:cs="宋体"/>
                      <w:color w:val="auto"/>
                      <w:sz w:val="21"/>
                      <w:szCs w:val="21"/>
                    </w:rPr>
                    <w:t>≤</w:t>
                  </w:r>
                  <w:r>
                    <w:rPr>
                      <w:rFonts w:hint="eastAsia" w:cs="Times New Roman"/>
                      <w:color w:val="auto"/>
                      <w:sz w:val="21"/>
                      <w:szCs w:val="21"/>
                      <w:lang w:val="en-US" w:eastAsia="zh-CN"/>
                    </w:rPr>
                    <w:t>30</w:t>
                  </w:r>
                </w:p>
              </w:tc>
            </w:tr>
          </w:tbl>
          <w:p>
            <w:pPr>
              <w:pStyle w:val="19"/>
              <w:spacing w:before="0" w:beforeAutospacing="0" w:after="0" w:afterAutospacing="0" w:line="480" w:lineRule="exact"/>
              <w:ind w:firstLine="482" w:firstLineChars="200"/>
              <w:jc w:val="both"/>
              <w:rPr>
                <w:rFonts w:hint="default" w:ascii="Times New Roman" w:hAnsi="Times New Roman" w:eastAsia="宋体"/>
                <w:b/>
                <w:lang w:val="en-US" w:eastAsia="zh-CN"/>
              </w:rPr>
            </w:pPr>
            <w:r>
              <w:rPr>
                <w:rFonts w:hint="eastAsia" w:ascii="Times New Roman" w:hAnsi="Times New Roman"/>
                <w:b/>
                <w:lang w:eastAsia="zh-CN"/>
              </w:rPr>
              <w:t>（</w:t>
            </w:r>
            <w:r>
              <w:rPr>
                <w:rFonts w:hint="eastAsia" w:ascii="Times New Roman" w:hAnsi="Times New Roman"/>
                <w:b/>
                <w:lang w:val="en-US" w:eastAsia="zh-CN"/>
              </w:rPr>
              <w:t>4</w:t>
            </w:r>
            <w:r>
              <w:rPr>
                <w:rFonts w:hint="eastAsia" w:ascii="Times New Roman" w:hAnsi="Times New Roman"/>
                <w:b/>
                <w:lang w:eastAsia="zh-CN"/>
              </w:rPr>
              <w:t>）</w:t>
            </w:r>
            <w:r>
              <w:rPr>
                <w:rFonts w:hint="eastAsia" w:ascii="Times New Roman" w:hAnsi="Times New Roman"/>
                <w:b/>
                <w:lang w:val="en-US" w:eastAsia="zh-CN"/>
              </w:rPr>
              <w:t>地下水</w:t>
            </w:r>
          </w:p>
          <w:p>
            <w:pPr>
              <w:pStyle w:val="19"/>
              <w:spacing w:before="0" w:beforeAutospacing="0" w:after="0" w:afterAutospacing="0" w:line="480" w:lineRule="exact"/>
              <w:jc w:val="center"/>
              <w:rPr>
                <w:rFonts w:hint="default" w:ascii="Times New Roman" w:hAnsi="Times New Roman" w:eastAsia="宋体" w:cs="Times New Roman"/>
                <w:b/>
                <w:lang w:val="en-US" w:eastAsia="zh-CN"/>
              </w:rPr>
            </w:pPr>
            <w:r>
              <w:rPr>
                <w:rFonts w:hint="default" w:ascii="Times New Roman" w:hAnsi="Times New Roman" w:eastAsia="宋体" w:cs="Times New Roman"/>
                <w:b/>
                <w:bCs/>
                <w:color w:val="000000"/>
                <w:sz w:val="21"/>
                <w:szCs w:val="20"/>
              </w:rPr>
              <w:t>表3-</w:t>
            </w:r>
            <w:r>
              <w:rPr>
                <w:rFonts w:hint="eastAsia" w:ascii="Times New Roman" w:hAnsi="Times New Roman" w:eastAsia="宋体" w:cs="Times New Roman"/>
                <w:b/>
                <w:bCs/>
                <w:color w:val="000000"/>
                <w:sz w:val="21"/>
                <w:szCs w:val="20"/>
                <w:lang w:val="en-US" w:eastAsia="zh-CN"/>
              </w:rPr>
              <w:t>14</w:t>
            </w:r>
            <w:r>
              <w:rPr>
                <w:rFonts w:hint="default" w:ascii="Times New Roman" w:hAnsi="Times New Roman" w:eastAsia="宋体" w:cs="Times New Roman"/>
                <w:b/>
                <w:bCs/>
                <w:color w:val="000000"/>
                <w:sz w:val="21"/>
                <w:szCs w:val="20"/>
              </w:rPr>
              <w:t xml:space="preserve">  地下水质量标准(GB/T14848-2017)中III类标准  单位mg/L</w:t>
            </w:r>
          </w:p>
          <w:tbl>
            <w:tblPr>
              <w:tblStyle w:val="21"/>
              <w:tblW w:w="5000" w:type="pct"/>
              <w:tblInd w:w="-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662"/>
              <w:gridCol w:w="1400"/>
              <w:gridCol w:w="1338"/>
              <w:gridCol w:w="1432"/>
              <w:gridCol w:w="1395"/>
              <w:gridCol w:w="13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trPr>
              <w:tc>
                <w:tcPr>
                  <w:tcW w:w="974"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w:t>
                  </w:r>
                </w:p>
              </w:tc>
              <w:tc>
                <w:tcPr>
                  <w:tcW w:w="820"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pH</w:t>
                  </w:r>
                </w:p>
              </w:tc>
              <w:tc>
                <w:tcPr>
                  <w:tcW w:w="784"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挥发酚</w:t>
                  </w:r>
                </w:p>
              </w:tc>
              <w:tc>
                <w:tcPr>
                  <w:tcW w:w="839"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氨氮</w:t>
                  </w:r>
                </w:p>
              </w:tc>
              <w:tc>
                <w:tcPr>
                  <w:tcW w:w="817"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氰化物</w:t>
                  </w:r>
                </w:p>
              </w:tc>
              <w:tc>
                <w:tcPr>
                  <w:tcW w:w="766"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氟化物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trPr>
              <w:tc>
                <w:tcPr>
                  <w:tcW w:w="974"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标准值  mg/l</w:t>
                  </w:r>
                </w:p>
              </w:tc>
              <w:tc>
                <w:tcPr>
                  <w:tcW w:w="820"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6.5-8.5</w:t>
                  </w:r>
                </w:p>
              </w:tc>
              <w:tc>
                <w:tcPr>
                  <w:tcW w:w="784"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≤0.002</w:t>
                  </w:r>
                </w:p>
              </w:tc>
              <w:tc>
                <w:tcPr>
                  <w:tcW w:w="839"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≤0.50</w:t>
                  </w:r>
                </w:p>
              </w:tc>
              <w:tc>
                <w:tcPr>
                  <w:tcW w:w="817"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≤0.05</w:t>
                  </w:r>
                </w:p>
              </w:tc>
              <w:tc>
                <w:tcPr>
                  <w:tcW w:w="766"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trPr>
              <w:tc>
                <w:tcPr>
                  <w:tcW w:w="974"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w:t>
                  </w:r>
                </w:p>
              </w:tc>
              <w:tc>
                <w:tcPr>
                  <w:tcW w:w="820"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NO</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rPr>
                    <w:t>-N</w:t>
                  </w:r>
                </w:p>
              </w:tc>
              <w:tc>
                <w:tcPr>
                  <w:tcW w:w="784"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总硬度</w:t>
                  </w:r>
                </w:p>
              </w:tc>
              <w:tc>
                <w:tcPr>
                  <w:tcW w:w="839"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铁</w:t>
                  </w:r>
                </w:p>
              </w:tc>
              <w:tc>
                <w:tcPr>
                  <w:tcW w:w="817"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NO</w:t>
                  </w:r>
                  <w:r>
                    <w:rPr>
                      <w:rFonts w:hint="default" w:ascii="Times New Roman" w:hAnsi="Times New Roman" w:eastAsia="宋体" w:cs="Times New Roman"/>
                      <w:color w:val="auto"/>
                      <w:sz w:val="21"/>
                      <w:szCs w:val="21"/>
                      <w:vertAlign w:val="subscript"/>
                    </w:rPr>
                    <w:t>2</w:t>
                  </w:r>
                  <w:r>
                    <w:rPr>
                      <w:rFonts w:hint="default" w:ascii="Times New Roman" w:hAnsi="Times New Roman" w:eastAsia="宋体" w:cs="Times New Roman"/>
                      <w:color w:val="auto"/>
                      <w:sz w:val="21"/>
                      <w:szCs w:val="21"/>
                    </w:rPr>
                    <w:t>-N</w:t>
                  </w:r>
                </w:p>
              </w:tc>
              <w:tc>
                <w:tcPr>
                  <w:tcW w:w="766"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硫酸盐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trPr>
              <w:tc>
                <w:tcPr>
                  <w:tcW w:w="974"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标准值  mg/l</w:t>
                  </w:r>
                </w:p>
              </w:tc>
              <w:tc>
                <w:tcPr>
                  <w:tcW w:w="820"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w:t>
                  </w:r>
                </w:p>
              </w:tc>
              <w:tc>
                <w:tcPr>
                  <w:tcW w:w="784"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≤450</w:t>
                  </w:r>
                </w:p>
              </w:tc>
              <w:tc>
                <w:tcPr>
                  <w:tcW w:w="839"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0.3</w:t>
                  </w:r>
                </w:p>
              </w:tc>
              <w:tc>
                <w:tcPr>
                  <w:tcW w:w="817"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766"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trPr>
              <w:tc>
                <w:tcPr>
                  <w:tcW w:w="974"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w:t>
                  </w:r>
                </w:p>
              </w:tc>
              <w:tc>
                <w:tcPr>
                  <w:tcW w:w="820"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氯化物</w:t>
                  </w:r>
                </w:p>
              </w:tc>
              <w:tc>
                <w:tcPr>
                  <w:tcW w:w="784"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六价铬</w:t>
                  </w:r>
                </w:p>
              </w:tc>
              <w:tc>
                <w:tcPr>
                  <w:tcW w:w="839"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汞</w:t>
                  </w:r>
                </w:p>
              </w:tc>
              <w:tc>
                <w:tcPr>
                  <w:tcW w:w="817"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砷</w:t>
                  </w:r>
                </w:p>
              </w:tc>
              <w:tc>
                <w:tcPr>
                  <w:tcW w:w="766"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4"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标准值  mg/l</w:t>
                  </w:r>
                </w:p>
              </w:tc>
              <w:tc>
                <w:tcPr>
                  <w:tcW w:w="820"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≤250</w:t>
                  </w:r>
                </w:p>
              </w:tc>
              <w:tc>
                <w:tcPr>
                  <w:tcW w:w="784"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≤0.05</w:t>
                  </w:r>
                </w:p>
              </w:tc>
              <w:tc>
                <w:tcPr>
                  <w:tcW w:w="839"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≤0.001</w:t>
                  </w:r>
                </w:p>
              </w:tc>
              <w:tc>
                <w:tcPr>
                  <w:tcW w:w="817"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≤0.01</w:t>
                  </w:r>
                </w:p>
              </w:tc>
              <w:tc>
                <w:tcPr>
                  <w:tcW w:w="766"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4"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w:t>
                  </w:r>
                </w:p>
              </w:tc>
              <w:tc>
                <w:tcPr>
                  <w:tcW w:w="820"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镍</w:t>
                  </w:r>
                </w:p>
              </w:tc>
              <w:tc>
                <w:tcPr>
                  <w:tcW w:w="784"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镉</w:t>
                  </w:r>
                </w:p>
              </w:tc>
              <w:tc>
                <w:tcPr>
                  <w:tcW w:w="839"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铅</w:t>
                  </w:r>
                </w:p>
              </w:tc>
              <w:tc>
                <w:tcPr>
                  <w:tcW w:w="817"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锰</w:t>
                  </w:r>
                </w:p>
              </w:tc>
              <w:tc>
                <w:tcPr>
                  <w:tcW w:w="766"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菌落总数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4"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标准值  mg/l</w:t>
                  </w:r>
                </w:p>
              </w:tc>
              <w:tc>
                <w:tcPr>
                  <w:tcW w:w="820"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≤0.02</w:t>
                  </w:r>
                </w:p>
              </w:tc>
              <w:tc>
                <w:tcPr>
                  <w:tcW w:w="784"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≤0.005</w:t>
                  </w:r>
                </w:p>
              </w:tc>
              <w:tc>
                <w:tcPr>
                  <w:tcW w:w="839"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≤0.01</w:t>
                  </w:r>
                </w:p>
              </w:tc>
              <w:tc>
                <w:tcPr>
                  <w:tcW w:w="817"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≤0.1</w:t>
                  </w:r>
                </w:p>
              </w:tc>
              <w:tc>
                <w:tcPr>
                  <w:tcW w:w="766"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w:t>
                  </w:r>
                  <w:r>
                    <w:rPr>
                      <w:rFonts w:hint="default" w:ascii="Times New Roman" w:hAnsi="Times New Roman" w:cs="Times New Roman"/>
                      <w:color w:val="auto"/>
                      <w:sz w:val="21"/>
                      <w:szCs w:val="21"/>
                      <w:lang w:val="en-US" w:eastAsia="zh-CN"/>
                    </w:rPr>
                    <w:t>CFU</w:t>
                  </w:r>
                  <w:r>
                    <w:rPr>
                      <w:rFonts w:hint="default" w:ascii="Times New Roman" w:hAnsi="Times New Roman" w:eastAsia="宋体" w:cs="Times New Roman"/>
                      <w:color w:val="auto"/>
                      <w:sz w:val="21"/>
                      <w:szCs w:val="21"/>
                    </w:rPr>
                    <w:t>/mL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4"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w:t>
                  </w:r>
                </w:p>
              </w:tc>
              <w:tc>
                <w:tcPr>
                  <w:tcW w:w="1604" w:type="pct"/>
                  <w:gridSpan w:val="2"/>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溶解性总固体</w:t>
                  </w:r>
                </w:p>
              </w:tc>
              <w:tc>
                <w:tcPr>
                  <w:tcW w:w="839"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总大肠菌群</w:t>
                  </w:r>
                </w:p>
              </w:tc>
              <w:tc>
                <w:tcPr>
                  <w:tcW w:w="817"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766"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4"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标准值</w:t>
                  </w:r>
                </w:p>
              </w:tc>
              <w:tc>
                <w:tcPr>
                  <w:tcW w:w="1604" w:type="pct"/>
                  <w:gridSpan w:val="2"/>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1000 mg/l</w:t>
                  </w:r>
                </w:p>
              </w:tc>
              <w:tc>
                <w:tcPr>
                  <w:tcW w:w="839"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3.0个/L</w:t>
                  </w:r>
                </w:p>
              </w:tc>
              <w:tc>
                <w:tcPr>
                  <w:tcW w:w="817"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766" w:type="pct"/>
                  <w:tcBorders>
                    <w:tl2br w:val="nil"/>
                    <w:tr2bl w:val="nil"/>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r>
          </w:tbl>
          <w:p>
            <w:pPr>
              <w:pStyle w:val="19"/>
              <w:spacing w:before="0" w:beforeAutospacing="0" w:after="0" w:afterAutospacing="0" w:line="480" w:lineRule="exact"/>
              <w:ind w:firstLine="482" w:firstLineChars="200"/>
              <w:jc w:val="both"/>
              <w:rPr>
                <w:rFonts w:ascii="Times New Roman" w:hAnsi="Times New Roman"/>
                <w:b/>
              </w:rPr>
            </w:pPr>
            <w:r>
              <w:rPr>
                <w:rFonts w:ascii="Times New Roman" w:hAnsi="Times New Roman"/>
                <w:b/>
              </w:rPr>
              <w:t>2</w:t>
            </w:r>
            <w:r>
              <w:rPr>
                <w:rFonts w:hint="eastAsia" w:ascii="Times New Roman" w:hAnsi="Times New Roman"/>
                <w:b/>
              </w:rPr>
              <w:t>、污染物排放</w:t>
            </w:r>
            <w:r>
              <w:rPr>
                <w:rFonts w:ascii="Times New Roman" w:hAnsi="Times New Roman"/>
                <w:b/>
              </w:rPr>
              <w:t>标准</w:t>
            </w:r>
          </w:p>
          <w:p>
            <w:pPr>
              <w:adjustRightInd w:val="0"/>
              <w:snapToGrid w:val="0"/>
              <w:spacing w:line="480" w:lineRule="exact"/>
              <w:ind w:firstLine="482" w:firstLineChars="200"/>
              <w:rPr>
                <w:rFonts w:hint="eastAsia" w:eastAsia="宋体"/>
                <w:b/>
                <w:bCs/>
                <w:sz w:val="24"/>
                <w:szCs w:val="24"/>
                <w:lang w:eastAsia="zh-CN"/>
              </w:rPr>
            </w:pPr>
            <w:r>
              <w:rPr>
                <w:rFonts w:hint="eastAsia"/>
                <w:b/>
                <w:bCs/>
                <w:sz w:val="24"/>
                <w:szCs w:val="24"/>
              </w:rPr>
              <w:t>（</w:t>
            </w:r>
            <w:r>
              <w:rPr>
                <w:b/>
                <w:bCs/>
                <w:sz w:val="24"/>
                <w:szCs w:val="24"/>
              </w:rPr>
              <w:t>1</w:t>
            </w:r>
            <w:r>
              <w:rPr>
                <w:rFonts w:hint="eastAsia"/>
                <w:b/>
                <w:bCs/>
                <w:sz w:val="24"/>
                <w:szCs w:val="24"/>
              </w:rPr>
              <w:t>）</w:t>
            </w:r>
            <w:r>
              <w:rPr>
                <w:rFonts w:hint="eastAsia"/>
                <w:b/>
                <w:bCs/>
                <w:sz w:val="24"/>
                <w:szCs w:val="24"/>
                <w:lang w:val="en-US" w:eastAsia="zh-CN"/>
              </w:rPr>
              <w:t>废气</w:t>
            </w:r>
          </w:p>
          <w:p>
            <w:pPr>
              <w:keepNext w:val="0"/>
              <w:keepLines w:val="0"/>
              <w:pageBreakBefore w:val="0"/>
              <w:widowControl w:val="0"/>
              <w:kinsoku/>
              <w:wordWrap/>
              <w:overflowPunct/>
              <w:topLinePunct w:val="0"/>
              <w:autoSpaceDE/>
              <w:autoSpaceDN/>
              <w:bidi w:val="0"/>
              <w:adjustRightInd/>
              <w:snapToGrid/>
              <w:spacing w:line="480" w:lineRule="atLeast"/>
              <w:ind w:left="0" w:firstLine="480" w:firstLineChars="200"/>
              <w:textAlignment w:val="auto"/>
              <w:rPr>
                <w:rFonts w:hint="eastAsia" w:eastAsia="宋体"/>
                <w:color w:val="auto"/>
                <w:sz w:val="24"/>
                <w:lang w:eastAsia="zh-CN"/>
              </w:rPr>
            </w:pPr>
            <w:r>
              <w:rPr>
                <w:color w:val="auto"/>
                <w:sz w:val="24"/>
              </w:rPr>
              <w:t>大气污染物主要为</w:t>
            </w:r>
            <w:r>
              <w:rPr>
                <w:rFonts w:hint="eastAsia"/>
                <w:color w:val="auto"/>
                <w:sz w:val="24"/>
                <w:lang w:val="en-US" w:eastAsia="zh-CN"/>
              </w:rPr>
              <w:t>施工期间产生的</w:t>
            </w:r>
            <w:r>
              <w:rPr>
                <w:color w:val="auto"/>
                <w:sz w:val="24"/>
              </w:rPr>
              <w:t>施工扬尘，执行《大气污染物综合排放标准》（GB16297-1996）相应标准</w:t>
            </w:r>
            <w:r>
              <w:rPr>
                <w:rFonts w:hint="eastAsia"/>
                <w:color w:val="auto"/>
                <w:sz w:val="24"/>
                <w:lang w:eastAsia="zh-CN"/>
              </w:rPr>
              <w:t>。</w:t>
            </w:r>
          </w:p>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ascii="Times New Roman" w:hAnsi="Times New Roman" w:eastAsia="宋体" w:cs="Times New Roman"/>
                <w:b/>
                <w:bCs/>
                <w:color w:val="000000"/>
                <w:sz w:val="21"/>
                <w:szCs w:val="20"/>
              </w:rPr>
            </w:pPr>
            <w:r>
              <w:rPr>
                <w:rFonts w:ascii="Times New Roman" w:hAnsi="Times New Roman" w:eastAsia="宋体" w:cs="Times New Roman"/>
                <w:b/>
                <w:bCs/>
                <w:color w:val="000000"/>
                <w:sz w:val="21"/>
                <w:szCs w:val="20"/>
              </w:rPr>
              <w:t>表</w:t>
            </w:r>
            <w:r>
              <w:rPr>
                <w:rFonts w:hint="eastAsia" w:ascii="Times New Roman" w:hAnsi="Times New Roman" w:eastAsia="宋体" w:cs="Times New Roman"/>
                <w:b/>
                <w:bCs/>
                <w:color w:val="000000"/>
                <w:sz w:val="21"/>
                <w:szCs w:val="20"/>
                <w:lang w:val="en-US" w:eastAsia="zh-CN"/>
              </w:rPr>
              <w:t>3-</w:t>
            </w:r>
            <w:r>
              <w:rPr>
                <w:rFonts w:hint="eastAsia" w:cs="Times New Roman"/>
                <w:b/>
                <w:bCs/>
                <w:color w:val="000000"/>
                <w:sz w:val="21"/>
                <w:szCs w:val="20"/>
                <w:lang w:val="en-US" w:eastAsia="zh-CN"/>
              </w:rPr>
              <w:t>15</w:t>
            </w:r>
            <w:r>
              <w:rPr>
                <w:rFonts w:hint="eastAsia" w:ascii="Times New Roman" w:hAnsi="Times New Roman" w:eastAsia="宋体" w:cs="Times New Roman"/>
                <w:b/>
                <w:bCs/>
                <w:color w:val="000000"/>
                <w:sz w:val="21"/>
                <w:szCs w:val="20"/>
                <w:lang w:val="en-US" w:eastAsia="zh-CN"/>
              </w:rPr>
              <w:t xml:space="preserve"> </w:t>
            </w:r>
            <w:r>
              <w:rPr>
                <w:rFonts w:ascii="Times New Roman" w:hAnsi="Times New Roman" w:eastAsia="宋体" w:cs="Times New Roman"/>
                <w:b/>
                <w:bCs/>
                <w:color w:val="000000"/>
                <w:sz w:val="21"/>
                <w:szCs w:val="20"/>
              </w:rPr>
              <w:t xml:space="preserve"> 《大气污染物综合排放标准》（GB16297-1996）</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44"/>
              <w:gridCol w:w="2527"/>
              <w:gridCol w:w="44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4"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Cs/>
                      <w:color w:val="auto"/>
                      <w:kern w:val="0"/>
                      <w:sz w:val="21"/>
                      <w:szCs w:val="21"/>
                    </w:rPr>
                  </w:pPr>
                  <w:r>
                    <w:rPr>
                      <w:bCs/>
                      <w:color w:val="auto"/>
                      <w:kern w:val="0"/>
                      <w:sz w:val="21"/>
                      <w:szCs w:val="21"/>
                    </w:rPr>
                    <w:t>序号</w:t>
                  </w:r>
                </w:p>
              </w:tc>
              <w:tc>
                <w:tcPr>
                  <w:tcW w:w="1480"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Cs/>
                      <w:color w:val="auto"/>
                      <w:kern w:val="0"/>
                      <w:sz w:val="21"/>
                      <w:szCs w:val="21"/>
                    </w:rPr>
                  </w:pPr>
                  <w:r>
                    <w:rPr>
                      <w:bCs/>
                      <w:color w:val="auto"/>
                      <w:kern w:val="0"/>
                      <w:sz w:val="21"/>
                      <w:szCs w:val="21"/>
                    </w:rPr>
                    <w:t>污染物</w:t>
                  </w:r>
                </w:p>
              </w:tc>
              <w:tc>
                <w:tcPr>
                  <w:tcW w:w="2615"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Cs/>
                      <w:color w:val="auto"/>
                      <w:kern w:val="0"/>
                      <w:sz w:val="21"/>
                      <w:szCs w:val="21"/>
                    </w:rPr>
                  </w:pPr>
                  <w:r>
                    <w:rPr>
                      <w:bCs/>
                      <w:color w:val="auto"/>
                      <w:kern w:val="0"/>
                      <w:sz w:val="21"/>
                      <w:szCs w:val="21"/>
                    </w:rPr>
                    <w:t>无组织排放监控浓度限值（mg/m</w:t>
                  </w:r>
                  <w:r>
                    <w:rPr>
                      <w:bCs/>
                      <w:color w:val="auto"/>
                      <w:kern w:val="0"/>
                      <w:sz w:val="21"/>
                      <w:szCs w:val="21"/>
                      <w:vertAlign w:val="superscript"/>
                    </w:rPr>
                    <w:t>3</w:t>
                  </w:r>
                  <w:r>
                    <w:rPr>
                      <w:bCs/>
                      <w:color w:val="auto"/>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4"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color w:val="auto"/>
                      <w:sz w:val="21"/>
                      <w:szCs w:val="21"/>
                    </w:rPr>
                  </w:pPr>
                  <w:r>
                    <w:rPr>
                      <w:color w:val="auto"/>
                      <w:sz w:val="21"/>
                      <w:szCs w:val="21"/>
                    </w:rPr>
                    <w:t>1</w:t>
                  </w:r>
                </w:p>
              </w:tc>
              <w:tc>
                <w:tcPr>
                  <w:tcW w:w="1480"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Cs/>
                      <w:color w:val="auto"/>
                      <w:kern w:val="0"/>
                      <w:sz w:val="21"/>
                      <w:szCs w:val="21"/>
                    </w:rPr>
                  </w:pPr>
                  <w:r>
                    <w:rPr>
                      <w:color w:val="auto"/>
                      <w:sz w:val="21"/>
                      <w:szCs w:val="21"/>
                    </w:rPr>
                    <w:t>颗粒物</w:t>
                  </w:r>
                </w:p>
              </w:tc>
              <w:tc>
                <w:tcPr>
                  <w:tcW w:w="2615"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Cs/>
                      <w:color w:val="auto"/>
                      <w:kern w:val="0"/>
                      <w:sz w:val="21"/>
                      <w:szCs w:val="21"/>
                    </w:rPr>
                  </w:pPr>
                  <w:r>
                    <w:rPr>
                      <w:color w:val="auto"/>
                      <w:sz w:val="21"/>
                      <w:szCs w:val="21"/>
                    </w:rPr>
                    <w:t>1.0（周界外浓度最高点）</w:t>
                  </w:r>
                </w:p>
              </w:tc>
            </w:tr>
          </w:tbl>
          <w:p>
            <w:pPr>
              <w:adjustRightInd w:val="0"/>
              <w:snapToGrid w:val="0"/>
              <w:spacing w:line="480" w:lineRule="exact"/>
              <w:ind w:firstLine="482" w:firstLineChars="200"/>
              <w:rPr>
                <w:rFonts w:hint="eastAsia" w:eastAsia="宋体"/>
                <w:b/>
                <w:bCs/>
                <w:sz w:val="24"/>
                <w:szCs w:val="24"/>
                <w:lang w:eastAsia="zh-CN"/>
              </w:rPr>
            </w:pPr>
            <w:r>
              <w:rPr>
                <w:rFonts w:hint="eastAsia"/>
                <w:b/>
                <w:bCs/>
                <w:sz w:val="24"/>
                <w:szCs w:val="24"/>
              </w:rPr>
              <w:t>（</w:t>
            </w:r>
            <w:r>
              <w:rPr>
                <w:rFonts w:hint="eastAsia"/>
                <w:b/>
                <w:bCs/>
                <w:sz w:val="24"/>
                <w:szCs w:val="24"/>
                <w:lang w:val="en-US" w:eastAsia="zh-CN"/>
              </w:rPr>
              <w:t>2</w:t>
            </w:r>
            <w:r>
              <w:rPr>
                <w:rFonts w:hint="eastAsia"/>
                <w:b/>
                <w:bCs/>
                <w:sz w:val="24"/>
                <w:szCs w:val="24"/>
              </w:rPr>
              <w:t>）</w:t>
            </w:r>
            <w:r>
              <w:rPr>
                <w:rFonts w:hint="eastAsia"/>
                <w:b/>
                <w:bCs/>
                <w:sz w:val="24"/>
                <w:szCs w:val="24"/>
                <w:lang w:val="en-US" w:eastAsia="zh-CN"/>
              </w:rPr>
              <w:t>噪声</w:t>
            </w:r>
          </w:p>
          <w:p>
            <w:pPr>
              <w:adjustRightInd w:val="0"/>
              <w:snapToGrid w:val="0"/>
              <w:spacing w:line="480" w:lineRule="exact"/>
              <w:ind w:firstLine="496" w:firstLineChars="200"/>
              <w:rPr>
                <w:rFonts w:hint="eastAsia"/>
                <w:bCs/>
                <w:sz w:val="24"/>
              </w:rPr>
            </w:pPr>
            <w:r>
              <w:rPr>
                <w:rFonts w:hint="eastAsia"/>
                <w:spacing w:val="4"/>
                <w:sz w:val="24"/>
              </w:rPr>
              <w:t>本项目</w:t>
            </w:r>
            <w:r>
              <w:rPr>
                <w:spacing w:val="4"/>
                <w:sz w:val="24"/>
              </w:rPr>
              <w:t>施工期噪声执行《建筑施工场界环境噪声排放标准》（GB12523-2011）</w:t>
            </w:r>
            <w:r>
              <w:rPr>
                <w:rFonts w:hint="eastAsia"/>
                <w:spacing w:val="4"/>
                <w:sz w:val="24"/>
              </w:rPr>
              <w:t>噪声排放限值；</w:t>
            </w:r>
          </w:p>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default" w:ascii="Times New Roman" w:hAnsi="Times New Roman" w:eastAsia="宋体" w:cs="Times New Roman"/>
                <w:b/>
                <w:bCs/>
                <w:color w:val="000000"/>
                <w:sz w:val="21"/>
                <w:szCs w:val="20"/>
              </w:rPr>
            </w:pPr>
            <w:r>
              <w:rPr>
                <w:rFonts w:ascii="Times New Roman" w:hAnsi="Times New Roman" w:eastAsia="宋体" w:cs="Times New Roman"/>
                <w:b/>
                <w:bCs/>
                <w:color w:val="000000"/>
                <w:sz w:val="21"/>
                <w:szCs w:val="20"/>
              </w:rPr>
              <w:t>表</w:t>
            </w:r>
            <w:r>
              <w:rPr>
                <w:rFonts w:hint="eastAsia" w:ascii="Times New Roman" w:hAnsi="Times New Roman" w:eastAsia="宋体" w:cs="Times New Roman"/>
                <w:b/>
                <w:bCs/>
                <w:color w:val="000000"/>
                <w:sz w:val="21"/>
                <w:szCs w:val="20"/>
                <w:lang w:val="en-US" w:eastAsia="zh-CN"/>
              </w:rPr>
              <w:t>3-</w:t>
            </w:r>
            <w:r>
              <w:rPr>
                <w:rFonts w:hint="eastAsia" w:cs="Times New Roman"/>
                <w:b/>
                <w:bCs/>
                <w:color w:val="000000"/>
                <w:sz w:val="21"/>
                <w:szCs w:val="20"/>
                <w:lang w:val="en-US" w:eastAsia="zh-CN"/>
              </w:rPr>
              <w:t>16</w:t>
            </w:r>
            <w:r>
              <w:rPr>
                <w:rFonts w:hint="eastAsia" w:ascii="Times New Roman" w:hAnsi="Times New Roman" w:eastAsia="宋体" w:cs="Times New Roman"/>
                <w:b/>
                <w:bCs/>
                <w:color w:val="000000"/>
                <w:sz w:val="21"/>
                <w:szCs w:val="20"/>
                <w:lang w:val="en-US" w:eastAsia="zh-CN"/>
              </w:rPr>
              <w:t xml:space="preserve"> </w:t>
            </w:r>
            <w:r>
              <w:rPr>
                <w:rFonts w:ascii="Times New Roman" w:hAnsi="Times New Roman" w:eastAsia="宋体" w:cs="Times New Roman"/>
                <w:b/>
                <w:bCs/>
                <w:color w:val="000000"/>
                <w:sz w:val="21"/>
                <w:szCs w:val="20"/>
              </w:rPr>
              <w:t xml:space="preserve"> </w:t>
            </w:r>
            <w:r>
              <w:rPr>
                <w:rFonts w:hint="default" w:ascii="Times New Roman" w:hAnsi="Times New Roman" w:eastAsia="宋体" w:cs="Times New Roman"/>
                <w:b/>
                <w:bCs/>
                <w:color w:val="000000"/>
                <w:sz w:val="21"/>
                <w:szCs w:val="20"/>
              </w:rPr>
              <w:t>《建筑施工场界环境噪声排放标准》（</w:t>
            </w:r>
            <w:r>
              <w:rPr>
                <w:rFonts w:hint="default" w:ascii="Times New Roman" w:hAnsi="Times New Roman" w:eastAsia="宋体" w:cs="Times New Roman"/>
                <w:b/>
                <w:bCs/>
                <w:color w:val="000000"/>
                <w:sz w:val="21"/>
                <w:szCs w:val="20"/>
                <w:lang w:val="en-US" w:eastAsia="zh-CN"/>
              </w:rPr>
              <w:t>GB12523-2011</w:t>
            </w:r>
            <w:r>
              <w:rPr>
                <w:rFonts w:hint="default" w:ascii="Times New Roman" w:hAnsi="Times New Roman" w:eastAsia="宋体" w:cs="Times New Roman"/>
                <w:b/>
                <w:bCs/>
                <w:color w:val="000000"/>
                <w:sz w:val="21"/>
                <w:szCs w:val="20"/>
              </w:rPr>
              <w:t>）</w:t>
            </w:r>
          </w:p>
          <w:tbl>
            <w:tblPr>
              <w:tblStyle w:val="21"/>
              <w:tblW w:w="500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50"/>
              <w:gridCol w:w="2850"/>
              <w:gridCol w:w="28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7" w:type="pct"/>
                  <w:vAlign w:val="center"/>
                </w:tcPr>
                <w:p>
                  <w:pPr>
                    <w:jc w:val="center"/>
                  </w:pPr>
                  <w:r>
                    <w:t>时段</w:t>
                  </w:r>
                </w:p>
              </w:tc>
              <w:tc>
                <w:tcPr>
                  <w:tcW w:w="1667" w:type="pct"/>
                  <w:vAlign w:val="center"/>
                </w:tcPr>
                <w:p>
                  <w:pPr>
                    <w:jc w:val="center"/>
                  </w:pPr>
                  <w:r>
                    <w:t>昼间</w:t>
                  </w:r>
                </w:p>
              </w:tc>
              <w:tc>
                <w:tcPr>
                  <w:tcW w:w="1666" w:type="pct"/>
                  <w:vAlign w:val="center"/>
                </w:tcPr>
                <w:p>
                  <w:pPr>
                    <w:jc w:val="center"/>
                  </w:pPr>
                  <w: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7" w:type="pct"/>
                  <w:vAlign w:val="center"/>
                </w:tcPr>
                <w:p>
                  <w:pPr>
                    <w:jc w:val="center"/>
                  </w:pPr>
                  <w:r>
                    <w:t>噪声限值</w:t>
                  </w:r>
                </w:p>
              </w:tc>
              <w:tc>
                <w:tcPr>
                  <w:tcW w:w="1667" w:type="pct"/>
                  <w:vAlign w:val="center"/>
                </w:tcPr>
                <w:p>
                  <w:pPr>
                    <w:jc w:val="center"/>
                  </w:pPr>
                  <w:r>
                    <w:t>70</w:t>
                  </w:r>
                  <w:r>
                    <w:rPr>
                      <w:rFonts w:hint="eastAsia"/>
                      <w:lang w:val="en-US" w:eastAsia="zh-CN"/>
                    </w:rPr>
                    <w:t xml:space="preserve"> </w:t>
                  </w:r>
                  <w:r>
                    <w:rPr>
                      <w:rFonts w:hint="default"/>
                    </w:rPr>
                    <w:t>dB（A）</w:t>
                  </w:r>
                </w:p>
              </w:tc>
              <w:tc>
                <w:tcPr>
                  <w:tcW w:w="1666" w:type="pct"/>
                  <w:vAlign w:val="center"/>
                </w:tcPr>
                <w:p>
                  <w:pPr>
                    <w:jc w:val="center"/>
                  </w:pPr>
                  <w:r>
                    <w:t>55</w:t>
                  </w:r>
                  <w:r>
                    <w:rPr>
                      <w:rFonts w:hint="eastAsia"/>
                      <w:lang w:val="en-US" w:eastAsia="zh-CN"/>
                    </w:rPr>
                    <w:t xml:space="preserve"> </w:t>
                  </w:r>
                  <w:r>
                    <w:rPr>
                      <w:rFonts w:hint="default"/>
                    </w:rPr>
                    <w:t>dB（A）</w:t>
                  </w:r>
                </w:p>
              </w:tc>
            </w:tr>
          </w:tbl>
          <w:p>
            <w:pPr>
              <w:adjustRightInd w:val="0"/>
              <w:snapToGrid w:val="0"/>
              <w:spacing w:line="480" w:lineRule="exact"/>
              <w:ind w:firstLine="482" w:firstLineChars="200"/>
              <w:rPr>
                <w:b/>
                <w:bCs/>
                <w:sz w:val="24"/>
                <w:szCs w:val="24"/>
              </w:rPr>
            </w:pPr>
            <w:r>
              <w:rPr>
                <w:rFonts w:hint="eastAsia"/>
                <w:b/>
                <w:bCs/>
                <w:sz w:val="24"/>
                <w:szCs w:val="24"/>
              </w:rPr>
              <w:t>（3）固废</w:t>
            </w:r>
          </w:p>
          <w:p>
            <w:pPr>
              <w:adjustRightInd w:val="0"/>
              <w:snapToGrid w:val="0"/>
              <w:spacing w:line="480" w:lineRule="exact"/>
              <w:ind w:firstLine="480" w:firstLineChars="200"/>
              <w:rPr>
                <w:sz w:val="24"/>
                <w:szCs w:val="24"/>
              </w:rPr>
            </w:pPr>
            <w:r>
              <w:rPr>
                <w:sz w:val="24"/>
              </w:rPr>
              <w:t>一般固体废物执行</w:t>
            </w:r>
            <w:r>
              <w:rPr>
                <w:rFonts w:hint="eastAsia"/>
                <w:sz w:val="24"/>
              </w:rPr>
              <w:t>贮存执行《一般工业固体废物贮存和填埋污染控制标准》(GB 18599-2020)的有关规定。</w:t>
            </w:r>
          </w:p>
          <w:p>
            <w:pPr>
              <w:adjustRightInd w:val="0"/>
              <w:snapToGrid w:val="0"/>
              <w:spacing w:line="480" w:lineRule="exact"/>
              <w:ind w:firstLine="480" w:firstLineChars="200"/>
              <w:rPr>
                <w:kern w:val="0"/>
                <w:sz w:val="24"/>
                <w:szCs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63" w:hRule="atLeast"/>
          <w:jc w:val="center"/>
        </w:trPr>
        <w:tc>
          <w:tcPr>
            <w:tcW w:w="699" w:type="dxa"/>
            <w:vAlign w:val="center"/>
          </w:tcPr>
          <w:p>
            <w:pPr>
              <w:adjustRightInd w:val="0"/>
              <w:snapToGrid w:val="0"/>
              <w:jc w:val="center"/>
              <w:rPr>
                <w:rFonts w:ascii="宋体" w:hAnsi="宋体" w:cs="宋体"/>
                <w:kern w:val="0"/>
              </w:rPr>
            </w:pPr>
            <w:r>
              <w:rPr>
                <w:rFonts w:hint="eastAsia" w:ascii="宋体" w:hAnsi="宋体" w:cs="宋体"/>
                <w:kern w:val="0"/>
              </w:rPr>
              <w:t>其他</w:t>
            </w:r>
          </w:p>
        </w:tc>
        <w:tc>
          <w:tcPr>
            <w:tcW w:w="8762" w:type="dxa"/>
            <w:vAlign w:val="center"/>
          </w:tcPr>
          <w:p>
            <w:pPr>
              <w:spacing w:line="480" w:lineRule="exact"/>
              <w:ind w:firstLine="480" w:firstLineChars="200"/>
              <w:rPr>
                <w:sz w:val="24"/>
              </w:rPr>
            </w:pPr>
          </w:p>
          <w:p>
            <w:pPr>
              <w:spacing w:line="480" w:lineRule="exact"/>
              <w:ind w:firstLine="480" w:firstLineChars="200"/>
              <w:rPr>
                <w:sz w:val="24"/>
              </w:rPr>
            </w:pPr>
          </w:p>
          <w:p>
            <w:pPr>
              <w:spacing w:line="480" w:lineRule="exact"/>
              <w:ind w:firstLine="480" w:firstLineChars="200"/>
              <w:rPr>
                <w:sz w:val="24"/>
              </w:rPr>
            </w:pPr>
          </w:p>
          <w:p>
            <w:pPr>
              <w:spacing w:line="480" w:lineRule="exact"/>
              <w:ind w:firstLine="480" w:firstLineChars="200"/>
              <w:rPr>
                <w:sz w:val="24"/>
              </w:rPr>
            </w:pPr>
          </w:p>
          <w:p>
            <w:pPr>
              <w:spacing w:line="480" w:lineRule="exact"/>
              <w:ind w:firstLine="480" w:firstLineChars="200"/>
              <w:rPr>
                <w:sz w:val="24"/>
              </w:rPr>
            </w:pPr>
          </w:p>
          <w:p>
            <w:pPr>
              <w:adjustRightInd w:val="0"/>
              <w:snapToGrid w:val="0"/>
              <w:spacing w:line="480" w:lineRule="exact"/>
              <w:ind w:firstLine="480" w:firstLineChars="200"/>
              <w:rPr>
                <w:rFonts w:hint="eastAsia"/>
                <w:sz w:val="24"/>
              </w:rPr>
            </w:pPr>
          </w:p>
          <w:p>
            <w:pPr>
              <w:adjustRightInd w:val="0"/>
              <w:snapToGrid w:val="0"/>
              <w:spacing w:line="480" w:lineRule="exact"/>
              <w:ind w:firstLine="480" w:firstLineChars="200"/>
              <w:rPr>
                <w:rFonts w:hint="eastAsia"/>
                <w:sz w:val="24"/>
              </w:rPr>
            </w:pPr>
          </w:p>
          <w:p>
            <w:pPr>
              <w:adjustRightInd w:val="0"/>
              <w:snapToGrid w:val="0"/>
              <w:spacing w:line="480" w:lineRule="exact"/>
              <w:ind w:firstLine="480" w:firstLineChars="200"/>
              <w:rPr>
                <w:rFonts w:hint="eastAsia"/>
                <w:sz w:val="24"/>
              </w:rPr>
            </w:pPr>
          </w:p>
          <w:p>
            <w:pPr>
              <w:adjustRightInd w:val="0"/>
              <w:snapToGrid w:val="0"/>
              <w:spacing w:line="480" w:lineRule="exact"/>
              <w:ind w:firstLine="480" w:firstLineChars="200"/>
              <w:rPr>
                <w:rFonts w:hint="eastAsia"/>
                <w:sz w:val="24"/>
              </w:rPr>
            </w:pPr>
          </w:p>
          <w:p>
            <w:pPr>
              <w:adjustRightInd w:val="0"/>
              <w:snapToGrid w:val="0"/>
              <w:spacing w:line="480" w:lineRule="exact"/>
              <w:ind w:firstLine="480" w:firstLineChars="200"/>
              <w:rPr>
                <w:sz w:val="24"/>
              </w:rPr>
            </w:pPr>
            <w:r>
              <w:rPr>
                <w:rFonts w:hint="eastAsia"/>
                <w:sz w:val="24"/>
              </w:rPr>
              <w:t>本项目</w:t>
            </w:r>
            <w:r>
              <w:rPr>
                <w:rFonts w:hint="eastAsia"/>
                <w:sz w:val="24"/>
                <w:lang w:val="en-US" w:eastAsia="zh-CN"/>
              </w:rPr>
              <w:t>不属于需要申请总量控制指标的行业，且</w:t>
            </w:r>
            <w:r>
              <w:rPr>
                <w:rFonts w:hint="eastAsia"/>
                <w:sz w:val="24"/>
              </w:rPr>
              <w:t>运营期无国家和山西省实施排污总量控制的主要污染物排放，因此本项目无需申请总量控制指标。</w:t>
            </w:r>
          </w:p>
          <w:p>
            <w:pPr>
              <w:adjustRightInd w:val="0"/>
              <w:snapToGrid w:val="0"/>
              <w:spacing w:line="480" w:lineRule="exact"/>
              <w:ind w:firstLine="480" w:firstLineChars="200"/>
              <w:rPr>
                <w:sz w:val="24"/>
              </w:rPr>
            </w:pPr>
          </w:p>
          <w:p>
            <w:pPr>
              <w:adjustRightInd w:val="0"/>
              <w:snapToGrid w:val="0"/>
              <w:spacing w:line="480" w:lineRule="exact"/>
              <w:ind w:firstLine="480" w:firstLineChars="200"/>
              <w:rPr>
                <w:sz w:val="24"/>
              </w:rPr>
            </w:pPr>
          </w:p>
          <w:p>
            <w:pPr>
              <w:adjustRightInd w:val="0"/>
              <w:snapToGrid w:val="0"/>
              <w:spacing w:line="480" w:lineRule="exact"/>
              <w:ind w:firstLine="480" w:firstLineChars="200"/>
              <w:rPr>
                <w:rFonts w:hint="eastAsia"/>
                <w:sz w:val="24"/>
                <w:lang w:val="en-US" w:eastAsia="zh-CN"/>
              </w:rPr>
            </w:pPr>
          </w:p>
          <w:p>
            <w:pPr>
              <w:adjustRightInd w:val="0"/>
              <w:snapToGrid w:val="0"/>
              <w:spacing w:line="480" w:lineRule="exact"/>
              <w:ind w:firstLine="480" w:firstLineChars="200"/>
              <w:rPr>
                <w:rFonts w:hint="eastAsia"/>
                <w:sz w:val="24"/>
                <w:lang w:val="en-US" w:eastAsia="zh-CN"/>
              </w:rPr>
            </w:pPr>
          </w:p>
          <w:p>
            <w:pPr>
              <w:adjustRightInd w:val="0"/>
              <w:snapToGrid w:val="0"/>
              <w:spacing w:line="480" w:lineRule="exact"/>
              <w:ind w:firstLine="480" w:firstLineChars="200"/>
              <w:rPr>
                <w:rFonts w:hint="eastAsia"/>
                <w:sz w:val="24"/>
                <w:lang w:val="en-US" w:eastAsia="zh-CN"/>
              </w:rPr>
            </w:pPr>
          </w:p>
          <w:p>
            <w:pPr>
              <w:adjustRightInd w:val="0"/>
              <w:snapToGrid w:val="0"/>
              <w:spacing w:line="480" w:lineRule="exact"/>
              <w:ind w:firstLine="480" w:firstLineChars="200"/>
              <w:rPr>
                <w:rFonts w:hint="eastAsia"/>
                <w:sz w:val="24"/>
                <w:lang w:val="en-US" w:eastAsia="zh-CN"/>
              </w:rPr>
            </w:pPr>
          </w:p>
          <w:p>
            <w:pPr>
              <w:adjustRightInd w:val="0"/>
              <w:snapToGrid w:val="0"/>
              <w:spacing w:line="480" w:lineRule="exact"/>
              <w:ind w:firstLine="480" w:firstLineChars="200"/>
              <w:rPr>
                <w:rFonts w:hint="eastAsia" w:eastAsia="宋体"/>
                <w:sz w:val="24"/>
                <w:lang w:val="en-US" w:eastAsia="zh-CN"/>
              </w:rPr>
            </w:pPr>
          </w:p>
          <w:p>
            <w:pPr>
              <w:adjustRightInd w:val="0"/>
              <w:snapToGrid w:val="0"/>
              <w:spacing w:line="480" w:lineRule="exact"/>
              <w:ind w:firstLine="480" w:firstLineChars="200"/>
              <w:rPr>
                <w:rFonts w:hint="eastAsia"/>
                <w:kern w:val="0"/>
                <w:sz w:val="24"/>
                <w:szCs w:val="24"/>
                <w:lang w:val="en-US" w:eastAsia="zh-CN"/>
              </w:rPr>
            </w:pPr>
          </w:p>
          <w:p>
            <w:pPr>
              <w:adjustRightInd w:val="0"/>
              <w:snapToGrid w:val="0"/>
              <w:spacing w:line="480" w:lineRule="exact"/>
              <w:ind w:firstLine="480" w:firstLineChars="200"/>
              <w:rPr>
                <w:rFonts w:hint="eastAsia"/>
                <w:kern w:val="0"/>
                <w:sz w:val="24"/>
                <w:szCs w:val="24"/>
                <w:lang w:val="en-US" w:eastAsia="zh-CN"/>
              </w:rPr>
            </w:pPr>
          </w:p>
          <w:p>
            <w:pPr>
              <w:adjustRightInd w:val="0"/>
              <w:snapToGrid w:val="0"/>
              <w:spacing w:line="480" w:lineRule="exact"/>
              <w:ind w:firstLine="480" w:firstLineChars="200"/>
              <w:rPr>
                <w:rFonts w:hint="eastAsia" w:eastAsia="宋体"/>
                <w:kern w:val="0"/>
                <w:sz w:val="24"/>
                <w:szCs w:val="24"/>
                <w:lang w:val="en-US" w:eastAsia="zh-CN"/>
              </w:rPr>
            </w:pPr>
          </w:p>
        </w:tc>
      </w:tr>
    </w:tbl>
    <w:p>
      <w:pPr>
        <w:sectPr>
          <w:pgSz w:w="11906" w:h="16838"/>
          <w:pgMar w:top="1701" w:right="1531" w:bottom="1701" w:left="1531" w:header="1134" w:footer="992" w:gutter="0"/>
          <w:pgBorders>
            <w:top w:val="none" w:sz="0" w:space="0"/>
            <w:left w:val="none" w:sz="0" w:space="0"/>
            <w:bottom w:val="none" w:sz="0" w:space="0"/>
            <w:right w:val="none" w:sz="0" w:space="0"/>
          </w:pgBorders>
          <w:cols w:space="425" w:num="1"/>
          <w:docGrid w:type="lines" w:linePitch="312" w:charSpace="0"/>
        </w:sectPr>
      </w:pPr>
    </w:p>
    <w:p>
      <w:pPr>
        <w:pStyle w:val="19"/>
        <w:jc w:val="center"/>
        <w:outlineLvl w:val="0"/>
        <w:rPr>
          <w:rFonts w:ascii="黑体" w:hAnsi="黑体" w:eastAsia="黑体"/>
          <w:sz w:val="30"/>
          <w:szCs w:val="30"/>
        </w:rPr>
      </w:pPr>
      <w:r>
        <w:rPr>
          <w:rFonts w:hint="eastAsia" w:ascii="黑体" w:hAnsi="黑体" w:eastAsia="黑体"/>
          <w:sz w:val="30"/>
          <w:szCs w:val="30"/>
        </w:rPr>
        <w:t>四、</w:t>
      </w:r>
      <w:r>
        <w:rPr>
          <w:rFonts w:hint="eastAsia" w:ascii="黑体" w:hAnsi="黑体" w:eastAsia="黑体"/>
          <w:snapToGrid w:val="0"/>
          <w:sz w:val="30"/>
          <w:szCs w:val="30"/>
        </w:rPr>
        <w:t>生态环境影响分析</w:t>
      </w:r>
    </w:p>
    <w:tbl>
      <w:tblPr>
        <w:tblStyle w:val="21"/>
        <w:tblW w:w="939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557"/>
        <w:gridCol w:w="883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06" w:hRule="atLeast"/>
          <w:jc w:val="center"/>
        </w:trPr>
        <w:tc>
          <w:tcPr>
            <w:tcW w:w="557" w:type="dxa"/>
            <w:tcMar>
              <w:left w:w="28" w:type="dxa"/>
              <w:right w:w="28" w:type="dxa"/>
            </w:tcMar>
            <w:vAlign w:val="center"/>
          </w:tcPr>
          <w:p>
            <w:pPr>
              <w:pStyle w:val="19"/>
              <w:adjustRightInd w:val="0"/>
              <w:snapToGrid w:val="0"/>
              <w:spacing w:before="0" w:beforeAutospacing="0" w:after="0" w:afterAutospacing="0"/>
              <w:jc w:val="center"/>
              <w:rPr>
                <w:bCs/>
                <w:kern w:val="2"/>
                <w:sz w:val="21"/>
                <w:szCs w:val="21"/>
              </w:rPr>
            </w:pPr>
            <w:bookmarkStart w:id="5" w:name="_Hlk49796138"/>
            <w:r>
              <w:rPr>
                <w:rFonts w:hint="eastAsia"/>
                <w:bCs/>
                <w:spacing w:val="10"/>
                <w:kern w:val="2"/>
                <w:sz w:val="21"/>
                <w:szCs w:val="21"/>
              </w:rPr>
              <w:t>施工期生态环境影响分析</w:t>
            </w:r>
            <w:bookmarkEnd w:id="5"/>
          </w:p>
        </w:tc>
        <w:tc>
          <w:tcPr>
            <w:tcW w:w="8837" w:type="dxa"/>
          </w:tcPr>
          <w:p>
            <w:pPr>
              <w:adjustRightInd w:val="0"/>
              <w:snapToGrid w:val="0"/>
              <w:spacing w:line="480" w:lineRule="exact"/>
              <w:ind w:firstLine="482" w:firstLineChars="200"/>
              <w:rPr>
                <w:b/>
                <w:sz w:val="24"/>
                <w:szCs w:val="24"/>
              </w:rPr>
            </w:pPr>
            <w:r>
              <w:rPr>
                <w:b/>
                <w:sz w:val="24"/>
                <w:szCs w:val="24"/>
              </w:rPr>
              <w:t>1、</w:t>
            </w:r>
            <w:r>
              <w:rPr>
                <w:rFonts w:hint="eastAsia"/>
                <w:b/>
                <w:sz w:val="24"/>
                <w:szCs w:val="24"/>
              </w:rPr>
              <w:t>施工期</w:t>
            </w:r>
            <w:r>
              <w:rPr>
                <w:b/>
                <w:sz w:val="24"/>
                <w:szCs w:val="24"/>
              </w:rPr>
              <w:t>生态环境影响分析</w:t>
            </w:r>
          </w:p>
          <w:p>
            <w:pPr>
              <w:adjustRightInd w:val="0"/>
              <w:snapToGrid w:val="0"/>
              <w:spacing w:line="480" w:lineRule="exact"/>
              <w:ind w:firstLine="482" w:firstLineChars="200"/>
              <w:rPr>
                <w:rFonts w:hint="default" w:eastAsia="宋体"/>
                <w:b/>
                <w:bCs w:val="0"/>
                <w:sz w:val="24"/>
                <w:szCs w:val="24"/>
                <w:lang w:val="en-US" w:eastAsia="zh-CN"/>
              </w:rPr>
            </w:pPr>
            <w:r>
              <w:rPr>
                <w:rFonts w:hint="eastAsia"/>
                <w:b/>
                <w:bCs w:val="0"/>
                <w:sz w:val="24"/>
                <w:szCs w:val="24"/>
                <w:lang w:eastAsia="zh-CN"/>
              </w:rPr>
              <w:t>（</w:t>
            </w:r>
            <w:r>
              <w:rPr>
                <w:rFonts w:hint="eastAsia"/>
                <w:b/>
                <w:bCs w:val="0"/>
                <w:sz w:val="24"/>
                <w:szCs w:val="24"/>
                <w:lang w:val="en-US" w:eastAsia="zh-CN"/>
              </w:rPr>
              <w:t>1</w:t>
            </w:r>
            <w:r>
              <w:rPr>
                <w:rFonts w:hint="eastAsia"/>
                <w:b/>
                <w:bCs w:val="0"/>
                <w:sz w:val="24"/>
                <w:szCs w:val="24"/>
                <w:lang w:eastAsia="zh-CN"/>
              </w:rPr>
              <w:t>）</w:t>
            </w:r>
            <w:r>
              <w:rPr>
                <w:rFonts w:hint="eastAsia"/>
                <w:b/>
                <w:bCs w:val="0"/>
                <w:sz w:val="24"/>
                <w:szCs w:val="24"/>
                <w:lang w:val="en-US" w:eastAsia="zh-CN"/>
              </w:rPr>
              <w:t>占地对土地利用格局的影响分析</w:t>
            </w:r>
          </w:p>
          <w:p>
            <w:pPr>
              <w:adjustRightInd w:val="0"/>
              <w:snapToGrid w:val="0"/>
              <w:spacing w:line="480" w:lineRule="exact"/>
              <w:ind w:firstLine="480" w:firstLineChars="200"/>
              <w:rPr>
                <w:rFonts w:hint="eastAsia"/>
                <w:bCs/>
                <w:sz w:val="24"/>
                <w:szCs w:val="24"/>
                <w:lang w:val="en-US" w:eastAsia="zh-CN"/>
              </w:rPr>
            </w:pPr>
            <w:r>
              <w:rPr>
                <w:rFonts w:hint="eastAsia"/>
                <w:bCs/>
                <w:color w:val="auto"/>
                <w:sz w:val="24"/>
                <w:szCs w:val="24"/>
                <w:lang w:val="en-US" w:eastAsia="zh-CN"/>
              </w:rPr>
              <w:t>本项目为道路建设工程项目，本项目永久占地22.0662公顷，占地范围土地利用性质主要为其他草地、交通用地、灌木林地、乔木林地、城镇居民用地、旱地、裸地等。</w:t>
            </w:r>
            <w:r>
              <w:rPr>
                <w:rFonts w:hint="eastAsia"/>
                <w:bCs/>
                <w:sz w:val="24"/>
                <w:szCs w:val="24"/>
                <w:lang w:val="en-US" w:eastAsia="zh-CN"/>
              </w:rPr>
              <w:t>本项目建成后永久占地土地利用格局由</w:t>
            </w:r>
            <w:r>
              <w:rPr>
                <w:rFonts w:hint="eastAsia"/>
                <w:bCs/>
                <w:color w:val="auto"/>
                <w:sz w:val="24"/>
                <w:szCs w:val="24"/>
                <w:lang w:val="en-US" w:eastAsia="zh-CN"/>
              </w:rPr>
              <w:t>其他用地</w:t>
            </w:r>
            <w:r>
              <w:rPr>
                <w:rFonts w:hint="eastAsia"/>
                <w:bCs/>
                <w:sz w:val="24"/>
                <w:szCs w:val="24"/>
                <w:lang w:val="en-US" w:eastAsia="zh-CN"/>
              </w:rPr>
              <w:t>变成城镇交通用地，使土地利用格局发生变化，占地会对土地格局产生一定的影响。评价要求建设单位按照占补平衡的原则对占地尤其耕地进行补偿，降低永久占地对生态环境的影响。</w:t>
            </w:r>
          </w:p>
          <w:p>
            <w:pPr>
              <w:adjustRightInd w:val="0"/>
              <w:snapToGrid w:val="0"/>
              <w:spacing w:line="480" w:lineRule="exact"/>
              <w:ind w:firstLine="480" w:firstLineChars="200"/>
              <w:rPr>
                <w:rFonts w:hint="eastAsia"/>
                <w:bCs/>
                <w:sz w:val="24"/>
                <w:szCs w:val="24"/>
              </w:rPr>
            </w:pPr>
            <w:r>
              <w:rPr>
                <w:rFonts w:hint="eastAsia"/>
                <w:bCs/>
                <w:sz w:val="24"/>
                <w:szCs w:val="24"/>
                <w:lang w:val="en-US" w:eastAsia="zh-CN"/>
              </w:rPr>
              <w:t>项目临时占地位于道路边界外延10米，建成后均改造成主干道周边的绿地，恢复植被。因此临时占地对土地利用格局基本无影响。</w:t>
            </w:r>
          </w:p>
          <w:p>
            <w:pPr>
              <w:adjustRightInd w:val="0"/>
              <w:snapToGrid w:val="0"/>
              <w:spacing w:line="480" w:lineRule="exact"/>
              <w:ind w:firstLine="482" w:firstLineChars="200"/>
              <w:rPr>
                <w:rFonts w:hint="default" w:eastAsia="宋体"/>
                <w:b/>
                <w:bCs w:val="0"/>
                <w:sz w:val="24"/>
                <w:szCs w:val="24"/>
                <w:lang w:val="en-US" w:eastAsia="zh-CN"/>
              </w:rPr>
            </w:pPr>
            <w:r>
              <w:rPr>
                <w:rFonts w:hint="eastAsia"/>
                <w:b/>
                <w:bCs w:val="0"/>
                <w:sz w:val="24"/>
                <w:szCs w:val="24"/>
                <w:lang w:eastAsia="zh-CN"/>
              </w:rPr>
              <w:t>（</w:t>
            </w:r>
            <w:r>
              <w:rPr>
                <w:rFonts w:hint="eastAsia"/>
                <w:b/>
                <w:bCs w:val="0"/>
                <w:sz w:val="24"/>
                <w:szCs w:val="24"/>
                <w:lang w:val="en-US" w:eastAsia="zh-CN"/>
              </w:rPr>
              <w:t>2</w:t>
            </w:r>
            <w:r>
              <w:rPr>
                <w:rFonts w:hint="eastAsia"/>
                <w:b/>
                <w:bCs w:val="0"/>
                <w:sz w:val="24"/>
                <w:szCs w:val="24"/>
                <w:lang w:eastAsia="zh-CN"/>
              </w:rPr>
              <w:t>）项目对植被的破坏影响分析</w:t>
            </w:r>
          </w:p>
          <w:p>
            <w:pPr>
              <w:adjustRightInd w:val="0"/>
              <w:snapToGrid w:val="0"/>
              <w:spacing w:line="480" w:lineRule="exact"/>
              <w:ind w:firstLine="480" w:firstLineChars="200"/>
              <w:rPr>
                <w:rFonts w:hint="eastAsia"/>
                <w:bCs/>
                <w:color w:val="auto"/>
                <w:sz w:val="24"/>
                <w:szCs w:val="24"/>
                <w:lang w:val="en-US" w:eastAsia="zh-CN"/>
              </w:rPr>
            </w:pPr>
            <w:r>
              <w:rPr>
                <w:rFonts w:hint="eastAsia"/>
                <w:bCs/>
                <w:color w:val="auto"/>
                <w:sz w:val="24"/>
                <w:szCs w:val="24"/>
                <w:lang w:val="en-US" w:eastAsia="zh-CN"/>
              </w:rPr>
              <w:t>本项目永久占地22.0662公顷，占地范围土地利用性质主要为其他草地、交通用地、灌木林地、乔木林地、城镇居民用地、旱地、裸地等。项目建设会破坏占地范围内的农作物、草地、林地，使植被生物量减少，因此本项目的建成后永久占地会对植被产生一定的影响。</w:t>
            </w:r>
          </w:p>
          <w:p>
            <w:pPr>
              <w:adjustRightInd w:val="0"/>
              <w:snapToGrid w:val="0"/>
              <w:spacing w:line="480" w:lineRule="exact"/>
              <w:ind w:firstLine="480" w:firstLineChars="200"/>
              <w:rPr>
                <w:rFonts w:hint="eastAsia"/>
                <w:bCs/>
                <w:sz w:val="24"/>
                <w:szCs w:val="24"/>
              </w:rPr>
            </w:pPr>
            <w:r>
              <w:rPr>
                <w:rFonts w:hint="eastAsia"/>
                <w:bCs/>
                <w:sz w:val="24"/>
                <w:szCs w:val="24"/>
                <w:lang w:val="en-US" w:eastAsia="zh-CN"/>
              </w:rPr>
              <w:t>道路周边多为</w:t>
            </w:r>
            <w:r>
              <w:rPr>
                <w:rFonts w:hint="eastAsia"/>
                <w:bCs/>
                <w:color w:val="auto"/>
                <w:sz w:val="24"/>
                <w:szCs w:val="24"/>
                <w:lang w:val="en-US" w:eastAsia="zh-CN"/>
              </w:rPr>
              <w:t>农作物、草地、林地</w:t>
            </w:r>
            <w:r>
              <w:rPr>
                <w:rFonts w:hint="eastAsia"/>
                <w:bCs/>
                <w:sz w:val="24"/>
                <w:szCs w:val="24"/>
                <w:lang w:val="en-US" w:eastAsia="zh-CN"/>
              </w:rPr>
              <w:t>，临时占地主要为</w:t>
            </w:r>
            <w:r>
              <w:rPr>
                <w:rFonts w:hint="eastAsia"/>
                <w:bCs/>
                <w:color w:val="auto"/>
                <w:sz w:val="24"/>
                <w:szCs w:val="24"/>
                <w:lang w:val="en-US" w:eastAsia="zh-CN"/>
              </w:rPr>
              <w:t>农作物、草地、林地</w:t>
            </w:r>
            <w:r>
              <w:rPr>
                <w:rFonts w:hint="eastAsia"/>
                <w:bCs/>
                <w:sz w:val="24"/>
                <w:szCs w:val="24"/>
                <w:lang w:val="en-US" w:eastAsia="zh-CN"/>
              </w:rPr>
              <w:t>，</w:t>
            </w:r>
            <w:r>
              <w:rPr>
                <w:rFonts w:hint="eastAsia"/>
                <w:bCs/>
                <w:sz w:val="24"/>
                <w:szCs w:val="24"/>
              </w:rPr>
              <w:t>施工</w:t>
            </w:r>
            <w:r>
              <w:rPr>
                <w:rFonts w:hint="eastAsia"/>
                <w:bCs/>
                <w:sz w:val="24"/>
                <w:szCs w:val="24"/>
                <w:lang w:val="en-US" w:eastAsia="zh-CN"/>
              </w:rPr>
              <w:t>作业过程可能会对道路周边</w:t>
            </w:r>
            <w:r>
              <w:rPr>
                <w:rFonts w:hint="eastAsia"/>
                <w:bCs/>
                <w:sz w:val="24"/>
                <w:szCs w:val="24"/>
              </w:rPr>
              <w:t>的植被造成破坏，将导致道路沿线植被覆盖率和绿色生物量水平降低或变化。但是，以上影响是短期的，</w:t>
            </w:r>
            <w:r>
              <w:rPr>
                <w:rFonts w:hint="eastAsia"/>
                <w:bCs/>
                <w:sz w:val="24"/>
                <w:szCs w:val="24"/>
                <w:lang w:val="en-US" w:eastAsia="zh-CN"/>
              </w:rPr>
              <w:t>评价要求施工单位严格划分施工作业带，严禁超越施工作业带范围作业，加强管理，严禁施工人员超越施工作业带从事其他活动。</w:t>
            </w:r>
            <w:r>
              <w:rPr>
                <w:rFonts w:hint="eastAsia"/>
                <w:bCs/>
                <w:sz w:val="24"/>
                <w:szCs w:val="24"/>
              </w:rPr>
              <w:t>随着工程绿化带的建设，</w:t>
            </w:r>
            <w:r>
              <w:rPr>
                <w:rFonts w:hint="eastAsia"/>
                <w:bCs/>
                <w:sz w:val="24"/>
                <w:szCs w:val="24"/>
                <w:lang w:val="en-US" w:eastAsia="zh-CN"/>
              </w:rPr>
              <w:t>临时占地的</w:t>
            </w:r>
            <w:r>
              <w:rPr>
                <w:rFonts w:hint="eastAsia"/>
                <w:bCs/>
                <w:sz w:val="24"/>
                <w:szCs w:val="24"/>
              </w:rPr>
              <w:t>不利影响会得以恢复或补偿。</w:t>
            </w:r>
          </w:p>
          <w:p>
            <w:pPr>
              <w:adjustRightInd w:val="0"/>
              <w:snapToGrid w:val="0"/>
              <w:spacing w:line="480" w:lineRule="exact"/>
              <w:ind w:firstLine="482" w:firstLineChars="200"/>
              <w:rPr>
                <w:rFonts w:hint="eastAsia" w:eastAsia="宋体"/>
                <w:b/>
                <w:bCs w:val="0"/>
                <w:sz w:val="24"/>
                <w:szCs w:val="24"/>
                <w:lang w:eastAsia="zh-CN"/>
              </w:rPr>
            </w:pPr>
            <w:r>
              <w:rPr>
                <w:rFonts w:hint="eastAsia"/>
                <w:b/>
                <w:bCs w:val="0"/>
                <w:sz w:val="24"/>
                <w:szCs w:val="24"/>
                <w:lang w:eastAsia="zh-CN"/>
              </w:rPr>
              <w:t>（</w:t>
            </w:r>
            <w:r>
              <w:rPr>
                <w:rFonts w:hint="eastAsia"/>
                <w:b/>
                <w:bCs w:val="0"/>
                <w:sz w:val="24"/>
                <w:szCs w:val="24"/>
                <w:lang w:val="en-US" w:eastAsia="zh-CN"/>
              </w:rPr>
              <w:t>3</w:t>
            </w:r>
            <w:r>
              <w:rPr>
                <w:rFonts w:hint="eastAsia"/>
                <w:b/>
                <w:bCs w:val="0"/>
                <w:sz w:val="24"/>
                <w:szCs w:val="24"/>
                <w:lang w:eastAsia="zh-CN"/>
              </w:rPr>
              <w:t>）项目对水土流失的影响分析</w:t>
            </w:r>
          </w:p>
          <w:p>
            <w:pPr>
              <w:adjustRightInd w:val="0"/>
              <w:snapToGrid w:val="0"/>
              <w:spacing w:line="480" w:lineRule="exact"/>
              <w:ind w:firstLine="480" w:firstLineChars="200"/>
              <w:rPr>
                <w:rFonts w:hint="eastAsia"/>
                <w:bCs/>
                <w:sz w:val="24"/>
                <w:szCs w:val="24"/>
              </w:rPr>
            </w:pPr>
            <w:r>
              <w:rPr>
                <w:rFonts w:hint="eastAsia"/>
                <w:bCs/>
                <w:sz w:val="24"/>
                <w:szCs w:val="24"/>
              </w:rPr>
              <w:t>工程施工期由于开挖土地和路堤工程，使土地直接裸露，会加重水土侵蚀强度。根据可研，本项目道路的建设分段实施，路面与绿化工程同时进行，对修筑好的道路两侧及时进行绿化工程后，可减小水土流失量。</w:t>
            </w:r>
            <w:r>
              <w:rPr>
                <w:rFonts w:hint="eastAsia"/>
                <w:bCs/>
                <w:sz w:val="24"/>
                <w:szCs w:val="24"/>
                <w:lang w:val="en-US" w:eastAsia="zh-CN"/>
              </w:rPr>
              <w:t>且本项目为道路改造项目，开挖面积较小，因此，产生水土流失较少。</w:t>
            </w:r>
          </w:p>
          <w:p>
            <w:pPr>
              <w:adjustRightInd w:val="0"/>
              <w:snapToGrid w:val="0"/>
              <w:spacing w:line="480" w:lineRule="exact"/>
              <w:ind w:firstLine="482" w:firstLineChars="200"/>
              <w:rPr>
                <w:rFonts w:hint="eastAsia" w:eastAsia="宋体"/>
                <w:b/>
                <w:bCs w:val="0"/>
                <w:sz w:val="24"/>
                <w:szCs w:val="24"/>
                <w:lang w:eastAsia="zh-CN"/>
              </w:rPr>
            </w:pPr>
            <w:r>
              <w:rPr>
                <w:rFonts w:hint="eastAsia"/>
                <w:b/>
                <w:bCs w:val="0"/>
                <w:sz w:val="24"/>
                <w:szCs w:val="24"/>
                <w:lang w:eastAsia="zh-CN"/>
              </w:rPr>
              <w:t>（</w:t>
            </w:r>
            <w:r>
              <w:rPr>
                <w:rFonts w:hint="eastAsia"/>
                <w:b/>
                <w:bCs w:val="0"/>
                <w:sz w:val="24"/>
                <w:szCs w:val="24"/>
                <w:lang w:val="en-US" w:eastAsia="zh-CN"/>
              </w:rPr>
              <w:t>4</w:t>
            </w:r>
            <w:r>
              <w:rPr>
                <w:rFonts w:hint="eastAsia"/>
                <w:b/>
                <w:bCs w:val="0"/>
                <w:sz w:val="24"/>
                <w:szCs w:val="24"/>
                <w:lang w:eastAsia="zh-CN"/>
              </w:rPr>
              <w:t>）</w:t>
            </w:r>
            <w:r>
              <w:rPr>
                <w:rFonts w:hint="eastAsia"/>
                <w:b/>
                <w:bCs w:val="0"/>
                <w:sz w:val="24"/>
                <w:szCs w:val="24"/>
                <w:lang w:val="en-US" w:eastAsia="zh-CN"/>
              </w:rPr>
              <w:t>桥梁</w:t>
            </w:r>
            <w:r>
              <w:rPr>
                <w:rFonts w:hint="eastAsia"/>
                <w:b/>
                <w:bCs w:val="0"/>
                <w:sz w:val="24"/>
                <w:szCs w:val="24"/>
                <w:lang w:eastAsia="zh-CN"/>
              </w:rPr>
              <w:t>工程对水生生态环境的影响分析</w:t>
            </w:r>
          </w:p>
          <w:p>
            <w:pPr>
              <w:adjustRightInd w:val="0"/>
              <w:snapToGrid w:val="0"/>
              <w:spacing w:line="480" w:lineRule="exact"/>
              <w:ind w:firstLine="480" w:firstLineChars="200"/>
              <w:rPr>
                <w:rFonts w:hint="eastAsia"/>
                <w:bCs/>
                <w:color w:val="auto"/>
                <w:sz w:val="24"/>
                <w:szCs w:val="24"/>
              </w:rPr>
            </w:pPr>
            <w:r>
              <w:rPr>
                <w:rFonts w:hint="eastAsia"/>
                <w:bCs/>
                <w:color w:val="auto"/>
                <w:sz w:val="24"/>
                <w:szCs w:val="24"/>
                <w:lang w:val="en-US" w:eastAsia="zh-CN"/>
              </w:rPr>
              <w:t>本项目需跨越滤泗河，建设单位拟通过建设桥梁跨越河流，</w:t>
            </w:r>
            <w:r>
              <w:rPr>
                <w:rFonts w:hint="eastAsia"/>
                <w:bCs/>
                <w:color w:val="auto"/>
                <w:sz w:val="24"/>
                <w:szCs w:val="24"/>
              </w:rPr>
              <w:t>建设施工期对水生生态的影响主要表现为：</w:t>
            </w:r>
            <w:r>
              <w:rPr>
                <w:rFonts w:hint="eastAsia"/>
                <w:bCs/>
                <w:color w:val="auto"/>
                <w:sz w:val="24"/>
                <w:szCs w:val="24"/>
                <w:lang w:val="en-US" w:eastAsia="zh-CN"/>
              </w:rPr>
              <w:t>桥梁</w:t>
            </w:r>
            <w:r>
              <w:rPr>
                <w:rFonts w:hint="eastAsia"/>
                <w:bCs/>
                <w:color w:val="auto"/>
                <w:sz w:val="24"/>
                <w:szCs w:val="24"/>
              </w:rPr>
              <w:t>施工作业引起水质的变化及水域附近生态环境的变化，从而引起水生生物生存环境的变化，造成物种数量的减少，主要是底栖生物量的减少，但是这种影响是短暂的，施工活动结束后，水生生物的生存环境将会逐渐得到恢复。</w:t>
            </w:r>
          </w:p>
          <w:p>
            <w:pPr>
              <w:adjustRightInd w:val="0"/>
              <w:snapToGrid w:val="0"/>
              <w:spacing w:line="480" w:lineRule="exact"/>
              <w:ind w:firstLine="480" w:firstLineChars="200"/>
              <w:rPr>
                <w:rFonts w:hint="eastAsia"/>
                <w:bCs/>
                <w:sz w:val="24"/>
                <w:szCs w:val="24"/>
              </w:rPr>
            </w:pPr>
            <w:r>
              <w:rPr>
                <w:rFonts w:hint="eastAsia"/>
                <w:bCs/>
                <w:sz w:val="24"/>
                <w:szCs w:val="24"/>
                <w:lang w:eastAsia="zh-CN"/>
              </w:rPr>
              <w:t>①</w:t>
            </w:r>
            <w:r>
              <w:rPr>
                <w:rFonts w:hint="eastAsia"/>
                <w:bCs/>
                <w:sz w:val="24"/>
                <w:szCs w:val="24"/>
              </w:rPr>
              <w:t>对浮游生物的影响分析</w:t>
            </w:r>
          </w:p>
          <w:p>
            <w:pPr>
              <w:adjustRightInd w:val="0"/>
              <w:snapToGrid w:val="0"/>
              <w:spacing w:line="480" w:lineRule="exact"/>
              <w:ind w:firstLine="480" w:firstLineChars="200"/>
              <w:rPr>
                <w:rFonts w:hint="eastAsia"/>
                <w:bCs/>
                <w:sz w:val="24"/>
                <w:szCs w:val="24"/>
              </w:rPr>
            </w:pPr>
            <w:r>
              <w:rPr>
                <w:rFonts w:hint="eastAsia"/>
                <w:bCs/>
                <w:sz w:val="24"/>
                <w:szCs w:val="24"/>
                <w:lang w:val="en-US" w:eastAsia="zh-CN"/>
              </w:rPr>
              <w:t>桥梁</w:t>
            </w:r>
            <w:r>
              <w:rPr>
                <w:rFonts w:hint="eastAsia"/>
                <w:bCs/>
                <w:sz w:val="24"/>
                <w:szCs w:val="24"/>
              </w:rPr>
              <w:t>作业场一般临近水体，施工材料受暴雨冲刷产生的悬浮物会导致水体浑浊，不利于浮游植物的繁殖生长，导致施工区域浮游植物种类和生物量降低。</w:t>
            </w:r>
          </w:p>
          <w:p>
            <w:pPr>
              <w:adjustRightInd w:val="0"/>
              <w:snapToGrid w:val="0"/>
              <w:spacing w:line="480" w:lineRule="exact"/>
              <w:ind w:firstLine="480" w:firstLineChars="200"/>
              <w:rPr>
                <w:rFonts w:hint="eastAsia"/>
                <w:bCs/>
                <w:sz w:val="24"/>
                <w:szCs w:val="24"/>
              </w:rPr>
            </w:pPr>
            <w:r>
              <w:rPr>
                <w:rFonts w:hint="eastAsia"/>
                <w:bCs/>
                <w:sz w:val="24"/>
                <w:szCs w:val="24"/>
              </w:rPr>
              <w:t>悬浮物的排放会改变浮游动物的生长环境，对浮游动物的生长率、摄食率等产生影响，浮游动物会因水质的变化而死亡，导致施工区域内生物量减少。</w:t>
            </w:r>
          </w:p>
          <w:p>
            <w:pPr>
              <w:adjustRightInd w:val="0"/>
              <w:snapToGrid w:val="0"/>
              <w:spacing w:line="480" w:lineRule="exact"/>
              <w:ind w:firstLine="480" w:firstLineChars="200"/>
              <w:rPr>
                <w:rFonts w:hint="eastAsia"/>
                <w:bCs/>
                <w:sz w:val="24"/>
                <w:szCs w:val="24"/>
              </w:rPr>
            </w:pPr>
            <w:r>
              <w:rPr>
                <w:rFonts w:hint="eastAsia"/>
                <w:bCs/>
                <w:sz w:val="24"/>
                <w:szCs w:val="24"/>
              </w:rPr>
              <w:t>因此，必须采取必要的环保措施，加强</w:t>
            </w:r>
            <w:r>
              <w:rPr>
                <w:rFonts w:hint="eastAsia"/>
                <w:bCs/>
                <w:sz w:val="24"/>
                <w:szCs w:val="24"/>
                <w:lang w:val="en-US" w:eastAsia="zh-CN"/>
              </w:rPr>
              <w:t>桥梁</w:t>
            </w:r>
            <w:r>
              <w:rPr>
                <w:rFonts w:hint="eastAsia"/>
                <w:bCs/>
                <w:sz w:val="24"/>
                <w:szCs w:val="24"/>
              </w:rPr>
              <w:t>建设点的管理，避免污废水排入水体，以减轻对浮游动物的影响。</w:t>
            </w:r>
            <w:r>
              <w:rPr>
                <w:rFonts w:hint="eastAsia"/>
                <w:bCs/>
                <w:sz w:val="24"/>
                <w:szCs w:val="24"/>
                <w:lang w:val="en-US" w:eastAsia="zh-CN"/>
              </w:rPr>
              <w:t>桥梁</w:t>
            </w:r>
            <w:r>
              <w:rPr>
                <w:rFonts w:hint="eastAsia"/>
                <w:bCs/>
                <w:sz w:val="24"/>
                <w:szCs w:val="24"/>
              </w:rPr>
              <w:t>施工时注意围挡以控制浮游生物受影响的区域范围</w:t>
            </w:r>
            <w:r>
              <w:rPr>
                <w:rFonts w:hint="eastAsia"/>
                <w:bCs/>
                <w:sz w:val="24"/>
                <w:szCs w:val="24"/>
                <w:lang w:eastAsia="zh-CN"/>
              </w:rPr>
              <w:t>，排放</w:t>
            </w:r>
            <w:r>
              <w:rPr>
                <w:rFonts w:hint="eastAsia"/>
                <w:bCs/>
                <w:sz w:val="24"/>
                <w:szCs w:val="24"/>
              </w:rPr>
              <w:t>的悬浮物在经过一定距离沉淀后，可进一步减轻对水生生物的影响。施工结束后，随着稀释和水体的自净作用，水质逐渐改善，浮游动物可基本恢复到施工前的水平。</w:t>
            </w:r>
          </w:p>
          <w:p>
            <w:pPr>
              <w:adjustRightInd w:val="0"/>
              <w:snapToGrid w:val="0"/>
              <w:spacing w:line="480" w:lineRule="exact"/>
              <w:ind w:firstLine="480" w:firstLineChars="200"/>
              <w:rPr>
                <w:rFonts w:hint="eastAsia"/>
                <w:bCs/>
                <w:sz w:val="24"/>
                <w:szCs w:val="24"/>
              </w:rPr>
            </w:pPr>
            <w:r>
              <w:rPr>
                <w:rFonts w:hint="eastAsia"/>
                <w:bCs/>
                <w:sz w:val="24"/>
                <w:szCs w:val="24"/>
                <w:lang w:eastAsia="zh-CN"/>
              </w:rPr>
              <w:t>②</w:t>
            </w:r>
            <w:r>
              <w:rPr>
                <w:rFonts w:hint="eastAsia"/>
                <w:bCs/>
                <w:sz w:val="24"/>
                <w:szCs w:val="24"/>
              </w:rPr>
              <w:t>对底栖生物的影响分析</w:t>
            </w:r>
          </w:p>
          <w:p>
            <w:pPr>
              <w:adjustRightInd w:val="0"/>
              <w:snapToGrid w:val="0"/>
              <w:spacing w:line="480" w:lineRule="exact"/>
              <w:ind w:firstLine="480" w:firstLineChars="200"/>
              <w:rPr>
                <w:rFonts w:hint="eastAsia"/>
                <w:bCs/>
                <w:sz w:val="24"/>
                <w:szCs w:val="24"/>
              </w:rPr>
            </w:pPr>
            <w:r>
              <w:rPr>
                <w:rFonts w:hint="eastAsia"/>
                <w:bCs/>
                <w:sz w:val="24"/>
                <w:szCs w:val="24"/>
              </w:rPr>
              <w:t>本项目沿线经过的河流河面较窄，水深较浅，底栖生物的种类和数量均较少。跨</w:t>
            </w:r>
            <w:r>
              <w:rPr>
                <w:rFonts w:hint="eastAsia"/>
                <w:bCs/>
                <w:sz w:val="24"/>
                <w:szCs w:val="24"/>
                <w:lang w:eastAsia="zh-CN"/>
              </w:rPr>
              <w:t>河流</w:t>
            </w:r>
            <w:r>
              <w:rPr>
                <w:rFonts w:hint="eastAsia"/>
                <w:bCs/>
                <w:sz w:val="24"/>
                <w:szCs w:val="24"/>
                <w:lang w:val="en-US" w:eastAsia="zh-CN"/>
              </w:rPr>
              <w:t>桥梁</w:t>
            </w:r>
            <w:r>
              <w:rPr>
                <w:rFonts w:hint="eastAsia"/>
                <w:bCs/>
                <w:sz w:val="24"/>
                <w:szCs w:val="24"/>
              </w:rPr>
              <w:t>施工过程中桩基将占用一部分水域，扰动河床，造成周围泥沙再悬浮，对扰动区的底栖生物产生一定的影响。施工完成后，底栖生物将重新分布并逐渐得以恢复。</w:t>
            </w:r>
          </w:p>
          <w:p>
            <w:pPr>
              <w:adjustRightInd w:val="0"/>
              <w:snapToGrid w:val="0"/>
              <w:spacing w:line="480" w:lineRule="exact"/>
              <w:ind w:firstLine="480" w:firstLineChars="200"/>
              <w:rPr>
                <w:rFonts w:hint="eastAsia"/>
                <w:bCs/>
                <w:sz w:val="24"/>
                <w:szCs w:val="24"/>
              </w:rPr>
            </w:pPr>
            <w:r>
              <w:rPr>
                <w:rFonts w:hint="eastAsia"/>
                <w:bCs/>
                <w:sz w:val="24"/>
                <w:szCs w:val="24"/>
                <w:lang w:eastAsia="zh-CN"/>
              </w:rPr>
              <w:t>③</w:t>
            </w:r>
            <w:r>
              <w:rPr>
                <w:rFonts w:hint="eastAsia"/>
                <w:bCs/>
                <w:sz w:val="24"/>
                <w:szCs w:val="24"/>
              </w:rPr>
              <w:t>对鱼类的影响分析</w:t>
            </w:r>
          </w:p>
          <w:p>
            <w:pPr>
              <w:adjustRightInd w:val="0"/>
              <w:snapToGrid w:val="0"/>
              <w:spacing w:line="480" w:lineRule="exact"/>
              <w:ind w:firstLine="480" w:firstLineChars="200"/>
              <w:rPr>
                <w:rFonts w:hint="eastAsia"/>
                <w:bCs/>
                <w:sz w:val="24"/>
                <w:szCs w:val="24"/>
              </w:rPr>
            </w:pPr>
            <w:r>
              <w:rPr>
                <w:rFonts w:hint="eastAsia"/>
                <w:bCs/>
                <w:sz w:val="24"/>
                <w:szCs w:val="24"/>
              </w:rPr>
              <w:t>本项目沿线跨越的河流流量</w:t>
            </w:r>
            <w:r>
              <w:rPr>
                <w:rFonts w:hint="eastAsia"/>
                <w:bCs/>
                <w:sz w:val="24"/>
                <w:szCs w:val="24"/>
                <w:lang w:val="en-US" w:eastAsia="zh-CN"/>
              </w:rPr>
              <w:t>较小</w:t>
            </w:r>
            <w:r>
              <w:rPr>
                <w:rFonts w:hint="eastAsia"/>
                <w:bCs/>
                <w:sz w:val="24"/>
                <w:szCs w:val="24"/>
              </w:rPr>
              <w:t>，现有鱼类种类和数量较少。施工期由于施工污废水排放导致水体中悬浮物、石油类等污染物增加，将造成浮游生物、底栖动物等饵料生物量的减少，改变原有鱼类的生存、繁衍条件，鱼类将择水栖迁到其它地方，局部施工区域鱼类密度降低。</w:t>
            </w:r>
          </w:p>
          <w:p>
            <w:pPr>
              <w:adjustRightInd w:val="0"/>
              <w:snapToGrid w:val="0"/>
              <w:spacing w:line="480" w:lineRule="exact"/>
              <w:ind w:firstLine="482" w:firstLineChars="200"/>
              <w:rPr>
                <w:rFonts w:hint="eastAsia" w:eastAsia="宋体"/>
                <w:b/>
                <w:bCs w:val="0"/>
                <w:sz w:val="24"/>
                <w:szCs w:val="24"/>
                <w:lang w:eastAsia="zh-CN"/>
              </w:rPr>
            </w:pPr>
            <w:r>
              <w:rPr>
                <w:rFonts w:hint="eastAsia"/>
                <w:b/>
                <w:bCs w:val="0"/>
                <w:sz w:val="24"/>
                <w:szCs w:val="24"/>
                <w:lang w:eastAsia="zh-CN"/>
              </w:rPr>
              <w:t>（</w:t>
            </w:r>
            <w:r>
              <w:rPr>
                <w:rFonts w:hint="eastAsia"/>
                <w:b/>
                <w:bCs w:val="0"/>
                <w:sz w:val="24"/>
                <w:szCs w:val="24"/>
                <w:lang w:val="en-US" w:eastAsia="zh-CN"/>
              </w:rPr>
              <w:t>5</w:t>
            </w:r>
            <w:r>
              <w:rPr>
                <w:rFonts w:hint="eastAsia"/>
                <w:b/>
                <w:bCs w:val="0"/>
                <w:sz w:val="24"/>
                <w:szCs w:val="24"/>
                <w:lang w:eastAsia="zh-CN"/>
              </w:rPr>
              <w:t>）</w:t>
            </w:r>
            <w:r>
              <w:rPr>
                <w:b/>
                <w:color w:val="000000"/>
                <w:kern w:val="0"/>
                <w:sz w:val="24"/>
              </w:rPr>
              <w:t>项目对周围景观的影响分析</w:t>
            </w:r>
          </w:p>
          <w:p>
            <w:pPr>
              <w:adjustRightInd w:val="0"/>
              <w:snapToGrid w:val="0"/>
              <w:spacing w:line="480" w:lineRule="exact"/>
              <w:ind w:firstLine="480" w:firstLineChars="200"/>
              <w:rPr>
                <w:rFonts w:hint="eastAsia"/>
                <w:bCs/>
                <w:sz w:val="24"/>
                <w:szCs w:val="24"/>
              </w:rPr>
            </w:pPr>
            <w:r>
              <w:rPr>
                <w:rFonts w:hint="eastAsia"/>
                <w:bCs/>
                <w:sz w:val="24"/>
                <w:szCs w:val="24"/>
              </w:rPr>
              <w:t>本项目施工过程中基础开挖、土石方、建筑材料的堆放，临时建筑物或机械设备的乱停放，都将会破坏自然景观要素，一定程度上损害局部区域景观。为妥善保护好沿线的生态景观环境。施工期要做到：施工期道路建设尽量在红线范围进行；施工期设档防板作围障，减少景观污染；施工过程应注意保护相邻地带的植被；工程结束后及时清理施工现场，撤出占用场地。</w:t>
            </w:r>
          </w:p>
          <w:p>
            <w:pPr>
              <w:adjustRightInd w:val="0"/>
              <w:snapToGrid w:val="0"/>
              <w:spacing w:line="480" w:lineRule="exact"/>
              <w:ind w:firstLine="480" w:firstLineChars="200"/>
              <w:rPr>
                <w:rFonts w:hint="eastAsia" w:eastAsia="宋体"/>
                <w:bCs/>
                <w:sz w:val="24"/>
                <w:szCs w:val="24"/>
                <w:lang w:eastAsia="zh-CN"/>
              </w:rPr>
            </w:pPr>
            <w:r>
              <w:rPr>
                <w:rFonts w:hint="eastAsia"/>
                <w:bCs/>
                <w:sz w:val="24"/>
                <w:szCs w:val="24"/>
              </w:rPr>
              <w:t>采取以上措施后，可将工程施工期对景观产生的影响在</w:t>
            </w:r>
            <w:r>
              <w:rPr>
                <w:rFonts w:hint="eastAsia"/>
                <w:bCs/>
                <w:sz w:val="24"/>
                <w:szCs w:val="24"/>
                <w:lang w:eastAsia="zh-CN"/>
              </w:rPr>
              <w:t>最短的时间</w:t>
            </w:r>
            <w:r>
              <w:rPr>
                <w:rFonts w:hint="eastAsia"/>
                <w:bCs/>
                <w:sz w:val="24"/>
                <w:szCs w:val="24"/>
              </w:rPr>
              <w:t>内得到恢复</w:t>
            </w:r>
            <w:r>
              <w:rPr>
                <w:rFonts w:hint="eastAsia"/>
                <w:bCs/>
                <w:sz w:val="24"/>
                <w:szCs w:val="24"/>
                <w:lang w:eastAsia="zh-CN"/>
              </w:rPr>
              <w:t>。</w:t>
            </w:r>
          </w:p>
          <w:p>
            <w:pPr>
              <w:adjustRightInd w:val="0"/>
              <w:snapToGrid w:val="0"/>
              <w:spacing w:line="480" w:lineRule="exact"/>
              <w:ind w:firstLine="482" w:firstLineChars="200"/>
              <w:rPr>
                <w:b/>
                <w:sz w:val="24"/>
                <w:szCs w:val="24"/>
              </w:rPr>
            </w:pPr>
            <w:r>
              <w:rPr>
                <w:b/>
                <w:sz w:val="24"/>
                <w:szCs w:val="24"/>
              </w:rPr>
              <w:t>2、</w:t>
            </w:r>
            <w:r>
              <w:rPr>
                <w:rFonts w:hint="eastAsia"/>
                <w:b/>
                <w:sz w:val="24"/>
                <w:szCs w:val="24"/>
              </w:rPr>
              <w:t>施工期大气环境影响分析</w:t>
            </w:r>
          </w:p>
          <w:p>
            <w:pPr>
              <w:adjustRightInd w:val="0"/>
              <w:snapToGrid w:val="0"/>
              <w:spacing w:line="480" w:lineRule="exact"/>
              <w:ind w:firstLine="480" w:firstLineChars="200"/>
              <w:rPr>
                <w:sz w:val="24"/>
              </w:rPr>
            </w:pPr>
            <w:r>
              <w:rPr>
                <w:sz w:val="24"/>
              </w:rPr>
              <w:t>扬尘是施工期影响环境空气的主要污染物，来源于各无组织排放，主要是物料运输、装卸、土石方挖填，材料堆存等产生的扬尘和道路铺设过程产生的沥青烟气。</w:t>
            </w:r>
          </w:p>
          <w:p>
            <w:pPr>
              <w:adjustRightInd w:val="0"/>
              <w:snapToGrid w:val="0"/>
              <w:spacing w:line="480" w:lineRule="exact"/>
              <w:ind w:firstLine="482" w:firstLineChars="200"/>
              <w:rPr>
                <w:rFonts w:hint="default" w:eastAsia="宋体"/>
                <w:b/>
                <w:bCs w:val="0"/>
                <w:sz w:val="24"/>
                <w:lang w:val="en-US" w:eastAsia="zh-CN"/>
              </w:rPr>
            </w:pPr>
            <w:r>
              <w:rPr>
                <w:rFonts w:hint="eastAsia"/>
                <w:b/>
                <w:bCs w:val="0"/>
                <w:sz w:val="24"/>
                <w:lang w:eastAsia="zh-CN"/>
              </w:rPr>
              <w:t>（</w:t>
            </w:r>
            <w:r>
              <w:rPr>
                <w:rFonts w:hint="eastAsia"/>
                <w:b/>
                <w:bCs w:val="0"/>
                <w:sz w:val="24"/>
                <w:lang w:val="en-US" w:eastAsia="zh-CN"/>
              </w:rPr>
              <w:t>1</w:t>
            </w:r>
            <w:r>
              <w:rPr>
                <w:rFonts w:hint="eastAsia"/>
                <w:b/>
                <w:bCs w:val="0"/>
                <w:sz w:val="24"/>
                <w:lang w:eastAsia="zh-CN"/>
              </w:rPr>
              <w:t>）</w:t>
            </w:r>
            <w:r>
              <w:rPr>
                <w:rFonts w:hint="eastAsia"/>
                <w:b/>
                <w:bCs w:val="0"/>
                <w:sz w:val="24"/>
                <w:lang w:val="en-US" w:eastAsia="zh-CN"/>
              </w:rPr>
              <w:t>施工扬尘</w:t>
            </w:r>
          </w:p>
          <w:p>
            <w:pPr>
              <w:adjustRightInd w:val="0"/>
              <w:snapToGrid w:val="0"/>
              <w:spacing w:line="480" w:lineRule="exact"/>
              <w:ind w:firstLine="480" w:firstLineChars="200"/>
              <w:rPr>
                <w:rFonts w:hint="eastAsia"/>
                <w:bCs/>
                <w:sz w:val="24"/>
              </w:rPr>
            </w:pPr>
            <w:r>
              <w:rPr>
                <w:rFonts w:hint="eastAsia"/>
                <w:bCs/>
                <w:sz w:val="24"/>
              </w:rPr>
              <w:t>施工期的大气污染受施工阶段、施工管理、天气条件的影响而不同，在土石方阶段扬尘最大，使局部地区空气中含尘量较高，铺路阶段次之，修整阶段扬尘最小。经北京市环保研究所测定，土石方阶段，在距源强1m处、20m处、50m处的扬尘浓度分别为11.03mg/m</w:t>
            </w:r>
            <w:r>
              <w:rPr>
                <w:rFonts w:hint="eastAsia"/>
                <w:bCs/>
                <w:sz w:val="24"/>
                <w:vertAlign w:val="superscript"/>
              </w:rPr>
              <w:t>3</w:t>
            </w:r>
            <w:r>
              <w:rPr>
                <w:rFonts w:hint="eastAsia"/>
                <w:bCs/>
                <w:sz w:val="24"/>
              </w:rPr>
              <w:t>、2.89mg/m</w:t>
            </w:r>
            <w:r>
              <w:rPr>
                <w:rFonts w:hint="eastAsia"/>
                <w:bCs/>
                <w:sz w:val="24"/>
                <w:vertAlign w:val="superscript"/>
              </w:rPr>
              <w:t>3</w:t>
            </w:r>
            <w:r>
              <w:rPr>
                <w:rFonts w:hint="eastAsia"/>
                <w:bCs/>
                <w:sz w:val="24"/>
              </w:rPr>
              <w:t>、1.15mg/m</w:t>
            </w:r>
            <w:r>
              <w:rPr>
                <w:rFonts w:hint="eastAsia"/>
                <w:bCs/>
                <w:sz w:val="24"/>
                <w:vertAlign w:val="superscript"/>
              </w:rPr>
              <w:t>3</w:t>
            </w:r>
            <w:r>
              <w:rPr>
                <w:rFonts w:hint="eastAsia"/>
                <w:bCs/>
                <w:sz w:val="24"/>
              </w:rPr>
              <w:t>。由于污染源多是间歇性扬尘低的源，因此只在近距离形成局部污染。但施工现场的污染物未经充分扩散稀释就进入地面呼吸地带，会给现场施工人员的生活和健康带来一定的影响。</w:t>
            </w:r>
          </w:p>
          <w:p>
            <w:pPr>
              <w:adjustRightInd w:val="0"/>
              <w:snapToGrid w:val="0"/>
              <w:spacing w:line="480" w:lineRule="exact"/>
              <w:ind w:firstLine="480" w:firstLineChars="200"/>
              <w:rPr>
                <w:rFonts w:hint="eastAsia"/>
                <w:bCs/>
                <w:sz w:val="24"/>
              </w:rPr>
            </w:pPr>
            <w:r>
              <w:rPr>
                <w:rFonts w:hint="eastAsia"/>
                <w:bCs/>
                <w:sz w:val="24"/>
              </w:rPr>
              <w:t>针对以上环境影响，本次环评提出以下环保措施。</w:t>
            </w:r>
          </w:p>
          <w:p>
            <w:pPr>
              <w:adjustRightInd w:val="0"/>
              <w:snapToGrid w:val="0"/>
              <w:spacing w:line="480" w:lineRule="exact"/>
              <w:ind w:firstLine="480" w:firstLineChars="200"/>
              <w:rPr>
                <w:rFonts w:hint="eastAsia"/>
                <w:bCs/>
                <w:sz w:val="24"/>
              </w:rPr>
            </w:pPr>
            <w:r>
              <w:rPr>
                <w:rFonts w:hint="eastAsia"/>
                <w:bCs/>
                <w:sz w:val="24"/>
              </w:rPr>
              <w:t>按照《山西省人民政府办公厅关于印发山西省大气污染防治行动计划的通知》（晋政办发〔2018〕52号）</w:t>
            </w:r>
            <w:r>
              <w:rPr>
                <w:rFonts w:hint="eastAsia"/>
                <w:bCs/>
                <w:sz w:val="24"/>
                <w:lang w:val="en-US" w:eastAsia="zh-CN"/>
              </w:rPr>
              <w:t>和《忻州市2021-2022年秋冬季大气污染综合治理攻坚方案》等</w:t>
            </w:r>
            <w:r>
              <w:rPr>
                <w:rFonts w:hint="eastAsia"/>
                <w:bCs/>
                <w:sz w:val="24"/>
              </w:rPr>
              <w:t>文件，要求建设单位在施工工地公示扬尘污染防治措施、负责人、扬尘监督管理主管部门等信息，确保做到工地周边围挡、物料堆放覆盖、土方开挖湿法作业、路面硬化、出入车辆清洗、渣土车辆密闭运输“六个百分之百”。</w:t>
            </w:r>
          </w:p>
          <w:p>
            <w:pPr>
              <w:adjustRightInd w:val="0"/>
              <w:snapToGrid w:val="0"/>
              <w:spacing w:line="480" w:lineRule="exact"/>
              <w:ind w:firstLine="480" w:firstLineChars="200"/>
              <w:rPr>
                <w:rFonts w:hint="eastAsia"/>
                <w:bCs/>
                <w:sz w:val="24"/>
              </w:rPr>
            </w:pPr>
            <w:r>
              <w:rPr>
                <w:rFonts w:hint="eastAsia"/>
                <w:bCs/>
                <w:sz w:val="24"/>
              </w:rPr>
              <w:t>对主要物料采用工厂化定点生产或采购。工程主要建筑材料水泥、沥青采取商品混凝土和沥青混凝土形式，全部以商品成品直接外购，不在本地拌和；土石方堆场在产生扬尘的情况下应进行洒水，粉尘性材料堆场应进行覆盖，防止扬尘产生。</w:t>
            </w:r>
          </w:p>
          <w:p>
            <w:pPr>
              <w:adjustRightInd w:val="0"/>
              <w:snapToGrid w:val="0"/>
              <w:spacing w:line="480" w:lineRule="exact"/>
              <w:ind w:firstLine="480" w:firstLineChars="200"/>
              <w:rPr>
                <w:rFonts w:hint="eastAsia"/>
                <w:bCs/>
                <w:sz w:val="24"/>
              </w:rPr>
            </w:pPr>
            <w:r>
              <w:rPr>
                <w:rFonts w:hint="eastAsia"/>
                <w:bCs/>
                <w:sz w:val="24"/>
              </w:rPr>
              <w:t>建立车辆清洗点，对经常出入施工现场的车辆的车轮进行清洗，车辆经常过往的道路要保持路面平坦、清洁，并适当硬化和配备一定的洒水设施。</w:t>
            </w:r>
          </w:p>
          <w:p>
            <w:pPr>
              <w:adjustRightInd w:val="0"/>
              <w:snapToGrid w:val="0"/>
              <w:spacing w:line="480" w:lineRule="exact"/>
              <w:ind w:firstLine="480" w:firstLineChars="200"/>
              <w:rPr>
                <w:color w:val="auto"/>
                <w:sz w:val="24"/>
                <w:szCs w:val="32"/>
              </w:rPr>
            </w:pPr>
            <w:r>
              <w:rPr>
                <w:rFonts w:hint="eastAsia"/>
                <w:color w:val="auto"/>
                <w:sz w:val="24"/>
                <w:szCs w:val="32"/>
              </w:rPr>
              <w:t>本次评价对施工期大气污染防治提如下措施：</w:t>
            </w:r>
          </w:p>
          <w:p>
            <w:pPr>
              <w:adjustRightInd w:val="0"/>
              <w:snapToGrid w:val="0"/>
              <w:spacing w:line="480" w:lineRule="exact"/>
              <w:ind w:firstLine="480" w:firstLineChars="200"/>
              <w:rPr>
                <w:color w:val="auto"/>
                <w:sz w:val="24"/>
                <w:szCs w:val="32"/>
              </w:rPr>
            </w:pPr>
            <w:r>
              <w:rPr>
                <w:rFonts w:hint="eastAsia"/>
                <w:color w:val="auto"/>
                <w:sz w:val="24"/>
                <w:szCs w:val="32"/>
              </w:rPr>
              <w:t>①施工单位应当合理安排工期，在风速达四级及以上的天气情况下，应当停止易产生扬尘污染的施工作业，并采取相应的防尘措施。施工现场堆放的土石方及易产生扬尘污染的灰土、灰浆等物料应以不透水的隔尘布完全覆盖或放置在顶部且四周均密封、遮蔽的设施内。同时在工地建筑结构脚手架外侧设置有效抑尘的密目防尘网。</w:t>
            </w:r>
          </w:p>
          <w:p>
            <w:pPr>
              <w:adjustRightInd w:val="0"/>
              <w:snapToGrid w:val="0"/>
              <w:spacing w:line="480" w:lineRule="exact"/>
              <w:ind w:firstLine="480" w:firstLineChars="200"/>
              <w:rPr>
                <w:color w:val="auto"/>
                <w:sz w:val="24"/>
                <w:szCs w:val="32"/>
              </w:rPr>
            </w:pPr>
            <w:r>
              <w:rPr>
                <w:rFonts w:hint="eastAsia"/>
                <w:color w:val="auto"/>
                <w:sz w:val="24"/>
                <w:szCs w:val="32"/>
              </w:rPr>
              <w:t>②施工现场裸露地面应采取覆盖或临时绿化措施；施工场所要定期喷洒水，保持地面湿润，不起尘。</w:t>
            </w:r>
          </w:p>
          <w:p>
            <w:pPr>
              <w:adjustRightInd w:val="0"/>
              <w:snapToGrid w:val="0"/>
              <w:spacing w:line="480" w:lineRule="exact"/>
              <w:ind w:firstLine="480" w:firstLineChars="200"/>
              <w:rPr>
                <w:color w:val="auto"/>
                <w:sz w:val="24"/>
                <w:szCs w:val="32"/>
              </w:rPr>
            </w:pPr>
            <w:r>
              <w:rPr>
                <w:rFonts w:hint="eastAsia"/>
                <w:color w:val="auto"/>
                <w:sz w:val="24"/>
                <w:szCs w:val="32"/>
              </w:rPr>
              <w:t>③施工工地出入口处必须建设车辆出入口喷淋、冲洗设施，并设置统一格式的环境保护监督牌，标明扬尘防治措施、责任人及环保监督电话等。</w:t>
            </w:r>
          </w:p>
          <w:p>
            <w:pPr>
              <w:adjustRightInd w:val="0"/>
              <w:snapToGrid w:val="0"/>
              <w:spacing w:line="480" w:lineRule="exact"/>
              <w:ind w:firstLine="480" w:firstLineChars="200"/>
              <w:rPr>
                <w:color w:val="auto"/>
                <w:sz w:val="24"/>
                <w:szCs w:val="32"/>
              </w:rPr>
            </w:pPr>
            <w:r>
              <w:rPr>
                <w:rFonts w:hint="eastAsia"/>
                <w:color w:val="auto"/>
                <w:sz w:val="24"/>
                <w:szCs w:val="32"/>
              </w:rPr>
              <w:t>④严禁抛洒建筑垃圾；建筑垃圾应及时清运至环卫部门指定场所，不能及时清运的要定点密闭堆存，并采取防尘措施。</w:t>
            </w:r>
          </w:p>
          <w:p>
            <w:pPr>
              <w:adjustRightInd w:val="0"/>
              <w:snapToGrid w:val="0"/>
              <w:spacing w:line="480" w:lineRule="exact"/>
              <w:ind w:firstLine="480" w:firstLineChars="200"/>
              <w:rPr>
                <w:color w:val="auto"/>
                <w:sz w:val="24"/>
                <w:szCs w:val="32"/>
              </w:rPr>
            </w:pPr>
            <w:r>
              <w:rPr>
                <w:rFonts w:hint="eastAsia"/>
                <w:color w:val="auto"/>
                <w:sz w:val="24"/>
                <w:szCs w:val="32"/>
              </w:rPr>
              <w:t>⑤为减少运输扬尘造成的二次污染，评价要求进出工地的物料、渣土、垃圾运输车辆，装载的物料、垃圾、渣土高度不得超过车辆槽帮上沿，车斗用苫布遮盖或者采用密闭车斗。若车斗用苫布遮盖，应当严实密闭，苫布边缘至少要遮住槽帮上沿以下15公分，保证物料、渣土、垃圾等不露出。车辆应当按照批准的路线和时间进行物料、渣土、垃圾的运输，同时设置一台洒水车进行道路洒水抑尘。</w:t>
            </w:r>
          </w:p>
          <w:p>
            <w:pPr>
              <w:adjustRightInd w:val="0"/>
              <w:snapToGrid w:val="0"/>
              <w:spacing w:line="480" w:lineRule="exact"/>
              <w:ind w:firstLine="480" w:firstLineChars="200"/>
              <w:rPr>
                <w:color w:val="auto"/>
                <w:sz w:val="24"/>
                <w:szCs w:val="32"/>
              </w:rPr>
            </w:pPr>
            <w:r>
              <w:rPr>
                <w:rFonts w:hint="eastAsia"/>
                <w:color w:val="auto"/>
                <w:sz w:val="24"/>
                <w:szCs w:val="32"/>
              </w:rPr>
              <w:t>⑥车辆运输过程中产生的汽车尾气，一般仅局限于施工区域以及施工通道，对施工区域以外的环境空气影响比较小。评价要求施工单位选用符合国家有关卫生标准的施工机械和运输工具，使其排放的废气符合国家有关标准。</w:t>
            </w:r>
          </w:p>
          <w:p>
            <w:pPr>
              <w:adjustRightInd w:val="0"/>
              <w:snapToGrid w:val="0"/>
              <w:spacing w:line="480" w:lineRule="exact"/>
              <w:ind w:firstLine="480" w:firstLineChars="200"/>
              <w:rPr>
                <w:rFonts w:hint="eastAsia"/>
                <w:bCs/>
                <w:sz w:val="24"/>
                <w:lang w:val="en-US" w:eastAsia="zh-CN"/>
              </w:rPr>
            </w:pPr>
            <w:r>
              <w:rPr>
                <w:rFonts w:hint="eastAsia"/>
                <w:color w:val="auto"/>
                <w:sz w:val="24"/>
                <w:szCs w:val="32"/>
              </w:rPr>
              <w:t>评价要求施工工地必须严格按照项目环境影响评价确定的施工全过程污染防治实施方案要求，组织落实各项污染防治措施，确保建筑工地扬尘污染控制达标，综上所述，按照以上措施进行防治后对施工场地周围环境空气影响较小。</w:t>
            </w:r>
          </w:p>
          <w:p>
            <w:pPr>
              <w:adjustRightInd w:val="0"/>
              <w:snapToGrid w:val="0"/>
              <w:spacing w:line="480" w:lineRule="exact"/>
              <w:ind w:firstLine="482" w:firstLineChars="200"/>
              <w:rPr>
                <w:rFonts w:hint="default" w:eastAsia="宋体"/>
                <w:b/>
                <w:bCs w:val="0"/>
                <w:sz w:val="24"/>
                <w:lang w:val="en-US" w:eastAsia="zh-CN"/>
              </w:rPr>
            </w:pPr>
            <w:r>
              <w:rPr>
                <w:rFonts w:hint="eastAsia"/>
                <w:b/>
                <w:bCs w:val="0"/>
                <w:sz w:val="24"/>
                <w:lang w:eastAsia="zh-CN"/>
              </w:rPr>
              <w:t>（</w:t>
            </w:r>
            <w:r>
              <w:rPr>
                <w:rFonts w:hint="eastAsia"/>
                <w:b/>
                <w:bCs w:val="0"/>
                <w:sz w:val="24"/>
                <w:lang w:val="en-US" w:eastAsia="zh-CN"/>
              </w:rPr>
              <w:t>2</w:t>
            </w:r>
            <w:r>
              <w:rPr>
                <w:rFonts w:hint="eastAsia"/>
                <w:b/>
                <w:bCs w:val="0"/>
                <w:sz w:val="24"/>
                <w:lang w:eastAsia="zh-CN"/>
              </w:rPr>
              <w:t>）铺路过程产生的沥青烟气</w:t>
            </w:r>
          </w:p>
          <w:p>
            <w:pPr>
              <w:adjustRightInd w:val="0"/>
              <w:snapToGrid w:val="0"/>
              <w:spacing w:line="480" w:lineRule="exact"/>
              <w:ind w:firstLine="480" w:firstLineChars="200"/>
              <w:rPr>
                <w:rFonts w:hint="eastAsia"/>
                <w:bCs/>
                <w:sz w:val="24"/>
              </w:rPr>
            </w:pPr>
            <w:r>
              <w:rPr>
                <w:rFonts w:hint="eastAsia"/>
                <w:bCs/>
                <w:sz w:val="24"/>
              </w:rPr>
              <w:t>修筑道路的沥青烟气污染主要来自沥青熔融、搅拌和摊铺行为。本次工程沥青采取商品沥青混凝土形式，熔融和拌和过程全部在专业工厂进行，沥青熔融、搅拌过程的沥青烟影响可以消除。摊铺时产生的有害物质THC和BaP比沥青熔融和搅拌时要少很多。为了最大限度地减少路面铺装过程中的沥青烟问题，建议路面铺设使用乳化沥青，这样既使用方便又可避免对环境的污染。</w:t>
            </w:r>
          </w:p>
          <w:p>
            <w:pPr>
              <w:adjustRightInd w:val="0"/>
              <w:snapToGrid w:val="0"/>
              <w:spacing w:line="480" w:lineRule="exact"/>
              <w:ind w:firstLine="480" w:firstLineChars="200"/>
              <w:rPr>
                <w:rFonts w:hint="eastAsia"/>
                <w:bCs/>
                <w:sz w:val="24"/>
              </w:rPr>
            </w:pPr>
            <w:r>
              <w:rPr>
                <w:rFonts w:hint="eastAsia"/>
                <w:bCs/>
                <w:sz w:val="24"/>
              </w:rPr>
              <w:t>此外，沥青拌合铺路是</w:t>
            </w:r>
            <w:r>
              <w:rPr>
                <w:rFonts w:hint="eastAsia"/>
                <w:bCs/>
                <w:sz w:val="24"/>
                <w:lang w:eastAsia="zh-CN"/>
              </w:rPr>
              <w:t>道路</w:t>
            </w:r>
            <w:r>
              <w:rPr>
                <w:rFonts w:hint="eastAsia"/>
                <w:bCs/>
                <w:sz w:val="24"/>
              </w:rPr>
              <w:t>建设的后期工序，该工序对实施时间较为短暂，类比山西省同类</w:t>
            </w:r>
            <w:r>
              <w:rPr>
                <w:rFonts w:hint="eastAsia"/>
                <w:bCs/>
                <w:sz w:val="24"/>
                <w:lang w:eastAsia="zh-CN"/>
              </w:rPr>
              <w:t>道路</w:t>
            </w:r>
            <w:r>
              <w:rPr>
                <w:rFonts w:hint="eastAsia"/>
                <w:bCs/>
                <w:sz w:val="24"/>
              </w:rPr>
              <w:t>建设的情况，沥青摊铺作业场地下风向100m处沥青烟浓度值可满足《大气污染物综合排放标准》（GB16297-1996）中沥青烟（建筑搅拌）无组织排放要求，对周围大气环境质量无明显不利影响。</w:t>
            </w:r>
          </w:p>
          <w:p>
            <w:pPr>
              <w:adjustRightInd w:val="0"/>
              <w:snapToGrid w:val="0"/>
              <w:spacing w:line="480" w:lineRule="exact"/>
              <w:ind w:firstLine="482" w:firstLineChars="200"/>
              <w:rPr>
                <w:rFonts w:hint="default" w:eastAsia="宋体"/>
                <w:b/>
                <w:bCs w:val="0"/>
                <w:sz w:val="24"/>
                <w:lang w:val="en-US" w:eastAsia="zh-CN"/>
              </w:rPr>
            </w:pPr>
            <w:r>
              <w:rPr>
                <w:rFonts w:hint="eastAsia"/>
                <w:b/>
                <w:bCs w:val="0"/>
                <w:sz w:val="24"/>
                <w:lang w:eastAsia="zh-CN"/>
              </w:rPr>
              <w:t>（</w:t>
            </w:r>
            <w:r>
              <w:rPr>
                <w:rFonts w:hint="eastAsia"/>
                <w:b/>
                <w:bCs w:val="0"/>
                <w:sz w:val="24"/>
                <w:lang w:val="en-US" w:eastAsia="zh-CN"/>
              </w:rPr>
              <w:t>3</w:t>
            </w:r>
            <w:r>
              <w:rPr>
                <w:rFonts w:hint="eastAsia"/>
                <w:b/>
                <w:bCs w:val="0"/>
                <w:sz w:val="24"/>
                <w:lang w:eastAsia="zh-CN"/>
              </w:rPr>
              <w:t>）</w:t>
            </w:r>
            <w:r>
              <w:rPr>
                <w:rFonts w:hint="eastAsia"/>
                <w:b/>
                <w:bCs w:val="0"/>
                <w:sz w:val="24"/>
                <w:lang w:val="en-US" w:eastAsia="zh-CN"/>
              </w:rPr>
              <w:t>车辆和非移动道路机械尾气</w:t>
            </w:r>
          </w:p>
          <w:p>
            <w:pPr>
              <w:adjustRightInd w:val="0"/>
              <w:snapToGrid w:val="0"/>
              <w:spacing w:line="480" w:lineRule="exact"/>
              <w:ind w:firstLine="480" w:firstLineChars="200"/>
              <w:rPr>
                <w:rFonts w:hint="eastAsia"/>
                <w:bCs/>
                <w:sz w:val="24"/>
              </w:rPr>
            </w:pPr>
            <w:r>
              <w:rPr>
                <w:rFonts w:hint="eastAsia"/>
                <w:bCs/>
                <w:sz w:val="24"/>
              </w:rPr>
              <w:t>施工期频繁使用机动车运送原材料</w:t>
            </w:r>
            <w:r>
              <w:rPr>
                <w:rFonts w:hint="eastAsia"/>
                <w:bCs/>
                <w:sz w:val="24"/>
                <w:lang w:eastAsia="zh-CN"/>
              </w:rPr>
              <w:t>，</w:t>
            </w:r>
            <w:r>
              <w:rPr>
                <w:rFonts w:hint="eastAsia"/>
                <w:bCs/>
                <w:sz w:val="24"/>
                <w:lang w:val="en-US" w:eastAsia="zh-CN"/>
              </w:rPr>
              <w:t>同时</w:t>
            </w:r>
            <w:r>
              <w:rPr>
                <w:rFonts w:hint="eastAsia"/>
                <w:bCs/>
                <w:sz w:val="24"/>
              </w:rPr>
              <w:t>，</w:t>
            </w:r>
            <w:r>
              <w:rPr>
                <w:rFonts w:hint="eastAsia"/>
                <w:bCs/>
                <w:sz w:val="24"/>
                <w:lang w:val="en-US" w:eastAsia="zh-CN"/>
              </w:rPr>
              <w:t>施工过程会用到挖掘机、推土机、装载机、摊铺机等非移动道路机械，</w:t>
            </w:r>
            <w:r>
              <w:rPr>
                <w:rFonts w:hint="eastAsia"/>
                <w:bCs/>
                <w:sz w:val="24"/>
              </w:rPr>
              <w:t>这些车辆</w:t>
            </w:r>
            <w:r>
              <w:rPr>
                <w:rFonts w:hint="eastAsia"/>
                <w:bCs/>
                <w:sz w:val="24"/>
                <w:lang w:val="en-US" w:eastAsia="zh-CN"/>
              </w:rPr>
              <w:t>和机械</w:t>
            </w:r>
            <w:r>
              <w:rPr>
                <w:rFonts w:hint="eastAsia"/>
                <w:bCs/>
                <w:sz w:val="24"/>
              </w:rPr>
              <w:t>的运行会排放一定量的CO、NOx以及末完全燃烧的碳氢化物THC等。为减少施工车辆尾气排放，环评要求首先要选用符合国家环保要求的机械及车辆；合理安排作业时间，加强车辆的维护和保养。</w:t>
            </w:r>
            <w:r>
              <w:rPr>
                <w:rFonts w:hint="eastAsia"/>
                <w:bCs/>
                <w:sz w:val="24"/>
                <w:lang w:val="en-US" w:eastAsia="zh-CN"/>
              </w:rPr>
              <w:t>在采取相应措施并通过大气扩散后，施工期车辆尾气对周边环境影响较小。</w:t>
            </w:r>
          </w:p>
          <w:p>
            <w:pPr>
              <w:adjustRightInd w:val="0"/>
              <w:snapToGrid w:val="0"/>
              <w:spacing w:line="480" w:lineRule="exact"/>
              <w:ind w:firstLine="482" w:firstLineChars="200"/>
              <w:rPr>
                <w:b/>
                <w:sz w:val="24"/>
                <w:szCs w:val="24"/>
              </w:rPr>
            </w:pPr>
            <w:r>
              <w:rPr>
                <w:rFonts w:hint="eastAsia"/>
                <w:b/>
                <w:sz w:val="24"/>
                <w:szCs w:val="24"/>
                <w:lang w:val="en-US" w:eastAsia="zh-CN"/>
              </w:rPr>
              <w:t>3</w:t>
            </w:r>
            <w:r>
              <w:rPr>
                <w:b/>
                <w:sz w:val="24"/>
                <w:szCs w:val="24"/>
              </w:rPr>
              <w:t>、施工期水环境影响分析</w:t>
            </w:r>
          </w:p>
          <w:p>
            <w:pPr>
              <w:keepNext w:val="0"/>
              <w:keepLines w:val="0"/>
              <w:pageBreakBefore w:val="0"/>
              <w:widowControl w:val="0"/>
              <w:kinsoku/>
              <w:wordWrap/>
              <w:overflowPunct/>
              <w:topLinePunct w:val="0"/>
              <w:autoSpaceDE/>
              <w:autoSpaceDN/>
              <w:bidi w:val="0"/>
              <w:adjustRightInd/>
              <w:snapToGrid/>
              <w:spacing w:line="480" w:lineRule="exact"/>
              <w:ind w:firstLine="482" w:firstLineChars="200"/>
              <w:textAlignment w:val="auto"/>
              <w:rPr>
                <w:b/>
                <w:bCs/>
                <w:color w:val="auto"/>
                <w:sz w:val="24"/>
              </w:rPr>
            </w:pPr>
            <w:r>
              <w:rPr>
                <w:rFonts w:hint="eastAsia"/>
                <w:b/>
                <w:bCs/>
                <w:color w:val="auto"/>
                <w:sz w:val="24"/>
                <w:lang w:eastAsia="zh-CN"/>
              </w:rPr>
              <w:t>（</w:t>
            </w:r>
            <w:r>
              <w:rPr>
                <w:rFonts w:hint="eastAsia"/>
                <w:b/>
                <w:bCs/>
                <w:color w:val="auto"/>
                <w:sz w:val="24"/>
                <w:lang w:val="en-US" w:eastAsia="zh-CN"/>
              </w:rPr>
              <w:t>1</w:t>
            </w:r>
            <w:r>
              <w:rPr>
                <w:rFonts w:hint="eastAsia"/>
                <w:b/>
                <w:bCs/>
                <w:color w:val="auto"/>
                <w:sz w:val="24"/>
                <w:lang w:eastAsia="zh-CN"/>
              </w:rPr>
              <w:t>）</w:t>
            </w:r>
            <w:r>
              <w:rPr>
                <w:b/>
                <w:bCs/>
                <w:color w:val="auto"/>
                <w:sz w:val="24"/>
              </w:rPr>
              <w:t>施工人员生活污水</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eastAsia="宋体"/>
                <w:color w:val="auto"/>
                <w:sz w:val="24"/>
                <w:lang w:val="en-US" w:eastAsia="zh-CN"/>
              </w:rPr>
            </w:pPr>
            <w:r>
              <w:rPr>
                <w:rFonts w:hint="eastAsia"/>
                <w:color w:val="auto"/>
                <w:sz w:val="24"/>
              </w:rPr>
              <w:t>施工期</w:t>
            </w:r>
            <w:r>
              <w:rPr>
                <w:color w:val="auto"/>
                <w:sz w:val="24"/>
              </w:rPr>
              <w:t>生活污水主要为日常生活</w:t>
            </w:r>
            <w:r>
              <w:rPr>
                <w:rFonts w:hint="eastAsia"/>
                <w:color w:val="auto"/>
                <w:sz w:val="24"/>
              </w:rPr>
              <w:t>污水</w:t>
            </w:r>
            <w:r>
              <w:rPr>
                <w:color w:val="auto"/>
                <w:sz w:val="24"/>
              </w:rPr>
              <w:t>，</w:t>
            </w:r>
            <w:r>
              <w:rPr>
                <w:rFonts w:hint="eastAsia"/>
                <w:color w:val="auto"/>
                <w:sz w:val="24"/>
              </w:rPr>
              <w:t>环评要求施工</w:t>
            </w:r>
            <w:r>
              <w:rPr>
                <w:rFonts w:hint="eastAsia"/>
                <w:color w:val="auto"/>
                <w:sz w:val="24"/>
                <w:szCs w:val="24"/>
              </w:rPr>
              <w:t>营地设化粪池，占地面积</w:t>
            </w:r>
            <w:r>
              <w:rPr>
                <w:color w:val="auto"/>
                <w:sz w:val="24"/>
                <w:szCs w:val="24"/>
              </w:rPr>
              <w:t>10</w:t>
            </w:r>
            <w:r>
              <w:rPr>
                <w:rFonts w:hint="eastAsia"/>
                <w:color w:val="auto"/>
                <w:sz w:val="24"/>
                <w:szCs w:val="24"/>
              </w:rPr>
              <w:t>m</w:t>
            </w:r>
            <w:r>
              <w:rPr>
                <w:color w:val="auto"/>
                <w:sz w:val="24"/>
                <w:szCs w:val="24"/>
                <w:vertAlign w:val="superscript"/>
              </w:rPr>
              <w:t>2</w:t>
            </w:r>
            <w:r>
              <w:rPr>
                <w:rFonts w:hint="eastAsia"/>
                <w:color w:val="auto"/>
                <w:sz w:val="24"/>
                <w:szCs w:val="24"/>
              </w:rPr>
              <w:t>，生活污水排入化粪池，定期清淘处理</w:t>
            </w:r>
            <w:r>
              <w:rPr>
                <w:rFonts w:hint="eastAsia"/>
                <w:color w:val="auto"/>
                <w:sz w:val="24"/>
                <w:szCs w:val="24"/>
                <w:lang w:eastAsia="zh-CN"/>
              </w:rPr>
              <w:t>，</w:t>
            </w:r>
            <w:r>
              <w:rPr>
                <w:rFonts w:hint="eastAsia"/>
                <w:color w:val="auto"/>
                <w:sz w:val="24"/>
                <w:szCs w:val="24"/>
                <w:lang w:val="en-US" w:eastAsia="zh-CN"/>
              </w:rPr>
              <w:t>不外排，对周边水环境影响很小。</w:t>
            </w:r>
          </w:p>
          <w:p>
            <w:pPr>
              <w:keepNext w:val="0"/>
              <w:keepLines w:val="0"/>
              <w:pageBreakBefore w:val="0"/>
              <w:widowControl w:val="0"/>
              <w:kinsoku/>
              <w:wordWrap/>
              <w:overflowPunct/>
              <w:topLinePunct w:val="0"/>
              <w:autoSpaceDE/>
              <w:autoSpaceDN/>
              <w:bidi w:val="0"/>
              <w:adjustRightInd/>
              <w:snapToGrid/>
              <w:spacing w:line="480" w:lineRule="exact"/>
              <w:ind w:firstLine="482" w:firstLineChars="200"/>
              <w:textAlignment w:val="auto"/>
              <w:rPr>
                <w:b/>
                <w:bCs/>
                <w:color w:val="auto"/>
                <w:sz w:val="24"/>
              </w:rPr>
            </w:pPr>
            <w:r>
              <w:rPr>
                <w:rFonts w:hint="eastAsia"/>
                <w:b/>
                <w:bCs/>
                <w:color w:val="auto"/>
                <w:sz w:val="24"/>
                <w:lang w:eastAsia="zh-CN"/>
              </w:rPr>
              <w:t>（</w:t>
            </w:r>
            <w:r>
              <w:rPr>
                <w:rFonts w:hint="eastAsia"/>
                <w:b/>
                <w:bCs/>
                <w:color w:val="auto"/>
                <w:sz w:val="24"/>
                <w:lang w:val="en-US" w:eastAsia="zh-CN"/>
              </w:rPr>
              <w:t>2</w:t>
            </w:r>
            <w:r>
              <w:rPr>
                <w:rFonts w:hint="eastAsia"/>
                <w:b/>
                <w:bCs/>
                <w:color w:val="auto"/>
                <w:sz w:val="24"/>
                <w:lang w:eastAsia="zh-CN"/>
              </w:rPr>
              <w:t>）</w:t>
            </w:r>
            <w:r>
              <w:rPr>
                <w:b/>
                <w:bCs/>
                <w:color w:val="auto"/>
                <w:sz w:val="24"/>
              </w:rPr>
              <w:t>施工废水</w:t>
            </w:r>
          </w:p>
          <w:p>
            <w:pPr>
              <w:adjustRightInd w:val="0"/>
              <w:snapToGrid w:val="0"/>
              <w:spacing w:line="480" w:lineRule="exact"/>
              <w:ind w:firstLine="480" w:firstLineChars="200"/>
              <w:rPr>
                <w:rFonts w:hint="eastAsia"/>
                <w:bCs/>
                <w:color w:val="auto"/>
                <w:sz w:val="24"/>
              </w:rPr>
            </w:pPr>
            <w:r>
              <w:rPr>
                <w:rFonts w:hint="eastAsia"/>
                <w:color w:val="auto"/>
                <w:sz w:val="24"/>
                <w:szCs w:val="24"/>
              </w:rPr>
              <w:t>营地内不设置拌合站、加工厂，</w:t>
            </w:r>
            <w:r>
              <w:rPr>
                <w:color w:val="auto"/>
                <w:sz w:val="24"/>
              </w:rPr>
              <w:t>施工废水主要为施工机械</w:t>
            </w:r>
            <w:r>
              <w:rPr>
                <w:rFonts w:hint="eastAsia"/>
                <w:color w:val="auto"/>
                <w:sz w:val="24"/>
              </w:rPr>
              <w:t>和车辆</w:t>
            </w:r>
            <w:r>
              <w:rPr>
                <w:color w:val="auto"/>
                <w:sz w:val="24"/>
              </w:rPr>
              <w:t>的冲洗废水，这些废水量较小，污水中成分较为简单，一般为SS和少量的石油类。</w:t>
            </w:r>
            <w:r>
              <w:rPr>
                <w:rFonts w:hint="eastAsia"/>
                <w:color w:val="auto"/>
                <w:sz w:val="24"/>
              </w:rPr>
              <w:t>环评要求施工营地设洗车平台和沉淀池，冲洗废水经沉淀处理后循环使用不外排</w:t>
            </w:r>
            <w:r>
              <w:rPr>
                <w:rFonts w:hint="eastAsia"/>
                <w:color w:val="auto"/>
                <w:sz w:val="24"/>
                <w:lang w:eastAsia="zh-CN"/>
              </w:rPr>
              <w:t>，</w:t>
            </w:r>
            <w:r>
              <w:rPr>
                <w:rFonts w:hint="eastAsia"/>
                <w:color w:val="auto"/>
                <w:sz w:val="24"/>
                <w:lang w:val="en-US" w:eastAsia="zh-CN"/>
              </w:rPr>
              <w:t>对周边水环境影响很小。</w:t>
            </w:r>
          </w:p>
          <w:p>
            <w:pPr>
              <w:adjustRightInd w:val="0"/>
              <w:snapToGrid w:val="0"/>
              <w:spacing w:line="480" w:lineRule="exact"/>
              <w:ind w:firstLine="482" w:firstLineChars="200"/>
              <w:rPr>
                <w:b/>
                <w:sz w:val="24"/>
                <w:szCs w:val="24"/>
              </w:rPr>
            </w:pPr>
            <w:r>
              <w:rPr>
                <w:rFonts w:hint="eastAsia"/>
                <w:b/>
                <w:sz w:val="24"/>
                <w:szCs w:val="24"/>
                <w:lang w:val="en-US" w:eastAsia="zh-CN"/>
              </w:rPr>
              <w:t>4</w:t>
            </w:r>
            <w:r>
              <w:rPr>
                <w:b/>
                <w:sz w:val="24"/>
                <w:szCs w:val="24"/>
              </w:rPr>
              <w:t>、</w:t>
            </w:r>
            <w:r>
              <w:rPr>
                <w:rFonts w:hint="eastAsia"/>
                <w:b/>
                <w:sz w:val="24"/>
                <w:szCs w:val="24"/>
              </w:rPr>
              <w:t>施工期噪声环境影响分析</w:t>
            </w:r>
          </w:p>
          <w:p>
            <w:pPr>
              <w:keepNext w:val="0"/>
              <w:keepLines w:val="0"/>
              <w:pageBreakBefore w:val="0"/>
              <w:widowControl w:val="0"/>
              <w:tabs>
                <w:tab w:val="left" w:pos="2760"/>
              </w:tabs>
              <w:kinsoku/>
              <w:wordWrap/>
              <w:overflowPunct/>
              <w:topLinePunct w:val="0"/>
              <w:autoSpaceDE/>
              <w:autoSpaceDN/>
              <w:bidi w:val="0"/>
              <w:adjustRightInd/>
              <w:snapToGrid w:val="0"/>
              <w:spacing w:line="480" w:lineRule="exact"/>
              <w:ind w:firstLine="482" w:firstLineChars="200"/>
              <w:textAlignment w:val="auto"/>
              <w:rPr>
                <w:b/>
                <w:bCs/>
                <w:color w:val="auto"/>
                <w:sz w:val="24"/>
                <w:szCs w:val="21"/>
              </w:rPr>
            </w:pPr>
            <w:r>
              <w:rPr>
                <w:b/>
                <w:bCs/>
                <w:color w:val="auto"/>
                <w:sz w:val="24"/>
                <w:szCs w:val="21"/>
              </w:rPr>
              <w:t>（1）施工期噪声来源及特点</w:t>
            </w:r>
          </w:p>
          <w:p>
            <w:pPr>
              <w:keepNext w:val="0"/>
              <w:keepLines w:val="0"/>
              <w:pageBreakBefore w:val="0"/>
              <w:widowControl w:val="0"/>
              <w:tabs>
                <w:tab w:val="left" w:pos="2760"/>
              </w:tabs>
              <w:kinsoku/>
              <w:wordWrap/>
              <w:overflowPunct/>
              <w:topLinePunct w:val="0"/>
              <w:autoSpaceDE/>
              <w:autoSpaceDN/>
              <w:bidi w:val="0"/>
              <w:adjustRightInd/>
              <w:snapToGrid w:val="0"/>
              <w:spacing w:line="480" w:lineRule="exact"/>
              <w:ind w:firstLine="480" w:firstLineChars="200"/>
              <w:textAlignment w:val="auto"/>
              <w:rPr>
                <w:color w:val="auto"/>
                <w:sz w:val="24"/>
                <w:szCs w:val="21"/>
              </w:rPr>
            </w:pPr>
            <w:r>
              <w:rPr>
                <w:rFonts w:hint="eastAsia"/>
                <w:color w:val="auto"/>
                <w:sz w:val="24"/>
                <w:szCs w:val="21"/>
                <w:lang w:val="en-US" w:eastAsia="zh-CN"/>
              </w:rPr>
              <w:t>本项目</w:t>
            </w:r>
            <w:r>
              <w:rPr>
                <w:color w:val="auto"/>
                <w:sz w:val="24"/>
                <w:szCs w:val="21"/>
              </w:rPr>
              <w:t>建设工期为</w:t>
            </w:r>
            <w:r>
              <w:rPr>
                <w:rFonts w:hint="eastAsia"/>
                <w:color w:val="auto"/>
                <w:sz w:val="24"/>
                <w:szCs w:val="21"/>
                <w:lang w:val="en-US" w:eastAsia="zh-CN"/>
              </w:rPr>
              <w:t>18</w:t>
            </w:r>
            <w:r>
              <w:rPr>
                <w:color w:val="auto"/>
                <w:sz w:val="24"/>
                <w:szCs w:val="21"/>
              </w:rPr>
              <w:t>个月，施工期将使用多种大中型设备进行机械化施工作业。</w:t>
            </w:r>
            <w:r>
              <w:rPr>
                <w:rFonts w:hint="eastAsia"/>
                <w:color w:val="auto"/>
                <w:sz w:val="24"/>
                <w:szCs w:val="21"/>
                <w:lang w:eastAsia="zh-CN"/>
              </w:rPr>
              <w:t>道路</w:t>
            </w:r>
            <w:r>
              <w:rPr>
                <w:color w:val="auto"/>
                <w:sz w:val="24"/>
                <w:szCs w:val="21"/>
              </w:rPr>
              <w:t>施工机械噪声具有噪声值高、无规则的特点，会对施工生产生活区附近的村</w:t>
            </w:r>
            <w:r>
              <w:rPr>
                <w:rFonts w:hint="eastAsia"/>
                <w:color w:val="auto"/>
                <w:sz w:val="24"/>
                <w:szCs w:val="21"/>
                <w:lang w:val="en-US" w:eastAsia="zh-CN"/>
              </w:rPr>
              <w:t>庄</w:t>
            </w:r>
            <w:r>
              <w:rPr>
                <w:color w:val="auto"/>
                <w:sz w:val="24"/>
                <w:szCs w:val="21"/>
              </w:rPr>
              <w:t>等声环境敏感点产生较大的影响。因此，</w:t>
            </w:r>
            <w:r>
              <w:rPr>
                <w:rFonts w:hint="eastAsia"/>
                <w:color w:val="auto"/>
                <w:sz w:val="24"/>
                <w:szCs w:val="21"/>
                <w:lang w:val="en-US" w:eastAsia="zh-CN"/>
              </w:rPr>
              <w:t>道路</w:t>
            </w:r>
            <w:r>
              <w:rPr>
                <w:color w:val="auto"/>
                <w:sz w:val="24"/>
                <w:szCs w:val="21"/>
              </w:rPr>
              <w:t>施工所产生的施工机械噪声必须十分重视。</w:t>
            </w:r>
          </w:p>
          <w:p>
            <w:pPr>
              <w:keepNext w:val="0"/>
              <w:keepLines w:val="0"/>
              <w:pageBreakBefore w:val="0"/>
              <w:widowControl w:val="0"/>
              <w:tabs>
                <w:tab w:val="left" w:pos="2760"/>
              </w:tabs>
              <w:kinsoku/>
              <w:wordWrap/>
              <w:overflowPunct/>
              <w:topLinePunct w:val="0"/>
              <w:autoSpaceDE/>
              <w:autoSpaceDN/>
              <w:bidi w:val="0"/>
              <w:adjustRightInd/>
              <w:snapToGrid w:val="0"/>
              <w:spacing w:line="480" w:lineRule="exact"/>
              <w:ind w:firstLine="480" w:firstLineChars="200"/>
              <w:textAlignment w:val="auto"/>
              <w:rPr>
                <w:color w:val="auto"/>
                <w:sz w:val="24"/>
                <w:szCs w:val="21"/>
              </w:rPr>
            </w:pPr>
            <w:r>
              <w:rPr>
                <w:color w:val="auto"/>
                <w:sz w:val="24"/>
                <w:szCs w:val="21"/>
              </w:rPr>
              <w:t>施工期声环境影响预测主要根据有关资料进行类比分析。</w:t>
            </w:r>
            <w:r>
              <w:rPr>
                <w:rFonts w:hint="eastAsia"/>
                <w:color w:val="auto"/>
                <w:sz w:val="24"/>
                <w:szCs w:val="21"/>
                <w:lang w:eastAsia="zh-CN"/>
              </w:rPr>
              <w:t>道路</w:t>
            </w:r>
            <w:r>
              <w:rPr>
                <w:color w:val="auto"/>
                <w:sz w:val="24"/>
                <w:szCs w:val="21"/>
              </w:rPr>
              <w:t>施工经常使用的机械有运输车辆、筑路机、大型搅拌机等，其他施工机械如空压机、汽锤等均为短期使用。</w:t>
            </w:r>
          </w:p>
          <w:p>
            <w:pPr>
              <w:keepNext w:val="0"/>
              <w:keepLines w:val="0"/>
              <w:pageBreakBefore w:val="0"/>
              <w:widowControl w:val="0"/>
              <w:tabs>
                <w:tab w:val="left" w:pos="2760"/>
              </w:tabs>
              <w:kinsoku/>
              <w:wordWrap/>
              <w:overflowPunct/>
              <w:topLinePunct w:val="0"/>
              <w:autoSpaceDE/>
              <w:autoSpaceDN/>
              <w:bidi w:val="0"/>
              <w:adjustRightInd/>
              <w:snapToGrid w:val="0"/>
              <w:spacing w:line="480" w:lineRule="exact"/>
              <w:ind w:firstLine="480" w:firstLineChars="200"/>
              <w:textAlignment w:val="auto"/>
              <w:rPr>
                <w:color w:val="auto"/>
                <w:sz w:val="24"/>
                <w:szCs w:val="21"/>
              </w:rPr>
            </w:pPr>
            <w:r>
              <w:rPr>
                <w:rFonts w:hint="eastAsia"/>
                <w:color w:val="auto"/>
                <w:sz w:val="24"/>
                <w:szCs w:val="21"/>
                <w:lang w:eastAsia="zh-CN"/>
              </w:rPr>
              <w:t>道路</w:t>
            </w:r>
            <w:r>
              <w:rPr>
                <w:color w:val="auto"/>
                <w:sz w:val="24"/>
                <w:szCs w:val="21"/>
              </w:rPr>
              <w:t>施工噪声有其自身的特点，主要表现为：</w:t>
            </w:r>
          </w:p>
          <w:p>
            <w:pPr>
              <w:keepNext w:val="0"/>
              <w:keepLines w:val="0"/>
              <w:pageBreakBefore w:val="0"/>
              <w:widowControl w:val="0"/>
              <w:tabs>
                <w:tab w:val="left" w:pos="2760"/>
              </w:tabs>
              <w:kinsoku/>
              <w:wordWrap/>
              <w:overflowPunct/>
              <w:topLinePunct w:val="0"/>
              <w:autoSpaceDE/>
              <w:autoSpaceDN/>
              <w:bidi w:val="0"/>
              <w:adjustRightInd/>
              <w:snapToGrid w:val="0"/>
              <w:spacing w:line="480" w:lineRule="exact"/>
              <w:ind w:firstLine="480" w:firstLineChars="200"/>
              <w:textAlignment w:val="auto"/>
              <w:rPr>
                <w:color w:val="auto"/>
                <w:sz w:val="24"/>
                <w:szCs w:val="21"/>
              </w:rPr>
            </w:pPr>
            <w:r>
              <w:rPr>
                <w:rFonts w:hint="eastAsia" w:ascii="宋体" w:hAnsi="宋体" w:cs="宋体"/>
                <w:color w:val="auto"/>
                <w:sz w:val="24"/>
                <w:szCs w:val="21"/>
              </w:rPr>
              <w:t>①</w:t>
            </w:r>
            <w:r>
              <w:rPr>
                <w:color w:val="auto"/>
                <w:sz w:val="24"/>
                <w:szCs w:val="21"/>
              </w:rPr>
              <w:t>施工机械种类繁多，不同的施工阶段有不同的施工机械，同一施工阶段投入的施工机械也有多有少，导致了施工噪声的随意性和无规律性。</w:t>
            </w:r>
          </w:p>
          <w:p>
            <w:pPr>
              <w:keepNext w:val="0"/>
              <w:keepLines w:val="0"/>
              <w:pageBreakBefore w:val="0"/>
              <w:widowControl w:val="0"/>
              <w:tabs>
                <w:tab w:val="left" w:pos="2760"/>
              </w:tabs>
              <w:kinsoku/>
              <w:wordWrap/>
              <w:overflowPunct/>
              <w:topLinePunct w:val="0"/>
              <w:autoSpaceDE/>
              <w:autoSpaceDN/>
              <w:bidi w:val="0"/>
              <w:adjustRightInd/>
              <w:snapToGrid w:val="0"/>
              <w:spacing w:line="480" w:lineRule="exact"/>
              <w:ind w:firstLine="480" w:firstLineChars="200"/>
              <w:textAlignment w:val="auto"/>
              <w:rPr>
                <w:color w:val="auto"/>
                <w:sz w:val="24"/>
                <w:szCs w:val="21"/>
              </w:rPr>
            </w:pPr>
            <w:r>
              <w:rPr>
                <w:rFonts w:hint="eastAsia" w:ascii="宋体" w:hAnsi="宋体" w:cs="宋体"/>
                <w:color w:val="auto"/>
                <w:sz w:val="24"/>
                <w:szCs w:val="21"/>
              </w:rPr>
              <w:t>②</w:t>
            </w:r>
            <w:r>
              <w:rPr>
                <w:color w:val="auto"/>
                <w:sz w:val="24"/>
                <w:szCs w:val="21"/>
              </w:rPr>
              <w:t>不同设备的噪声源特性不同，其中有些设备噪声呈振动式的、突发的及脉冲特性的，对人的影响较大；有些设备频率低沉，不易衰减，易使人感觉烦躁；施工机械的噪声均较大，但它们之间声级相差仍很大，有些设备的运行噪声可高达90dB（A）左右。</w:t>
            </w:r>
          </w:p>
          <w:p>
            <w:pPr>
              <w:keepNext w:val="0"/>
              <w:keepLines w:val="0"/>
              <w:pageBreakBefore w:val="0"/>
              <w:widowControl w:val="0"/>
              <w:tabs>
                <w:tab w:val="left" w:pos="2760"/>
              </w:tabs>
              <w:kinsoku/>
              <w:wordWrap/>
              <w:overflowPunct/>
              <w:topLinePunct w:val="0"/>
              <w:autoSpaceDE/>
              <w:autoSpaceDN/>
              <w:bidi w:val="0"/>
              <w:adjustRightInd/>
              <w:snapToGrid w:val="0"/>
              <w:spacing w:line="480" w:lineRule="exact"/>
              <w:ind w:firstLine="480" w:firstLineChars="200"/>
              <w:textAlignment w:val="auto"/>
              <w:rPr>
                <w:color w:val="auto"/>
                <w:sz w:val="24"/>
                <w:szCs w:val="21"/>
              </w:rPr>
            </w:pPr>
            <w:r>
              <w:rPr>
                <w:rFonts w:hint="eastAsia" w:ascii="宋体" w:hAnsi="宋体" w:cs="宋体"/>
                <w:color w:val="auto"/>
                <w:sz w:val="24"/>
                <w:szCs w:val="21"/>
              </w:rPr>
              <w:t>③</w:t>
            </w:r>
            <w:r>
              <w:rPr>
                <w:color w:val="auto"/>
                <w:sz w:val="24"/>
                <w:szCs w:val="21"/>
              </w:rPr>
              <w:t>施工噪声源与一般的固定噪声源及流动噪声源有所不同，施工机械往往都是暴露在室外的，而且它们会在某段时间内在一定的小范围内移动，这与固定噪声源相比增加了这段时间内的噪声污染范围，但与流动噪声源相比施工噪声污染还是在局部范围内的。施工机械噪声可视为点声源。</w:t>
            </w:r>
          </w:p>
          <w:p>
            <w:pPr>
              <w:keepNext w:val="0"/>
              <w:keepLines w:val="0"/>
              <w:pageBreakBefore w:val="0"/>
              <w:widowControl w:val="0"/>
              <w:tabs>
                <w:tab w:val="left" w:pos="2760"/>
              </w:tabs>
              <w:kinsoku/>
              <w:wordWrap/>
              <w:overflowPunct/>
              <w:topLinePunct w:val="0"/>
              <w:autoSpaceDE/>
              <w:autoSpaceDN/>
              <w:bidi w:val="0"/>
              <w:adjustRightInd/>
              <w:snapToGrid w:val="0"/>
              <w:spacing w:line="480" w:lineRule="exact"/>
              <w:ind w:firstLine="480" w:firstLineChars="200"/>
              <w:textAlignment w:val="auto"/>
              <w:rPr>
                <w:color w:val="auto"/>
                <w:sz w:val="24"/>
                <w:szCs w:val="21"/>
              </w:rPr>
            </w:pPr>
            <w:r>
              <w:rPr>
                <w:color w:val="auto"/>
                <w:sz w:val="24"/>
                <w:szCs w:val="21"/>
              </w:rPr>
              <w:t>（2）施工噪声预测方法和预测模式</w:t>
            </w:r>
          </w:p>
          <w:p>
            <w:pPr>
              <w:keepNext w:val="0"/>
              <w:keepLines w:val="0"/>
              <w:pageBreakBefore w:val="0"/>
              <w:widowControl w:val="0"/>
              <w:tabs>
                <w:tab w:val="left" w:pos="2760"/>
              </w:tabs>
              <w:kinsoku/>
              <w:wordWrap/>
              <w:overflowPunct/>
              <w:topLinePunct w:val="0"/>
              <w:autoSpaceDE/>
              <w:autoSpaceDN/>
              <w:bidi w:val="0"/>
              <w:adjustRightInd/>
              <w:snapToGrid w:val="0"/>
              <w:spacing w:line="480" w:lineRule="exact"/>
              <w:ind w:firstLine="480" w:firstLineChars="200"/>
              <w:textAlignment w:val="auto"/>
              <w:rPr>
                <w:color w:val="auto"/>
                <w:sz w:val="24"/>
                <w:szCs w:val="21"/>
              </w:rPr>
            </w:pPr>
            <w:r>
              <w:rPr>
                <w:color w:val="auto"/>
                <w:sz w:val="24"/>
                <w:szCs w:val="21"/>
              </w:rPr>
              <w:t>鉴于施工噪声的复杂性及其影响的区域性和阶段性，根据《建筑施工场界环境噪声限值》（GB12523-2011），针对不同施工阶段计算出不同施工设备的噪声影响范围，以便施工单位在施工时结合实际情况采取适当的噪声污染防治措施。</w:t>
            </w:r>
          </w:p>
          <w:p>
            <w:pPr>
              <w:keepNext w:val="0"/>
              <w:keepLines w:val="0"/>
              <w:pageBreakBefore w:val="0"/>
              <w:widowControl w:val="0"/>
              <w:tabs>
                <w:tab w:val="left" w:pos="2760"/>
              </w:tabs>
              <w:kinsoku/>
              <w:wordWrap/>
              <w:overflowPunct/>
              <w:topLinePunct w:val="0"/>
              <w:autoSpaceDE/>
              <w:autoSpaceDN/>
              <w:bidi w:val="0"/>
              <w:adjustRightInd/>
              <w:snapToGrid w:val="0"/>
              <w:spacing w:line="480" w:lineRule="exact"/>
              <w:ind w:firstLine="480" w:firstLineChars="200"/>
              <w:textAlignment w:val="auto"/>
              <w:rPr>
                <w:color w:val="auto"/>
                <w:sz w:val="24"/>
                <w:szCs w:val="21"/>
              </w:rPr>
            </w:pPr>
            <w:r>
              <w:rPr>
                <w:color w:val="auto"/>
                <w:sz w:val="24"/>
                <w:szCs w:val="21"/>
              </w:rPr>
              <w:t>施工噪声可近似视为点声源处理，根据点声源噪声衰减模式，估算出离声源不同距离处的噪声值，预测模式如下：</w:t>
            </w:r>
          </w:p>
          <w:p>
            <w:pPr>
              <w:keepNext w:val="0"/>
              <w:keepLines w:val="0"/>
              <w:pageBreakBefore w:val="0"/>
              <w:widowControl w:val="0"/>
              <w:tabs>
                <w:tab w:val="left" w:pos="2760"/>
              </w:tabs>
              <w:kinsoku/>
              <w:wordWrap/>
              <w:overflowPunct/>
              <w:topLinePunct w:val="0"/>
              <w:autoSpaceDE/>
              <w:autoSpaceDN/>
              <w:bidi w:val="0"/>
              <w:adjustRightInd/>
              <w:snapToGrid w:val="0"/>
              <w:jc w:val="center"/>
              <w:textAlignment w:val="auto"/>
              <w:rPr>
                <w:i/>
                <w:color w:val="000000"/>
                <w:sz w:val="24"/>
                <w:szCs w:val="21"/>
              </w:rPr>
            </w:pPr>
            <w:r>
              <w:rPr>
                <w:i/>
                <w:color w:val="000000"/>
                <w:position w:val="-30"/>
                <w:sz w:val="24"/>
                <w:szCs w:val="21"/>
              </w:rPr>
              <w:object>
                <v:shape id="_x0000_i1025" o:spt="75" type="#_x0000_t75" style="height:30.7pt;width:116.45pt;" o:ole="t" filled="f" o:preferrelative="t" stroked="f" coordsize="21600,21600">
                  <v:path/>
                  <v:fill on="f" focussize="0,0"/>
                  <v:stroke on="f"/>
                  <v:imagedata r:id="rId21" o:title=""/>
                  <o:lock v:ext="edit" aspectratio="t"/>
                  <w10:wrap type="none"/>
                  <w10:anchorlock/>
                </v:shape>
                <o:OLEObject Type="Embed" ProgID="Equation.3" ShapeID="_x0000_i1025" DrawAspect="Content" ObjectID="_1468075725" r:id="rId20">
                  <o:LockedField>false</o:LockedField>
                </o:OLEObject>
              </w:object>
            </w:r>
          </w:p>
          <w:p>
            <w:pPr>
              <w:keepNext w:val="0"/>
              <w:keepLines w:val="0"/>
              <w:pageBreakBefore w:val="0"/>
              <w:widowControl w:val="0"/>
              <w:tabs>
                <w:tab w:val="left" w:pos="2760"/>
              </w:tabs>
              <w:kinsoku/>
              <w:wordWrap/>
              <w:overflowPunct/>
              <w:topLinePunct w:val="0"/>
              <w:autoSpaceDE/>
              <w:autoSpaceDN/>
              <w:bidi w:val="0"/>
              <w:adjustRightInd/>
              <w:snapToGrid w:val="0"/>
              <w:spacing w:line="480" w:lineRule="exact"/>
              <w:ind w:firstLine="480" w:firstLineChars="200"/>
              <w:textAlignment w:val="auto"/>
              <w:rPr>
                <w:color w:val="auto"/>
                <w:sz w:val="24"/>
                <w:szCs w:val="21"/>
              </w:rPr>
            </w:pPr>
            <w:r>
              <w:rPr>
                <w:color w:val="auto"/>
                <w:sz w:val="24"/>
                <w:szCs w:val="21"/>
              </w:rPr>
              <w:t>式中：L</w:t>
            </w:r>
            <w:r>
              <w:rPr>
                <w:color w:val="auto"/>
                <w:sz w:val="24"/>
                <w:szCs w:val="21"/>
                <w:vertAlign w:val="subscript"/>
              </w:rPr>
              <w:t>i</w:t>
            </w:r>
            <w:r>
              <w:rPr>
                <w:color w:val="auto"/>
                <w:sz w:val="24"/>
                <w:szCs w:val="21"/>
              </w:rPr>
              <w:t>——距声源R</w:t>
            </w:r>
            <w:r>
              <w:rPr>
                <w:color w:val="auto"/>
                <w:sz w:val="24"/>
                <w:szCs w:val="21"/>
                <w:vertAlign w:val="subscript"/>
              </w:rPr>
              <w:t>i</w:t>
            </w:r>
            <w:r>
              <w:rPr>
                <w:color w:val="auto"/>
                <w:sz w:val="24"/>
                <w:szCs w:val="21"/>
              </w:rPr>
              <w:t>米处的施工噪声预测值，dB（A）；L</w:t>
            </w:r>
            <w:r>
              <w:rPr>
                <w:color w:val="auto"/>
                <w:sz w:val="24"/>
                <w:szCs w:val="21"/>
                <w:vertAlign w:val="subscript"/>
              </w:rPr>
              <w:t>0</w:t>
            </w:r>
            <w:r>
              <w:rPr>
                <w:color w:val="auto"/>
                <w:sz w:val="24"/>
                <w:szCs w:val="21"/>
              </w:rPr>
              <w:t>——距声源R</w:t>
            </w:r>
            <w:r>
              <w:rPr>
                <w:color w:val="auto"/>
                <w:sz w:val="24"/>
                <w:szCs w:val="21"/>
                <w:vertAlign w:val="subscript"/>
              </w:rPr>
              <w:t>0</w:t>
            </w:r>
            <w:r>
              <w:rPr>
                <w:color w:val="auto"/>
                <w:sz w:val="24"/>
                <w:szCs w:val="21"/>
              </w:rPr>
              <w:t>米处的施工噪声级，dB（A）；ΔL——障碍物、植被、空气等产生的附加衰减量。</w:t>
            </w:r>
          </w:p>
          <w:p>
            <w:pPr>
              <w:keepNext w:val="0"/>
              <w:keepLines w:val="0"/>
              <w:pageBreakBefore w:val="0"/>
              <w:widowControl w:val="0"/>
              <w:tabs>
                <w:tab w:val="left" w:pos="2760"/>
              </w:tabs>
              <w:kinsoku/>
              <w:wordWrap/>
              <w:overflowPunct/>
              <w:topLinePunct w:val="0"/>
              <w:autoSpaceDE/>
              <w:autoSpaceDN/>
              <w:bidi w:val="0"/>
              <w:adjustRightInd/>
              <w:snapToGrid w:val="0"/>
              <w:spacing w:line="480" w:lineRule="exact"/>
              <w:ind w:firstLine="480" w:firstLineChars="200"/>
              <w:textAlignment w:val="auto"/>
              <w:rPr>
                <w:color w:val="auto"/>
                <w:sz w:val="24"/>
                <w:szCs w:val="21"/>
              </w:rPr>
            </w:pPr>
            <w:r>
              <w:rPr>
                <w:color w:val="auto"/>
                <w:sz w:val="24"/>
                <w:szCs w:val="21"/>
              </w:rPr>
              <w:t>对于多台施工机械同时作业时对某个预测点的影响，按下式进行声级叠加：</w:t>
            </w:r>
          </w:p>
          <w:p>
            <w:pPr>
              <w:tabs>
                <w:tab w:val="left" w:pos="2760"/>
              </w:tabs>
              <w:snapToGrid w:val="0"/>
              <w:spacing w:line="300" w:lineRule="auto"/>
              <w:jc w:val="center"/>
              <w:rPr>
                <w:i/>
                <w:color w:val="000000"/>
                <w:sz w:val="24"/>
                <w:szCs w:val="21"/>
              </w:rPr>
            </w:pPr>
            <w:r>
              <w:rPr>
                <w:i/>
                <w:color w:val="000000"/>
                <w:position w:val="-28"/>
                <w:sz w:val="24"/>
                <w:szCs w:val="21"/>
              </w:rPr>
              <w:object>
                <v:shape id="_x0000_i1026" o:spt="75" type="#_x0000_t75" style="height:33.8pt;width:93.3pt;" o:ole="t" filled="f" o:preferrelative="t" stroked="f" coordsize="21600,21600">
                  <v:path/>
                  <v:fill on="f" focussize="0,0"/>
                  <v:stroke on="f"/>
                  <v:imagedata r:id="rId23" o:title=""/>
                  <o:lock v:ext="edit" aspectratio="t"/>
                  <w10:wrap type="none"/>
                  <w10:anchorlock/>
                </v:shape>
                <o:OLEObject Type="Embed" ProgID="Equation.3" ShapeID="_x0000_i1026" DrawAspect="Content" ObjectID="_1468075726" r:id="rId22">
                  <o:LockedField>false</o:LockedField>
                </o:OLEObject>
              </w:object>
            </w:r>
          </w:p>
          <w:p>
            <w:pPr>
              <w:keepNext w:val="0"/>
              <w:keepLines w:val="0"/>
              <w:pageBreakBefore w:val="0"/>
              <w:widowControl w:val="0"/>
              <w:tabs>
                <w:tab w:val="left" w:pos="2760"/>
              </w:tabs>
              <w:kinsoku/>
              <w:wordWrap/>
              <w:overflowPunct/>
              <w:topLinePunct w:val="0"/>
              <w:autoSpaceDE/>
              <w:autoSpaceDN/>
              <w:bidi w:val="0"/>
              <w:adjustRightInd/>
              <w:snapToGrid w:val="0"/>
              <w:spacing w:line="480" w:lineRule="exact"/>
              <w:ind w:firstLine="482" w:firstLineChars="200"/>
              <w:textAlignment w:val="auto"/>
              <w:rPr>
                <w:b/>
                <w:bCs/>
                <w:color w:val="auto"/>
                <w:sz w:val="24"/>
                <w:szCs w:val="21"/>
                <w:highlight w:val="none"/>
              </w:rPr>
            </w:pPr>
            <w:r>
              <w:rPr>
                <w:b/>
                <w:bCs/>
                <w:color w:val="auto"/>
                <w:sz w:val="24"/>
                <w:szCs w:val="21"/>
              </w:rPr>
              <w:t>（3）施工噪</w:t>
            </w:r>
            <w:r>
              <w:rPr>
                <w:b/>
                <w:bCs/>
                <w:color w:val="auto"/>
                <w:sz w:val="24"/>
                <w:szCs w:val="21"/>
                <w:highlight w:val="none"/>
              </w:rPr>
              <w:t>声影响范围计算</w:t>
            </w:r>
          </w:p>
          <w:p>
            <w:pPr>
              <w:keepNext w:val="0"/>
              <w:keepLines w:val="0"/>
              <w:pageBreakBefore w:val="0"/>
              <w:widowControl w:val="0"/>
              <w:tabs>
                <w:tab w:val="left" w:pos="2760"/>
              </w:tabs>
              <w:kinsoku/>
              <w:wordWrap/>
              <w:overflowPunct/>
              <w:topLinePunct w:val="0"/>
              <w:autoSpaceDE/>
              <w:autoSpaceDN/>
              <w:bidi w:val="0"/>
              <w:adjustRightInd/>
              <w:snapToGrid w:val="0"/>
              <w:spacing w:line="480" w:lineRule="exact"/>
              <w:ind w:firstLine="480" w:firstLineChars="200"/>
              <w:textAlignment w:val="auto"/>
              <w:rPr>
                <w:color w:val="auto"/>
                <w:sz w:val="24"/>
                <w:szCs w:val="21"/>
                <w:highlight w:val="none"/>
              </w:rPr>
            </w:pPr>
            <w:r>
              <w:rPr>
                <w:color w:val="auto"/>
                <w:sz w:val="24"/>
                <w:szCs w:val="21"/>
                <w:highlight w:val="none"/>
              </w:rPr>
              <w:t>根据前述的预测方法和预测模式，对施工过程中各种设备噪声厂界达标距离进行预测，预测结果见表</w:t>
            </w:r>
            <w:r>
              <w:rPr>
                <w:rFonts w:hint="eastAsia"/>
                <w:color w:val="auto"/>
                <w:sz w:val="24"/>
                <w:szCs w:val="21"/>
                <w:highlight w:val="none"/>
                <w:lang w:val="en-US" w:eastAsia="zh-CN"/>
              </w:rPr>
              <w:t>4-1</w:t>
            </w:r>
            <w:r>
              <w:rPr>
                <w:color w:val="auto"/>
                <w:sz w:val="24"/>
                <w:szCs w:val="21"/>
                <w:highlight w:val="none"/>
              </w:rPr>
              <w:t>。</w:t>
            </w:r>
          </w:p>
          <w:p>
            <w:pPr>
              <w:keepNext w:val="0"/>
              <w:keepLines w:val="0"/>
              <w:pageBreakBefore w:val="0"/>
              <w:widowControl w:val="0"/>
              <w:tabs>
                <w:tab w:val="left" w:pos="2760"/>
              </w:tabs>
              <w:kinsoku/>
              <w:wordWrap/>
              <w:overflowPunct/>
              <w:topLinePunct w:val="0"/>
              <w:autoSpaceDE/>
              <w:autoSpaceDN/>
              <w:bidi w:val="0"/>
              <w:adjustRightInd/>
              <w:snapToGrid w:val="0"/>
              <w:spacing w:line="480" w:lineRule="exact"/>
              <w:jc w:val="center"/>
              <w:textAlignment w:val="auto"/>
              <w:rPr>
                <w:rFonts w:hint="eastAsia" w:ascii="黑体" w:hAnsi="黑体" w:eastAsia="黑体" w:cs="黑体"/>
                <w:b w:val="0"/>
                <w:bCs/>
                <w:color w:val="auto"/>
                <w:sz w:val="24"/>
                <w:szCs w:val="24"/>
              </w:rPr>
            </w:pPr>
            <w:r>
              <w:rPr>
                <w:rFonts w:hint="eastAsia" w:ascii="黑体" w:hAnsi="黑体" w:eastAsia="黑体" w:cs="黑体"/>
                <w:b w:val="0"/>
                <w:bCs/>
                <w:color w:val="auto"/>
                <w:sz w:val="24"/>
                <w:szCs w:val="24"/>
              </w:rPr>
              <w:t>表</w:t>
            </w:r>
            <w:r>
              <w:rPr>
                <w:rFonts w:hint="eastAsia" w:ascii="黑体" w:hAnsi="黑体" w:eastAsia="黑体" w:cs="黑体"/>
                <w:b w:val="0"/>
                <w:bCs/>
                <w:color w:val="auto"/>
                <w:sz w:val="24"/>
                <w:szCs w:val="24"/>
                <w:lang w:val="en-US" w:eastAsia="zh-CN"/>
              </w:rPr>
              <w:t>4-1</w:t>
            </w:r>
            <w:r>
              <w:rPr>
                <w:rFonts w:hint="eastAsia" w:ascii="黑体" w:hAnsi="黑体" w:eastAsia="黑体" w:cs="黑体"/>
                <w:b w:val="0"/>
                <w:bCs/>
                <w:color w:val="auto"/>
                <w:sz w:val="24"/>
                <w:szCs w:val="24"/>
              </w:rPr>
              <w:t xml:space="preserve">  施工机械设备噪声场界达标距离预测结果一览表</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229"/>
              <w:gridCol w:w="1169"/>
              <w:gridCol w:w="1148"/>
              <w:gridCol w:w="1292"/>
              <w:gridCol w:w="862"/>
              <w:gridCol w:w="1004"/>
              <w:gridCol w:w="1148"/>
              <w:gridCol w:w="7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222"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施工阶段</w:t>
                  </w:r>
                </w:p>
              </w:tc>
              <w:tc>
                <w:tcPr>
                  <w:tcW w:w="1162"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施工机械</w:t>
                  </w:r>
                </w:p>
              </w:tc>
              <w:tc>
                <w:tcPr>
                  <w:tcW w:w="2425"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源强声级</w:t>
                  </w:r>
                </w:p>
              </w:tc>
              <w:tc>
                <w:tcPr>
                  <w:tcW w:w="1855"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影响范围（m）</w:t>
                  </w:r>
                </w:p>
              </w:tc>
              <w:tc>
                <w:tcPr>
                  <w:tcW w:w="1896"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标准限值（dB）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222"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p>
              </w:tc>
              <w:tc>
                <w:tcPr>
                  <w:tcW w:w="1162"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p>
              </w:tc>
              <w:tc>
                <w:tcPr>
                  <w:tcW w:w="11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测距（m）</w:t>
                  </w:r>
                </w:p>
              </w:tc>
              <w:tc>
                <w:tcPr>
                  <w:tcW w:w="128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声级（dB）</w:t>
                  </w:r>
                </w:p>
              </w:tc>
              <w:tc>
                <w:tcPr>
                  <w:tcW w:w="85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昼间</w:t>
                  </w:r>
                </w:p>
              </w:tc>
              <w:tc>
                <w:tcPr>
                  <w:tcW w:w="99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夜间</w:t>
                  </w:r>
                </w:p>
              </w:tc>
              <w:tc>
                <w:tcPr>
                  <w:tcW w:w="11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昼间</w:t>
                  </w:r>
                </w:p>
              </w:tc>
              <w:tc>
                <w:tcPr>
                  <w:tcW w:w="7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222"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土石方</w:t>
                  </w:r>
                </w:p>
              </w:tc>
              <w:tc>
                <w:tcPr>
                  <w:tcW w:w="116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挖掘机</w:t>
                  </w:r>
                </w:p>
              </w:tc>
              <w:tc>
                <w:tcPr>
                  <w:tcW w:w="11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5</w:t>
                  </w:r>
                </w:p>
              </w:tc>
              <w:tc>
                <w:tcPr>
                  <w:tcW w:w="128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84</w:t>
                  </w:r>
                </w:p>
              </w:tc>
              <w:tc>
                <w:tcPr>
                  <w:tcW w:w="85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14.6</w:t>
                  </w:r>
                </w:p>
              </w:tc>
              <w:tc>
                <w:tcPr>
                  <w:tcW w:w="99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46.3</w:t>
                  </w:r>
                </w:p>
              </w:tc>
              <w:tc>
                <w:tcPr>
                  <w:tcW w:w="1141"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70</w:t>
                  </w:r>
                </w:p>
              </w:tc>
              <w:tc>
                <w:tcPr>
                  <w:tcW w:w="755"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222"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p>
              </w:tc>
              <w:tc>
                <w:tcPr>
                  <w:tcW w:w="116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推土机</w:t>
                  </w:r>
                </w:p>
              </w:tc>
              <w:tc>
                <w:tcPr>
                  <w:tcW w:w="11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5</w:t>
                  </w:r>
                </w:p>
              </w:tc>
              <w:tc>
                <w:tcPr>
                  <w:tcW w:w="128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86</w:t>
                  </w:r>
                </w:p>
              </w:tc>
              <w:tc>
                <w:tcPr>
                  <w:tcW w:w="85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17.1</w:t>
                  </w:r>
                </w:p>
              </w:tc>
              <w:tc>
                <w:tcPr>
                  <w:tcW w:w="99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54.0</w:t>
                  </w:r>
                </w:p>
              </w:tc>
              <w:tc>
                <w:tcPr>
                  <w:tcW w:w="1141"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p>
              </w:tc>
              <w:tc>
                <w:tcPr>
                  <w:tcW w:w="75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222"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p>
              </w:tc>
              <w:tc>
                <w:tcPr>
                  <w:tcW w:w="116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装载机</w:t>
                  </w:r>
                </w:p>
              </w:tc>
              <w:tc>
                <w:tcPr>
                  <w:tcW w:w="11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5</w:t>
                  </w:r>
                </w:p>
              </w:tc>
              <w:tc>
                <w:tcPr>
                  <w:tcW w:w="128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90</w:t>
                  </w:r>
                </w:p>
              </w:tc>
              <w:tc>
                <w:tcPr>
                  <w:tcW w:w="85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23.2</w:t>
                  </w:r>
                </w:p>
              </w:tc>
              <w:tc>
                <w:tcPr>
                  <w:tcW w:w="99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73.4</w:t>
                  </w:r>
                </w:p>
              </w:tc>
              <w:tc>
                <w:tcPr>
                  <w:tcW w:w="1141"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p>
              </w:tc>
              <w:tc>
                <w:tcPr>
                  <w:tcW w:w="75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222"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p>
              </w:tc>
              <w:tc>
                <w:tcPr>
                  <w:tcW w:w="116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铲土车</w:t>
                  </w:r>
                </w:p>
              </w:tc>
              <w:tc>
                <w:tcPr>
                  <w:tcW w:w="11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5</w:t>
                  </w:r>
                </w:p>
              </w:tc>
              <w:tc>
                <w:tcPr>
                  <w:tcW w:w="128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93</w:t>
                  </w:r>
                </w:p>
              </w:tc>
              <w:tc>
                <w:tcPr>
                  <w:tcW w:w="85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29.2</w:t>
                  </w:r>
                </w:p>
              </w:tc>
              <w:tc>
                <w:tcPr>
                  <w:tcW w:w="99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92.4</w:t>
                  </w:r>
                </w:p>
              </w:tc>
              <w:tc>
                <w:tcPr>
                  <w:tcW w:w="1141"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p>
              </w:tc>
              <w:tc>
                <w:tcPr>
                  <w:tcW w:w="75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222"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p>
              </w:tc>
              <w:tc>
                <w:tcPr>
                  <w:tcW w:w="116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平地机</w:t>
                  </w:r>
                </w:p>
              </w:tc>
              <w:tc>
                <w:tcPr>
                  <w:tcW w:w="11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5</w:t>
                  </w:r>
                </w:p>
              </w:tc>
              <w:tc>
                <w:tcPr>
                  <w:tcW w:w="128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90</w:t>
                  </w:r>
                </w:p>
              </w:tc>
              <w:tc>
                <w:tcPr>
                  <w:tcW w:w="85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23.2</w:t>
                  </w:r>
                </w:p>
              </w:tc>
              <w:tc>
                <w:tcPr>
                  <w:tcW w:w="99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73.4</w:t>
                  </w:r>
                </w:p>
              </w:tc>
              <w:tc>
                <w:tcPr>
                  <w:tcW w:w="1141"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p>
              </w:tc>
              <w:tc>
                <w:tcPr>
                  <w:tcW w:w="75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222"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p>
              </w:tc>
              <w:tc>
                <w:tcPr>
                  <w:tcW w:w="116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夯土机</w:t>
                  </w:r>
                </w:p>
              </w:tc>
              <w:tc>
                <w:tcPr>
                  <w:tcW w:w="11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15</w:t>
                  </w:r>
                </w:p>
              </w:tc>
              <w:tc>
                <w:tcPr>
                  <w:tcW w:w="128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90</w:t>
                  </w:r>
                </w:p>
              </w:tc>
              <w:tc>
                <w:tcPr>
                  <w:tcW w:w="85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69.6</w:t>
                  </w:r>
                </w:p>
              </w:tc>
              <w:tc>
                <w:tcPr>
                  <w:tcW w:w="99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220.1</w:t>
                  </w:r>
                </w:p>
              </w:tc>
              <w:tc>
                <w:tcPr>
                  <w:tcW w:w="1141"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p>
              </w:tc>
              <w:tc>
                <w:tcPr>
                  <w:tcW w:w="75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222"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结构</w:t>
                  </w:r>
                </w:p>
              </w:tc>
              <w:tc>
                <w:tcPr>
                  <w:tcW w:w="116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压路机</w:t>
                  </w:r>
                </w:p>
              </w:tc>
              <w:tc>
                <w:tcPr>
                  <w:tcW w:w="11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5</w:t>
                  </w:r>
                </w:p>
              </w:tc>
              <w:tc>
                <w:tcPr>
                  <w:tcW w:w="128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86</w:t>
                  </w:r>
                </w:p>
              </w:tc>
              <w:tc>
                <w:tcPr>
                  <w:tcW w:w="85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17.1</w:t>
                  </w:r>
                </w:p>
              </w:tc>
              <w:tc>
                <w:tcPr>
                  <w:tcW w:w="99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54.0</w:t>
                  </w:r>
                </w:p>
              </w:tc>
              <w:tc>
                <w:tcPr>
                  <w:tcW w:w="1141"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70</w:t>
                  </w:r>
                </w:p>
              </w:tc>
              <w:tc>
                <w:tcPr>
                  <w:tcW w:w="755"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222"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p>
              </w:tc>
              <w:tc>
                <w:tcPr>
                  <w:tcW w:w="116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卡车</w:t>
                  </w:r>
                </w:p>
              </w:tc>
              <w:tc>
                <w:tcPr>
                  <w:tcW w:w="11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7.5</w:t>
                  </w:r>
                </w:p>
              </w:tc>
              <w:tc>
                <w:tcPr>
                  <w:tcW w:w="128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89</w:t>
                  </w:r>
                </w:p>
              </w:tc>
              <w:tc>
                <w:tcPr>
                  <w:tcW w:w="85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32.2</w:t>
                  </w:r>
                </w:p>
              </w:tc>
              <w:tc>
                <w:tcPr>
                  <w:tcW w:w="99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102.0</w:t>
                  </w:r>
                </w:p>
              </w:tc>
              <w:tc>
                <w:tcPr>
                  <w:tcW w:w="1141"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p>
              </w:tc>
              <w:tc>
                <w:tcPr>
                  <w:tcW w:w="75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222"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p>
              </w:tc>
              <w:tc>
                <w:tcPr>
                  <w:tcW w:w="116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振捣机</w:t>
                  </w:r>
                </w:p>
              </w:tc>
              <w:tc>
                <w:tcPr>
                  <w:tcW w:w="11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15</w:t>
                  </w:r>
                </w:p>
              </w:tc>
              <w:tc>
                <w:tcPr>
                  <w:tcW w:w="128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81</w:t>
                  </w:r>
                </w:p>
              </w:tc>
              <w:tc>
                <w:tcPr>
                  <w:tcW w:w="85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34.9</w:t>
                  </w:r>
                </w:p>
              </w:tc>
              <w:tc>
                <w:tcPr>
                  <w:tcW w:w="99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110.3</w:t>
                  </w:r>
                </w:p>
              </w:tc>
              <w:tc>
                <w:tcPr>
                  <w:tcW w:w="1141"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p>
              </w:tc>
              <w:tc>
                <w:tcPr>
                  <w:tcW w:w="75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222"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p>
              </w:tc>
              <w:tc>
                <w:tcPr>
                  <w:tcW w:w="116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自卸车</w:t>
                  </w:r>
                </w:p>
              </w:tc>
              <w:tc>
                <w:tcPr>
                  <w:tcW w:w="11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5</w:t>
                  </w:r>
                </w:p>
              </w:tc>
              <w:tc>
                <w:tcPr>
                  <w:tcW w:w="128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82</w:t>
                  </w:r>
                </w:p>
              </w:tc>
              <w:tc>
                <w:tcPr>
                  <w:tcW w:w="85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12.6</w:t>
                  </w:r>
                </w:p>
              </w:tc>
              <w:tc>
                <w:tcPr>
                  <w:tcW w:w="99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39.7</w:t>
                  </w:r>
                </w:p>
              </w:tc>
              <w:tc>
                <w:tcPr>
                  <w:tcW w:w="1141"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p>
              </w:tc>
              <w:tc>
                <w:tcPr>
                  <w:tcW w:w="75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222"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p>
              </w:tc>
              <w:tc>
                <w:tcPr>
                  <w:tcW w:w="116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搅拌机</w:t>
                  </w:r>
                </w:p>
              </w:tc>
              <w:tc>
                <w:tcPr>
                  <w:tcW w:w="11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1</w:t>
                  </w:r>
                </w:p>
              </w:tc>
              <w:tc>
                <w:tcPr>
                  <w:tcW w:w="128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79</w:t>
                  </w:r>
                </w:p>
              </w:tc>
              <w:tc>
                <w:tcPr>
                  <w:tcW w:w="85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9.3</w:t>
                  </w:r>
                </w:p>
              </w:tc>
              <w:tc>
                <w:tcPr>
                  <w:tcW w:w="99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29.4</w:t>
                  </w:r>
                </w:p>
              </w:tc>
              <w:tc>
                <w:tcPr>
                  <w:tcW w:w="1141"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p>
              </w:tc>
              <w:tc>
                <w:tcPr>
                  <w:tcW w:w="75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222"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p>
              </w:tc>
              <w:tc>
                <w:tcPr>
                  <w:tcW w:w="116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rFonts w:hint="eastAsia"/>
                      <w:bCs/>
                      <w:color w:val="auto"/>
                      <w:sz w:val="21"/>
                      <w:szCs w:val="21"/>
                      <w:lang w:eastAsia="zh-CN"/>
                    </w:rPr>
                    <w:t>摊铺机</w:t>
                  </w:r>
                </w:p>
              </w:tc>
              <w:tc>
                <w:tcPr>
                  <w:tcW w:w="11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5</w:t>
                  </w:r>
                </w:p>
              </w:tc>
              <w:tc>
                <w:tcPr>
                  <w:tcW w:w="128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87</w:t>
                  </w:r>
                </w:p>
              </w:tc>
              <w:tc>
                <w:tcPr>
                  <w:tcW w:w="85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18.4</w:t>
                  </w:r>
                </w:p>
              </w:tc>
              <w:tc>
                <w:tcPr>
                  <w:tcW w:w="99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r>
                    <w:rPr>
                      <w:bCs/>
                      <w:color w:val="auto"/>
                      <w:sz w:val="21"/>
                      <w:szCs w:val="21"/>
                    </w:rPr>
                    <w:t>58.3</w:t>
                  </w:r>
                </w:p>
              </w:tc>
              <w:tc>
                <w:tcPr>
                  <w:tcW w:w="1141"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p>
              </w:tc>
              <w:tc>
                <w:tcPr>
                  <w:tcW w:w="75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bCs/>
                      <w:color w:val="auto"/>
                      <w:sz w:val="21"/>
                      <w:szCs w:val="21"/>
                    </w:rPr>
                  </w:pPr>
                </w:p>
              </w:tc>
            </w:tr>
          </w:tbl>
          <w:p>
            <w:pPr>
              <w:tabs>
                <w:tab w:val="left" w:pos="2760"/>
              </w:tabs>
              <w:snapToGrid w:val="0"/>
              <w:spacing w:line="480" w:lineRule="exact"/>
              <w:ind w:firstLine="482" w:firstLineChars="200"/>
              <w:rPr>
                <w:b/>
                <w:bCs/>
                <w:color w:val="auto"/>
                <w:sz w:val="24"/>
                <w:szCs w:val="21"/>
              </w:rPr>
            </w:pPr>
            <w:r>
              <w:rPr>
                <w:b/>
                <w:bCs/>
                <w:color w:val="auto"/>
                <w:sz w:val="24"/>
                <w:szCs w:val="21"/>
              </w:rPr>
              <w:t>（4）施工机械噪声影响分析</w:t>
            </w:r>
          </w:p>
          <w:p>
            <w:pPr>
              <w:tabs>
                <w:tab w:val="left" w:pos="2760"/>
              </w:tabs>
              <w:snapToGrid w:val="0"/>
              <w:spacing w:line="480" w:lineRule="exact"/>
              <w:ind w:firstLine="480" w:firstLineChars="200"/>
              <w:rPr>
                <w:color w:val="auto"/>
                <w:sz w:val="24"/>
                <w:szCs w:val="21"/>
              </w:rPr>
            </w:pPr>
            <w:r>
              <w:rPr>
                <w:color w:val="auto"/>
                <w:sz w:val="24"/>
                <w:szCs w:val="21"/>
              </w:rPr>
              <w:t>通过以上预测计算结果可见：</w:t>
            </w:r>
          </w:p>
          <w:p>
            <w:pPr>
              <w:tabs>
                <w:tab w:val="left" w:pos="2760"/>
              </w:tabs>
              <w:snapToGrid w:val="0"/>
              <w:spacing w:line="480" w:lineRule="exact"/>
              <w:ind w:firstLine="480" w:firstLineChars="200"/>
              <w:rPr>
                <w:color w:val="auto"/>
                <w:sz w:val="24"/>
                <w:szCs w:val="21"/>
              </w:rPr>
            </w:pPr>
            <w:r>
              <w:rPr>
                <w:rFonts w:hint="eastAsia" w:ascii="宋体" w:hAnsi="宋体" w:cs="宋体"/>
                <w:color w:val="auto"/>
                <w:sz w:val="24"/>
                <w:szCs w:val="21"/>
              </w:rPr>
              <w:t>①</w:t>
            </w:r>
            <w:r>
              <w:rPr>
                <w:color w:val="auto"/>
                <w:sz w:val="24"/>
                <w:szCs w:val="21"/>
              </w:rPr>
              <w:t>在实际施工过程中可能出现多台机械同时在一处作业，此时施工噪声影响范围比预测值还要大，鉴于实际情况较为复杂，很难用声级叠加公式进行计算。</w:t>
            </w:r>
          </w:p>
          <w:p>
            <w:pPr>
              <w:tabs>
                <w:tab w:val="left" w:pos="2760"/>
              </w:tabs>
              <w:snapToGrid w:val="0"/>
              <w:spacing w:line="480" w:lineRule="exact"/>
              <w:ind w:firstLine="480" w:firstLineChars="200"/>
              <w:rPr>
                <w:color w:val="auto"/>
                <w:sz w:val="24"/>
                <w:szCs w:val="21"/>
              </w:rPr>
            </w:pPr>
            <w:r>
              <w:rPr>
                <w:rFonts w:hint="eastAsia" w:ascii="宋体" w:hAnsi="宋体" w:cs="宋体"/>
                <w:color w:val="auto"/>
                <w:sz w:val="24"/>
                <w:szCs w:val="21"/>
              </w:rPr>
              <w:t>②</w:t>
            </w:r>
            <w:r>
              <w:rPr>
                <w:color w:val="auto"/>
                <w:sz w:val="24"/>
                <w:szCs w:val="21"/>
              </w:rPr>
              <w:t>施工噪声将对沿线声环境质量产生一定的影响，这种噪声影响白天将主要出现在距施工场地70m范围内，夜间将主要出现在距施工场地220m范围内。从推算的结果看，噪声污染最严重的施工机械是夯土机，一般情况下，在路基施工中将使用到，其他施工机械噪声较低。</w:t>
            </w:r>
          </w:p>
          <w:p>
            <w:pPr>
              <w:tabs>
                <w:tab w:val="left" w:pos="2760"/>
              </w:tabs>
              <w:snapToGrid w:val="0"/>
              <w:spacing w:line="480" w:lineRule="exact"/>
              <w:ind w:firstLine="480" w:firstLineChars="200"/>
              <w:rPr>
                <w:color w:val="auto"/>
                <w:sz w:val="24"/>
                <w:szCs w:val="21"/>
              </w:rPr>
            </w:pPr>
            <w:r>
              <w:rPr>
                <w:rFonts w:hint="eastAsia" w:ascii="宋体" w:hAnsi="宋体" w:cs="宋体"/>
                <w:color w:val="auto"/>
                <w:sz w:val="24"/>
                <w:szCs w:val="21"/>
              </w:rPr>
              <w:t>③</w:t>
            </w:r>
            <w:r>
              <w:rPr>
                <w:color w:val="auto"/>
                <w:sz w:val="24"/>
                <w:szCs w:val="21"/>
              </w:rPr>
              <w:t>施工噪声主要发生在路基施工和路面施工阶段，因此，做好上述时期施工期的噪声防护和治理工作十分重要。</w:t>
            </w:r>
          </w:p>
          <w:p>
            <w:pPr>
              <w:adjustRightInd w:val="0"/>
              <w:snapToGrid w:val="0"/>
              <w:spacing w:line="480" w:lineRule="exact"/>
              <w:ind w:firstLine="482" w:firstLineChars="200"/>
              <w:rPr>
                <w:b/>
                <w:sz w:val="24"/>
                <w:szCs w:val="24"/>
              </w:rPr>
            </w:pPr>
            <w:r>
              <w:rPr>
                <w:rFonts w:hint="eastAsia"/>
                <w:b/>
                <w:sz w:val="24"/>
                <w:szCs w:val="24"/>
                <w:lang w:val="en-US" w:eastAsia="zh-CN"/>
              </w:rPr>
              <w:t>5</w:t>
            </w:r>
            <w:r>
              <w:rPr>
                <w:b/>
                <w:sz w:val="24"/>
                <w:szCs w:val="24"/>
              </w:rPr>
              <w:t>、</w:t>
            </w:r>
            <w:r>
              <w:rPr>
                <w:rFonts w:hint="eastAsia"/>
                <w:b/>
                <w:sz w:val="24"/>
                <w:szCs w:val="24"/>
              </w:rPr>
              <w:t>施工期固体</w:t>
            </w:r>
            <w:r>
              <w:rPr>
                <w:rFonts w:hint="eastAsia"/>
                <w:b/>
                <w:sz w:val="24"/>
                <w:szCs w:val="24"/>
                <w:lang w:val="en-US" w:eastAsia="zh-CN"/>
              </w:rPr>
              <w:t>废物</w:t>
            </w:r>
            <w:r>
              <w:rPr>
                <w:rFonts w:hint="eastAsia"/>
                <w:b/>
                <w:sz w:val="24"/>
                <w:szCs w:val="24"/>
              </w:rPr>
              <w:t>环境影响分析</w:t>
            </w:r>
          </w:p>
          <w:p>
            <w:pPr>
              <w:adjustRightInd w:val="0"/>
              <w:snapToGrid w:val="0"/>
              <w:spacing w:line="480" w:lineRule="exact"/>
              <w:ind w:firstLine="480" w:firstLineChars="200"/>
              <w:rPr>
                <w:rFonts w:hint="eastAsia"/>
                <w:bCs/>
                <w:sz w:val="24"/>
              </w:rPr>
            </w:pPr>
            <w:r>
              <w:rPr>
                <w:rFonts w:hint="eastAsia"/>
                <w:bCs/>
                <w:sz w:val="24"/>
              </w:rPr>
              <w:t>道路建设固体废物主要产生在施工期，施工期固体废物主要为弃方和生活垃圾。</w:t>
            </w:r>
          </w:p>
          <w:p>
            <w:pPr>
              <w:adjustRightInd w:val="0"/>
              <w:snapToGrid w:val="0"/>
              <w:spacing w:line="480" w:lineRule="exact"/>
              <w:ind w:firstLine="482" w:firstLineChars="200"/>
              <w:rPr>
                <w:rFonts w:hint="eastAsia"/>
                <w:b/>
                <w:bCs w:val="0"/>
                <w:sz w:val="24"/>
                <w:lang w:val="en-US" w:eastAsia="zh-CN"/>
              </w:rPr>
            </w:pPr>
            <w:r>
              <w:rPr>
                <w:rFonts w:hint="eastAsia"/>
                <w:b/>
                <w:bCs w:val="0"/>
                <w:sz w:val="24"/>
                <w:lang w:eastAsia="zh-CN"/>
              </w:rPr>
              <w:t>（</w:t>
            </w:r>
            <w:r>
              <w:rPr>
                <w:rFonts w:hint="eastAsia"/>
                <w:b/>
                <w:bCs w:val="0"/>
                <w:sz w:val="24"/>
                <w:lang w:val="en-US" w:eastAsia="zh-CN"/>
              </w:rPr>
              <w:t>1</w:t>
            </w:r>
            <w:r>
              <w:rPr>
                <w:rFonts w:hint="eastAsia"/>
                <w:b/>
                <w:bCs w:val="0"/>
                <w:sz w:val="24"/>
                <w:lang w:eastAsia="zh-CN"/>
              </w:rPr>
              <w:t>）</w:t>
            </w:r>
            <w:r>
              <w:rPr>
                <w:rFonts w:hint="eastAsia"/>
                <w:b/>
                <w:bCs w:val="0"/>
                <w:sz w:val="24"/>
                <w:lang w:val="en-US" w:eastAsia="zh-CN"/>
              </w:rPr>
              <w:t>弃土石方</w:t>
            </w:r>
          </w:p>
          <w:p>
            <w:pPr>
              <w:adjustRightInd w:val="0"/>
              <w:snapToGrid w:val="0"/>
              <w:spacing w:line="480" w:lineRule="exact"/>
              <w:ind w:firstLine="480" w:firstLineChars="200"/>
              <w:rPr>
                <w:rFonts w:hint="eastAsia"/>
                <w:bCs/>
                <w:sz w:val="24"/>
                <w:lang w:val="en-US" w:eastAsia="zh-CN"/>
              </w:rPr>
            </w:pPr>
            <w:r>
              <w:rPr>
                <w:rFonts w:hint="eastAsia"/>
                <w:bCs/>
                <w:sz w:val="24"/>
              </w:rPr>
              <w:t>路基填料首先利用开挖土方</w:t>
            </w:r>
            <w:r>
              <w:rPr>
                <w:rFonts w:hint="eastAsia"/>
                <w:bCs/>
                <w:sz w:val="24"/>
                <w:lang w:eastAsia="zh-CN"/>
              </w:rPr>
              <w:t>，</w:t>
            </w:r>
            <w:r>
              <w:rPr>
                <w:rFonts w:hint="eastAsia"/>
                <w:bCs/>
                <w:sz w:val="24"/>
                <w:lang w:val="en-US" w:eastAsia="zh-CN"/>
              </w:rPr>
              <w:t>剩余挖土方和挖石方直接汽运至当地政府指定的弃土场进行处置。</w:t>
            </w:r>
          </w:p>
          <w:p>
            <w:pPr>
              <w:adjustRightInd w:val="0"/>
              <w:snapToGrid w:val="0"/>
              <w:spacing w:line="480" w:lineRule="exact"/>
              <w:ind w:firstLine="482" w:firstLineChars="200"/>
              <w:rPr>
                <w:rFonts w:hint="eastAsia"/>
                <w:b/>
                <w:bCs w:val="0"/>
                <w:sz w:val="24"/>
              </w:rPr>
            </w:pPr>
            <w:r>
              <w:rPr>
                <w:rFonts w:hint="eastAsia"/>
                <w:b/>
                <w:bCs w:val="0"/>
                <w:sz w:val="24"/>
                <w:lang w:eastAsia="zh-CN"/>
              </w:rPr>
              <w:t>（</w:t>
            </w:r>
            <w:r>
              <w:rPr>
                <w:rFonts w:hint="eastAsia"/>
                <w:b/>
                <w:bCs w:val="0"/>
                <w:sz w:val="24"/>
                <w:lang w:val="en-US" w:eastAsia="zh-CN"/>
              </w:rPr>
              <w:t>2</w:t>
            </w:r>
            <w:r>
              <w:rPr>
                <w:rFonts w:hint="eastAsia"/>
                <w:b/>
                <w:bCs w:val="0"/>
                <w:sz w:val="24"/>
                <w:lang w:eastAsia="zh-CN"/>
              </w:rPr>
              <w:t>）</w:t>
            </w:r>
            <w:r>
              <w:rPr>
                <w:rFonts w:hint="eastAsia"/>
                <w:b/>
                <w:bCs w:val="0"/>
                <w:sz w:val="24"/>
              </w:rPr>
              <w:t>生活垃圾</w:t>
            </w:r>
          </w:p>
          <w:p>
            <w:pPr>
              <w:adjustRightInd w:val="0"/>
              <w:snapToGrid w:val="0"/>
              <w:spacing w:line="480" w:lineRule="exact"/>
              <w:ind w:firstLine="480" w:firstLineChars="200"/>
              <w:rPr>
                <w:bCs/>
              </w:rPr>
            </w:pPr>
            <w:r>
              <w:rPr>
                <w:rFonts w:hint="eastAsia"/>
                <w:bCs/>
                <w:sz w:val="24"/>
              </w:rPr>
              <w:t>生活垃圾主要是施工人员日常生活中的废弃物，生活垃圾排放量按每人每天0.5kg计，每天产生量约25kg，施工期</w:t>
            </w:r>
            <w:r>
              <w:rPr>
                <w:rFonts w:hint="eastAsia"/>
                <w:bCs/>
                <w:sz w:val="24"/>
                <w:lang w:val="en-US" w:eastAsia="zh-CN"/>
              </w:rPr>
              <w:t>18</w:t>
            </w:r>
            <w:r>
              <w:rPr>
                <w:rFonts w:hint="eastAsia"/>
                <w:bCs/>
                <w:sz w:val="24"/>
              </w:rPr>
              <w:t>个月，工程总产生量为</w:t>
            </w:r>
            <w:r>
              <w:rPr>
                <w:rFonts w:hint="eastAsia"/>
                <w:bCs/>
                <w:sz w:val="24"/>
                <w:lang w:val="en-US" w:eastAsia="zh-CN"/>
              </w:rPr>
              <w:t>13.5</w:t>
            </w:r>
            <w:r>
              <w:rPr>
                <w:rFonts w:hint="eastAsia"/>
                <w:bCs/>
                <w:sz w:val="24"/>
              </w:rPr>
              <w:t>t。施工人员生活垃圾由当地环卫部门统一清运处理</w:t>
            </w:r>
            <w:r>
              <w:rPr>
                <w:rFonts w:hint="eastAsia"/>
                <w:bCs/>
                <w:sz w:val="24"/>
                <w:lang w:eastAsia="zh-CN"/>
              </w:rPr>
              <w:t>，</w:t>
            </w:r>
            <w:r>
              <w:rPr>
                <w:rFonts w:hint="eastAsia"/>
                <w:bCs/>
                <w:sz w:val="24"/>
                <w:lang w:val="en-US" w:eastAsia="zh-CN"/>
              </w:rPr>
              <w:t>对周边环境影响较小。</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7" w:type="dxa"/>
            <w:tcMar>
              <w:left w:w="28" w:type="dxa"/>
              <w:right w:w="28" w:type="dxa"/>
            </w:tcMar>
            <w:vAlign w:val="center"/>
          </w:tcPr>
          <w:p>
            <w:pPr>
              <w:pStyle w:val="19"/>
              <w:adjustRightInd w:val="0"/>
              <w:snapToGrid w:val="0"/>
              <w:spacing w:before="0" w:beforeAutospacing="0" w:after="0" w:afterAutospacing="0"/>
              <w:jc w:val="center"/>
              <w:rPr>
                <w:bCs/>
                <w:kern w:val="2"/>
                <w:sz w:val="21"/>
                <w:szCs w:val="21"/>
              </w:rPr>
            </w:pPr>
            <w:r>
              <w:rPr>
                <w:rFonts w:hint="eastAsia"/>
                <w:bCs/>
                <w:spacing w:val="10"/>
                <w:kern w:val="2"/>
                <w:sz w:val="21"/>
                <w:szCs w:val="21"/>
              </w:rPr>
              <w:t>运营期生态环境影响分析</w:t>
            </w:r>
          </w:p>
        </w:tc>
        <w:tc>
          <w:tcPr>
            <w:tcW w:w="8837" w:type="dxa"/>
          </w:tcPr>
          <w:p>
            <w:pPr>
              <w:keepNext w:val="0"/>
              <w:keepLines w:val="0"/>
              <w:pageBreakBefore w:val="0"/>
              <w:widowControl w:val="0"/>
              <w:kinsoku/>
              <w:wordWrap/>
              <w:overflowPunct/>
              <w:topLinePunct w:val="0"/>
              <w:autoSpaceDE/>
              <w:autoSpaceDN/>
              <w:bidi w:val="0"/>
              <w:adjustRightInd w:val="0"/>
              <w:snapToGrid w:val="0"/>
              <w:spacing w:line="480" w:lineRule="exact"/>
              <w:ind w:firstLine="482" w:firstLineChars="200"/>
              <w:textAlignment w:val="auto"/>
              <w:rPr>
                <w:b/>
                <w:sz w:val="24"/>
                <w:szCs w:val="24"/>
              </w:rPr>
            </w:pPr>
            <w:r>
              <w:rPr>
                <w:b/>
                <w:sz w:val="24"/>
                <w:szCs w:val="24"/>
              </w:rPr>
              <w:t>1、运营期生态环境影响分析</w:t>
            </w:r>
          </w:p>
          <w:p>
            <w:pPr>
              <w:keepNext w:val="0"/>
              <w:keepLines w:val="0"/>
              <w:pageBreakBefore w:val="0"/>
              <w:widowControl w:val="0"/>
              <w:kinsoku/>
              <w:wordWrap/>
              <w:overflowPunct/>
              <w:topLinePunct w:val="0"/>
              <w:autoSpaceDE/>
              <w:autoSpaceDN/>
              <w:bidi w:val="0"/>
              <w:adjustRightInd w:val="0"/>
              <w:snapToGrid w:val="0"/>
              <w:spacing w:line="480" w:lineRule="exact"/>
              <w:ind w:firstLine="482" w:firstLineChars="200"/>
              <w:textAlignment w:val="auto"/>
              <w:rPr>
                <w:rFonts w:hint="eastAsia"/>
                <w:b/>
                <w:bCs/>
                <w:kern w:val="24"/>
                <w:sz w:val="24"/>
                <w:szCs w:val="20"/>
              </w:rPr>
            </w:pPr>
            <w:r>
              <w:rPr>
                <w:rFonts w:hint="eastAsia"/>
                <w:b/>
                <w:bCs/>
                <w:kern w:val="24"/>
                <w:sz w:val="24"/>
                <w:szCs w:val="20"/>
                <w:lang w:eastAsia="zh-CN"/>
              </w:rPr>
              <w:t>（</w:t>
            </w:r>
            <w:r>
              <w:rPr>
                <w:rFonts w:hint="eastAsia"/>
                <w:b/>
                <w:bCs/>
                <w:kern w:val="24"/>
                <w:sz w:val="24"/>
                <w:szCs w:val="20"/>
                <w:lang w:val="en-US" w:eastAsia="zh-CN"/>
              </w:rPr>
              <w:t>1</w:t>
            </w:r>
            <w:r>
              <w:rPr>
                <w:rFonts w:hint="eastAsia"/>
                <w:b/>
                <w:bCs/>
                <w:kern w:val="24"/>
                <w:sz w:val="24"/>
                <w:szCs w:val="20"/>
                <w:lang w:eastAsia="zh-CN"/>
              </w:rPr>
              <w:t>）</w:t>
            </w:r>
            <w:r>
              <w:rPr>
                <w:rFonts w:hint="eastAsia"/>
                <w:b/>
                <w:bCs/>
                <w:kern w:val="24"/>
                <w:sz w:val="24"/>
                <w:szCs w:val="20"/>
              </w:rPr>
              <w:t>对野生动物活动的阻隔影响</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eastAsia"/>
                <w:kern w:val="24"/>
                <w:sz w:val="24"/>
                <w:szCs w:val="20"/>
              </w:rPr>
            </w:pPr>
            <w:r>
              <w:rPr>
                <w:rFonts w:hint="eastAsia"/>
                <w:kern w:val="24"/>
                <w:sz w:val="24"/>
                <w:szCs w:val="20"/>
              </w:rPr>
              <w:t>经过现场调查，拟建</w:t>
            </w:r>
            <w:r>
              <w:rPr>
                <w:rFonts w:hint="eastAsia"/>
                <w:kern w:val="24"/>
                <w:sz w:val="24"/>
                <w:szCs w:val="20"/>
                <w:lang w:eastAsia="zh-CN"/>
              </w:rPr>
              <w:t>道路</w:t>
            </w:r>
            <w:r>
              <w:rPr>
                <w:rFonts w:hint="eastAsia"/>
                <w:kern w:val="24"/>
                <w:sz w:val="24"/>
                <w:szCs w:val="20"/>
              </w:rPr>
              <w:t>穿越地区在调查过程中未发现两栖、爬行和兽类迁移的路线。本项目沿线区域鸟类绝大多数为留鸟，少部分的候鸟其迁徙多在高空进行。本项目沿线不存在高山地区可能形成的鸟类迁徙唯一通道的问题(鸟道)—即鸟类活动必经的垭口。因此，拟建</w:t>
            </w:r>
            <w:r>
              <w:rPr>
                <w:rFonts w:hint="eastAsia"/>
                <w:kern w:val="24"/>
                <w:sz w:val="24"/>
                <w:szCs w:val="20"/>
                <w:lang w:eastAsia="zh-CN"/>
              </w:rPr>
              <w:t>道路</w:t>
            </w:r>
            <w:r>
              <w:rPr>
                <w:rFonts w:hint="eastAsia"/>
                <w:kern w:val="24"/>
                <w:sz w:val="24"/>
                <w:szCs w:val="20"/>
              </w:rPr>
              <w:t>的运营不会对候鸟的迁徙产生不良影响。</w:t>
            </w:r>
          </w:p>
          <w:p>
            <w:pPr>
              <w:keepNext w:val="0"/>
              <w:keepLines w:val="0"/>
              <w:pageBreakBefore w:val="0"/>
              <w:widowControl w:val="0"/>
              <w:kinsoku/>
              <w:wordWrap/>
              <w:overflowPunct/>
              <w:topLinePunct w:val="0"/>
              <w:autoSpaceDE/>
              <w:autoSpaceDN/>
              <w:bidi w:val="0"/>
              <w:adjustRightInd w:val="0"/>
              <w:snapToGrid w:val="0"/>
              <w:spacing w:line="480" w:lineRule="exact"/>
              <w:ind w:firstLine="482" w:firstLineChars="200"/>
              <w:textAlignment w:val="auto"/>
              <w:rPr>
                <w:rFonts w:hint="eastAsia"/>
                <w:b/>
                <w:bCs/>
                <w:kern w:val="24"/>
                <w:sz w:val="24"/>
                <w:szCs w:val="20"/>
              </w:rPr>
            </w:pPr>
            <w:r>
              <w:rPr>
                <w:rFonts w:hint="eastAsia"/>
                <w:b/>
                <w:bCs/>
                <w:kern w:val="24"/>
                <w:sz w:val="24"/>
                <w:szCs w:val="20"/>
                <w:lang w:eastAsia="zh-CN"/>
              </w:rPr>
              <w:t>（</w:t>
            </w:r>
            <w:r>
              <w:rPr>
                <w:rFonts w:hint="eastAsia"/>
                <w:b/>
                <w:bCs/>
                <w:kern w:val="24"/>
                <w:sz w:val="24"/>
                <w:szCs w:val="20"/>
                <w:lang w:val="en-US" w:eastAsia="zh-CN"/>
              </w:rPr>
              <w:t>2</w:t>
            </w:r>
            <w:r>
              <w:rPr>
                <w:rFonts w:hint="eastAsia"/>
                <w:b/>
                <w:bCs/>
                <w:kern w:val="24"/>
                <w:sz w:val="24"/>
                <w:szCs w:val="20"/>
                <w:lang w:eastAsia="zh-CN"/>
              </w:rPr>
              <w:t>）</w:t>
            </w:r>
            <w:r>
              <w:rPr>
                <w:rFonts w:hint="eastAsia"/>
                <w:b/>
                <w:bCs/>
                <w:kern w:val="24"/>
                <w:sz w:val="24"/>
                <w:szCs w:val="20"/>
              </w:rPr>
              <w:t>噪声与尾气对野生动物的影响</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eastAsia"/>
                <w:kern w:val="24"/>
                <w:sz w:val="24"/>
                <w:szCs w:val="20"/>
              </w:rPr>
            </w:pPr>
            <w:r>
              <w:rPr>
                <w:rFonts w:hint="eastAsia"/>
                <w:kern w:val="24"/>
                <w:sz w:val="24"/>
                <w:szCs w:val="20"/>
              </w:rPr>
              <w:t>噪声和尾气对野生动物的影响一般认为会迫使野生动物迁徙它处。当地常见的主要是一些小型动物，对人类干扰有相当的适应。因此，噪声和尾气对当地野生动物的不良影响较小。工程可能迫使一些动物向</w:t>
            </w:r>
            <w:r>
              <w:rPr>
                <w:rFonts w:hint="eastAsia"/>
                <w:kern w:val="24"/>
                <w:sz w:val="24"/>
                <w:szCs w:val="20"/>
                <w:lang w:eastAsia="zh-CN"/>
              </w:rPr>
              <w:t>道路</w:t>
            </w:r>
            <w:r>
              <w:rPr>
                <w:rFonts w:hint="eastAsia"/>
                <w:kern w:val="24"/>
                <w:sz w:val="24"/>
                <w:szCs w:val="20"/>
              </w:rPr>
              <w:t>两侧迁移，但对该地区陆栖脊椎动物整体的物种数量和个体数量不会产生明显的不良影响。</w:t>
            </w:r>
          </w:p>
          <w:p>
            <w:pPr>
              <w:keepNext w:val="0"/>
              <w:keepLines w:val="0"/>
              <w:pageBreakBefore w:val="0"/>
              <w:widowControl w:val="0"/>
              <w:kinsoku/>
              <w:wordWrap/>
              <w:overflowPunct/>
              <w:topLinePunct w:val="0"/>
              <w:autoSpaceDE/>
              <w:autoSpaceDN/>
              <w:bidi w:val="0"/>
              <w:adjustRightInd w:val="0"/>
              <w:snapToGrid w:val="0"/>
              <w:spacing w:line="480" w:lineRule="exact"/>
              <w:ind w:firstLine="482" w:firstLineChars="200"/>
              <w:textAlignment w:val="auto"/>
              <w:rPr>
                <w:b/>
                <w:sz w:val="24"/>
              </w:rPr>
            </w:pPr>
            <w:r>
              <w:rPr>
                <w:b/>
                <w:sz w:val="24"/>
              </w:rPr>
              <w:t>2</w:t>
            </w:r>
            <w:r>
              <w:rPr>
                <w:rFonts w:hint="eastAsia"/>
                <w:b/>
                <w:sz w:val="24"/>
              </w:rPr>
              <w:t>、运营期</w:t>
            </w:r>
            <w:r>
              <w:rPr>
                <w:b/>
                <w:sz w:val="24"/>
              </w:rPr>
              <w:t>大气环境影响分析</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color w:val="000000"/>
                <w:sz w:val="24"/>
              </w:rPr>
            </w:pPr>
            <w:r>
              <w:rPr>
                <w:color w:val="000000"/>
                <w:sz w:val="24"/>
              </w:rPr>
              <w:t>营运期大气污染源主要是机动车尾气，污染物主要包括CO、HC、NO</w:t>
            </w:r>
            <w:r>
              <w:rPr>
                <w:color w:val="000000"/>
                <w:sz w:val="24"/>
                <w:vertAlign w:val="subscript"/>
              </w:rPr>
              <w:t>x</w:t>
            </w:r>
            <w:r>
              <w:rPr>
                <w:color w:val="000000"/>
                <w:sz w:val="24"/>
              </w:rPr>
              <w:t>等。</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color w:val="000000"/>
                <w:sz w:val="24"/>
              </w:rPr>
            </w:pPr>
            <w:r>
              <w:rPr>
                <w:color w:val="000000"/>
                <w:sz w:val="24"/>
              </w:rPr>
              <w:t>CO是汽油燃烧形成的中间产物，当机动车慢速行驶或者空转时，燃料不能充分燃烧，废气中CO含量将明显增加。CO是一种无色无味的有毒气体，由呼吸道进入人体血液后，会于血液中的血红蛋白结合，使血氧含量下降，导致人呼吸困难甚至死亡。</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color w:val="000000"/>
                <w:sz w:val="24"/>
              </w:rPr>
            </w:pPr>
            <w:r>
              <w:rPr>
                <w:color w:val="000000"/>
                <w:sz w:val="24"/>
              </w:rPr>
              <w:t>机动车排放的NO</w:t>
            </w:r>
            <w:r>
              <w:rPr>
                <w:color w:val="000000"/>
                <w:sz w:val="24"/>
                <w:vertAlign w:val="subscript"/>
              </w:rPr>
              <w:t>x</w:t>
            </w:r>
            <w:r>
              <w:rPr>
                <w:color w:val="000000"/>
                <w:sz w:val="24"/>
              </w:rPr>
              <w:t>主要包括NO和NO</w:t>
            </w:r>
            <w:r>
              <w:rPr>
                <w:color w:val="000000"/>
                <w:sz w:val="24"/>
                <w:vertAlign w:val="subscript"/>
              </w:rPr>
              <w:t>2</w:t>
            </w:r>
            <w:r>
              <w:rPr>
                <w:color w:val="000000"/>
                <w:sz w:val="24"/>
              </w:rPr>
              <w:t>，NO</w:t>
            </w:r>
            <w:r>
              <w:rPr>
                <w:color w:val="000000"/>
                <w:sz w:val="24"/>
                <w:vertAlign w:val="subscript"/>
              </w:rPr>
              <w:t>2</w:t>
            </w:r>
            <w:r>
              <w:rPr>
                <w:color w:val="000000"/>
                <w:sz w:val="24"/>
              </w:rPr>
              <w:t>是一种红棕色、有刺激性的有毒气体，可深入下呼吸道和肺部，引发支气管炎和肺气肿等疾病。</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bCs/>
                <w:sz w:val="24"/>
              </w:rPr>
            </w:pPr>
            <w:r>
              <w:rPr>
                <w:color w:val="000000"/>
                <w:sz w:val="24"/>
              </w:rPr>
              <w:t>烷烃类气体中甲烷为窒息性气体，高浓度时对人体造成危害，烯烃类和炔烃类主要是对植物造成损害，芳香烃中苯是一种类似汽油味的气体，可引起食欲不振、体重减轻、头晕、失眠、黏膜出血等症状，多环芳烃中含有多种致癌物质。</w:t>
            </w:r>
          </w:p>
          <w:p>
            <w:pPr>
              <w:keepNext w:val="0"/>
              <w:keepLines w:val="0"/>
              <w:pageBreakBefore w:val="0"/>
              <w:widowControl w:val="0"/>
              <w:kinsoku/>
              <w:wordWrap/>
              <w:overflowPunct/>
              <w:topLinePunct w:val="0"/>
              <w:autoSpaceDE/>
              <w:autoSpaceDN/>
              <w:bidi w:val="0"/>
              <w:adjustRightInd w:val="0"/>
              <w:snapToGrid w:val="0"/>
              <w:spacing w:line="480" w:lineRule="exact"/>
              <w:ind w:firstLine="482" w:firstLineChars="200"/>
              <w:textAlignment w:val="auto"/>
              <w:rPr>
                <w:b/>
                <w:sz w:val="24"/>
              </w:rPr>
            </w:pPr>
            <w:r>
              <w:rPr>
                <w:b/>
                <w:sz w:val="24"/>
              </w:rPr>
              <w:t>3</w:t>
            </w:r>
            <w:r>
              <w:rPr>
                <w:rFonts w:hint="eastAsia"/>
                <w:b/>
                <w:sz w:val="24"/>
              </w:rPr>
              <w:t>、运营期水</w:t>
            </w:r>
            <w:r>
              <w:rPr>
                <w:b/>
                <w:sz w:val="24"/>
              </w:rPr>
              <w:t>环境影响分析</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eastAsia"/>
                <w:bCs/>
                <w:sz w:val="24"/>
                <w:szCs w:val="24"/>
                <w:lang w:val="en-US" w:eastAsia="zh-CN"/>
              </w:rPr>
            </w:pPr>
            <w:r>
              <w:rPr>
                <w:rFonts w:hint="eastAsia"/>
                <w:bCs/>
                <w:sz w:val="24"/>
                <w:szCs w:val="24"/>
                <w:lang w:val="en-US" w:eastAsia="zh-CN"/>
              </w:rPr>
              <w:t>拟建道路建成运营后，随着交通量的逐年增加，沉降在路面上的机动车尾气排放物、汽车泄露的油类以及散落在路面上的其它有害物质也会逐年增加，上述污染物一旦随降水径流进入沟道，将对水体的水质产生一定的影响。路面径流污染物主要为BOD</w:t>
            </w:r>
            <w:r>
              <w:rPr>
                <w:rFonts w:hint="eastAsia"/>
                <w:bCs/>
                <w:sz w:val="24"/>
                <w:szCs w:val="24"/>
                <w:vertAlign w:val="subscript"/>
                <w:lang w:val="en-US" w:eastAsia="zh-CN"/>
              </w:rPr>
              <w:t>5</w:t>
            </w:r>
            <w:r>
              <w:rPr>
                <w:rFonts w:hint="eastAsia"/>
                <w:bCs/>
                <w:sz w:val="24"/>
                <w:szCs w:val="24"/>
                <w:lang w:val="en-US" w:eastAsia="zh-CN"/>
              </w:rPr>
              <w:t>、SS和石油类。</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eastAsia"/>
                <w:bCs/>
                <w:sz w:val="24"/>
                <w:szCs w:val="24"/>
                <w:lang w:val="en-US" w:eastAsia="zh-CN"/>
              </w:rPr>
            </w:pPr>
            <w:r>
              <w:rPr>
                <w:rFonts w:hint="eastAsia"/>
                <w:bCs/>
                <w:sz w:val="24"/>
                <w:szCs w:val="24"/>
                <w:lang w:val="en-US" w:eastAsia="zh-CN"/>
              </w:rPr>
              <w:t>对于石油类，仅限于过往车辆滴漏在道路上的油类物质，经过运行车辆轮胎的挤压，随轮胎带走一部分，其余部分只有在大雨季节，随路面径流经过边沟才有可能到达水体中。在实际过程中，路面径流在通过路面横坡自然散排、漫流到排水沟或边沟中，或通过边坡急流槽集中排入排水沟的过程中，伴随着降水稀释、泥沙对污染物的吸附、径流水自净等过程才进入水体，从而使污染物浓度变得更低，这种影响将随降雨历时的延长而降低或随降雨的消失而消失，对地表水环境影响甚微。评价要求加大清扫力度，减少地面积尘；加强雨水管道和污水管道维护，保证管道通畅。</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eastAsia"/>
                <w:bCs/>
                <w:sz w:val="24"/>
                <w:szCs w:val="24"/>
              </w:rPr>
            </w:pPr>
            <w:r>
              <w:rPr>
                <w:rFonts w:hint="eastAsia"/>
                <w:bCs/>
                <w:sz w:val="24"/>
                <w:szCs w:val="24"/>
                <w:lang w:val="en-US" w:eastAsia="zh-CN"/>
              </w:rPr>
              <w:t>此外，拟建道路沿线不设置收费站、养护站等产生污水的附属设施，运营期无污水产生。</w:t>
            </w:r>
          </w:p>
          <w:p>
            <w:pPr>
              <w:keepNext w:val="0"/>
              <w:keepLines w:val="0"/>
              <w:pageBreakBefore w:val="0"/>
              <w:widowControl w:val="0"/>
              <w:kinsoku/>
              <w:wordWrap/>
              <w:overflowPunct/>
              <w:topLinePunct w:val="0"/>
              <w:autoSpaceDE/>
              <w:autoSpaceDN/>
              <w:bidi w:val="0"/>
              <w:adjustRightInd w:val="0"/>
              <w:snapToGrid w:val="0"/>
              <w:spacing w:line="480" w:lineRule="exact"/>
              <w:ind w:firstLine="482" w:firstLineChars="200"/>
              <w:textAlignment w:val="auto"/>
              <w:rPr>
                <w:b/>
                <w:sz w:val="24"/>
              </w:rPr>
            </w:pPr>
            <w:r>
              <w:rPr>
                <w:rFonts w:hint="eastAsia"/>
                <w:b/>
                <w:sz w:val="24"/>
                <w:lang w:val="en-US" w:eastAsia="zh-CN"/>
              </w:rPr>
              <w:t>4</w:t>
            </w:r>
            <w:r>
              <w:rPr>
                <w:rFonts w:hint="eastAsia"/>
                <w:b/>
                <w:sz w:val="24"/>
              </w:rPr>
              <w:t>、运营期水</w:t>
            </w:r>
            <w:r>
              <w:rPr>
                <w:b/>
                <w:sz w:val="24"/>
              </w:rPr>
              <w:t>环境影响分析</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eastAsia"/>
                <w:bCs/>
                <w:sz w:val="24"/>
                <w:szCs w:val="24"/>
                <w:lang w:val="en-US" w:eastAsia="zh-CN"/>
              </w:rPr>
            </w:pPr>
            <w:r>
              <w:rPr>
                <w:rFonts w:hint="eastAsia"/>
                <w:bCs/>
                <w:sz w:val="24"/>
                <w:szCs w:val="24"/>
                <w:lang w:val="en-US" w:eastAsia="zh-CN"/>
              </w:rPr>
              <w:t>本项目营运期声环境影响主要为交通噪声。为减小项目对周边声环境的影响，环评要求通过以下措施以达到降噪效果：</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eastAsia"/>
                <w:bCs/>
                <w:sz w:val="24"/>
                <w:szCs w:val="24"/>
                <w:lang w:val="en-US" w:eastAsia="zh-CN"/>
              </w:rPr>
            </w:pPr>
            <w:r>
              <w:rPr>
                <w:rFonts w:hint="eastAsia"/>
                <w:bCs/>
                <w:sz w:val="24"/>
                <w:szCs w:val="24"/>
                <w:lang w:val="en-US" w:eastAsia="zh-CN"/>
              </w:rPr>
              <w:t>①控制行车噪声</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eastAsia"/>
                <w:bCs/>
                <w:sz w:val="24"/>
                <w:szCs w:val="24"/>
                <w:lang w:val="en-US" w:eastAsia="zh-CN"/>
              </w:rPr>
            </w:pPr>
            <w:r>
              <w:rPr>
                <w:rFonts w:hint="eastAsia"/>
                <w:bCs/>
                <w:sz w:val="24"/>
                <w:szCs w:val="24"/>
                <w:lang w:val="en-US" w:eastAsia="zh-CN"/>
              </w:rPr>
              <w:t>根据《中华人民共和国环境噪声污染防治条例》，加强公共交通、道路运输管理。并在集中居民区路段设置禁止鸣笛标志。</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eastAsia"/>
                <w:bCs/>
                <w:sz w:val="24"/>
                <w:szCs w:val="24"/>
                <w:lang w:val="en-US" w:eastAsia="zh-CN"/>
              </w:rPr>
            </w:pPr>
            <w:r>
              <w:rPr>
                <w:rFonts w:hint="eastAsia"/>
                <w:bCs/>
                <w:sz w:val="24"/>
                <w:szCs w:val="24"/>
                <w:lang w:val="en-US" w:eastAsia="zh-CN"/>
              </w:rPr>
              <w:t>②加强道路养护</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eastAsia"/>
                <w:bCs/>
                <w:sz w:val="24"/>
                <w:szCs w:val="24"/>
                <w:lang w:val="en-US" w:eastAsia="zh-CN"/>
              </w:rPr>
            </w:pPr>
            <w:r>
              <w:rPr>
                <w:rFonts w:hint="eastAsia"/>
                <w:bCs/>
                <w:sz w:val="24"/>
                <w:szCs w:val="24"/>
                <w:lang w:val="en-US" w:eastAsia="zh-CN"/>
              </w:rPr>
              <w:t>加强道路养护，使路面维持最佳状态，减少轮胎噪声对敏感区的影响。</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eastAsia"/>
                <w:bCs/>
                <w:sz w:val="24"/>
                <w:szCs w:val="24"/>
                <w:lang w:val="en-US" w:eastAsia="zh-CN"/>
              </w:rPr>
            </w:pPr>
            <w:r>
              <w:rPr>
                <w:rFonts w:hint="eastAsia"/>
                <w:bCs/>
                <w:sz w:val="24"/>
                <w:szCs w:val="24"/>
                <w:lang w:val="en-US" w:eastAsia="zh-CN"/>
              </w:rPr>
              <w:t>③绿化防护措施</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eastAsia"/>
                <w:bCs/>
                <w:sz w:val="24"/>
                <w:szCs w:val="24"/>
                <w:lang w:val="en-US" w:eastAsia="zh-CN"/>
              </w:rPr>
            </w:pPr>
            <w:r>
              <w:rPr>
                <w:rFonts w:hint="eastAsia"/>
                <w:bCs/>
                <w:sz w:val="24"/>
                <w:szCs w:val="24"/>
                <w:lang w:val="en-US" w:eastAsia="zh-CN"/>
              </w:rPr>
              <w:t>完善本项目道路绿化工程，树种的选择要考虑具有隔声效果的乔木树种。</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eastAsia"/>
                <w:bCs/>
                <w:sz w:val="24"/>
                <w:szCs w:val="24"/>
                <w:lang w:val="en-US" w:eastAsia="zh-CN"/>
              </w:rPr>
            </w:pPr>
            <w:r>
              <w:rPr>
                <w:rFonts w:hint="eastAsia"/>
                <w:bCs/>
                <w:sz w:val="24"/>
                <w:szCs w:val="24"/>
                <w:lang w:val="en-US" w:eastAsia="zh-CN"/>
              </w:rPr>
              <w:fldChar w:fldCharType="begin"/>
            </w:r>
            <w:r>
              <w:rPr>
                <w:rFonts w:hint="eastAsia"/>
                <w:bCs/>
                <w:sz w:val="24"/>
                <w:szCs w:val="24"/>
                <w:lang w:val="en-US" w:eastAsia="zh-CN"/>
              </w:rPr>
              <w:instrText xml:space="preserve"> = 4 \* GB3 \* MERGEFORMAT </w:instrText>
            </w:r>
            <w:r>
              <w:rPr>
                <w:rFonts w:hint="eastAsia"/>
                <w:bCs/>
                <w:sz w:val="24"/>
                <w:szCs w:val="24"/>
                <w:lang w:val="en-US" w:eastAsia="zh-CN"/>
              </w:rPr>
              <w:fldChar w:fldCharType="separate"/>
            </w:r>
            <w:r>
              <w:rPr>
                <w:rFonts w:hint="eastAsia"/>
                <w:bCs/>
                <w:sz w:val="24"/>
                <w:szCs w:val="24"/>
              </w:rPr>
              <w:t>④</w:t>
            </w:r>
            <w:r>
              <w:rPr>
                <w:rFonts w:hint="eastAsia"/>
                <w:bCs/>
                <w:sz w:val="24"/>
                <w:szCs w:val="24"/>
                <w:lang w:val="en-US" w:eastAsia="zh-CN"/>
              </w:rPr>
              <w:fldChar w:fldCharType="end"/>
            </w:r>
            <w:r>
              <w:rPr>
                <w:rFonts w:hint="eastAsia"/>
                <w:bCs/>
                <w:sz w:val="24"/>
                <w:szCs w:val="24"/>
                <w:lang w:val="en-US" w:eastAsia="zh-CN"/>
              </w:rPr>
              <w:t>合理布局</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eastAsia"/>
                <w:bCs/>
                <w:sz w:val="24"/>
                <w:szCs w:val="24"/>
                <w:lang w:val="en-US" w:eastAsia="zh-CN"/>
              </w:rPr>
            </w:pPr>
            <w:r>
              <w:rPr>
                <w:rFonts w:hint="eastAsia"/>
                <w:bCs/>
                <w:sz w:val="24"/>
                <w:szCs w:val="24"/>
              </w:rPr>
              <w:t>城乡规划中应注意</w:t>
            </w:r>
            <w:r>
              <w:rPr>
                <w:rFonts w:hint="eastAsia"/>
                <w:bCs/>
                <w:sz w:val="24"/>
                <w:szCs w:val="24"/>
                <w:lang w:eastAsia="zh-CN"/>
              </w:rPr>
              <w:t>道路</w:t>
            </w:r>
            <w:r>
              <w:rPr>
                <w:rFonts w:hint="eastAsia"/>
                <w:bCs/>
                <w:sz w:val="24"/>
                <w:szCs w:val="24"/>
              </w:rPr>
              <w:t>两侧建筑功能布局，尽量不沿线临路建设居民区和学校等</w:t>
            </w:r>
            <w:r>
              <w:rPr>
                <w:rFonts w:hint="eastAsia"/>
                <w:bCs/>
                <w:sz w:val="24"/>
                <w:szCs w:val="24"/>
                <w:lang w:eastAsia="zh-CN"/>
              </w:rPr>
              <w:t>。</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eastAsia"/>
                <w:bCs/>
                <w:sz w:val="24"/>
                <w:szCs w:val="24"/>
              </w:rPr>
            </w:pPr>
            <w:r>
              <w:rPr>
                <w:rFonts w:hint="eastAsia"/>
                <w:bCs/>
                <w:sz w:val="24"/>
                <w:szCs w:val="24"/>
                <w:lang w:val="en-US" w:eastAsia="zh-CN"/>
              </w:rPr>
              <w:t>本工程交通噪声预测详见《声环境影响专项评价》。</w:t>
            </w:r>
          </w:p>
          <w:p>
            <w:pPr>
              <w:keepNext w:val="0"/>
              <w:keepLines w:val="0"/>
              <w:pageBreakBefore w:val="0"/>
              <w:widowControl w:val="0"/>
              <w:kinsoku/>
              <w:wordWrap/>
              <w:overflowPunct/>
              <w:topLinePunct w:val="0"/>
              <w:autoSpaceDE/>
              <w:autoSpaceDN/>
              <w:bidi w:val="0"/>
              <w:adjustRightInd w:val="0"/>
              <w:snapToGrid w:val="0"/>
              <w:spacing w:line="480" w:lineRule="exact"/>
              <w:ind w:firstLine="482" w:firstLineChars="200"/>
              <w:textAlignment w:val="auto"/>
              <w:rPr>
                <w:b/>
                <w:sz w:val="24"/>
              </w:rPr>
            </w:pPr>
            <w:r>
              <w:rPr>
                <w:rFonts w:hint="eastAsia"/>
                <w:b/>
                <w:sz w:val="24"/>
                <w:lang w:val="en-US" w:eastAsia="zh-CN"/>
              </w:rPr>
              <w:t>5</w:t>
            </w:r>
            <w:r>
              <w:rPr>
                <w:rFonts w:hint="eastAsia"/>
                <w:b/>
                <w:sz w:val="24"/>
              </w:rPr>
              <w:t>、</w:t>
            </w:r>
            <w:r>
              <w:rPr>
                <w:rFonts w:hint="eastAsia"/>
                <w:b/>
                <w:sz w:val="24"/>
                <w:lang w:val="en-US" w:eastAsia="zh-CN"/>
              </w:rPr>
              <w:t>固体废物影响分析</w:t>
            </w:r>
          </w:p>
          <w:p>
            <w:pPr>
              <w:adjustRightInd w:val="0"/>
              <w:snapToGrid w:val="0"/>
              <w:spacing w:line="480" w:lineRule="exact"/>
              <w:ind w:firstLine="480" w:firstLineChars="200"/>
              <w:rPr>
                <w:sz w:val="24"/>
                <w:szCs w:val="24"/>
              </w:rPr>
            </w:pPr>
            <w:r>
              <w:rPr>
                <w:rFonts w:hint="eastAsia"/>
                <w:bCs/>
                <w:sz w:val="24"/>
                <w:szCs w:val="24"/>
              </w:rPr>
              <w:t>营运期线路日常维护产生的少量筑路物料，收集后以汽车封闭运输方式运至当地管理部门的指定地点进行处置，对环境影响较小</w:t>
            </w:r>
            <w:r>
              <w:rPr>
                <w:rFonts w:hint="eastAsia"/>
                <w:bCs/>
                <w:sz w:val="24"/>
                <w:szCs w:val="24"/>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31" w:hRule="atLeast"/>
          <w:jc w:val="center"/>
        </w:trPr>
        <w:tc>
          <w:tcPr>
            <w:tcW w:w="557" w:type="dxa"/>
            <w:vAlign w:val="center"/>
          </w:tcPr>
          <w:p>
            <w:pPr>
              <w:pStyle w:val="19"/>
              <w:adjustRightInd w:val="0"/>
              <w:snapToGrid w:val="0"/>
              <w:spacing w:before="0" w:beforeAutospacing="0" w:after="0" w:afterAutospacing="0"/>
              <w:jc w:val="center"/>
              <w:rPr>
                <w:bCs/>
                <w:kern w:val="2"/>
                <w:sz w:val="21"/>
                <w:szCs w:val="21"/>
              </w:rPr>
            </w:pPr>
            <w:r>
              <w:rPr>
                <w:rFonts w:hint="eastAsia"/>
                <w:bCs/>
                <w:kern w:val="2"/>
                <w:sz w:val="21"/>
                <w:szCs w:val="21"/>
              </w:rPr>
              <w:t>选址选线环境合理性分析</w:t>
            </w:r>
          </w:p>
        </w:tc>
        <w:tc>
          <w:tcPr>
            <w:tcW w:w="8837" w:type="dxa"/>
          </w:tcPr>
          <w:p>
            <w:pPr>
              <w:keepNext w:val="0"/>
              <w:keepLines w:val="0"/>
              <w:pageBreakBefore w:val="0"/>
              <w:widowControl w:val="0"/>
              <w:kinsoku/>
              <w:wordWrap/>
              <w:overflowPunct/>
              <w:topLinePunct w:val="0"/>
              <w:autoSpaceDE/>
              <w:autoSpaceDN/>
              <w:bidi w:val="0"/>
              <w:adjustRightInd w:val="0"/>
              <w:snapToGrid w:val="0"/>
              <w:spacing w:line="480" w:lineRule="exact"/>
              <w:ind w:firstLine="482" w:firstLineChars="200"/>
              <w:textAlignment w:val="auto"/>
              <w:rPr>
                <w:rFonts w:hint="default" w:ascii="Times New Roman" w:hAnsi="Times New Roman" w:cs="Times New Roman"/>
                <w:b/>
                <w:bCs w:val="0"/>
                <w:sz w:val="24"/>
                <w:szCs w:val="24"/>
              </w:rPr>
            </w:pPr>
            <w:r>
              <w:rPr>
                <w:rFonts w:hint="default" w:ascii="Times New Roman" w:hAnsi="Times New Roman" w:cs="Times New Roman"/>
                <w:b/>
                <w:bCs w:val="0"/>
                <w:sz w:val="24"/>
                <w:szCs w:val="24"/>
              </w:rPr>
              <w:t>（1）区域规划的符合性</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eastAsia"/>
                <w:kern w:val="0"/>
                <w:sz w:val="24"/>
                <w:lang w:eastAsia="zh-CN"/>
              </w:rPr>
            </w:pPr>
            <w:r>
              <w:rPr>
                <w:rFonts w:hint="eastAsia"/>
                <w:kern w:val="0"/>
                <w:sz w:val="24"/>
                <w:lang w:val="en-US" w:eastAsia="zh-CN"/>
              </w:rPr>
              <w:t>本项目</w:t>
            </w:r>
            <w:r>
              <w:rPr>
                <w:kern w:val="0"/>
                <w:sz w:val="24"/>
              </w:rPr>
              <w:t>位于山西省</w:t>
            </w:r>
            <w:r>
              <w:rPr>
                <w:rFonts w:hint="eastAsia"/>
                <w:kern w:val="0"/>
                <w:sz w:val="24"/>
                <w:lang w:val="en-US" w:eastAsia="zh-CN"/>
              </w:rPr>
              <w:t>忻州</w:t>
            </w:r>
            <w:r>
              <w:rPr>
                <w:kern w:val="0"/>
                <w:sz w:val="24"/>
              </w:rPr>
              <w:t>市</w:t>
            </w:r>
            <w:r>
              <w:rPr>
                <w:rFonts w:hint="eastAsia"/>
                <w:kern w:val="0"/>
                <w:sz w:val="24"/>
                <w:lang w:val="en-US" w:eastAsia="zh-CN"/>
              </w:rPr>
              <w:t>五台</w:t>
            </w:r>
            <w:r>
              <w:rPr>
                <w:kern w:val="0"/>
                <w:sz w:val="24"/>
              </w:rPr>
              <w:t>县</w:t>
            </w:r>
            <w:r>
              <w:rPr>
                <w:rFonts w:hint="eastAsia"/>
                <w:kern w:val="0"/>
                <w:sz w:val="24"/>
                <w:lang w:val="en-US" w:eastAsia="zh-CN"/>
              </w:rPr>
              <w:t>中心城区</w:t>
            </w:r>
            <w:r>
              <w:rPr>
                <w:rFonts w:hint="eastAsia"/>
                <w:kern w:val="0"/>
                <w:sz w:val="24"/>
                <w:lang w:eastAsia="zh-CN"/>
              </w:rPr>
              <w:t>。</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eastAsia"/>
                <w:kern w:val="0"/>
                <w:sz w:val="24"/>
                <w:lang w:val="en-US" w:eastAsia="zh-CN"/>
              </w:rPr>
            </w:pPr>
            <w:r>
              <w:rPr>
                <w:rFonts w:hint="eastAsia"/>
                <w:kern w:val="0"/>
                <w:sz w:val="24"/>
                <w:lang w:val="en-US" w:eastAsia="zh-CN"/>
              </w:rPr>
              <w:t>根据</w:t>
            </w:r>
            <w:r>
              <w:rPr>
                <w:color w:val="auto"/>
                <w:kern w:val="0"/>
                <w:sz w:val="24"/>
              </w:rPr>
              <w:t>《山西省主体功能区规划》</w:t>
            </w:r>
            <w:r>
              <w:rPr>
                <w:rFonts w:hint="eastAsia"/>
                <w:color w:val="auto"/>
                <w:kern w:val="0"/>
                <w:sz w:val="24"/>
                <w:lang w:eastAsia="zh-CN"/>
              </w:rPr>
              <w:t>，</w:t>
            </w:r>
            <w:r>
              <w:rPr>
                <w:rFonts w:hint="eastAsia"/>
                <w:kern w:val="0"/>
                <w:sz w:val="24"/>
                <w:lang w:val="en-US" w:eastAsia="zh-CN"/>
              </w:rPr>
              <w:t>五台县属于</w:t>
            </w:r>
            <w:r>
              <w:rPr>
                <w:kern w:val="0"/>
                <w:sz w:val="24"/>
                <w:lang w:val="en-US" w:eastAsia="zh-CN"/>
              </w:rPr>
              <w:t>省级</w:t>
            </w:r>
            <w:r>
              <w:rPr>
                <w:rFonts w:hint="eastAsia"/>
                <w:kern w:val="0"/>
                <w:sz w:val="24"/>
                <w:lang w:val="en-US" w:eastAsia="zh-CN"/>
              </w:rPr>
              <w:t>限制开发的</w:t>
            </w:r>
            <w:r>
              <w:rPr>
                <w:kern w:val="0"/>
                <w:sz w:val="24"/>
                <w:lang w:val="en-US" w:eastAsia="zh-CN"/>
              </w:rPr>
              <w:t>重点生态功能区</w:t>
            </w:r>
            <w:r>
              <w:rPr>
                <w:rFonts w:hint="eastAsia"/>
                <w:kern w:val="0"/>
                <w:sz w:val="24"/>
                <w:lang w:val="en-US" w:eastAsia="zh-CN"/>
              </w:rPr>
              <w:t>，</w:t>
            </w:r>
            <w:r>
              <w:rPr>
                <w:rFonts w:hint="eastAsia"/>
                <w:kern w:val="0"/>
                <w:sz w:val="24"/>
              </w:rPr>
              <w:t>五台县</w:t>
            </w:r>
            <w:r>
              <w:rPr>
                <w:rFonts w:hint="eastAsia"/>
                <w:kern w:val="0"/>
                <w:sz w:val="24"/>
                <w:lang w:val="en-US" w:eastAsia="zh-CN"/>
              </w:rPr>
              <w:t>台城镇</w:t>
            </w:r>
            <w:r>
              <w:rPr>
                <w:kern w:val="0"/>
                <w:sz w:val="24"/>
              </w:rPr>
              <w:t>属于</w:t>
            </w:r>
            <w:r>
              <w:rPr>
                <w:kern w:val="0"/>
                <w:sz w:val="24"/>
                <w:lang w:val="en-US" w:eastAsia="zh-CN"/>
              </w:rPr>
              <w:t>省级重点生态功能区</w:t>
            </w:r>
            <w:r>
              <w:rPr>
                <w:rFonts w:hint="eastAsia"/>
                <w:kern w:val="0"/>
                <w:sz w:val="24"/>
                <w:lang w:val="en-US" w:eastAsia="zh-CN"/>
              </w:rPr>
              <w:t>中的重点开发城镇；重点城镇的发展方向为：以县城、重点镇和产业园区为依托，加强城镇基础设施建设，完善配套设施，增强公共服务功能，承接周边农业人口转移。</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eastAsia" w:eastAsia="宋体"/>
                <w:kern w:val="0"/>
                <w:sz w:val="24"/>
                <w:lang w:val="en-US" w:eastAsia="zh-CN"/>
              </w:rPr>
            </w:pPr>
            <w:r>
              <w:rPr>
                <w:rFonts w:hint="eastAsia"/>
                <w:kern w:val="0"/>
                <w:sz w:val="24"/>
                <w:lang w:val="en-US" w:eastAsia="zh-CN"/>
              </w:rPr>
              <w:t>根据</w:t>
            </w:r>
            <w:r>
              <w:rPr>
                <w:kern w:val="0"/>
                <w:sz w:val="24"/>
              </w:rPr>
              <w:t>《</w:t>
            </w:r>
            <w:r>
              <w:rPr>
                <w:rFonts w:hint="eastAsia"/>
                <w:kern w:val="0"/>
                <w:sz w:val="24"/>
                <w:lang w:val="en-US" w:eastAsia="zh-CN"/>
              </w:rPr>
              <w:t>五台</w:t>
            </w:r>
            <w:r>
              <w:rPr>
                <w:kern w:val="0"/>
                <w:sz w:val="24"/>
              </w:rPr>
              <w:t>县生态功能区划》</w:t>
            </w:r>
            <w:r>
              <w:rPr>
                <w:rFonts w:hint="eastAsia"/>
                <w:kern w:val="0"/>
                <w:sz w:val="24"/>
                <w:lang w:eastAsia="zh-CN"/>
              </w:rPr>
              <w:t>，</w:t>
            </w:r>
            <w:r>
              <w:rPr>
                <w:kern w:val="0"/>
                <w:sz w:val="24"/>
              </w:rPr>
              <w:t>本项目所在区域属于</w:t>
            </w:r>
            <w:r>
              <w:rPr>
                <w:rFonts w:hint="eastAsia"/>
                <w:color w:val="auto"/>
                <w:kern w:val="0"/>
                <w:sz w:val="24"/>
              </w:rPr>
              <w:t>Ⅳ五台山坳陷盆地水土保持生态功能区；</w:t>
            </w:r>
            <w:r>
              <w:rPr>
                <w:rFonts w:hint="eastAsia"/>
                <w:color w:val="auto"/>
                <w:kern w:val="0"/>
                <w:sz w:val="24"/>
                <w:lang w:val="en-US" w:eastAsia="zh-CN"/>
              </w:rPr>
              <w:t>该区生态系统的保护措施和发展方向：</w:t>
            </w:r>
            <w:r>
              <w:rPr>
                <w:rFonts w:hint="eastAsia"/>
                <w:kern w:val="0"/>
                <w:sz w:val="24"/>
                <w:lang w:val="en-US" w:eastAsia="zh-CN"/>
              </w:rPr>
              <w:t>加大对城区环保基础设施建设的投入，集中财力物力，尽快完成集中供气供热工程并发挥效益，改善城区大气环境质量；加快区内排污管网和垃圾无害化处置场建设，为污水处理厂正常运行和垃圾有序堆存提供条件。</w:t>
            </w:r>
          </w:p>
          <w:p>
            <w:pPr>
              <w:autoSpaceDE w:val="0"/>
              <w:autoSpaceDN w:val="0"/>
              <w:adjustRightInd w:val="0"/>
              <w:snapToGrid w:val="0"/>
              <w:spacing w:line="480" w:lineRule="exact"/>
              <w:ind w:firstLine="480" w:firstLineChars="200"/>
              <w:rPr>
                <w:rFonts w:hint="default"/>
                <w:kern w:val="0"/>
                <w:sz w:val="24"/>
                <w:lang w:val="en-US" w:eastAsia="zh-CN"/>
              </w:rPr>
            </w:pPr>
            <w:r>
              <w:rPr>
                <w:rFonts w:hint="eastAsia"/>
                <w:kern w:val="0"/>
                <w:sz w:val="24"/>
                <w:lang w:val="en-US" w:eastAsia="zh-CN"/>
              </w:rPr>
              <w:t>根据</w:t>
            </w:r>
            <w:r>
              <w:rPr>
                <w:rFonts w:hint="default" w:ascii="Times New Roman" w:hAnsi="Times New Roman" w:cs="Times New Roman"/>
                <w:kern w:val="0"/>
                <w:sz w:val="24"/>
                <w:szCs w:val="24"/>
                <w:lang w:val="en-US" w:eastAsia="zh-CN"/>
              </w:rPr>
              <w:t>《五台县县城总体规划》（2012~2030）中有关“道路交通规划”的内容</w:t>
            </w:r>
            <w:r>
              <w:rPr>
                <w:rFonts w:hint="eastAsia" w:cs="Times New Roman"/>
                <w:kern w:val="0"/>
                <w:sz w:val="24"/>
                <w:szCs w:val="24"/>
                <w:lang w:val="en-US" w:eastAsia="zh-CN"/>
              </w:rPr>
              <w:t>：</w:t>
            </w:r>
            <w:r>
              <w:rPr>
                <w:rFonts w:hint="default" w:ascii="Times New Roman" w:hAnsi="Times New Roman" w:cs="Times New Roman"/>
                <w:kern w:val="0"/>
                <w:sz w:val="24"/>
                <w:szCs w:val="24"/>
                <w:lang w:val="en-US" w:eastAsia="zh-CN"/>
              </w:rPr>
              <w:t>五台中心城区各个组团之间的联系道路采用“一环、两纵、三横”的布局形式，由城市快速路、城市主干路共共构成。“一环”即：由站前大道，西环路，北环路，东外环路构成的绕城环形路网。主要的纵向联系：“一纵”为穿过中心城区的迎宾路，连接忻州和阜平县是五台县主要对外交通道路，同时连接沟南，老城区和古城组团；“二纵”为文昌路，它起于老城区南部文昌山，自北向南依次贯穿城北新区和老城组团，止于城南工业区。主要的横向联系：“一横”为东西向的西米市街城市主干路，它与西环路和东环路城市主干道相连，是南北向主要通道；“两横”为城北新区沿唐家湾水库的的湖滨大道，湖滨大街是新区的主干路，同时连接老城组团和古城组团。“三横”为台忻大道，主要为东西向的过境道路，同时服务工业区和沟南组团</w:t>
            </w:r>
            <w:r>
              <w:rPr>
                <w:rFonts w:hint="eastAsia" w:cs="Times New Roman"/>
                <w:kern w:val="0"/>
                <w:sz w:val="24"/>
                <w:szCs w:val="24"/>
                <w:lang w:val="en-US" w:eastAsia="zh-CN"/>
              </w:rPr>
              <w:t>。</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kern w:val="0"/>
                <w:sz w:val="24"/>
                <w:lang w:val="en-US" w:eastAsia="zh-CN"/>
              </w:rPr>
            </w:pPr>
            <w:r>
              <w:rPr>
                <w:rFonts w:hint="eastAsia"/>
                <w:kern w:val="0"/>
                <w:sz w:val="24"/>
                <w:lang w:val="en-US" w:eastAsia="zh-CN"/>
              </w:rPr>
              <w:t>本次“</w:t>
            </w:r>
            <w:r>
              <w:rPr>
                <w:rFonts w:hint="default" w:ascii="Times New Roman" w:hAnsi="Times New Roman" w:cs="Times New Roman"/>
                <w:sz w:val="24"/>
                <w:szCs w:val="24"/>
              </w:rPr>
              <w:t>五台县湖滨大街西延等三条道路管网建设项目</w:t>
            </w:r>
            <w:r>
              <w:rPr>
                <w:rFonts w:hint="eastAsia"/>
                <w:kern w:val="0"/>
                <w:sz w:val="24"/>
                <w:lang w:val="en-US" w:eastAsia="zh-CN"/>
              </w:rPr>
              <w:t>”</w:t>
            </w:r>
            <w:r>
              <w:rPr>
                <w:rFonts w:hint="default" w:ascii="Times New Roman" w:hAnsi="Times New Roman" w:cs="Times New Roman"/>
                <w:bCs/>
                <w:sz w:val="24"/>
                <w:szCs w:val="24"/>
                <w:lang w:val="en-US" w:eastAsia="zh-CN"/>
              </w:rPr>
              <w:t>共建设三条路：分别为东外环路、湖滨大街西延、文昌路</w:t>
            </w:r>
            <w:r>
              <w:rPr>
                <w:rFonts w:hint="eastAsia" w:cs="Times New Roman"/>
                <w:bCs/>
                <w:sz w:val="24"/>
                <w:szCs w:val="24"/>
                <w:lang w:val="en-US" w:eastAsia="zh-CN"/>
              </w:rPr>
              <w:t>；其中：</w:t>
            </w:r>
            <w:r>
              <w:rPr>
                <w:rFonts w:hint="eastAsia"/>
                <w:kern w:val="0"/>
                <w:sz w:val="24"/>
                <w:lang w:val="en-US" w:eastAsia="zh-CN"/>
              </w:rPr>
              <w:t>东外环路作为城南区对外交通的一条主要通道，是规划路网中的一环；文昌路作为中心城区南北向的主要通道，是规划路网中的一纵；湖滨大街作为中心城区东西向的主要通道，是规划路网中的一横。现状湖滨大街、文昌路均为断头道路，东外环路路面较窄，已远远不能满足五台县对外的交通需求；因此，本项目的实施将促进《五台县县城总体规划》（2012~2030）中“道路交通规划”的实施，项目建设完成后对五台县中心城区道路网的完善具有重要意义。同时本项目涉及城市集中供热、供气、雨污水分流、再生水管网、绿化等工程建设，对区域生态环境质量的改善具有促进作用。综上，本项目的建设与</w:t>
            </w:r>
            <w:r>
              <w:rPr>
                <w:rFonts w:hint="eastAsia"/>
                <w:sz w:val="24"/>
              </w:rPr>
              <w:t>区域主体功能的定位和发展方向</w:t>
            </w:r>
            <w:r>
              <w:rPr>
                <w:rFonts w:hint="eastAsia"/>
                <w:sz w:val="24"/>
                <w:lang w:val="en-US" w:eastAsia="zh-CN"/>
              </w:rPr>
              <w:t>相符，</w:t>
            </w:r>
            <w:r>
              <w:rPr>
                <w:rFonts w:hint="eastAsia"/>
                <w:sz w:val="24"/>
              </w:rPr>
              <w:t>与Ⅳ五台山坳陷盆地水土保持生态功能区的保护措施和发展方向</w:t>
            </w:r>
            <w:r>
              <w:rPr>
                <w:rFonts w:hint="eastAsia"/>
                <w:sz w:val="24"/>
                <w:lang w:val="en-US" w:eastAsia="zh-CN"/>
              </w:rPr>
              <w:t>相符</w:t>
            </w:r>
            <w:r>
              <w:rPr>
                <w:rFonts w:hint="eastAsia"/>
                <w:sz w:val="24"/>
              </w:rPr>
              <w:t>。</w:t>
            </w:r>
          </w:p>
          <w:p>
            <w:pPr>
              <w:keepNext w:val="0"/>
              <w:keepLines w:val="0"/>
              <w:pageBreakBefore w:val="0"/>
              <w:widowControl w:val="0"/>
              <w:kinsoku/>
              <w:wordWrap/>
              <w:overflowPunct/>
              <w:topLinePunct w:val="0"/>
              <w:autoSpaceDE/>
              <w:autoSpaceDN/>
              <w:bidi w:val="0"/>
              <w:adjustRightInd w:val="0"/>
              <w:snapToGrid w:val="0"/>
              <w:spacing w:line="480" w:lineRule="exact"/>
              <w:ind w:firstLine="482" w:firstLineChars="200"/>
              <w:textAlignment w:val="auto"/>
              <w:rPr>
                <w:rFonts w:hint="default" w:ascii="Times New Roman" w:hAnsi="Times New Roman" w:cs="Times New Roman"/>
                <w:b/>
                <w:bCs w:val="0"/>
                <w:sz w:val="24"/>
                <w:szCs w:val="24"/>
              </w:rPr>
            </w:pPr>
            <w:r>
              <w:rPr>
                <w:rFonts w:hint="default" w:ascii="Times New Roman" w:hAnsi="Times New Roman" w:cs="Times New Roman"/>
                <w:b/>
                <w:bCs w:val="0"/>
                <w:sz w:val="24"/>
                <w:szCs w:val="24"/>
              </w:rPr>
              <w:t>（2）区域环境敏感性</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bCs/>
                <w:sz w:val="24"/>
                <w:szCs w:val="24"/>
              </w:rPr>
            </w:pPr>
            <w:r>
              <w:rPr>
                <w:rFonts w:hint="default" w:ascii="Times New Roman" w:hAnsi="Times New Roman" w:cs="Times New Roman"/>
                <w:bCs/>
                <w:sz w:val="24"/>
                <w:szCs w:val="24"/>
              </w:rPr>
              <w:t>本项目</w:t>
            </w:r>
            <w:r>
              <w:rPr>
                <w:rFonts w:hint="default" w:ascii="Times New Roman" w:hAnsi="Times New Roman" w:cs="Times New Roman"/>
                <w:bCs/>
                <w:sz w:val="24"/>
                <w:szCs w:val="24"/>
                <w:lang w:val="en-US" w:eastAsia="zh-CN"/>
              </w:rPr>
              <w:t>选线选址</w:t>
            </w:r>
            <w:r>
              <w:rPr>
                <w:rFonts w:hint="default" w:ascii="Times New Roman" w:hAnsi="Times New Roman" w:cs="Times New Roman"/>
                <w:bCs/>
                <w:sz w:val="24"/>
                <w:szCs w:val="24"/>
              </w:rPr>
              <w:t>不涉及自然保护区、风景名胜区范围内，环境保护目标主要为</w:t>
            </w:r>
            <w:r>
              <w:rPr>
                <w:rFonts w:hint="default" w:ascii="Times New Roman" w:hAnsi="Times New Roman" w:cs="Times New Roman"/>
                <w:bCs/>
                <w:sz w:val="24"/>
                <w:szCs w:val="24"/>
                <w:lang w:val="en-US" w:eastAsia="zh-CN"/>
              </w:rPr>
              <w:t>评价范围内的村庄</w:t>
            </w:r>
            <w:r>
              <w:rPr>
                <w:rFonts w:hint="default" w:ascii="Times New Roman" w:hAnsi="Times New Roman" w:cs="Times New Roman"/>
                <w:bCs/>
                <w:sz w:val="24"/>
                <w:szCs w:val="24"/>
              </w:rPr>
              <w:t>。</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bCs/>
                <w:sz w:val="24"/>
                <w:szCs w:val="24"/>
              </w:rPr>
            </w:pPr>
            <w:r>
              <w:rPr>
                <w:rFonts w:hint="default" w:ascii="Times New Roman" w:hAnsi="Times New Roman" w:cs="Times New Roman"/>
                <w:bCs/>
                <w:sz w:val="24"/>
                <w:szCs w:val="24"/>
              </w:rPr>
              <w:t>本项目</w:t>
            </w:r>
            <w:r>
              <w:rPr>
                <w:rFonts w:hint="default" w:ascii="Times New Roman" w:hAnsi="Times New Roman" w:cs="Times New Roman"/>
                <w:bCs/>
                <w:sz w:val="24"/>
                <w:szCs w:val="24"/>
                <w:lang w:val="en-US" w:eastAsia="zh-CN"/>
              </w:rPr>
              <w:t>属道路建设项目，符合</w:t>
            </w:r>
            <w:r>
              <w:rPr>
                <w:rFonts w:hint="eastAsia" w:cs="Times New Roman"/>
                <w:bCs/>
                <w:sz w:val="24"/>
                <w:szCs w:val="24"/>
                <w:lang w:val="en-US" w:eastAsia="zh-CN"/>
              </w:rPr>
              <w:t>国土空间规划要求</w:t>
            </w:r>
            <w:r>
              <w:rPr>
                <w:rFonts w:hint="default" w:ascii="Times New Roman" w:hAnsi="Times New Roman" w:cs="Times New Roman"/>
                <w:bCs/>
                <w:sz w:val="24"/>
                <w:szCs w:val="24"/>
                <w:lang w:val="en-US" w:eastAsia="zh-CN"/>
              </w:rPr>
              <w:t>，本项目永久占地要求建设单位采取占补平衡原则对占用的农田进行异地补偿。项目临时占地施工期结束后恢复为主干道周边绿化植被。</w:t>
            </w:r>
            <w:r>
              <w:rPr>
                <w:rFonts w:hint="default" w:ascii="Times New Roman" w:hAnsi="Times New Roman" w:cs="Times New Roman"/>
                <w:bCs/>
                <w:sz w:val="24"/>
                <w:szCs w:val="24"/>
              </w:rPr>
              <w:t>在采取环评提出的污染防治措施和生态保护措施后，项目对本区环境的影响较小，对生态环境影响可接受。</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eastAsia" w:cs="Times New Roman"/>
                <w:bCs/>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eastAsia" w:cs="Times New Roman"/>
                <w:bCs/>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eastAsia" w:cs="Times New Roman"/>
                <w:bCs/>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eastAsia" w:cs="Times New Roman"/>
                <w:bCs/>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480" w:lineRule="exact"/>
              <w:ind w:firstLine="420" w:firstLineChars="200"/>
              <w:textAlignment w:val="auto"/>
              <w:rPr>
                <w:rFonts w:hint="eastAsia" w:ascii="宋体" w:hAnsi="宋体" w:cs="宋体"/>
                <w:bCs/>
                <w:lang w:val="en-US" w:eastAsia="zh-CN"/>
              </w:rPr>
            </w:pPr>
          </w:p>
          <w:p>
            <w:pPr>
              <w:keepNext w:val="0"/>
              <w:keepLines w:val="0"/>
              <w:pageBreakBefore w:val="0"/>
              <w:widowControl w:val="0"/>
              <w:kinsoku/>
              <w:wordWrap/>
              <w:overflowPunct/>
              <w:topLinePunct w:val="0"/>
              <w:autoSpaceDE/>
              <w:autoSpaceDN/>
              <w:bidi w:val="0"/>
              <w:adjustRightInd w:val="0"/>
              <w:snapToGrid w:val="0"/>
              <w:spacing w:line="480" w:lineRule="exact"/>
              <w:ind w:firstLine="420" w:firstLineChars="200"/>
              <w:textAlignment w:val="auto"/>
              <w:rPr>
                <w:rFonts w:hint="eastAsia" w:ascii="宋体" w:hAnsi="宋体" w:cs="宋体"/>
                <w:bCs/>
                <w:lang w:val="en-US" w:eastAsia="zh-CN"/>
              </w:rPr>
            </w:pPr>
          </w:p>
          <w:p>
            <w:pPr>
              <w:keepNext w:val="0"/>
              <w:keepLines w:val="0"/>
              <w:pageBreakBefore w:val="0"/>
              <w:widowControl w:val="0"/>
              <w:kinsoku/>
              <w:wordWrap/>
              <w:overflowPunct/>
              <w:topLinePunct w:val="0"/>
              <w:autoSpaceDE/>
              <w:autoSpaceDN/>
              <w:bidi w:val="0"/>
              <w:adjustRightInd w:val="0"/>
              <w:snapToGrid w:val="0"/>
              <w:spacing w:line="480" w:lineRule="exact"/>
              <w:ind w:firstLine="420" w:firstLineChars="200"/>
              <w:textAlignment w:val="auto"/>
              <w:rPr>
                <w:rFonts w:hint="default" w:ascii="宋体" w:hAnsi="宋体" w:eastAsia="宋体" w:cs="宋体"/>
                <w:bCs/>
                <w:lang w:val="en-US" w:eastAsia="zh-CN"/>
              </w:rPr>
            </w:pPr>
          </w:p>
        </w:tc>
      </w:tr>
    </w:tbl>
    <w:p>
      <w:pPr>
        <w:sectPr>
          <w:pgSz w:w="11906" w:h="16838"/>
          <w:pgMar w:top="1701" w:right="1531" w:bottom="1701" w:left="1531" w:header="1134" w:footer="992" w:gutter="0"/>
          <w:pgBorders>
            <w:top w:val="none" w:sz="0" w:space="0"/>
            <w:left w:val="none" w:sz="0" w:space="0"/>
            <w:bottom w:val="none" w:sz="0" w:space="0"/>
            <w:right w:val="none" w:sz="0" w:space="0"/>
          </w:pgBorders>
          <w:cols w:space="425" w:num="1"/>
          <w:docGrid w:type="lines" w:linePitch="312" w:charSpace="0"/>
        </w:sectPr>
      </w:pPr>
    </w:p>
    <w:p>
      <w:pPr>
        <w:pStyle w:val="19"/>
        <w:jc w:val="center"/>
        <w:outlineLvl w:val="0"/>
        <w:rPr>
          <w:rFonts w:ascii="黑体" w:hAnsi="黑体" w:eastAsia="黑体"/>
          <w:sz w:val="30"/>
          <w:szCs w:val="30"/>
        </w:rPr>
      </w:pPr>
      <w:r>
        <w:rPr>
          <w:rFonts w:hint="eastAsia" w:ascii="黑体" w:hAnsi="黑体" w:eastAsia="黑体"/>
          <w:sz w:val="30"/>
          <w:szCs w:val="30"/>
        </w:rPr>
        <w:t>五、</w:t>
      </w:r>
      <w:r>
        <w:rPr>
          <w:rFonts w:hint="eastAsia" w:ascii="黑体" w:hAnsi="黑体" w:eastAsia="黑体"/>
          <w:snapToGrid w:val="0"/>
          <w:sz w:val="30"/>
          <w:szCs w:val="30"/>
        </w:rPr>
        <w:t>主要生态环境保护措施</w:t>
      </w:r>
    </w:p>
    <w:tbl>
      <w:tblPr>
        <w:tblStyle w:val="21"/>
        <w:tblW w:w="936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929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82" w:hRule="atLeast"/>
          <w:jc w:val="center"/>
        </w:trPr>
        <w:tc>
          <w:tcPr>
            <w:tcW w:w="557" w:type="dxa"/>
            <w:tcMar>
              <w:left w:w="28" w:type="dxa"/>
              <w:right w:w="28" w:type="dxa"/>
            </w:tcMar>
            <w:vAlign w:val="center"/>
          </w:tcPr>
          <w:p>
            <w:pPr>
              <w:adjustRightInd w:val="0"/>
              <w:snapToGrid w:val="0"/>
              <w:jc w:val="center"/>
              <w:rPr>
                <w:rFonts w:ascii="宋体" w:hAnsi="宋体"/>
                <w:bCs/>
              </w:rPr>
            </w:pPr>
            <w:r>
              <w:rPr>
                <w:rFonts w:hint="eastAsia" w:ascii="宋体" w:hAnsi="宋体" w:cs="宋体"/>
                <w:bCs/>
                <w:spacing w:val="10"/>
              </w:rPr>
              <w:t>施工期生态环境保护措施</w:t>
            </w:r>
          </w:p>
        </w:tc>
        <w:tc>
          <w:tcPr>
            <w:tcW w:w="8805" w:type="dxa"/>
          </w:tcPr>
          <w:p>
            <w:pPr>
              <w:adjustRightInd w:val="0"/>
              <w:snapToGrid w:val="0"/>
              <w:spacing w:line="480" w:lineRule="exact"/>
              <w:ind w:firstLine="522" w:firstLineChars="200"/>
              <w:rPr>
                <w:b/>
                <w:spacing w:val="10"/>
                <w:sz w:val="24"/>
                <w:szCs w:val="24"/>
              </w:rPr>
            </w:pPr>
            <w:r>
              <w:rPr>
                <w:b/>
                <w:spacing w:val="10"/>
                <w:sz w:val="24"/>
                <w:szCs w:val="24"/>
              </w:rPr>
              <w:t>1、施工期生态保护措施</w:t>
            </w:r>
          </w:p>
          <w:p>
            <w:pPr>
              <w:adjustRightInd w:val="0"/>
              <w:snapToGrid w:val="0"/>
              <w:spacing w:line="480" w:lineRule="exact"/>
              <w:ind w:firstLine="480" w:firstLineChars="200"/>
              <w:rPr>
                <w:rFonts w:hint="eastAsia"/>
                <w:bCs/>
                <w:sz w:val="24"/>
                <w:szCs w:val="24"/>
                <w:lang w:val="en-US" w:eastAsia="zh-CN"/>
              </w:rPr>
            </w:pPr>
            <w:r>
              <w:rPr>
                <w:rFonts w:hint="eastAsia"/>
                <w:bCs/>
                <w:sz w:val="24"/>
                <w:szCs w:val="24"/>
                <w:lang w:val="en-US" w:eastAsia="zh-CN"/>
              </w:rPr>
              <w:t>（1）施工期对已有水体的保护措施</w:t>
            </w:r>
          </w:p>
          <w:p>
            <w:pPr>
              <w:adjustRightInd w:val="0"/>
              <w:snapToGrid w:val="0"/>
              <w:spacing w:line="480" w:lineRule="exact"/>
              <w:ind w:firstLine="480" w:firstLineChars="200"/>
              <w:rPr>
                <w:rFonts w:hint="eastAsia"/>
                <w:bCs/>
                <w:sz w:val="24"/>
                <w:szCs w:val="24"/>
                <w:lang w:val="en-US" w:eastAsia="zh-CN"/>
              </w:rPr>
            </w:pPr>
            <w:r>
              <w:rPr>
                <w:rFonts w:hint="eastAsia"/>
                <w:bCs/>
                <w:sz w:val="24"/>
                <w:szCs w:val="24"/>
                <w:lang w:val="en-US" w:eastAsia="zh-CN"/>
              </w:rPr>
              <w:t>钻孔作业禁止在洪水发生时进行开挖，弃土按照五台县人民政府的要求进行外运处理，严禁将土方倒入河道。同事加强施工机械的检修，严格施工管理，减少施工机械的跑、猫、滴、漏，避免机械油污污染水体。</w:t>
            </w:r>
          </w:p>
          <w:p>
            <w:pPr>
              <w:adjustRightInd w:val="0"/>
              <w:snapToGrid w:val="0"/>
              <w:spacing w:line="480" w:lineRule="exact"/>
              <w:ind w:firstLine="480" w:firstLineChars="200"/>
              <w:rPr>
                <w:rFonts w:hint="eastAsia"/>
                <w:bCs/>
                <w:sz w:val="24"/>
                <w:szCs w:val="24"/>
                <w:lang w:val="en-US" w:eastAsia="zh-CN"/>
              </w:rPr>
            </w:pPr>
            <w:r>
              <w:rPr>
                <w:rFonts w:hint="eastAsia"/>
                <w:bCs/>
                <w:sz w:val="24"/>
                <w:szCs w:val="24"/>
                <w:lang w:val="en-US" w:eastAsia="zh-CN"/>
              </w:rPr>
              <w:t>（2）施工对景观的保护措施</w:t>
            </w:r>
          </w:p>
          <w:p>
            <w:pPr>
              <w:adjustRightInd w:val="0"/>
              <w:snapToGrid w:val="0"/>
              <w:spacing w:line="480" w:lineRule="exact"/>
              <w:ind w:firstLine="480" w:firstLineChars="200"/>
              <w:rPr>
                <w:rFonts w:hint="eastAsia"/>
                <w:bCs/>
                <w:sz w:val="24"/>
                <w:szCs w:val="24"/>
                <w:lang w:val="en-US" w:eastAsia="zh-CN"/>
              </w:rPr>
            </w:pPr>
            <w:r>
              <w:rPr>
                <w:rFonts w:hint="eastAsia"/>
                <w:bCs/>
                <w:sz w:val="24"/>
                <w:szCs w:val="24"/>
                <w:lang w:val="en-US" w:eastAsia="zh-CN"/>
              </w:rPr>
              <w:t>在施工中产生的废建材、垃圾等不得随意堆放，应及时清运。对施工人员应进行严格管理，严禁乱撒乱抛废弃物。施工时应注意避开雨季，防止因雨水造成泥沙流失。</w:t>
            </w:r>
          </w:p>
          <w:p>
            <w:pPr>
              <w:adjustRightInd w:val="0"/>
              <w:snapToGrid w:val="0"/>
              <w:spacing w:line="480" w:lineRule="exact"/>
              <w:ind w:firstLine="480" w:firstLineChars="200"/>
              <w:rPr>
                <w:rFonts w:hint="eastAsia"/>
                <w:bCs/>
                <w:sz w:val="24"/>
                <w:szCs w:val="24"/>
                <w:lang w:val="en-US" w:eastAsia="zh-CN"/>
              </w:rPr>
            </w:pPr>
            <w:r>
              <w:rPr>
                <w:rFonts w:hint="eastAsia"/>
                <w:bCs/>
                <w:sz w:val="24"/>
                <w:szCs w:val="24"/>
                <w:lang w:val="en-US" w:eastAsia="zh-CN"/>
              </w:rPr>
              <w:t>（3）桥墩施工时对河道的保护措施</w:t>
            </w:r>
          </w:p>
          <w:p>
            <w:pPr>
              <w:adjustRightInd w:val="0"/>
              <w:snapToGrid w:val="0"/>
              <w:spacing w:line="480" w:lineRule="exact"/>
              <w:ind w:firstLine="480" w:firstLineChars="200"/>
              <w:rPr>
                <w:rFonts w:hint="eastAsia"/>
                <w:bCs/>
                <w:sz w:val="24"/>
                <w:szCs w:val="24"/>
                <w:lang w:val="en-US" w:eastAsia="zh-CN"/>
              </w:rPr>
            </w:pPr>
            <w:r>
              <w:rPr>
                <w:rFonts w:hint="eastAsia"/>
                <w:bCs/>
                <w:sz w:val="24"/>
                <w:szCs w:val="24"/>
                <w:lang w:val="en-US" w:eastAsia="zh-CN"/>
              </w:rPr>
              <w:t>桥墩钻孔中会产生较多的泥浆。对施工泥浆的处理方式为：在钻孔前挖好泥浆池，钻进过程中经泥浆循环固壁，并循环过程中将土石带入泥浆池进行土石的沉淀，沉淀后的泥浆循环利用。同时定期清理沉淀池，对清出后的沉淀物运至五台县人民政府的要求进行外运处理。为防止工程建设对汾河正常流动产生影响，设置了导流渠及导流管，涉水施工在栈道进行，不侵压涉水河道表面，可能导致周围水体悬浮物临时增加，在施工期结束后可恢复。</w:t>
            </w:r>
          </w:p>
          <w:p>
            <w:pPr>
              <w:adjustRightInd w:val="0"/>
              <w:snapToGrid w:val="0"/>
              <w:spacing w:line="480" w:lineRule="exact"/>
              <w:ind w:firstLine="480" w:firstLineChars="200"/>
              <w:rPr>
                <w:rFonts w:hint="eastAsia"/>
                <w:bCs/>
                <w:sz w:val="24"/>
                <w:szCs w:val="24"/>
                <w:lang w:val="en-US" w:eastAsia="zh-CN"/>
              </w:rPr>
            </w:pPr>
            <w:r>
              <w:rPr>
                <w:rFonts w:hint="eastAsia"/>
                <w:bCs/>
                <w:sz w:val="24"/>
                <w:szCs w:val="24"/>
                <w:lang w:val="en-US" w:eastAsia="zh-CN"/>
              </w:rPr>
              <w:t>（4）施工期结束后生态恢复措施</w:t>
            </w:r>
          </w:p>
          <w:p>
            <w:pPr>
              <w:adjustRightInd w:val="0"/>
              <w:snapToGrid w:val="0"/>
              <w:spacing w:line="480" w:lineRule="exact"/>
              <w:ind w:firstLine="480" w:firstLineChars="200"/>
              <w:rPr>
                <w:rFonts w:hint="eastAsia"/>
                <w:bCs/>
                <w:sz w:val="24"/>
                <w:szCs w:val="24"/>
                <w:lang w:val="en-US" w:eastAsia="zh-CN"/>
              </w:rPr>
            </w:pPr>
            <w:r>
              <w:rPr>
                <w:rFonts w:hint="eastAsia"/>
                <w:bCs/>
                <w:sz w:val="24"/>
                <w:szCs w:val="24"/>
                <w:lang w:val="en-US" w:eastAsia="zh-CN"/>
              </w:rPr>
              <w:t>施工期结束后，砂石硬化的施工便道及停车场进行去砂石化，施工营地以及施工料场建构筑物移除，临时占地地面平整，开展植被的绿化和生态建设工作。河道内钢结构栈道、施工便道移除，清理遗留废弃物，平整受栈道影响的河床，开拦放水，封闭导流管后移除，回填导流渠，平整河床，清理废弃物，生态恢复由景观工程施工单位负责。</w:t>
            </w:r>
          </w:p>
          <w:p>
            <w:pPr>
              <w:adjustRightInd w:val="0"/>
              <w:snapToGrid w:val="0"/>
              <w:spacing w:line="480" w:lineRule="exact"/>
              <w:ind w:firstLine="480" w:firstLineChars="200"/>
              <w:rPr>
                <w:rFonts w:hint="eastAsia"/>
                <w:bCs/>
                <w:sz w:val="24"/>
                <w:szCs w:val="24"/>
                <w:lang w:val="en-US" w:eastAsia="zh-CN"/>
              </w:rPr>
            </w:pPr>
            <w:r>
              <w:rPr>
                <w:rFonts w:hint="eastAsia"/>
                <w:bCs/>
                <w:sz w:val="24"/>
                <w:szCs w:val="24"/>
                <w:lang w:val="en-US" w:eastAsia="zh-CN"/>
              </w:rPr>
              <w:t>除此之外，环评还提出以下措施：</w:t>
            </w:r>
          </w:p>
          <w:p>
            <w:pPr>
              <w:adjustRightInd w:val="0"/>
              <w:snapToGrid w:val="0"/>
              <w:spacing w:line="480" w:lineRule="exact"/>
              <w:ind w:firstLine="480" w:firstLineChars="200"/>
              <w:rPr>
                <w:rFonts w:hint="eastAsia"/>
                <w:bCs/>
                <w:sz w:val="24"/>
                <w:szCs w:val="24"/>
                <w:lang w:val="en-US" w:eastAsia="zh-CN"/>
              </w:rPr>
            </w:pPr>
            <w:r>
              <w:rPr>
                <w:rFonts w:hint="eastAsia"/>
                <w:bCs/>
                <w:sz w:val="24"/>
                <w:szCs w:val="24"/>
                <w:lang w:val="en-US" w:eastAsia="zh-CN"/>
              </w:rPr>
              <w:t>①工程建设期间，施工人员要树立和加强环保意识，尽量减少对施工区域生态环境的破坏。</w:t>
            </w:r>
          </w:p>
          <w:p>
            <w:pPr>
              <w:adjustRightInd w:val="0"/>
              <w:snapToGrid w:val="0"/>
              <w:spacing w:line="480" w:lineRule="exact"/>
              <w:ind w:firstLine="480" w:firstLineChars="200"/>
              <w:rPr>
                <w:rFonts w:hint="eastAsia"/>
                <w:bCs/>
                <w:sz w:val="24"/>
                <w:szCs w:val="24"/>
                <w:lang w:val="en-US" w:eastAsia="zh-CN"/>
              </w:rPr>
            </w:pPr>
            <w:r>
              <w:rPr>
                <w:rFonts w:hint="eastAsia"/>
                <w:bCs/>
                <w:sz w:val="24"/>
                <w:szCs w:val="24"/>
                <w:lang w:val="en-US" w:eastAsia="zh-CN"/>
              </w:rPr>
              <w:t>②施工废水、生活污水应及时采取收集并进行无害化处理措施，避免其流入河道，污染水体。</w:t>
            </w:r>
          </w:p>
          <w:p>
            <w:pPr>
              <w:adjustRightInd w:val="0"/>
              <w:snapToGrid w:val="0"/>
              <w:spacing w:line="480" w:lineRule="exact"/>
              <w:ind w:firstLine="480" w:firstLineChars="200"/>
              <w:rPr>
                <w:rFonts w:hint="eastAsia"/>
                <w:bCs/>
                <w:sz w:val="24"/>
                <w:szCs w:val="24"/>
                <w:lang w:val="en-US" w:eastAsia="zh-CN"/>
              </w:rPr>
            </w:pPr>
            <w:r>
              <w:rPr>
                <w:rFonts w:hint="eastAsia"/>
                <w:bCs/>
                <w:sz w:val="24"/>
                <w:szCs w:val="24"/>
                <w:lang w:val="en-US" w:eastAsia="zh-CN"/>
              </w:rPr>
              <w:t>③固体废弃物应妥善处理，严格控制堆放范围，施工前期应建设防护墙等设施，避免固体废弃物滑入河道，污染水体。</w:t>
            </w:r>
          </w:p>
          <w:p>
            <w:pPr>
              <w:adjustRightInd w:val="0"/>
              <w:snapToGrid w:val="0"/>
              <w:spacing w:line="480" w:lineRule="exact"/>
              <w:ind w:firstLine="480" w:firstLineChars="200"/>
              <w:rPr>
                <w:rFonts w:hint="eastAsia"/>
                <w:bCs/>
                <w:sz w:val="24"/>
                <w:szCs w:val="24"/>
                <w:lang w:val="en-US" w:eastAsia="zh-CN"/>
              </w:rPr>
            </w:pPr>
            <w:r>
              <w:rPr>
                <w:rFonts w:hint="eastAsia"/>
                <w:bCs/>
                <w:sz w:val="24"/>
                <w:szCs w:val="24"/>
                <w:lang w:val="en-US" w:eastAsia="zh-CN"/>
              </w:rPr>
              <w:t>④严格限制施工便道、器材临时堆放区范围，减少对湿地植物生境、两栖爬行类动物活动区及其产卵场的破坏，以保护湿地动植物。</w:t>
            </w:r>
          </w:p>
          <w:p>
            <w:pPr>
              <w:adjustRightInd w:val="0"/>
              <w:snapToGrid w:val="0"/>
              <w:spacing w:line="480" w:lineRule="exact"/>
              <w:ind w:firstLine="480" w:firstLineChars="200"/>
              <w:rPr>
                <w:rFonts w:hint="eastAsia"/>
                <w:bCs/>
                <w:sz w:val="24"/>
                <w:szCs w:val="24"/>
                <w:lang w:val="en-US" w:eastAsia="zh-CN"/>
              </w:rPr>
            </w:pPr>
            <w:r>
              <w:rPr>
                <w:rFonts w:hint="eastAsia"/>
                <w:bCs/>
                <w:sz w:val="24"/>
                <w:szCs w:val="24"/>
                <w:lang w:val="en-US" w:eastAsia="zh-CN"/>
              </w:rPr>
              <w:t>⑤严格施工车辆管理制度，加强施工人员安全意识，谨防施工车辆坠入河道污染水体事故的发生。</w:t>
            </w:r>
          </w:p>
          <w:p>
            <w:pPr>
              <w:adjustRightInd w:val="0"/>
              <w:snapToGrid w:val="0"/>
              <w:spacing w:line="480" w:lineRule="exact"/>
              <w:ind w:firstLine="480" w:firstLineChars="200"/>
              <w:rPr>
                <w:rFonts w:hint="eastAsia"/>
                <w:bCs/>
                <w:sz w:val="24"/>
                <w:szCs w:val="24"/>
                <w:lang w:val="en-US" w:eastAsia="zh-CN"/>
              </w:rPr>
            </w:pPr>
            <w:r>
              <w:rPr>
                <w:rFonts w:hint="eastAsia"/>
                <w:bCs/>
                <w:sz w:val="24"/>
                <w:szCs w:val="24"/>
                <w:lang w:val="en-US" w:eastAsia="zh-CN"/>
              </w:rPr>
              <w:t>⑥加强对施工人员的管理制度，严禁施工人员使用非法手段捕鱼，捕捞水生野生动物，以保证该区域内的生态平衡。</w:t>
            </w:r>
          </w:p>
          <w:p>
            <w:pPr>
              <w:adjustRightInd w:val="0"/>
              <w:snapToGrid w:val="0"/>
              <w:spacing w:line="480" w:lineRule="exact"/>
              <w:ind w:firstLine="480" w:firstLineChars="200"/>
              <w:rPr>
                <w:rFonts w:hint="eastAsia"/>
                <w:bCs/>
                <w:sz w:val="24"/>
                <w:szCs w:val="24"/>
                <w:lang w:val="en-US" w:eastAsia="zh-CN"/>
              </w:rPr>
            </w:pPr>
            <w:r>
              <w:rPr>
                <w:rFonts w:hint="eastAsia"/>
                <w:bCs/>
                <w:sz w:val="24"/>
                <w:szCs w:val="24"/>
                <w:lang w:val="en-US" w:eastAsia="zh-CN"/>
              </w:rPr>
              <w:t>⑦定期进行水质监测并根据实际情况改进施工工艺，尽可能减少对水生生态环境的干扰和破坏。</w:t>
            </w:r>
          </w:p>
          <w:p>
            <w:pPr>
              <w:adjustRightInd w:val="0"/>
              <w:snapToGrid w:val="0"/>
              <w:spacing w:line="480" w:lineRule="exact"/>
              <w:ind w:firstLine="480" w:firstLineChars="200"/>
              <w:rPr>
                <w:rFonts w:hint="eastAsia"/>
                <w:bCs/>
                <w:sz w:val="24"/>
                <w:szCs w:val="24"/>
                <w:lang w:val="en-US" w:eastAsia="zh-CN"/>
              </w:rPr>
            </w:pPr>
            <w:r>
              <w:rPr>
                <w:rFonts w:hint="eastAsia"/>
                <w:bCs/>
                <w:sz w:val="24"/>
                <w:szCs w:val="24"/>
                <w:lang w:val="en-US" w:eastAsia="zh-CN"/>
              </w:rPr>
              <w:t>⑧施工期间对鱼类的的保护主要是管理好施工人员不滥捕，不毒鱼电鱼，不向河道排放污水和废水，保证鱼类的生存环境不受破坏；保证河道上下的畅通，确保鱼类正常的洄游和索饵通道，使鱼类在其特定的生活时期能够完成特有的生活阶段；施工期间尽可能减小工程对河道形态的改变，减小鱼类适应的强度，尽可能使鱼类尽快适应，增大鱼类适应的群体。</w:t>
            </w:r>
          </w:p>
          <w:p>
            <w:pPr>
              <w:adjustRightInd w:val="0"/>
              <w:snapToGrid w:val="0"/>
              <w:spacing w:line="480" w:lineRule="exact"/>
              <w:ind w:firstLine="480" w:firstLineChars="200"/>
              <w:rPr>
                <w:rFonts w:hint="eastAsia"/>
                <w:bCs/>
                <w:sz w:val="24"/>
                <w:szCs w:val="24"/>
                <w:lang w:val="en-US" w:eastAsia="zh-CN"/>
              </w:rPr>
            </w:pPr>
            <w:r>
              <w:rPr>
                <w:rFonts w:hint="eastAsia"/>
                <w:bCs/>
                <w:sz w:val="24"/>
                <w:szCs w:val="24"/>
                <w:lang w:val="en-US" w:eastAsia="zh-CN"/>
              </w:rPr>
              <w:t>⑨施工期应定期监测施工段和下游的水质、SS、鱼类和水生生态的状况。并根据检测结果，进一步优化施工方案，使施工对于水生生态的影响降低到最低程度。</w:t>
            </w:r>
          </w:p>
          <w:p>
            <w:pPr>
              <w:adjustRightInd w:val="0"/>
              <w:snapToGrid w:val="0"/>
              <w:spacing w:line="480" w:lineRule="exact"/>
              <w:ind w:firstLine="522" w:firstLineChars="200"/>
              <w:rPr>
                <w:b/>
                <w:spacing w:val="10"/>
                <w:sz w:val="24"/>
                <w:szCs w:val="24"/>
              </w:rPr>
            </w:pPr>
            <w:r>
              <w:rPr>
                <w:b/>
                <w:spacing w:val="10"/>
                <w:sz w:val="24"/>
                <w:szCs w:val="24"/>
              </w:rPr>
              <w:t>2、施工期</w:t>
            </w:r>
            <w:r>
              <w:rPr>
                <w:rFonts w:hint="eastAsia"/>
                <w:b/>
                <w:spacing w:val="10"/>
                <w:sz w:val="24"/>
                <w:szCs w:val="24"/>
              </w:rPr>
              <w:t>大气污染防治措施</w:t>
            </w:r>
          </w:p>
          <w:p>
            <w:pPr>
              <w:adjustRightInd w:val="0"/>
              <w:snapToGrid w:val="0"/>
              <w:spacing w:line="480" w:lineRule="exact"/>
              <w:ind w:firstLine="480" w:firstLineChars="200"/>
              <w:rPr>
                <w:bCs/>
                <w:sz w:val="24"/>
              </w:rPr>
            </w:pPr>
            <w:r>
              <w:rPr>
                <w:bCs/>
                <w:sz w:val="24"/>
              </w:rPr>
              <w:t>虽然建设期的环境影响基本上都是短期的、局部的和可逆的，但若不采取有效的污染防治措施，仍会对周围环境造成一定影响。</w:t>
            </w:r>
            <w:r>
              <w:rPr>
                <w:rFonts w:hint="eastAsia"/>
                <w:bCs/>
                <w:sz w:val="24"/>
              </w:rPr>
              <w:t>环评要求施工单位在施工过程中要严格按照《山西省打赢蓝天保卫战2020年决战计划》、《山西省大气污染防治条例》等要求控制施工扬尘，加强施工期扬尘污染治理，以减轻对大气环境的影响。具体要求如下：</w:t>
            </w:r>
          </w:p>
          <w:p>
            <w:pPr>
              <w:spacing w:line="480" w:lineRule="exact"/>
              <w:ind w:firstLine="480" w:firstLineChars="200"/>
              <w:rPr>
                <w:bCs/>
                <w:sz w:val="24"/>
              </w:rPr>
            </w:pPr>
            <w:r>
              <w:rPr>
                <w:rFonts w:hint="eastAsia"/>
                <w:bCs/>
                <w:sz w:val="24"/>
              </w:rPr>
              <w:t>①土建施工时，施工工地100%设置围挡。</w:t>
            </w:r>
          </w:p>
          <w:p>
            <w:pPr>
              <w:spacing w:line="480" w:lineRule="exact"/>
              <w:ind w:firstLine="480" w:firstLineChars="200"/>
              <w:rPr>
                <w:bCs/>
                <w:sz w:val="24"/>
              </w:rPr>
            </w:pPr>
            <w:r>
              <w:rPr>
                <w:rFonts w:hint="eastAsia"/>
                <w:sz w:val="24"/>
                <w:szCs w:val="24"/>
              </w:rPr>
              <w:t>②</w:t>
            </w:r>
            <w:r>
              <w:rPr>
                <w:rFonts w:hint="eastAsia"/>
                <w:bCs/>
                <w:sz w:val="24"/>
              </w:rPr>
              <w:t>工程开挖防尘：工程开挖土方集中堆放，缩小粉尘影响范围，及时回填，减少粉尘影响时间。土方开挖100%湿法作业。</w:t>
            </w:r>
          </w:p>
          <w:p>
            <w:pPr>
              <w:spacing w:line="480" w:lineRule="exact"/>
              <w:ind w:firstLine="480" w:firstLineChars="200"/>
              <w:rPr>
                <w:bCs/>
                <w:sz w:val="24"/>
              </w:rPr>
            </w:pPr>
            <w:r>
              <w:rPr>
                <w:rFonts w:hint="eastAsia"/>
                <w:bCs/>
                <w:sz w:val="24"/>
              </w:rPr>
              <w:t>③砂石与混凝土等扬尘消减与控制：施工中使用商品混凝土，不在现场搅拌，混凝土运输采用密封罐车。</w:t>
            </w:r>
          </w:p>
          <w:p>
            <w:pPr>
              <w:spacing w:line="480" w:lineRule="exact"/>
              <w:ind w:firstLine="480" w:firstLineChars="200"/>
              <w:rPr>
                <w:bCs/>
                <w:sz w:val="24"/>
              </w:rPr>
            </w:pPr>
            <w:r>
              <w:rPr>
                <w:rFonts w:hint="eastAsia"/>
                <w:bCs/>
                <w:sz w:val="24"/>
              </w:rPr>
              <w:t>④物料管理：建筑材料定点堆存，混凝土搅拌场地面定时清扫，施工现场地面、道路及各扬尘点定时洒水抑尘。运输车辆应注意装卸，临时堆放场应有遮盖篷遮蔽，防止物料飘失，污染环境空气。</w:t>
            </w:r>
          </w:p>
          <w:p>
            <w:pPr>
              <w:spacing w:line="480" w:lineRule="exact"/>
              <w:ind w:firstLine="480" w:firstLineChars="200"/>
              <w:rPr>
                <w:bCs/>
                <w:sz w:val="24"/>
              </w:rPr>
            </w:pPr>
            <w:r>
              <w:rPr>
                <w:rFonts w:hint="eastAsia"/>
                <w:bCs/>
                <w:sz w:val="24"/>
              </w:rPr>
              <w:t>⑤施工道路要100%全部硬化；装卸渣土严禁凌空抛散；要指定专人清扫工地路面。</w:t>
            </w:r>
          </w:p>
          <w:p>
            <w:pPr>
              <w:spacing w:line="480" w:lineRule="exact"/>
              <w:ind w:firstLine="480" w:firstLineChars="200"/>
              <w:rPr>
                <w:bCs/>
                <w:sz w:val="24"/>
              </w:rPr>
            </w:pPr>
            <w:r>
              <w:rPr>
                <w:rFonts w:hint="eastAsia"/>
                <w:bCs/>
                <w:sz w:val="24"/>
              </w:rPr>
              <w:t xml:space="preserve">⑥洒水喷洒措施：施工场地每天专人定期洒水抑尘。 </w:t>
            </w:r>
          </w:p>
          <w:p>
            <w:pPr>
              <w:spacing w:line="480" w:lineRule="exact"/>
              <w:ind w:firstLine="480" w:firstLineChars="200"/>
              <w:rPr>
                <w:bCs/>
                <w:sz w:val="24"/>
              </w:rPr>
            </w:pPr>
            <w:r>
              <w:rPr>
                <w:rFonts w:hint="eastAsia"/>
                <w:bCs/>
                <w:sz w:val="24"/>
              </w:rPr>
              <w:t>⑦建筑垃圾防尘措施：施工过程中产生的弃土、弃料及其他建筑垃圾及时清运。</w:t>
            </w:r>
          </w:p>
          <w:p>
            <w:pPr>
              <w:spacing w:line="480" w:lineRule="exact"/>
              <w:ind w:firstLine="480" w:firstLineChars="200"/>
              <w:rPr>
                <w:bCs/>
                <w:sz w:val="24"/>
              </w:rPr>
            </w:pPr>
            <w:r>
              <w:rPr>
                <w:rFonts w:hint="eastAsia"/>
                <w:bCs/>
                <w:sz w:val="24"/>
              </w:rPr>
              <w:t xml:space="preserve">⑧设置洗车平台：施工期间，应在物料、渣土、垃圾运输车辆的出口内侧设置洗车平台，车辆驶离工地前，应在洗车平台清洗轮胎及车身，不得带泥上路，做到出工地车辆100%冲洗。洗车平台四周应设置防溢座、废水导流渠、废水收集池、沉砂池及其它防治设施，收集洗车、施工以及降水过程中产生的废水和泥浆。工地出口处铺装道路上可见粘带泥土不得超过10m，并应及时清扫冲洗。 </w:t>
            </w:r>
          </w:p>
          <w:p>
            <w:pPr>
              <w:spacing w:line="480" w:lineRule="exact"/>
              <w:ind w:firstLine="480" w:firstLineChars="200"/>
              <w:rPr>
                <w:bCs/>
                <w:sz w:val="24"/>
              </w:rPr>
            </w:pPr>
            <w:r>
              <w:rPr>
                <w:rFonts w:hint="eastAsia"/>
                <w:bCs/>
                <w:sz w:val="24"/>
              </w:rPr>
              <w:t xml:space="preserve">⑨建筑垃圾防尘措施：施工过程中产生的弃土、弃料及其他建筑垃圾及时清运，渣土车辆100%密闭运输。若在工地内堆置超过一周的，采区以下措施：覆盖防尘布、防尘网；定期喷水抑尘。工地沙土做到100%覆盖。 </w:t>
            </w:r>
          </w:p>
          <w:p>
            <w:pPr>
              <w:spacing w:line="480" w:lineRule="exact"/>
              <w:ind w:firstLine="480" w:firstLineChars="200"/>
              <w:rPr>
                <w:rFonts w:hint="eastAsia"/>
                <w:bCs/>
                <w:sz w:val="24"/>
              </w:rPr>
            </w:pPr>
            <w:r>
              <w:rPr>
                <w:rFonts w:hint="eastAsia"/>
                <w:bCs/>
                <w:sz w:val="24"/>
              </w:rPr>
              <w:t>⑩非道路移动机械设备产生的废气防护措施：本项目的施工设备主要有装载机、推土机、吊装车等，运输车为租赁，环保设备有炮雾洒水机、道路洒水车。根据《非道路移动机械设备污染防治技术政策》等相关环保要求，评价要求企业首先要使用排放达标的、环保检测合格的设备；在使用过程中要加强设备的维修、保养，保证设备保持良好的技术状态；使用的燃料、机油及氮氧化物还原剂要保证质量稳定，且满足国家标准的要求。</w:t>
            </w:r>
          </w:p>
          <w:p>
            <w:pPr>
              <w:spacing w:line="480" w:lineRule="exact"/>
              <w:ind w:firstLine="480" w:firstLineChars="200"/>
              <w:rPr>
                <w:rFonts w:hint="eastAsia"/>
                <w:bCs/>
                <w:sz w:val="24"/>
              </w:rPr>
            </w:pPr>
            <w:r>
              <w:rPr>
                <w:rFonts w:hint="eastAsia"/>
                <w:bCs/>
                <w:sz w:val="24"/>
              </w:rPr>
              <w:t>⑪本次工程沥青采取商品沥青混凝土形式，熔融和拌和过程全部在专业工厂进行，沥青熔融、搅拌过程的沥青烟影响可以消除。摊铺时产生的有害物质THC和BaP比沥青熔融和搅拌时要少很多。为了最大限度地减少路面铺装过程中的沥青烟问题，建议路面铺设使用乳化沥青，这样既使用方便又可避免对环境的污染。</w:t>
            </w:r>
          </w:p>
          <w:p>
            <w:pPr>
              <w:adjustRightInd w:val="0"/>
              <w:snapToGrid w:val="0"/>
              <w:spacing w:line="480" w:lineRule="exact"/>
              <w:ind w:firstLine="482" w:firstLineChars="200"/>
              <w:rPr>
                <w:b/>
                <w:sz w:val="24"/>
                <w:szCs w:val="24"/>
              </w:rPr>
            </w:pPr>
            <w:r>
              <w:rPr>
                <w:b/>
                <w:sz w:val="24"/>
                <w:szCs w:val="24"/>
              </w:rPr>
              <w:t>3</w:t>
            </w:r>
            <w:r>
              <w:rPr>
                <w:rFonts w:hint="eastAsia"/>
                <w:b/>
                <w:sz w:val="24"/>
                <w:szCs w:val="24"/>
              </w:rPr>
              <w:t>、施工期水环境保护措施</w:t>
            </w:r>
          </w:p>
          <w:p>
            <w:pPr>
              <w:adjustRightInd w:val="0"/>
              <w:snapToGrid w:val="0"/>
              <w:spacing w:line="480" w:lineRule="exact"/>
              <w:ind w:firstLine="480" w:firstLineChars="200"/>
              <w:rPr>
                <w:rFonts w:hint="eastAsia"/>
                <w:b w:val="0"/>
                <w:bCs w:val="0"/>
                <w:sz w:val="24"/>
                <w:lang w:eastAsia="zh-CN"/>
              </w:rPr>
            </w:pPr>
            <w:r>
              <w:rPr>
                <w:rFonts w:hint="eastAsia"/>
                <w:b w:val="0"/>
                <w:bCs w:val="0"/>
                <w:sz w:val="24"/>
                <w:lang w:eastAsia="zh-CN"/>
              </w:rPr>
              <w:t>①设备冲洗、场地冲洗过程中的废水处理措施：冲洗场地进行硬化处理，场地周围设置集水渠，设备冲洗、场地冲洗产生的废水通过集水渠收集后进入施工现场设置的一座10m</w:t>
            </w:r>
            <w:r>
              <w:rPr>
                <w:rFonts w:hint="eastAsia"/>
                <w:b w:val="0"/>
                <w:bCs w:val="0"/>
                <w:sz w:val="24"/>
                <w:vertAlign w:val="superscript"/>
                <w:lang w:eastAsia="zh-CN"/>
              </w:rPr>
              <w:t>3</w:t>
            </w:r>
            <w:r>
              <w:rPr>
                <w:rFonts w:hint="eastAsia"/>
                <w:b w:val="0"/>
                <w:bCs w:val="0"/>
                <w:sz w:val="24"/>
                <w:lang w:eastAsia="zh-CN"/>
              </w:rPr>
              <w:t>隔油池、一座20m</w:t>
            </w:r>
            <w:r>
              <w:rPr>
                <w:rFonts w:hint="eastAsia"/>
                <w:b w:val="0"/>
                <w:bCs w:val="0"/>
                <w:sz w:val="24"/>
                <w:vertAlign w:val="superscript"/>
                <w:lang w:eastAsia="zh-CN"/>
              </w:rPr>
              <w:t>3</w:t>
            </w:r>
            <w:r>
              <w:rPr>
                <w:rFonts w:hint="eastAsia"/>
                <w:b w:val="0"/>
                <w:bCs w:val="0"/>
                <w:sz w:val="24"/>
                <w:lang w:eastAsia="zh-CN"/>
              </w:rPr>
              <w:t>的沉淀池内处理，处理后的废水回用于施工物料区洒水抑尘。</w:t>
            </w:r>
          </w:p>
          <w:p>
            <w:pPr>
              <w:adjustRightInd w:val="0"/>
              <w:snapToGrid w:val="0"/>
              <w:spacing w:line="480" w:lineRule="exact"/>
              <w:ind w:firstLine="480" w:firstLineChars="200"/>
              <w:rPr>
                <w:rFonts w:hint="eastAsia"/>
                <w:b w:val="0"/>
                <w:bCs w:val="0"/>
                <w:sz w:val="24"/>
                <w:lang w:eastAsia="zh-CN"/>
              </w:rPr>
            </w:pPr>
            <w:r>
              <w:rPr>
                <w:rFonts w:hint="eastAsia"/>
                <w:b w:val="0"/>
                <w:bCs w:val="0"/>
                <w:sz w:val="24"/>
                <w:lang w:eastAsia="zh-CN"/>
              </w:rPr>
              <w:t>②车辆冲洗废水处理措施：项目在施工工地出入口设置一座洗车平台，并在洗车平台下设置设置清水池、沉淀池各1座，每个水池15m</w:t>
            </w:r>
            <w:r>
              <w:rPr>
                <w:rFonts w:hint="eastAsia"/>
                <w:b w:val="0"/>
                <w:bCs w:val="0"/>
                <w:sz w:val="24"/>
                <w:vertAlign w:val="superscript"/>
                <w:lang w:eastAsia="zh-CN"/>
              </w:rPr>
              <w:t>3</w:t>
            </w:r>
            <w:r>
              <w:rPr>
                <w:rFonts w:hint="eastAsia"/>
                <w:b w:val="0"/>
                <w:bCs w:val="0"/>
                <w:sz w:val="24"/>
                <w:lang w:eastAsia="zh-CN"/>
              </w:rPr>
              <w:t>，洗车废水经沉淀池沉淀后由泵泵入清水池循环利用，不外排。</w:t>
            </w:r>
          </w:p>
          <w:p>
            <w:pPr>
              <w:adjustRightInd w:val="0"/>
              <w:snapToGrid w:val="0"/>
              <w:spacing w:line="480" w:lineRule="exact"/>
              <w:ind w:firstLine="480" w:firstLineChars="200"/>
              <w:rPr>
                <w:rFonts w:hint="eastAsia"/>
                <w:b w:val="0"/>
                <w:bCs w:val="0"/>
                <w:sz w:val="24"/>
                <w:lang w:val="en-US" w:eastAsia="zh-CN"/>
              </w:rPr>
            </w:pPr>
            <w:r>
              <w:rPr>
                <w:rFonts w:hint="eastAsia"/>
                <w:b w:val="0"/>
                <w:bCs w:val="0"/>
                <w:sz w:val="24"/>
                <w:lang w:eastAsia="zh-CN"/>
              </w:rPr>
              <w:t>③生活污水：本项目施工期生活污水</w:t>
            </w:r>
            <w:r>
              <w:rPr>
                <w:rFonts w:hint="eastAsia"/>
                <w:b w:val="0"/>
                <w:bCs w:val="0"/>
                <w:sz w:val="24"/>
                <w:lang w:val="en-US" w:eastAsia="zh-CN"/>
              </w:rPr>
              <w:t>排入移动水冲厕，定期清掏，用于附近农田施肥。</w:t>
            </w:r>
          </w:p>
          <w:p>
            <w:pPr>
              <w:adjustRightInd w:val="0"/>
              <w:snapToGrid w:val="0"/>
              <w:spacing w:line="480" w:lineRule="exact"/>
              <w:ind w:firstLine="480" w:firstLineChars="200"/>
              <w:rPr>
                <w:rFonts w:hint="eastAsia"/>
                <w:b w:val="0"/>
                <w:bCs w:val="0"/>
                <w:sz w:val="24"/>
                <w:lang w:eastAsia="zh-CN"/>
              </w:rPr>
            </w:pPr>
            <w:r>
              <w:rPr>
                <w:rFonts w:hint="eastAsia"/>
                <w:b w:val="0"/>
                <w:bCs w:val="0"/>
                <w:sz w:val="24"/>
                <w:lang w:eastAsia="zh-CN"/>
              </w:rPr>
              <w:t>综上，本项目废水不外排可行。</w:t>
            </w:r>
          </w:p>
          <w:p>
            <w:pPr>
              <w:adjustRightInd w:val="0"/>
              <w:snapToGrid w:val="0"/>
              <w:spacing w:line="480" w:lineRule="exact"/>
              <w:ind w:firstLine="480" w:firstLineChars="200"/>
              <w:rPr>
                <w:rFonts w:hint="eastAsia"/>
                <w:b w:val="0"/>
                <w:bCs w:val="0"/>
                <w:sz w:val="24"/>
                <w:lang w:eastAsia="zh-CN"/>
              </w:rPr>
            </w:pPr>
            <w:r>
              <w:rPr>
                <w:rFonts w:hint="eastAsia"/>
                <w:b w:val="0"/>
                <w:bCs w:val="0"/>
                <w:sz w:val="24"/>
                <w:lang w:eastAsia="zh-CN"/>
              </w:rPr>
              <w:t>地表水环境其他保护措施如下：</w:t>
            </w:r>
          </w:p>
          <w:p>
            <w:pPr>
              <w:adjustRightInd w:val="0"/>
              <w:snapToGrid w:val="0"/>
              <w:spacing w:line="480" w:lineRule="exact"/>
              <w:ind w:firstLine="480" w:firstLineChars="200"/>
              <w:rPr>
                <w:rFonts w:hint="eastAsia"/>
                <w:b w:val="0"/>
                <w:bCs w:val="0"/>
                <w:sz w:val="24"/>
                <w:lang w:eastAsia="zh-CN"/>
              </w:rPr>
            </w:pPr>
            <w:r>
              <w:rPr>
                <w:rFonts w:hint="eastAsia"/>
                <w:b w:val="0"/>
                <w:bCs w:val="0"/>
                <w:sz w:val="24"/>
                <w:lang w:eastAsia="zh-CN"/>
              </w:rPr>
              <w:t>在桥梁建设过程中，施工机械废油若直接排入河中或漏油，将会对水体产生一定程度的污染。为此，桥梁施工过程中要做好水环境保护工作，做好基础开挖产生的弃渣处理和钻孔灌注桩施工产生的泥浆处理。</w:t>
            </w:r>
          </w:p>
          <w:p>
            <w:pPr>
              <w:adjustRightInd w:val="0"/>
              <w:snapToGrid w:val="0"/>
              <w:spacing w:line="480" w:lineRule="exact"/>
              <w:ind w:firstLine="480" w:firstLineChars="200"/>
              <w:rPr>
                <w:rFonts w:hint="eastAsia"/>
                <w:b w:val="0"/>
                <w:bCs w:val="0"/>
                <w:sz w:val="24"/>
                <w:lang w:eastAsia="zh-CN"/>
              </w:rPr>
            </w:pPr>
            <w:r>
              <w:rPr>
                <w:rFonts w:hint="eastAsia"/>
                <w:b w:val="0"/>
                <w:bCs w:val="0"/>
                <w:sz w:val="24"/>
                <w:lang w:eastAsia="zh-CN"/>
              </w:rPr>
              <w:t>（1）大桥桥墩施工中钻渣量相应较大，因此这部分钻渣必须妥善处理。大桥施工钻孔灌注桩的泥浆可循环利用，剩余泥浆和钻渣在征得地方水利部门的同意后，可选定不影响泄洪功能及沿线、沿岸景观的指定地点，设置围堰，在围堰内安全填埋；工程结束后若无其它用途，则必须对堆放点作绿化、美化处理；</w:t>
            </w:r>
          </w:p>
          <w:p>
            <w:pPr>
              <w:adjustRightInd w:val="0"/>
              <w:snapToGrid w:val="0"/>
              <w:spacing w:line="480" w:lineRule="exact"/>
              <w:ind w:firstLine="480" w:firstLineChars="200"/>
              <w:rPr>
                <w:rFonts w:hint="eastAsia"/>
                <w:b w:val="0"/>
                <w:bCs w:val="0"/>
                <w:sz w:val="24"/>
                <w:lang w:eastAsia="zh-CN"/>
              </w:rPr>
            </w:pPr>
            <w:r>
              <w:rPr>
                <w:rFonts w:hint="eastAsia"/>
                <w:b w:val="0"/>
                <w:bCs w:val="0"/>
                <w:sz w:val="24"/>
                <w:lang w:eastAsia="zh-CN"/>
              </w:rPr>
              <w:t>（</w:t>
            </w:r>
            <w:r>
              <w:rPr>
                <w:rFonts w:hint="eastAsia"/>
                <w:b w:val="0"/>
                <w:bCs w:val="0"/>
                <w:sz w:val="24"/>
                <w:lang w:val="en-US" w:eastAsia="zh-CN"/>
              </w:rPr>
              <w:t>2</w:t>
            </w:r>
            <w:r>
              <w:rPr>
                <w:rFonts w:hint="eastAsia"/>
                <w:b w:val="0"/>
                <w:bCs w:val="0"/>
                <w:sz w:val="24"/>
                <w:lang w:eastAsia="zh-CN"/>
              </w:rPr>
              <w:t>）桥梁施工过程中施工机械必须严格检查，防止油料泄漏。禁止将污水、垃圾及油污水抛入</w:t>
            </w:r>
            <w:r>
              <w:rPr>
                <w:rFonts w:hint="eastAsia"/>
                <w:b w:val="0"/>
                <w:bCs w:val="0"/>
                <w:sz w:val="24"/>
                <w:lang w:val="en-US" w:eastAsia="zh-CN"/>
              </w:rPr>
              <w:t>河</w:t>
            </w:r>
            <w:r>
              <w:rPr>
                <w:rFonts w:hint="eastAsia"/>
                <w:b w:val="0"/>
                <w:bCs w:val="0"/>
                <w:sz w:val="24"/>
                <w:lang w:eastAsia="zh-CN"/>
              </w:rPr>
              <w:t>，应全部收集并与项目工地上的污染物一并处理。</w:t>
            </w:r>
          </w:p>
          <w:p>
            <w:pPr>
              <w:adjustRightInd w:val="0"/>
              <w:snapToGrid w:val="0"/>
              <w:spacing w:line="480" w:lineRule="exact"/>
              <w:ind w:firstLine="480" w:firstLineChars="200"/>
              <w:rPr>
                <w:rFonts w:hint="eastAsia"/>
                <w:b w:val="0"/>
                <w:bCs w:val="0"/>
                <w:sz w:val="24"/>
                <w:lang w:eastAsia="zh-CN"/>
              </w:rPr>
            </w:pPr>
            <w:r>
              <w:rPr>
                <w:rFonts w:hint="eastAsia"/>
                <w:b w:val="0"/>
                <w:bCs w:val="0"/>
                <w:sz w:val="24"/>
                <w:lang w:eastAsia="zh-CN"/>
              </w:rPr>
              <w:t>（3）大桥施工时应严格执行相关水体保护要求，保护河水环境；</w:t>
            </w:r>
          </w:p>
          <w:p>
            <w:pPr>
              <w:adjustRightInd w:val="0"/>
              <w:snapToGrid w:val="0"/>
              <w:spacing w:line="480" w:lineRule="exact"/>
              <w:ind w:firstLine="480" w:firstLineChars="200"/>
              <w:rPr>
                <w:rFonts w:hint="eastAsia"/>
                <w:b w:val="0"/>
                <w:bCs w:val="0"/>
                <w:sz w:val="24"/>
                <w:lang w:eastAsia="zh-CN"/>
              </w:rPr>
            </w:pPr>
            <w:r>
              <w:rPr>
                <w:rFonts w:hint="eastAsia"/>
                <w:b w:val="0"/>
                <w:bCs w:val="0"/>
                <w:sz w:val="24"/>
                <w:lang w:eastAsia="zh-CN"/>
              </w:rPr>
              <w:t>（4）桥梁施工营地或施工现场应尽量远离水体，若不得不设在水体附近，其产生的生活污水（主要是粪便污水）和施工废水（主要是设备、场地、车辆的冲洗废水、泥浆水）严禁直接排入水体。本项目生活污水</w:t>
            </w:r>
            <w:r>
              <w:rPr>
                <w:rFonts w:hint="eastAsia"/>
                <w:b w:val="0"/>
                <w:bCs w:val="0"/>
                <w:sz w:val="24"/>
                <w:lang w:val="en-US" w:eastAsia="zh-CN"/>
              </w:rPr>
              <w:t>设置临时化粪池进行收集处理</w:t>
            </w:r>
            <w:r>
              <w:rPr>
                <w:rFonts w:hint="eastAsia"/>
                <w:b w:val="0"/>
                <w:bCs w:val="0"/>
                <w:sz w:val="24"/>
                <w:lang w:eastAsia="zh-CN"/>
              </w:rPr>
              <w:t>；</w:t>
            </w:r>
          </w:p>
          <w:p>
            <w:pPr>
              <w:adjustRightInd w:val="0"/>
              <w:snapToGrid w:val="0"/>
              <w:spacing w:line="480" w:lineRule="exact"/>
              <w:ind w:firstLine="480" w:firstLineChars="200"/>
              <w:rPr>
                <w:rFonts w:hint="eastAsia"/>
                <w:b w:val="0"/>
                <w:bCs w:val="0"/>
                <w:sz w:val="24"/>
                <w:lang w:eastAsia="zh-CN"/>
              </w:rPr>
            </w:pPr>
            <w:r>
              <w:rPr>
                <w:rFonts w:hint="eastAsia"/>
                <w:b w:val="0"/>
                <w:bCs w:val="0"/>
                <w:sz w:val="24"/>
                <w:lang w:eastAsia="zh-CN"/>
              </w:rPr>
              <w:t>（5）桥梁工地人员的生活垃圾、施工物料垃圾等尽量分类收集，废弃物应在施工中尽量回收利用，其余垃圾应分类集中堆放，并联系环卫部门及时清运；</w:t>
            </w:r>
          </w:p>
          <w:p>
            <w:pPr>
              <w:adjustRightInd w:val="0"/>
              <w:snapToGrid w:val="0"/>
              <w:spacing w:line="480" w:lineRule="exact"/>
              <w:ind w:firstLine="480" w:firstLineChars="200"/>
              <w:rPr>
                <w:rFonts w:hint="eastAsia"/>
                <w:b w:val="0"/>
                <w:bCs w:val="0"/>
                <w:sz w:val="24"/>
                <w:lang w:eastAsia="zh-CN"/>
              </w:rPr>
            </w:pPr>
            <w:r>
              <w:rPr>
                <w:rFonts w:hint="eastAsia"/>
                <w:b w:val="0"/>
                <w:bCs w:val="0"/>
                <w:sz w:val="24"/>
                <w:lang w:eastAsia="zh-CN"/>
              </w:rPr>
              <w:t>（6）机械设备检修、清洗废水必须要求定点，检修场和清洗场必须经水泥硬化，并布置集水沟收集废水，经除油、沉淀后可用于场地</w:t>
            </w:r>
            <w:r>
              <w:rPr>
                <w:rFonts w:hint="eastAsia"/>
                <w:b w:val="0"/>
                <w:bCs w:val="0"/>
                <w:sz w:val="24"/>
                <w:lang w:val="en-US" w:eastAsia="zh-CN"/>
              </w:rPr>
              <w:t>洒</w:t>
            </w:r>
            <w:r>
              <w:rPr>
                <w:rFonts w:hint="eastAsia"/>
                <w:b w:val="0"/>
                <w:bCs w:val="0"/>
                <w:sz w:val="24"/>
                <w:lang w:eastAsia="zh-CN"/>
              </w:rPr>
              <w:t>水等；</w:t>
            </w:r>
          </w:p>
          <w:p>
            <w:pPr>
              <w:adjustRightInd w:val="0"/>
              <w:snapToGrid w:val="0"/>
              <w:spacing w:line="480" w:lineRule="exact"/>
              <w:ind w:firstLine="480" w:firstLineChars="200"/>
              <w:rPr>
                <w:rFonts w:hint="eastAsia"/>
                <w:b w:val="0"/>
                <w:bCs w:val="0"/>
                <w:sz w:val="24"/>
                <w:lang w:eastAsia="zh-CN"/>
              </w:rPr>
            </w:pPr>
            <w:r>
              <w:rPr>
                <w:rFonts w:hint="eastAsia"/>
                <w:b w:val="0"/>
                <w:bCs w:val="0"/>
                <w:sz w:val="24"/>
                <w:lang w:eastAsia="zh-CN"/>
              </w:rPr>
              <w:t>（7）禁止在河内清洗施工机械；</w:t>
            </w:r>
          </w:p>
          <w:p>
            <w:pPr>
              <w:adjustRightInd w:val="0"/>
              <w:snapToGrid w:val="0"/>
              <w:spacing w:line="480" w:lineRule="exact"/>
              <w:ind w:firstLine="480" w:firstLineChars="200"/>
              <w:rPr>
                <w:rFonts w:hint="eastAsia"/>
                <w:b w:val="0"/>
                <w:bCs w:val="0"/>
                <w:sz w:val="24"/>
                <w:lang w:eastAsia="zh-CN"/>
              </w:rPr>
            </w:pPr>
            <w:r>
              <w:rPr>
                <w:rFonts w:hint="eastAsia"/>
                <w:b w:val="0"/>
                <w:bCs w:val="0"/>
                <w:sz w:val="24"/>
                <w:lang w:eastAsia="zh-CN"/>
              </w:rPr>
              <w:t>（8）在施工结束后及时清理现场，使施工段恢复原貌；严格施工期管理，定期对施工人员进行保护水源培训。</w:t>
            </w:r>
          </w:p>
          <w:p>
            <w:pPr>
              <w:adjustRightInd w:val="0"/>
              <w:snapToGrid w:val="0"/>
              <w:spacing w:line="480" w:lineRule="exact"/>
              <w:ind w:firstLine="482" w:firstLineChars="200"/>
              <w:rPr>
                <w:b/>
                <w:sz w:val="24"/>
                <w:szCs w:val="24"/>
              </w:rPr>
            </w:pPr>
            <w:r>
              <w:rPr>
                <w:b/>
                <w:sz w:val="24"/>
                <w:szCs w:val="24"/>
              </w:rPr>
              <w:t>4</w:t>
            </w:r>
            <w:r>
              <w:rPr>
                <w:rFonts w:hint="eastAsia"/>
                <w:b/>
                <w:sz w:val="24"/>
                <w:szCs w:val="24"/>
              </w:rPr>
              <w:t>、施工期噪声环境影响</w:t>
            </w:r>
            <w:r>
              <w:rPr>
                <w:rFonts w:hint="eastAsia"/>
                <w:b/>
                <w:sz w:val="24"/>
                <w:szCs w:val="24"/>
                <w:lang w:eastAsia="zh-CN"/>
              </w:rPr>
              <w:t>保护措施</w:t>
            </w:r>
          </w:p>
          <w:p>
            <w:pPr>
              <w:adjustRightInd w:val="0"/>
              <w:snapToGrid w:val="0"/>
              <w:spacing w:line="480" w:lineRule="exact"/>
              <w:ind w:firstLine="480" w:firstLineChars="200"/>
              <w:rPr>
                <w:rFonts w:hint="eastAsia"/>
                <w:sz w:val="24"/>
                <w:lang w:eastAsia="zh-CN"/>
              </w:rPr>
            </w:pPr>
            <w:r>
              <w:rPr>
                <w:rFonts w:hint="eastAsia"/>
                <w:sz w:val="24"/>
                <w:lang w:eastAsia="zh-CN"/>
              </w:rPr>
              <w:t>一般施工机械设备噪声昼间的影响范围为</w:t>
            </w:r>
            <w:r>
              <w:rPr>
                <w:rFonts w:hint="eastAsia"/>
                <w:sz w:val="24"/>
                <w:lang w:val="en-US" w:eastAsia="zh-CN"/>
              </w:rPr>
              <w:t>7</w:t>
            </w:r>
            <w:r>
              <w:rPr>
                <w:rFonts w:hint="eastAsia"/>
                <w:sz w:val="24"/>
                <w:lang w:eastAsia="zh-CN"/>
              </w:rPr>
              <w:t>0m以内，夜间的影响范围为200m以内。为减少施工对项目沿线环境的影响，主要采取行政管理为主、采用先进设备为辅的方法加以控制，主要应采取下列措施：</w:t>
            </w:r>
          </w:p>
          <w:p>
            <w:pPr>
              <w:adjustRightInd w:val="0"/>
              <w:snapToGrid w:val="0"/>
              <w:spacing w:line="480" w:lineRule="exact"/>
              <w:ind w:firstLine="480" w:firstLineChars="200"/>
              <w:rPr>
                <w:bCs/>
                <w:sz w:val="24"/>
              </w:rPr>
            </w:pPr>
            <w:r>
              <w:rPr>
                <w:rFonts w:hint="eastAsia"/>
                <w:bCs/>
                <w:sz w:val="24"/>
              </w:rPr>
              <w:t>①</w:t>
            </w:r>
            <w:r>
              <w:rPr>
                <w:bCs/>
                <w:sz w:val="24"/>
              </w:rPr>
              <w:t>降低施工设备噪声：要定期对机械设备进行维护和保养，使其一直保持良好的状态，减轻因设备运行状态不佳而造成的噪声污染；对动力机械、设备加强定期检修、养护；</w:t>
            </w:r>
          </w:p>
          <w:p>
            <w:pPr>
              <w:adjustRightInd w:val="0"/>
              <w:snapToGrid w:val="0"/>
              <w:spacing w:line="480" w:lineRule="exact"/>
              <w:ind w:firstLine="480" w:firstLineChars="200"/>
              <w:rPr>
                <w:bCs/>
                <w:sz w:val="24"/>
              </w:rPr>
            </w:pPr>
            <w:r>
              <w:rPr>
                <w:rFonts w:hint="eastAsia"/>
                <w:bCs/>
                <w:sz w:val="24"/>
              </w:rPr>
              <w:t>②</w:t>
            </w:r>
            <w:r>
              <w:rPr>
                <w:bCs/>
                <w:sz w:val="24"/>
              </w:rPr>
              <w:t>对位置相对固定的机械设备，能于室内操作的尽量进入操作间，不能进入操作间的，可适当建立单面声障；</w:t>
            </w:r>
          </w:p>
          <w:p>
            <w:pPr>
              <w:adjustRightInd w:val="0"/>
              <w:snapToGrid w:val="0"/>
              <w:spacing w:line="480" w:lineRule="exact"/>
              <w:ind w:firstLine="480" w:firstLineChars="200"/>
              <w:rPr>
                <w:bCs/>
                <w:sz w:val="24"/>
              </w:rPr>
            </w:pPr>
            <w:r>
              <w:rPr>
                <w:rFonts w:hint="eastAsia"/>
                <w:bCs/>
                <w:sz w:val="24"/>
              </w:rPr>
              <w:t>③</w:t>
            </w:r>
            <w:r>
              <w:rPr>
                <w:bCs/>
                <w:sz w:val="24"/>
              </w:rPr>
              <w:t>按规定操作机械设备，模板、支架装卸过程中，尽量减少碰撞声音；</w:t>
            </w:r>
          </w:p>
          <w:p>
            <w:pPr>
              <w:adjustRightInd w:val="0"/>
              <w:snapToGrid w:val="0"/>
              <w:spacing w:line="480" w:lineRule="exact"/>
              <w:ind w:firstLine="480" w:firstLineChars="200"/>
              <w:rPr>
                <w:bCs/>
                <w:sz w:val="24"/>
              </w:rPr>
            </w:pPr>
            <w:r>
              <w:rPr>
                <w:rFonts w:hint="eastAsia"/>
                <w:bCs/>
                <w:sz w:val="24"/>
              </w:rPr>
              <w:t>④</w:t>
            </w:r>
            <w:r>
              <w:rPr>
                <w:bCs/>
                <w:sz w:val="24"/>
              </w:rPr>
              <w:t>运输车辆在经过周围村庄时应限制车速，尽量减少鸣笛；</w:t>
            </w:r>
          </w:p>
          <w:p>
            <w:pPr>
              <w:adjustRightInd w:val="0"/>
              <w:snapToGrid w:val="0"/>
              <w:spacing w:line="480" w:lineRule="exact"/>
              <w:ind w:firstLine="480" w:firstLineChars="200"/>
              <w:rPr>
                <w:bCs/>
                <w:sz w:val="24"/>
              </w:rPr>
            </w:pPr>
            <w:r>
              <w:rPr>
                <w:rFonts w:hint="eastAsia"/>
                <w:bCs/>
                <w:sz w:val="24"/>
              </w:rPr>
              <w:t>⑤</w:t>
            </w:r>
            <w:r>
              <w:rPr>
                <w:bCs/>
                <w:sz w:val="24"/>
              </w:rPr>
              <w:t>设立专职环保工程监理员、提高施工人员的环保意识</w:t>
            </w:r>
            <w:r>
              <w:rPr>
                <w:rFonts w:hint="eastAsia"/>
                <w:bCs/>
                <w:sz w:val="24"/>
              </w:rPr>
              <w:t>；</w:t>
            </w:r>
            <w:r>
              <w:rPr>
                <w:bCs/>
                <w:sz w:val="24"/>
              </w:rPr>
              <w:t>在工程建设期间承建单位应设立专职环保工程监理员，实行环保监理员制度，负责施工现场的环境管理和扬尘污染的控制工作，同时应组织施工人员学习国家有关环保法律、法规，增强环保意识，在施工中自觉遵守，采取一切措施，尽力将噪声减到最低限度。</w:t>
            </w:r>
          </w:p>
          <w:p>
            <w:pPr>
              <w:adjustRightInd w:val="0"/>
              <w:snapToGrid w:val="0"/>
              <w:spacing w:line="480" w:lineRule="exact"/>
              <w:ind w:firstLine="480" w:firstLineChars="200"/>
              <w:rPr>
                <w:bCs/>
                <w:sz w:val="24"/>
              </w:rPr>
            </w:pPr>
            <w:r>
              <w:rPr>
                <w:rFonts w:hint="eastAsia"/>
                <w:bCs/>
                <w:sz w:val="24"/>
              </w:rPr>
              <w:t>⑥</w:t>
            </w:r>
            <w:r>
              <w:rPr>
                <w:bCs/>
                <w:sz w:val="24"/>
              </w:rPr>
              <w:t>限制作业时间</w:t>
            </w:r>
            <w:r>
              <w:rPr>
                <w:rFonts w:hint="eastAsia"/>
                <w:bCs/>
                <w:sz w:val="24"/>
              </w:rPr>
              <w:t>：</w:t>
            </w:r>
            <w:r>
              <w:rPr>
                <w:bCs/>
                <w:sz w:val="24"/>
              </w:rPr>
              <w:t>为了保护居民夜间休息有一个较好的环境，禁止夜间（22：00-次日6：00）施工，夜间禁止使用搅拌机、振动机等高噪声机械和运输装卸建筑砖、灰沙、石料等建筑材料。确因施工工艺需要及其它特殊原因须在夜间施工，在周围居民住宅密集区应张贴告示，以取得居民的谅解。根据施工计划，尽可能避免高噪声设备同时施工，施工阶段工作时间为上午6：00-12:00，下午14:00-22：00，在22：00至次日6:00应</w:t>
            </w:r>
            <w:r>
              <w:rPr>
                <w:rFonts w:hint="eastAsia"/>
                <w:bCs/>
                <w:sz w:val="24"/>
              </w:rPr>
              <w:t>禁止</w:t>
            </w:r>
            <w:r>
              <w:rPr>
                <w:bCs/>
                <w:sz w:val="24"/>
              </w:rPr>
              <w:t>施工。</w:t>
            </w:r>
          </w:p>
          <w:p>
            <w:pPr>
              <w:adjustRightInd w:val="0"/>
              <w:snapToGrid w:val="0"/>
              <w:spacing w:line="480" w:lineRule="exact"/>
              <w:ind w:firstLine="480" w:firstLineChars="200"/>
              <w:rPr>
                <w:bCs/>
                <w:sz w:val="24"/>
              </w:rPr>
            </w:pPr>
            <w:r>
              <w:rPr>
                <w:rFonts w:hint="eastAsia"/>
                <w:bCs/>
                <w:sz w:val="24"/>
              </w:rPr>
              <w:t>⑦</w:t>
            </w:r>
            <w:r>
              <w:rPr>
                <w:bCs/>
                <w:sz w:val="24"/>
              </w:rPr>
              <w:t>施工合理布局</w:t>
            </w:r>
            <w:r>
              <w:rPr>
                <w:rFonts w:hint="eastAsia"/>
                <w:bCs/>
                <w:sz w:val="24"/>
              </w:rPr>
              <w:t>：</w:t>
            </w:r>
            <w:r>
              <w:rPr>
                <w:bCs/>
                <w:sz w:val="24"/>
              </w:rPr>
              <w:t>施工布局同防治环境噪声污染密切相关。对施工现场进行合理布局，在靠近居民住宅密集区，尽可能少的安排施工机械，避免声级过高。</w:t>
            </w:r>
          </w:p>
          <w:p>
            <w:pPr>
              <w:adjustRightInd w:val="0"/>
              <w:snapToGrid w:val="0"/>
              <w:spacing w:line="480" w:lineRule="exact"/>
              <w:ind w:firstLine="480" w:firstLineChars="200"/>
              <w:rPr>
                <w:rFonts w:hint="eastAsia"/>
                <w:sz w:val="24"/>
                <w:lang w:val="en-US" w:eastAsia="zh-CN"/>
              </w:rPr>
            </w:pPr>
            <w:r>
              <w:rPr>
                <w:rFonts w:hint="eastAsia"/>
                <w:bCs/>
                <w:sz w:val="24"/>
              </w:rPr>
              <w:t>⑧</w:t>
            </w:r>
            <w:r>
              <w:rPr>
                <w:bCs/>
                <w:sz w:val="24"/>
              </w:rPr>
              <w:t>采用先进设备、淘汰落后设备</w:t>
            </w:r>
            <w:r>
              <w:rPr>
                <w:rFonts w:hint="eastAsia"/>
                <w:bCs/>
                <w:sz w:val="24"/>
              </w:rPr>
              <w:t>：</w:t>
            </w:r>
            <w:r>
              <w:rPr>
                <w:bCs/>
                <w:sz w:val="24"/>
              </w:rPr>
              <w:t>噪声污染的控制，归根到底是噪声源的控制，只有强化噪声源的管理和治理，才是改善环境质量的根本途径。因此，应督促施工部门淘汰落后的施工方式和设备，采用新技术，低噪声设备，如以液压机械代替燃油机械，振捣器采用高频振捣器等。同时，闲置不用的设备立即关闭，运输车辆进入现场应减速，并减少鸣笛。</w:t>
            </w:r>
          </w:p>
          <w:p>
            <w:pPr>
              <w:adjustRightInd w:val="0"/>
              <w:snapToGrid w:val="0"/>
              <w:spacing w:line="480" w:lineRule="exact"/>
              <w:ind w:firstLine="482" w:firstLineChars="200"/>
              <w:rPr>
                <w:b/>
                <w:sz w:val="24"/>
                <w:szCs w:val="24"/>
              </w:rPr>
            </w:pPr>
            <w:r>
              <w:rPr>
                <w:rFonts w:hint="eastAsia"/>
                <w:b/>
                <w:sz w:val="24"/>
                <w:szCs w:val="24"/>
                <w:lang w:val="en-US" w:eastAsia="zh-CN"/>
              </w:rPr>
              <w:t>5</w:t>
            </w:r>
            <w:r>
              <w:rPr>
                <w:rFonts w:hint="eastAsia"/>
                <w:b/>
                <w:sz w:val="24"/>
                <w:szCs w:val="24"/>
              </w:rPr>
              <w:t>、施工期固体废物环保措施</w:t>
            </w:r>
          </w:p>
          <w:p>
            <w:pPr>
              <w:adjustRightInd w:val="0"/>
              <w:snapToGrid w:val="0"/>
              <w:spacing w:line="480" w:lineRule="exact"/>
              <w:ind w:firstLine="480" w:firstLineChars="200"/>
              <w:rPr>
                <w:rFonts w:hint="eastAsia"/>
                <w:bCs/>
                <w:sz w:val="24"/>
                <w:szCs w:val="24"/>
              </w:rPr>
            </w:pPr>
            <w:r>
              <w:rPr>
                <w:bCs/>
                <w:sz w:val="24"/>
                <w:szCs w:val="24"/>
              </w:rPr>
              <w:t>道路建设固体废物主要产生在施工期，施工期固体废物主要为</w:t>
            </w:r>
            <w:r>
              <w:rPr>
                <w:rFonts w:hint="eastAsia"/>
                <w:bCs/>
                <w:sz w:val="24"/>
                <w:szCs w:val="24"/>
                <w:lang w:val="en-US" w:eastAsia="zh-CN"/>
              </w:rPr>
              <w:t>弃方</w:t>
            </w:r>
            <w:r>
              <w:rPr>
                <w:bCs/>
                <w:sz w:val="24"/>
                <w:szCs w:val="24"/>
              </w:rPr>
              <w:t>、生活垃圾。</w:t>
            </w:r>
          </w:p>
          <w:p>
            <w:pPr>
              <w:adjustRightInd w:val="0"/>
              <w:snapToGrid w:val="0"/>
              <w:spacing w:line="480" w:lineRule="exact"/>
              <w:ind w:firstLine="482" w:firstLineChars="200"/>
              <w:rPr>
                <w:rFonts w:hint="eastAsia"/>
                <w:b/>
                <w:bCs w:val="0"/>
                <w:sz w:val="24"/>
                <w:szCs w:val="24"/>
                <w:lang w:val="en-US" w:eastAsia="zh-CN"/>
              </w:rPr>
            </w:pPr>
            <w:r>
              <w:rPr>
                <w:rFonts w:hint="eastAsia"/>
                <w:b/>
                <w:bCs w:val="0"/>
                <w:sz w:val="24"/>
                <w:szCs w:val="24"/>
                <w:lang w:val="en-US" w:eastAsia="zh-CN"/>
              </w:rPr>
              <w:t>（1）弃方</w:t>
            </w:r>
          </w:p>
          <w:p>
            <w:pPr>
              <w:adjustRightInd w:val="0"/>
              <w:snapToGrid w:val="0"/>
              <w:spacing w:line="480" w:lineRule="exact"/>
              <w:ind w:firstLine="480" w:firstLineChars="200"/>
              <w:rPr>
                <w:rFonts w:hint="eastAsia"/>
                <w:color w:val="auto"/>
                <w:sz w:val="24"/>
                <w:szCs w:val="32"/>
              </w:rPr>
            </w:pPr>
            <w:r>
              <w:rPr>
                <w:rFonts w:hint="eastAsia"/>
                <w:bCs/>
                <w:sz w:val="24"/>
                <w:szCs w:val="24"/>
                <w:lang w:val="en-US" w:eastAsia="zh-CN"/>
              </w:rPr>
              <w:t>根据初设估算，东外环路弃方量为51837m</w:t>
            </w:r>
            <w:r>
              <w:rPr>
                <w:rFonts w:hint="eastAsia"/>
                <w:bCs/>
                <w:sz w:val="24"/>
                <w:szCs w:val="24"/>
                <w:vertAlign w:val="superscript"/>
                <w:lang w:val="en-US" w:eastAsia="zh-CN"/>
              </w:rPr>
              <w:t>3</w:t>
            </w:r>
            <w:r>
              <w:rPr>
                <w:rFonts w:hint="eastAsia"/>
                <w:bCs/>
                <w:sz w:val="24"/>
                <w:szCs w:val="24"/>
                <w:lang w:val="en-US" w:eastAsia="zh-CN"/>
              </w:rPr>
              <w:t>，湖滨大街西延弃方量为42318m</w:t>
            </w:r>
            <w:r>
              <w:rPr>
                <w:rFonts w:hint="eastAsia"/>
                <w:bCs/>
                <w:sz w:val="24"/>
                <w:szCs w:val="24"/>
                <w:vertAlign w:val="superscript"/>
                <w:lang w:val="en-US" w:eastAsia="zh-CN"/>
              </w:rPr>
              <w:t>3</w:t>
            </w:r>
            <w:r>
              <w:rPr>
                <w:rFonts w:hint="eastAsia"/>
                <w:bCs/>
                <w:sz w:val="24"/>
                <w:szCs w:val="24"/>
                <w:lang w:val="en-US" w:eastAsia="zh-CN"/>
              </w:rPr>
              <w:t>，湖滨大街西延弃方量为11059m</w:t>
            </w:r>
            <w:r>
              <w:rPr>
                <w:rFonts w:hint="eastAsia"/>
                <w:bCs/>
                <w:sz w:val="24"/>
                <w:szCs w:val="24"/>
                <w:vertAlign w:val="superscript"/>
                <w:lang w:val="en-US" w:eastAsia="zh-CN"/>
              </w:rPr>
              <w:t>3</w:t>
            </w:r>
            <w:r>
              <w:rPr>
                <w:rFonts w:hint="eastAsia"/>
                <w:bCs/>
                <w:sz w:val="24"/>
                <w:szCs w:val="24"/>
                <w:lang w:val="en-US" w:eastAsia="zh-CN"/>
              </w:rPr>
              <w:t>，弃方送五台县市政指定的渣土场。剩余挖土方和挖石方直接汽运至市政指定的弃土场处置。</w:t>
            </w:r>
            <w:r>
              <w:rPr>
                <w:rFonts w:hint="eastAsia"/>
                <w:color w:val="auto"/>
                <w:sz w:val="24"/>
                <w:szCs w:val="32"/>
              </w:rPr>
              <w:t>评价要求进出工地的物料、渣土、垃圾运输车辆，装载的物料、垃圾、渣土高度不得超过车辆槽帮上沿，车斗用苫布遮盖或者采用密闭车斗。若车斗用苫布遮盖，应当严实密闭，苫布边缘至少要遮住槽帮上沿以下15公分，保证物料、渣土、垃圾等不露出。车辆应当按照批准的路线和时间进行物料、渣土、垃圾的运输，同时设置一台洒水车进行道路洒水抑尘。</w:t>
            </w:r>
          </w:p>
          <w:p>
            <w:pPr>
              <w:adjustRightInd w:val="0"/>
              <w:snapToGrid w:val="0"/>
              <w:spacing w:line="480" w:lineRule="exact"/>
              <w:ind w:firstLine="480" w:firstLineChars="200"/>
              <w:rPr>
                <w:rFonts w:hint="eastAsia" w:eastAsia="宋体"/>
                <w:bCs/>
                <w:sz w:val="24"/>
                <w:szCs w:val="24"/>
                <w:lang w:val="en-US" w:eastAsia="zh-CN"/>
              </w:rPr>
            </w:pPr>
            <w:r>
              <w:rPr>
                <w:rFonts w:hint="eastAsia"/>
                <w:color w:val="auto"/>
                <w:sz w:val="24"/>
                <w:szCs w:val="32"/>
                <w:lang w:val="en-US" w:eastAsia="zh-CN"/>
              </w:rPr>
              <w:t>车辆维修产生的废机油等危废，按规范在施工营地设置危废暂存间，委托有资质的单位进行处置。</w:t>
            </w:r>
          </w:p>
          <w:p>
            <w:pPr>
              <w:adjustRightInd w:val="0"/>
              <w:snapToGrid w:val="0"/>
              <w:spacing w:line="480" w:lineRule="exact"/>
              <w:ind w:firstLine="482" w:firstLineChars="200"/>
              <w:rPr>
                <w:b/>
                <w:bCs w:val="0"/>
                <w:sz w:val="24"/>
                <w:szCs w:val="24"/>
              </w:rPr>
            </w:pPr>
            <w:r>
              <w:rPr>
                <w:rFonts w:hint="eastAsia"/>
                <w:b/>
                <w:bCs w:val="0"/>
                <w:sz w:val="24"/>
                <w:szCs w:val="24"/>
                <w:lang w:val="en-US" w:eastAsia="zh-CN"/>
              </w:rPr>
              <w:t>（2）</w:t>
            </w:r>
            <w:r>
              <w:rPr>
                <w:b/>
                <w:bCs w:val="0"/>
                <w:sz w:val="24"/>
                <w:szCs w:val="24"/>
              </w:rPr>
              <w:t>生活垃圾</w:t>
            </w:r>
          </w:p>
          <w:p>
            <w:pPr>
              <w:adjustRightInd w:val="0"/>
              <w:snapToGrid w:val="0"/>
              <w:spacing w:line="480" w:lineRule="exact"/>
              <w:ind w:firstLine="480" w:firstLineChars="200"/>
              <w:rPr>
                <w:bCs/>
                <w:sz w:val="24"/>
                <w:szCs w:val="24"/>
              </w:rPr>
            </w:pPr>
            <w:r>
              <w:rPr>
                <w:bCs/>
                <w:sz w:val="24"/>
                <w:szCs w:val="24"/>
              </w:rPr>
              <w:t>施工人员生活垃圾由当地环卫部门统一清运处理。</w:t>
            </w:r>
          </w:p>
          <w:p>
            <w:pPr>
              <w:adjustRightInd w:val="0"/>
              <w:snapToGrid w:val="0"/>
              <w:spacing w:line="480" w:lineRule="exact"/>
              <w:ind w:firstLine="482" w:firstLineChars="200"/>
              <w:rPr>
                <w:rFonts w:hint="eastAsia" w:eastAsia="宋体"/>
                <w:b/>
                <w:sz w:val="24"/>
                <w:lang w:eastAsia="zh-CN"/>
              </w:rPr>
            </w:pPr>
            <w:r>
              <w:rPr>
                <w:rFonts w:hint="eastAsia"/>
                <w:b/>
                <w:sz w:val="24"/>
              </w:rPr>
              <w:t>6、施工期环境</w:t>
            </w:r>
            <w:r>
              <w:rPr>
                <w:rFonts w:hint="eastAsia"/>
                <w:b/>
                <w:sz w:val="24"/>
                <w:lang w:val="en-US" w:eastAsia="zh-CN"/>
              </w:rPr>
              <w:t>管理</w:t>
            </w:r>
          </w:p>
          <w:p>
            <w:pPr>
              <w:adjustRightInd w:val="0"/>
              <w:snapToGrid w:val="0"/>
              <w:spacing w:line="480" w:lineRule="exact"/>
              <w:ind w:firstLine="480" w:firstLineChars="200"/>
              <w:rPr>
                <w:rFonts w:hint="eastAsia"/>
                <w:bCs/>
                <w:sz w:val="24"/>
              </w:rPr>
            </w:pPr>
            <w:r>
              <w:rPr>
                <w:rFonts w:hint="eastAsia"/>
                <w:bCs/>
                <w:sz w:val="24"/>
              </w:rPr>
              <w:t>本项目建设的特点是环境影响体现在工程前期、施工期及营运期全过程。设计及选线合理可有效地减轻工程对环境的不良影响；施工期的影响包括生态破坏影响与空气环境、水环境、声环境及固废堆放对环境的污染影响，</w:t>
            </w:r>
            <w:r>
              <w:rPr>
                <w:rFonts w:hint="eastAsia"/>
                <w:bCs/>
                <w:sz w:val="24"/>
                <w:lang w:val="en-US" w:eastAsia="zh-CN"/>
              </w:rPr>
              <w:t>本项目为道路改造项目，</w:t>
            </w:r>
            <w:r>
              <w:rPr>
                <w:rFonts w:hint="eastAsia"/>
                <w:bCs/>
                <w:sz w:val="24"/>
              </w:rPr>
              <w:t>施工周期较</w:t>
            </w:r>
            <w:r>
              <w:rPr>
                <w:rFonts w:hint="eastAsia"/>
                <w:bCs/>
                <w:sz w:val="24"/>
                <w:lang w:val="en-US" w:eastAsia="zh-CN"/>
              </w:rPr>
              <w:t>短</w:t>
            </w:r>
            <w:r>
              <w:rPr>
                <w:rFonts w:hint="eastAsia"/>
                <w:bCs/>
                <w:sz w:val="24"/>
              </w:rPr>
              <w:t>、影响范围较</w:t>
            </w:r>
            <w:r>
              <w:rPr>
                <w:rFonts w:hint="eastAsia"/>
                <w:bCs/>
                <w:sz w:val="24"/>
                <w:lang w:val="en-US" w:eastAsia="zh-CN"/>
              </w:rPr>
              <w:t>小</w:t>
            </w:r>
            <w:r>
              <w:rPr>
                <w:rFonts w:hint="eastAsia"/>
                <w:bCs/>
                <w:sz w:val="24"/>
              </w:rPr>
              <w:t>、污染源较</w:t>
            </w:r>
            <w:r>
              <w:rPr>
                <w:rFonts w:hint="eastAsia"/>
                <w:bCs/>
                <w:sz w:val="24"/>
                <w:lang w:val="en-US" w:eastAsia="zh-CN"/>
              </w:rPr>
              <w:t>少</w:t>
            </w:r>
            <w:r>
              <w:rPr>
                <w:rFonts w:hint="eastAsia"/>
                <w:bCs/>
                <w:sz w:val="24"/>
              </w:rPr>
              <w:t>；营运期的影响主要是交通噪声对声环境的影响。因此，环境管理要贯穿整个过程，包括项目设计、施工和营运全过程。为确保环境管理工作正常开展，环评要求配套相应的环境管理机构。</w:t>
            </w:r>
          </w:p>
          <w:p>
            <w:pPr>
              <w:adjustRightInd w:val="0"/>
              <w:snapToGrid w:val="0"/>
              <w:spacing w:line="480" w:lineRule="exact"/>
              <w:ind w:firstLine="480" w:firstLineChars="200"/>
              <w:rPr>
                <w:rFonts w:hint="eastAsia"/>
                <w:bCs/>
                <w:sz w:val="24"/>
              </w:rPr>
            </w:pPr>
            <w:r>
              <w:rPr>
                <w:rFonts w:hint="eastAsia"/>
                <w:bCs/>
                <w:sz w:val="24"/>
              </w:rPr>
              <w:t>根据目前国内道路管理经验，结合区域环境特点，对本项目提出如下环境管理计划，详见表</w:t>
            </w:r>
            <w:r>
              <w:rPr>
                <w:rFonts w:hint="eastAsia"/>
                <w:bCs/>
                <w:sz w:val="24"/>
                <w:lang w:val="en-US" w:eastAsia="zh-CN"/>
              </w:rPr>
              <w:t>5-1</w:t>
            </w:r>
            <w:r>
              <w:rPr>
                <w:rFonts w:hint="eastAsia"/>
                <w:bCs/>
                <w:sz w:val="24"/>
              </w:rPr>
              <w:t>。</w:t>
            </w:r>
          </w:p>
          <w:p>
            <w:pPr>
              <w:pStyle w:val="27"/>
              <w:spacing w:before="0" w:after="0" w:afterAutospacing="0" w:line="480" w:lineRule="atLeast"/>
              <w:rPr>
                <w:rFonts w:ascii="黑体" w:hAnsi="黑体" w:eastAsia="黑体"/>
                <w:sz w:val="24"/>
              </w:rPr>
            </w:pPr>
            <w:r>
              <w:rPr>
                <w:rFonts w:hint="eastAsia" w:ascii="黑体" w:hAnsi="黑体" w:eastAsia="黑体"/>
                <w:sz w:val="24"/>
                <w:szCs w:val="32"/>
              </w:rPr>
              <w:t>表</w:t>
            </w:r>
            <w:r>
              <w:rPr>
                <w:rFonts w:ascii="黑体" w:hAnsi="黑体" w:eastAsia="黑体"/>
                <w:sz w:val="24"/>
                <w:szCs w:val="32"/>
              </w:rPr>
              <w:t>5-</w:t>
            </w:r>
            <w:r>
              <w:rPr>
                <w:rFonts w:hint="eastAsia" w:ascii="黑体" w:hAnsi="黑体" w:eastAsia="黑体"/>
                <w:sz w:val="24"/>
                <w:szCs w:val="32"/>
                <w:lang w:val="en-US" w:eastAsia="zh-CN"/>
              </w:rPr>
              <w:t>1</w:t>
            </w:r>
            <w:r>
              <w:rPr>
                <w:rFonts w:hint="eastAsia" w:ascii="黑体" w:hAnsi="黑体" w:eastAsia="黑体"/>
                <w:sz w:val="24"/>
                <w:szCs w:val="32"/>
              </w:rPr>
              <w:t xml:space="preserve">  项目环境管理计划</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1"/>
              <w:gridCol w:w="1704"/>
              <w:gridCol w:w="3966"/>
              <w:gridCol w:w="1134"/>
              <w:gridCol w:w="11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63" w:type="pct"/>
                  <w:gridSpan w:val="2"/>
                  <w:noWrap w:val="0"/>
                  <w:vAlign w:val="center"/>
                </w:tcPr>
                <w:p>
                  <w:pPr>
                    <w:pStyle w:val="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color w:val="000000"/>
                      <w:sz w:val="21"/>
                      <w:szCs w:val="21"/>
                    </w:rPr>
                  </w:pPr>
                  <w:r>
                    <w:rPr>
                      <w:color w:val="000000"/>
                      <w:sz w:val="21"/>
                      <w:szCs w:val="21"/>
                    </w:rPr>
                    <w:t>潜在的影响</w:t>
                  </w:r>
                </w:p>
              </w:tc>
              <w:tc>
                <w:tcPr>
                  <w:tcW w:w="2186" w:type="pct"/>
                  <w:noWrap w:val="0"/>
                  <w:vAlign w:val="center"/>
                </w:tcPr>
                <w:p>
                  <w:pPr>
                    <w:pStyle w:val="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color w:val="000000"/>
                      <w:sz w:val="21"/>
                      <w:szCs w:val="21"/>
                    </w:rPr>
                  </w:pPr>
                  <w:r>
                    <w:rPr>
                      <w:color w:val="000000"/>
                      <w:sz w:val="21"/>
                      <w:szCs w:val="21"/>
                    </w:rPr>
                    <w:t>减缓措施</w:t>
                  </w:r>
                </w:p>
              </w:tc>
              <w:tc>
                <w:tcPr>
                  <w:tcW w:w="625" w:type="pct"/>
                  <w:noWrap w:val="0"/>
                  <w:vAlign w:val="center"/>
                </w:tcPr>
                <w:p>
                  <w:pPr>
                    <w:pStyle w:val="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color w:val="000000"/>
                      <w:sz w:val="21"/>
                      <w:szCs w:val="21"/>
                    </w:rPr>
                  </w:pPr>
                  <w:r>
                    <w:rPr>
                      <w:color w:val="000000"/>
                      <w:sz w:val="21"/>
                      <w:szCs w:val="21"/>
                    </w:rPr>
                    <w:t>实施机构</w:t>
                  </w:r>
                </w:p>
              </w:tc>
              <w:tc>
                <w:tcPr>
                  <w:tcW w:w="626" w:type="pct"/>
                  <w:noWrap w:val="0"/>
                  <w:vAlign w:val="center"/>
                </w:tcPr>
                <w:p>
                  <w:pPr>
                    <w:pStyle w:val="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color w:val="000000"/>
                      <w:sz w:val="21"/>
                      <w:szCs w:val="21"/>
                    </w:rPr>
                  </w:pPr>
                  <w:r>
                    <w:rPr>
                      <w:color w:val="000000"/>
                      <w:sz w:val="21"/>
                      <w:szCs w:val="21"/>
                    </w:rPr>
                    <w:t>负责机构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4" w:type="pct"/>
                  <w:noWrap w:val="0"/>
                  <w:vAlign w:val="center"/>
                </w:tcPr>
                <w:p>
                  <w:pPr>
                    <w:pStyle w:val="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color w:val="000000"/>
                      <w:sz w:val="21"/>
                      <w:szCs w:val="21"/>
                    </w:rPr>
                  </w:pPr>
                  <w:r>
                    <w:rPr>
                      <w:color w:val="000000"/>
                      <w:sz w:val="21"/>
                      <w:szCs w:val="21"/>
                    </w:rPr>
                    <w:t>计划和设计阶段</w:t>
                  </w:r>
                </w:p>
              </w:tc>
              <w:tc>
                <w:tcPr>
                  <w:tcW w:w="939" w:type="pct"/>
                  <w:noWrap w:val="0"/>
                  <w:vAlign w:val="center"/>
                </w:tcPr>
                <w:p>
                  <w:pPr>
                    <w:pStyle w:val="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color w:val="000000"/>
                      <w:sz w:val="21"/>
                      <w:szCs w:val="21"/>
                    </w:rPr>
                  </w:pPr>
                  <w:r>
                    <w:rPr>
                      <w:color w:val="000000"/>
                      <w:sz w:val="21"/>
                      <w:szCs w:val="21"/>
                    </w:rPr>
                    <w:t>损失土地资源</w:t>
                  </w:r>
                </w:p>
              </w:tc>
              <w:tc>
                <w:tcPr>
                  <w:tcW w:w="2186" w:type="pct"/>
                  <w:noWrap w:val="0"/>
                  <w:vAlign w:val="center"/>
                </w:tcPr>
                <w:p>
                  <w:pPr>
                    <w:pStyle w:val="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color w:val="000000"/>
                      <w:sz w:val="21"/>
                      <w:szCs w:val="21"/>
                    </w:rPr>
                  </w:pPr>
                  <w:r>
                    <w:rPr>
                      <w:color w:val="000000"/>
                      <w:sz w:val="21"/>
                      <w:szCs w:val="21"/>
                    </w:rPr>
                    <w:t>1、设计时尽量少占地</w:t>
                  </w:r>
                </w:p>
              </w:tc>
              <w:tc>
                <w:tcPr>
                  <w:tcW w:w="625" w:type="pct"/>
                  <w:noWrap w:val="0"/>
                  <w:vAlign w:val="center"/>
                </w:tcPr>
                <w:p>
                  <w:pPr>
                    <w:pStyle w:val="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color w:val="000000"/>
                      <w:sz w:val="21"/>
                      <w:szCs w:val="21"/>
                    </w:rPr>
                  </w:pPr>
                  <w:r>
                    <w:rPr>
                      <w:color w:val="000000"/>
                      <w:sz w:val="21"/>
                      <w:szCs w:val="21"/>
                    </w:rPr>
                    <w:t>设计单位</w:t>
                  </w:r>
                </w:p>
              </w:tc>
              <w:tc>
                <w:tcPr>
                  <w:tcW w:w="626" w:type="pct"/>
                  <w:noWrap w:val="0"/>
                  <w:vAlign w:val="center"/>
                </w:tcPr>
                <w:p>
                  <w:pPr>
                    <w:pStyle w:val="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color w:val="000000"/>
                      <w:sz w:val="21"/>
                      <w:szCs w:val="21"/>
                    </w:rPr>
                  </w:pPr>
                  <w:r>
                    <w:rPr>
                      <w:color w:val="000000"/>
                      <w:sz w:val="21"/>
                      <w:szCs w:val="21"/>
                    </w:rPr>
                    <w:t>建设单位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4" w:type="pct"/>
                  <w:noWrap w:val="0"/>
                  <w:vAlign w:val="center"/>
                </w:tcPr>
                <w:p>
                  <w:pPr>
                    <w:pStyle w:val="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color w:val="000000"/>
                      <w:sz w:val="21"/>
                      <w:szCs w:val="21"/>
                    </w:rPr>
                  </w:pPr>
                  <w:r>
                    <w:rPr>
                      <w:color w:val="000000"/>
                      <w:sz w:val="21"/>
                      <w:szCs w:val="21"/>
                    </w:rPr>
                    <w:t>建设期</w:t>
                  </w:r>
                </w:p>
              </w:tc>
              <w:tc>
                <w:tcPr>
                  <w:tcW w:w="939" w:type="pct"/>
                  <w:noWrap w:val="0"/>
                  <w:vAlign w:val="center"/>
                </w:tcPr>
                <w:p>
                  <w:pPr>
                    <w:pStyle w:val="5"/>
                    <w:keepNext w:val="0"/>
                    <w:keepLines w:val="0"/>
                    <w:pageBreakBefore w:val="0"/>
                    <w:widowControl w:val="0"/>
                    <w:kinsoku/>
                    <w:wordWrap/>
                    <w:overflowPunct/>
                    <w:topLinePunct w:val="0"/>
                    <w:autoSpaceDE/>
                    <w:autoSpaceDN/>
                    <w:bidi w:val="0"/>
                    <w:adjustRightInd/>
                    <w:snapToGrid/>
                    <w:spacing w:line="240" w:lineRule="auto"/>
                    <w:ind w:firstLine="0"/>
                    <w:jc w:val="both"/>
                    <w:textAlignment w:val="auto"/>
                    <w:rPr>
                      <w:color w:val="000000"/>
                      <w:sz w:val="21"/>
                      <w:szCs w:val="21"/>
                    </w:rPr>
                  </w:pPr>
                  <w:r>
                    <w:rPr>
                      <w:color w:val="000000"/>
                      <w:sz w:val="21"/>
                      <w:szCs w:val="21"/>
                    </w:rPr>
                    <w:t>1、工程取土引起水土流失增加</w:t>
                  </w:r>
                </w:p>
                <w:p>
                  <w:pPr>
                    <w:pStyle w:val="5"/>
                    <w:keepNext w:val="0"/>
                    <w:keepLines w:val="0"/>
                    <w:pageBreakBefore w:val="0"/>
                    <w:widowControl w:val="0"/>
                    <w:kinsoku/>
                    <w:wordWrap/>
                    <w:overflowPunct/>
                    <w:topLinePunct w:val="0"/>
                    <w:autoSpaceDE/>
                    <w:autoSpaceDN/>
                    <w:bidi w:val="0"/>
                    <w:adjustRightInd/>
                    <w:snapToGrid/>
                    <w:spacing w:line="240" w:lineRule="auto"/>
                    <w:ind w:firstLine="0"/>
                    <w:jc w:val="both"/>
                    <w:textAlignment w:val="auto"/>
                    <w:rPr>
                      <w:color w:val="000000"/>
                      <w:sz w:val="21"/>
                      <w:szCs w:val="21"/>
                    </w:rPr>
                  </w:pPr>
                  <w:r>
                    <w:rPr>
                      <w:color w:val="000000"/>
                      <w:sz w:val="21"/>
                      <w:szCs w:val="21"/>
                    </w:rPr>
                    <w:t>2、施工噪声和扬尘污染</w:t>
                  </w:r>
                </w:p>
                <w:p>
                  <w:pPr>
                    <w:pStyle w:val="5"/>
                    <w:keepNext w:val="0"/>
                    <w:keepLines w:val="0"/>
                    <w:pageBreakBefore w:val="0"/>
                    <w:widowControl w:val="0"/>
                    <w:kinsoku/>
                    <w:wordWrap/>
                    <w:overflowPunct/>
                    <w:topLinePunct w:val="0"/>
                    <w:autoSpaceDE/>
                    <w:autoSpaceDN/>
                    <w:bidi w:val="0"/>
                    <w:adjustRightInd/>
                    <w:snapToGrid/>
                    <w:spacing w:line="240" w:lineRule="auto"/>
                    <w:ind w:firstLine="0"/>
                    <w:jc w:val="both"/>
                    <w:textAlignment w:val="auto"/>
                    <w:rPr>
                      <w:color w:val="000000"/>
                      <w:sz w:val="21"/>
                      <w:szCs w:val="21"/>
                    </w:rPr>
                  </w:pPr>
                  <w:r>
                    <w:rPr>
                      <w:color w:val="000000"/>
                      <w:sz w:val="21"/>
                      <w:szCs w:val="21"/>
                    </w:rPr>
                    <w:t>3、施工废水和生活污水</w:t>
                  </w:r>
                </w:p>
              </w:tc>
              <w:tc>
                <w:tcPr>
                  <w:tcW w:w="2186" w:type="pct"/>
                  <w:noWrap w:val="0"/>
                  <w:vAlign w:val="center"/>
                </w:tcPr>
                <w:p>
                  <w:pPr>
                    <w:pStyle w:val="5"/>
                    <w:keepNext w:val="0"/>
                    <w:keepLines w:val="0"/>
                    <w:pageBreakBefore w:val="0"/>
                    <w:widowControl w:val="0"/>
                    <w:kinsoku/>
                    <w:wordWrap/>
                    <w:overflowPunct/>
                    <w:topLinePunct w:val="0"/>
                    <w:autoSpaceDE/>
                    <w:autoSpaceDN/>
                    <w:bidi w:val="0"/>
                    <w:adjustRightInd/>
                    <w:snapToGrid/>
                    <w:spacing w:line="240" w:lineRule="auto"/>
                    <w:ind w:firstLine="0"/>
                    <w:jc w:val="both"/>
                    <w:textAlignment w:val="auto"/>
                    <w:rPr>
                      <w:color w:val="000000"/>
                      <w:sz w:val="21"/>
                      <w:szCs w:val="21"/>
                    </w:rPr>
                  </w:pPr>
                  <w:r>
                    <w:rPr>
                      <w:color w:val="000000"/>
                      <w:sz w:val="21"/>
                      <w:szCs w:val="21"/>
                    </w:rPr>
                    <w:t>1、严禁土方运输中的超载，使用密闭运输车辆，避免抛洒；</w:t>
                  </w:r>
                </w:p>
                <w:p>
                  <w:pPr>
                    <w:pStyle w:val="5"/>
                    <w:keepNext w:val="0"/>
                    <w:keepLines w:val="0"/>
                    <w:pageBreakBefore w:val="0"/>
                    <w:widowControl w:val="0"/>
                    <w:kinsoku/>
                    <w:wordWrap/>
                    <w:overflowPunct/>
                    <w:topLinePunct w:val="0"/>
                    <w:autoSpaceDE/>
                    <w:autoSpaceDN/>
                    <w:bidi w:val="0"/>
                    <w:adjustRightInd/>
                    <w:snapToGrid/>
                    <w:spacing w:line="240" w:lineRule="auto"/>
                    <w:ind w:firstLine="0"/>
                    <w:jc w:val="both"/>
                    <w:textAlignment w:val="auto"/>
                    <w:rPr>
                      <w:color w:val="000000"/>
                      <w:sz w:val="21"/>
                      <w:szCs w:val="21"/>
                    </w:rPr>
                  </w:pPr>
                  <w:r>
                    <w:rPr>
                      <w:color w:val="000000"/>
                      <w:sz w:val="21"/>
                      <w:szCs w:val="21"/>
                    </w:rPr>
                    <w:t>2、如在沿途发生抛洒，运输单位应及时清理现场；</w:t>
                  </w:r>
                </w:p>
                <w:p>
                  <w:pPr>
                    <w:pStyle w:val="5"/>
                    <w:keepNext w:val="0"/>
                    <w:keepLines w:val="0"/>
                    <w:pageBreakBefore w:val="0"/>
                    <w:widowControl w:val="0"/>
                    <w:kinsoku/>
                    <w:wordWrap/>
                    <w:overflowPunct/>
                    <w:topLinePunct w:val="0"/>
                    <w:autoSpaceDE/>
                    <w:autoSpaceDN/>
                    <w:bidi w:val="0"/>
                    <w:adjustRightInd/>
                    <w:snapToGrid/>
                    <w:spacing w:line="240" w:lineRule="auto"/>
                    <w:ind w:firstLine="0"/>
                    <w:jc w:val="both"/>
                    <w:textAlignment w:val="auto"/>
                    <w:rPr>
                      <w:color w:val="000000"/>
                      <w:sz w:val="21"/>
                      <w:szCs w:val="21"/>
                    </w:rPr>
                  </w:pPr>
                  <w:r>
                    <w:rPr>
                      <w:color w:val="000000"/>
                      <w:sz w:val="21"/>
                      <w:szCs w:val="21"/>
                    </w:rPr>
                    <w:t>3、对施工现场及周围要定期洒水；</w:t>
                  </w:r>
                </w:p>
                <w:p>
                  <w:pPr>
                    <w:pStyle w:val="5"/>
                    <w:keepNext w:val="0"/>
                    <w:keepLines w:val="0"/>
                    <w:pageBreakBefore w:val="0"/>
                    <w:widowControl w:val="0"/>
                    <w:kinsoku/>
                    <w:wordWrap/>
                    <w:overflowPunct/>
                    <w:topLinePunct w:val="0"/>
                    <w:autoSpaceDE/>
                    <w:autoSpaceDN/>
                    <w:bidi w:val="0"/>
                    <w:adjustRightInd/>
                    <w:snapToGrid/>
                    <w:spacing w:line="240" w:lineRule="auto"/>
                    <w:ind w:firstLine="0"/>
                    <w:jc w:val="both"/>
                    <w:textAlignment w:val="auto"/>
                    <w:rPr>
                      <w:color w:val="000000"/>
                      <w:sz w:val="21"/>
                      <w:szCs w:val="21"/>
                    </w:rPr>
                  </w:pPr>
                  <w:r>
                    <w:rPr>
                      <w:color w:val="000000"/>
                      <w:sz w:val="21"/>
                      <w:szCs w:val="21"/>
                    </w:rPr>
                    <w:t>4、合理安排施工中的开挖地段，减轻对道路交通的影响；</w:t>
                  </w:r>
                </w:p>
                <w:p>
                  <w:pPr>
                    <w:pStyle w:val="5"/>
                    <w:keepNext w:val="0"/>
                    <w:keepLines w:val="0"/>
                    <w:pageBreakBefore w:val="0"/>
                    <w:widowControl w:val="0"/>
                    <w:kinsoku/>
                    <w:wordWrap/>
                    <w:overflowPunct/>
                    <w:topLinePunct w:val="0"/>
                    <w:autoSpaceDE/>
                    <w:autoSpaceDN/>
                    <w:bidi w:val="0"/>
                    <w:adjustRightInd/>
                    <w:snapToGrid/>
                    <w:spacing w:line="240" w:lineRule="auto"/>
                    <w:ind w:firstLine="0"/>
                    <w:jc w:val="both"/>
                    <w:textAlignment w:val="auto"/>
                    <w:rPr>
                      <w:color w:val="000000"/>
                      <w:sz w:val="21"/>
                      <w:szCs w:val="21"/>
                    </w:rPr>
                  </w:pPr>
                  <w:r>
                    <w:rPr>
                      <w:color w:val="000000"/>
                      <w:sz w:val="21"/>
                      <w:szCs w:val="21"/>
                    </w:rPr>
                    <w:t>5、做好施工工地生活废水的收集处理，减轻对地表水的污染；</w:t>
                  </w:r>
                </w:p>
                <w:p>
                  <w:pPr>
                    <w:pStyle w:val="5"/>
                    <w:keepNext w:val="0"/>
                    <w:keepLines w:val="0"/>
                    <w:pageBreakBefore w:val="0"/>
                    <w:widowControl w:val="0"/>
                    <w:kinsoku/>
                    <w:wordWrap/>
                    <w:overflowPunct/>
                    <w:topLinePunct w:val="0"/>
                    <w:autoSpaceDE/>
                    <w:autoSpaceDN/>
                    <w:bidi w:val="0"/>
                    <w:adjustRightInd/>
                    <w:snapToGrid/>
                    <w:spacing w:line="240" w:lineRule="auto"/>
                    <w:ind w:firstLine="0"/>
                    <w:jc w:val="both"/>
                    <w:textAlignment w:val="auto"/>
                    <w:rPr>
                      <w:color w:val="000000"/>
                      <w:sz w:val="21"/>
                      <w:szCs w:val="21"/>
                    </w:rPr>
                  </w:pPr>
                  <w:r>
                    <w:rPr>
                      <w:color w:val="000000"/>
                      <w:sz w:val="21"/>
                      <w:szCs w:val="21"/>
                    </w:rPr>
                    <w:t>6、合理安排施工时间，合理布置施工场所；</w:t>
                  </w:r>
                </w:p>
              </w:tc>
              <w:tc>
                <w:tcPr>
                  <w:tcW w:w="625" w:type="pct"/>
                  <w:noWrap w:val="0"/>
                  <w:vAlign w:val="center"/>
                </w:tcPr>
                <w:p>
                  <w:pPr>
                    <w:pStyle w:val="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color w:val="000000"/>
                      <w:sz w:val="21"/>
                      <w:szCs w:val="21"/>
                    </w:rPr>
                  </w:pPr>
                  <w:r>
                    <w:rPr>
                      <w:color w:val="000000"/>
                      <w:sz w:val="21"/>
                      <w:szCs w:val="21"/>
                    </w:rPr>
                    <w:t>施工单位</w:t>
                  </w:r>
                </w:p>
                <w:p>
                  <w:pPr>
                    <w:pStyle w:val="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color w:val="000000"/>
                      <w:sz w:val="21"/>
                      <w:szCs w:val="21"/>
                    </w:rPr>
                  </w:pPr>
                  <w:r>
                    <w:rPr>
                      <w:color w:val="000000"/>
                      <w:sz w:val="21"/>
                      <w:szCs w:val="21"/>
                    </w:rPr>
                    <w:t>设计单位</w:t>
                  </w:r>
                </w:p>
              </w:tc>
              <w:tc>
                <w:tcPr>
                  <w:tcW w:w="626" w:type="pct"/>
                  <w:noWrap w:val="0"/>
                  <w:vAlign w:val="center"/>
                </w:tcPr>
                <w:p>
                  <w:pPr>
                    <w:pStyle w:val="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color w:val="000000"/>
                      <w:sz w:val="21"/>
                      <w:szCs w:val="21"/>
                    </w:rPr>
                  </w:pPr>
                  <w:r>
                    <w:rPr>
                      <w:color w:val="000000"/>
                      <w:sz w:val="21"/>
                      <w:szCs w:val="21"/>
                    </w:rPr>
                    <w:t>环境监理部门和工程监理部门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4" w:type="pct"/>
                  <w:noWrap w:val="0"/>
                  <w:vAlign w:val="center"/>
                </w:tcPr>
                <w:p>
                  <w:pPr>
                    <w:pStyle w:val="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color w:val="000000"/>
                      <w:sz w:val="21"/>
                      <w:szCs w:val="21"/>
                    </w:rPr>
                  </w:pPr>
                  <w:r>
                    <w:rPr>
                      <w:color w:val="000000"/>
                      <w:sz w:val="21"/>
                      <w:szCs w:val="21"/>
                    </w:rPr>
                    <w:t>营运期</w:t>
                  </w:r>
                </w:p>
              </w:tc>
              <w:tc>
                <w:tcPr>
                  <w:tcW w:w="939" w:type="pct"/>
                  <w:noWrap w:val="0"/>
                  <w:vAlign w:val="center"/>
                </w:tcPr>
                <w:p>
                  <w:pPr>
                    <w:pStyle w:val="5"/>
                    <w:keepNext w:val="0"/>
                    <w:keepLines w:val="0"/>
                    <w:pageBreakBefore w:val="0"/>
                    <w:widowControl w:val="0"/>
                    <w:kinsoku/>
                    <w:wordWrap/>
                    <w:overflowPunct/>
                    <w:topLinePunct w:val="0"/>
                    <w:autoSpaceDE/>
                    <w:autoSpaceDN/>
                    <w:bidi w:val="0"/>
                    <w:adjustRightInd/>
                    <w:snapToGrid/>
                    <w:spacing w:line="240" w:lineRule="auto"/>
                    <w:ind w:firstLine="0"/>
                    <w:jc w:val="both"/>
                    <w:textAlignment w:val="auto"/>
                    <w:rPr>
                      <w:color w:val="000000"/>
                      <w:sz w:val="21"/>
                      <w:szCs w:val="21"/>
                    </w:rPr>
                  </w:pPr>
                  <w:r>
                    <w:rPr>
                      <w:color w:val="000000"/>
                      <w:sz w:val="21"/>
                      <w:szCs w:val="21"/>
                    </w:rPr>
                    <w:t>1、噪声污染；</w:t>
                  </w:r>
                </w:p>
                <w:p>
                  <w:pPr>
                    <w:pStyle w:val="5"/>
                    <w:keepNext w:val="0"/>
                    <w:keepLines w:val="0"/>
                    <w:pageBreakBefore w:val="0"/>
                    <w:widowControl w:val="0"/>
                    <w:kinsoku/>
                    <w:wordWrap/>
                    <w:overflowPunct/>
                    <w:topLinePunct w:val="0"/>
                    <w:autoSpaceDE/>
                    <w:autoSpaceDN/>
                    <w:bidi w:val="0"/>
                    <w:adjustRightInd/>
                    <w:snapToGrid/>
                    <w:spacing w:line="240" w:lineRule="auto"/>
                    <w:ind w:firstLine="0"/>
                    <w:jc w:val="both"/>
                    <w:textAlignment w:val="auto"/>
                    <w:rPr>
                      <w:rFonts w:hint="eastAsia" w:eastAsia="宋体"/>
                      <w:color w:val="000000"/>
                      <w:sz w:val="21"/>
                      <w:szCs w:val="21"/>
                      <w:lang w:eastAsia="zh-CN"/>
                    </w:rPr>
                  </w:pPr>
                  <w:r>
                    <w:rPr>
                      <w:color w:val="000000"/>
                      <w:sz w:val="21"/>
                      <w:szCs w:val="21"/>
                    </w:rPr>
                    <w:t>2、景观保护</w:t>
                  </w:r>
                  <w:r>
                    <w:rPr>
                      <w:rFonts w:hint="eastAsia"/>
                      <w:color w:val="000000"/>
                      <w:sz w:val="21"/>
                      <w:szCs w:val="21"/>
                      <w:lang w:eastAsia="zh-CN"/>
                    </w:rPr>
                    <w:t>。</w:t>
                  </w:r>
                </w:p>
              </w:tc>
              <w:tc>
                <w:tcPr>
                  <w:tcW w:w="2186" w:type="pct"/>
                  <w:noWrap w:val="0"/>
                  <w:vAlign w:val="center"/>
                </w:tcPr>
                <w:p>
                  <w:pPr>
                    <w:pStyle w:val="5"/>
                    <w:keepNext w:val="0"/>
                    <w:keepLines w:val="0"/>
                    <w:pageBreakBefore w:val="0"/>
                    <w:widowControl w:val="0"/>
                    <w:kinsoku/>
                    <w:wordWrap/>
                    <w:overflowPunct/>
                    <w:topLinePunct w:val="0"/>
                    <w:autoSpaceDE/>
                    <w:autoSpaceDN/>
                    <w:bidi w:val="0"/>
                    <w:adjustRightInd/>
                    <w:snapToGrid/>
                    <w:spacing w:line="240" w:lineRule="auto"/>
                    <w:ind w:firstLine="0"/>
                    <w:jc w:val="both"/>
                    <w:textAlignment w:val="auto"/>
                    <w:rPr>
                      <w:color w:val="000000"/>
                      <w:sz w:val="21"/>
                      <w:szCs w:val="21"/>
                    </w:rPr>
                  </w:pPr>
                  <w:r>
                    <w:rPr>
                      <w:color w:val="000000"/>
                      <w:sz w:val="21"/>
                      <w:szCs w:val="21"/>
                    </w:rPr>
                    <w:t>1、居民区禁止鸣笛，保证车辆技术状况，减少噪声污染；</w:t>
                  </w:r>
                </w:p>
                <w:p>
                  <w:pPr>
                    <w:pStyle w:val="5"/>
                    <w:keepNext w:val="0"/>
                    <w:keepLines w:val="0"/>
                    <w:pageBreakBefore w:val="0"/>
                    <w:widowControl w:val="0"/>
                    <w:kinsoku/>
                    <w:wordWrap/>
                    <w:overflowPunct/>
                    <w:topLinePunct w:val="0"/>
                    <w:autoSpaceDE/>
                    <w:autoSpaceDN/>
                    <w:bidi w:val="0"/>
                    <w:adjustRightInd/>
                    <w:snapToGrid/>
                    <w:spacing w:line="240" w:lineRule="auto"/>
                    <w:ind w:firstLine="0"/>
                    <w:jc w:val="both"/>
                    <w:textAlignment w:val="auto"/>
                    <w:rPr>
                      <w:rFonts w:hint="eastAsia" w:eastAsia="宋体"/>
                      <w:color w:val="000000"/>
                      <w:sz w:val="21"/>
                      <w:szCs w:val="21"/>
                      <w:lang w:eastAsia="zh-CN"/>
                    </w:rPr>
                  </w:pPr>
                  <w:r>
                    <w:rPr>
                      <w:color w:val="000000"/>
                      <w:sz w:val="21"/>
                      <w:szCs w:val="21"/>
                    </w:rPr>
                    <w:t>2、精心绿化，恢复植被</w:t>
                  </w:r>
                  <w:r>
                    <w:rPr>
                      <w:rFonts w:hint="eastAsia"/>
                      <w:color w:val="000000"/>
                      <w:sz w:val="21"/>
                      <w:szCs w:val="21"/>
                      <w:lang w:eastAsia="zh-CN"/>
                    </w:rPr>
                    <w:t>。</w:t>
                  </w:r>
                </w:p>
              </w:tc>
              <w:tc>
                <w:tcPr>
                  <w:tcW w:w="625" w:type="pct"/>
                  <w:noWrap w:val="0"/>
                  <w:vAlign w:val="center"/>
                </w:tcPr>
                <w:p>
                  <w:pPr>
                    <w:pStyle w:val="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color w:val="000000"/>
                      <w:sz w:val="21"/>
                      <w:szCs w:val="21"/>
                    </w:rPr>
                  </w:pPr>
                  <w:r>
                    <w:rPr>
                      <w:color w:val="000000"/>
                      <w:sz w:val="21"/>
                      <w:szCs w:val="21"/>
                    </w:rPr>
                    <w:t>道路</w:t>
                  </w:r>
                </w:p>
                <w:p>
                  <w:pPr>
                    <w:pStyle w:val="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color w:val="000000"/>
                      <w:sz w:val="21"/>
                      <w:szCs w:val="21"/>
                    </w:rPr>
                  </w:pPr>
                  <w:r>
                    <w:rPr>
                      <w:color w:val="000000"/>
                      <w:sz w:val="21"/>
                      <w:szCs w:val="21"/>
                    </w:rPr>
                    <w:t>管理处</w:t>
                  </w:r>
                </w:p>
              </w:tc>
              <w:tc>
                <w:tcPr>
                  <w:tcW w:w="626" w:type="pct"/>
                  <w:noWrap w:val="0"/>
                  <w:vAlign w:val="center"/>
                </w:tcPr>
                <w:p>
                  <w:pPr>
                    <w:pStyle w:val="5"/>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color w:val="000000"/>
                      <w:sz w:val="21"/>
                      <w:szCs w:val="21"/>
                    </w:rPr>
                  </w:pPr>
                  <w:r>
                    <w:rPr>
                      <w:color w:val="000000"/>
                      <w:sz w:val="21"/>
                      <w:szCs w:val="21"/>
                    </w:rPr>
                    <w:t>建设单位</w:t>
                  </w:r>
                </w:p>
              </w:tc>
            </w:tr>
          </w:tbl>
          <w:p>
            <w:pPr>
              <w:adjustRightInd w:val="0"/>
              <w:snapToGrid w:val="0"/>
              <w:spacing w:line="480" w:lineRule="exact"/>
              <w:ind w:firstLine="480" w:firstLineChars="200"/>
              <w:rPr>
                <w:rFonts w:hint="eastAsia"/>
                <w:bCs/>
                <w:sz w:val="24"/>
              </w:rPr>
            </w:pPr>
            <w:r>
              <w:rPr>
                <w:rFonts w:hint="eastAsia"/>
                <w:bCs/>
                <w:sz w:val="24"/>
              </w:rPr>
              <w:t>环境管理职责：</w:t>
            </w:r>
          </w:p>
          <w:p>
            <w:pPr>
              <w:adjustRightInd w:val="0"/>
              <w:snapToGrid w:val="0"/>
              <w:spacing w:line="480" w:lineRule="exact"/>
              <w:ind w:firstLine="480" w:firstLineChars="200"/>
              <w:rPr>
                <w:rFonts w:hint="eastAsia"/>
                <w:bCs/>
                <w:sz w:val="24"/>
              </w:rPr>
            </w:pPr>
            <w:r>
              <w:rPr>
                <w:rFonts w:hint="eastAsia"/>
                <w:bCs/>
                <w:sz w:val="24"/>
              </w:rPr>
              <w:t>（1）贯彻执行环境保护法规和标准；</w:t>
            </w:r>
          </w:p>
          <w:p>
            <w:pPr>
              <w:adjustRightInd w:val="0"/>
              <w:snapToGrid w:val="0"/>
              <w:spacing w:line="480" w:lineRule="exact"/>
              <w:ind w:firstLine="480" w:firstLineChars="200"/>
              <w:rPr>
                <w:rFonts w:hint="eastAsia"/>
                <w:bCs/>
                <w:sz w:val="24"/>
              </w:rPr>
            </w:pPr>
            <w:r>
              <w:rPr>
                <w:rFonts w:hint="eastAsia"/>
                <w:bCs/>
                <w:sz w:val="24"/>
              </w:rPr>
              <w:t>（2）建立各种环境管理制度，并经常检查督促；</w:t>
            </w:r>
          </w:p>
          <w:p>
            <w:pPr>
              <w:adjustRightInd w:val="0"/>
              <w:snapToGrid w:val="0"/>
              <w:spacing w:line="480" w:lineRule="exact"/>
              <w:ind w:firstLine="480" w:firstLineChars="200"/>
              <w:rPr>
                <w:rFonts w:hint="eastAsia"/>
                <w:bCs/>
                <w:sz w:val="24"/>
              </w:rPr>
            </w:pPr>
            <w:r>
              <w:rPr>
                <w:rFonts w:hint="eastAsia"/>
                <w:bCs/>
                <w:sz w:val="24"/>
              </w:rPr>
              <w:t>（3）编制项目环境保护规划和工作，并组织实施；</w:t>
            </w:r>
          </w:p>
          <w:p>
            <w:pPr>
              <w:adjustRightInd w:val="0"/>
              <w:snapToGrid w:val="0"/>
              <w:spacing w:line="480" w:lineRule="exact"/>
              <w:ind w:firstLine="480" w:firstLineChars="200"/>
              <w:rPr>
                <w:rFonts w:hint="eastAsia"/>
                <w:bCs/>
                <w:sz w:val="24"/>
              </w:rPr>
            </w:pPr>
            <w:r>
              <w:rPr>
                <w:rFonts w:hint="eastAsia"/>
                <w:bCs/>
                <w:sz w:val="24"/>
              </w:rPr>
              <w:t>（4）领导并组织项目的环境监测工作，建立监控档案；</w:t>
            </w:r>
          </w:p>
          <w:p>
            <w:pPr>
              <w:adjustRightInd w:val="0"/>
              <w:snapToGrid w:val="0"/>
              <w:spacing w:line="480" w:lineRule="exact"/>
              <w:ind w:firstLine="480" w:firstLineChars="200"/>
              <w:rPr>
                <w:rFonts w:hint="eastAsia"/>
                <w:bCs/>
                <w:sz w:val="24"/>
              </w:rPr>
            </w:pPr>
            <w:r>
              <w:rPr>
                <w:rFonts w:hint="eastAsia"/>
                <w:bCs/>
                <w:sz w:val="24"/>
              </w:rPr>
              <w:t>（5）搞好环境教育和技术培训，提高工作人员素质；</w:t>
            </w:r>
          </w:p>
          <w:p>
            <w:pPr>
              <w:adjustRightInd w:val="0"/>
              <w:snapToGrid w:val="0"/>
              <w:spacing w:line="480" w:lineRule="exact"/>
              <w:ind w:firstLine="480" w:firstLineChars="200"/>
              <w:rPr>
                <w:rFonts w:hint="eastAsia"/>
                <w:bCs/>
                <w:sz w:val="24"/>
              </w:rPr>
            </w:pPr>
            <w:r>
              <w:rPr>
                <w:rFonts w:hint="eastAsia"/>
                <w:bCs/>
                <w:sz w:val="24"/>
              </w:rPr>
              <w:t>（6）建立项目污染物排放和环保设施运行规章制度；</w:t>
            </w:r>
          </w:p>
          <w:p>
            <w:pPr>
              <w:adjustRightInd w:val="0"/>
              <w:snapToGrid w:val="0"/>
              <w:spacing w:line="480" w:lineRule="exact"/>
              <w:ind w:firstLine="480" w:firstLineChars="200"/>
              <w:rPr>
                <w:rFonts w:hint="eastAsia"/>
                <w:bCs/>
                <w:sz w:val="24"/>
              </w:rPr>
            </w:pPr>
            <w:r>
              <w:rPr>
                <w:rFonts w:hint="eastAsia"/>
                <w:bCs/>
                <w:sz w:val="24"/>
              </w:rPr>
              <w:t>（7）负责环境管理日常工作和上级环境保护部门及其他社会各界的协调工作；</w:t>
            </w:r>
          </w:p>
          <w:p>
            <w:pPr>
              <w:adjustRightInd w:val="0"/>
              <w:snapToGrid w:val="0"/>
              <w:spacing w:line="480" w:lineRule="exact"/>
              <w:ind w:firstLine="480" w:firstLineChars="200"/>
              <w:rPr>
                <w:rFonts w:hint="eastAsia"/>
                <w:bCs/>
                <w:sz w:val="24"/>
              </w:rPr>
            </w:pPr>
            <w:r>
              <w:rPr>
                <w:rFonts w:hint="eastAsia"/>
                <w:bCs/>
                <w:sz w:val="24"/>
              </w:rPr>
              <w:t>（8）参与突发性事故的应变处理工作。</w:t>
            </w:r>
          </w:p>
          <w:p>
            <w:pPr>
              <w:adjustRightInd w:val="0"/>
              <w:snapToGrid w:val="0"/>
              <w:spacing w:line="480" w:lineRule="exact"/>
              <w:ind w:firstLine="480" w:firstLineChars="200"/>
              <w:rPr>
                <w:rFonts w:hint="eastAsia"/>
                <w:bCs/>
                <w:sz w:val="24"/>
              </w:rPr>
            </w:pPr>
            <w:r>
              <w:rPr>
                <w:rFonts w:hint="eastAsia"/>
                <w:bCs/>
                <w:sz w:val="24"/>
              </w:rPr>
              <w:t>为使环境管理真正落实在工程中，应该注意以下事项：</w:t>
            </w:r>
          </w:p>
          <w:p>
            <w:pPr>
              <w:adjustRightInd w:val="0"/>
              <w:snapToGrid w:val="0"/>
              <w:spacing w:line="480" w:lineRule="exact"/>
              <w:ind w:firstLine="480" w:firstLineChars="200"/>
              <w:rPr>
                <w:rFonts w:hint="eastAsia"/>
                <w:bCs/>
                <w:sz w:val="24"/>
              </w:rPr>
            </w:pPr>
            <w:r>
              <w:rPr>
                <w:rFonts w:hint="eastAsia"/>
                <w:bCs/>
                <w:sz w:val="24"/>
              </w:rPr>
              <w:t>设计阶段的环境管理：设计部门应将环境影响报告</w:t>
            </w:r>
            <w:r>
              <w:rPr>
                <w:rFonts w:hint="eastAsia"/>
                <w:bCs/>
                <w:sz w:val="24"/>
                <w:lang w:val="en-US" w:eastAsia="zh-CN"/>
              </w:rPr>
              <w:t>表</w:t>
            </w:r>
            <w:r>
              <w:rPr>
                <w:rFonts w:hint="eastAsia"/>
                <w:bCs/>
                <w:sz w:val="24"/>
              </w:rPr>
              <w:t>提出的环境保护措施落实在设计中，建设单位和环保部门应对其进行方案审查。</w:t>
            </w:r>
          </w:p>
          <w:p>
            <w:pPr>
              <w:adjustRightInd w:val="0"/>
              <w:snapToGrid w:val="0"/>
              <w:spacing w:line="480" w:lineRule="exact"/>
              <w:ind w:firstLine="480" w:firstLineChars="200"/>
              <w:rPr>
                <w:rFonts w:hint="eastAsia"/>
                <w:bCs/>
                <w:sz w:val="24"/>
              </w:rPr>
            </w:pPr>
            <w:r>
              <w:rPr>
                <w:rFonts w:hint="eastAsia"/>
                <w:bCs/>
                <w:sz w:val="24"/>
              </w:rPr>
              <w:t>施工阶段的环境监理：为减少本次施工对环境的污染和破坏，本次施工中必须建立环境监理制度，主要监理内容见表</w:t>
            </w:r>
            <w:r>
              <w:rPr>
                <w:rFonts w:hint="eastAsia"/>
                <w:bCs/>
                <w:sz w:val="24"/>
                <w:lang w:val="en-US" w:eastAsia="zh-CN"/>
              </w:rPr>
              <w:t>5-2</w:t>
            </w:r>
            <w:r>
              <w:rPr>
                <w:rFonts w:hint="eastAsia"/>
                <w:bCs/>
                <w:sz w:val="24"/>
              </w:rPr>
              <w:t>。</w:t>
            </w:r>
          </w:p>
          <w:p>
            <w:pPr>
              <w:adjustRightInd w:val="0"/>
              <w:snapToGrid w:val="0"/>
              <w:spacing w:line="480" w:lineRule="exact"/>
              <w:ind w:firstLine="480" w:firstLineChars="200"/>
              <w:rPr>
                <w:bCs/>
                <w:sz w:val="24"/>
              </w:rPr>
            </w:pPr>
            <w:r>
              <w:rPr>
                <w:rFonts w:hint="eastAsia"/>
                <w:bCs/>
                <w:sz w:val="24"/>
              </w:rPr>
              <w:t>本项目施工期监理要求见下表。</w:t>
            </w:r>
          </w:p>
          <w:p>
            <w:pPr>
              <w:pStyle w:val="27"/>
              <w:spacing w:before="0" w:after="0" w:afterAutospacing="0" w:line="480" w:lineRule="atLeast"/>
              <w:rPr>
                <w:rFonts w:ascii="黑体" w:hAnsi="黑体" w:eastAsia="黑体"/>
                <w:sz w:val="24"/>
              </w:rPr>
            </w:pPr>
            <w:r>
              <w:rPr>
                <w:rFonts w:hint="eastAsia" w:ascii="黑体" w:hAnsi="黑体" w:eastAsia="黑体"/>
                <w:sz w:val="24"/>
                <w:szCs w:val="32"/>
              </w:rPr>
              <w:t>表</w:t>
            </w:r>
            <w:r>
              <w:rPr>
                <w:rFonts w:ascii="黑体" w:hAnsi="黑体" w:eastAsia="黑体"/>
                <w:sz w:val="24"/>
                <w:szCs w:val="32"/>
              </w:rPr>
              <w:t>5-2</w:t>
            </w:r>
            <w:r>
              <w:rPr>
                <w:rFonts w:hint="eastAsia" w:ascii="黑体" w:hAnsi="黑体" w:eastAsia="黑体"/>
                <w:sz w:val="24"/>
                <w:szCs w:val="32"/>
              </w:rPr>
              <w:t xml:space="preserve">  施工期环境监理内容表</w:t>
            </w:r>
          </w:p>
          <w:tbl>
            <w:tblPr>
              <w:tblStyle w:val="21"/>
              <w:tblW w:w="5000" w:type="pct"/>
              <w:jc w:val="center"/>
              <w:tblLayout w:type="autofit"/>
              <w:tblCellMar>
                <w:top w:w="0" w:type="dxa"/>
                <w:left w:w="0" w:type="dxa"/>
                <w:bottom w:w="0" w:type="dxa"/>
                <w:right w:w="0" w:type="dxa"/>
              </w:tblCellMar>
            </w:tblPr>
            <w:tblGrid>
              <w:gridCol w:w="780"/>
              <w:gridCol w:w="752"/>
              <w:gridCol w:w="1201"/>
              <w:gridCol w:w="6348"/>
            </w:tblGrid>
            <w:tr>
              <w:tblPrEx>
                <w:tblCellMar>
                  <w:top w:w="0" w:type="dxa"/>
                  <w:left w:w="0" w:type="dxa"/>
                  <w:bottom w:w="0" w:type="dxa"/>
                  <w:right w:w="0" w:type="dxa"/>
                </w:tblCellMar>
              </w:tblPrEx>
              <w:trPr>
                <w:trHeight w:val="340" w:hRule="atLeast"/>
                <w:jc w:val="center"/>
              </w:trPr>
              <w:tc>
                <w:tcPr>
                  <w:tcW w:w="430" w:type="pct"/>
                  <w:tcBorders>
                    <w:top w:val="single" w:color="000000" w:sz="4" w:space="0"/>
                    <w:left w:val="single" w:color="000000" w:sz="4" w:space="0"/>
                    <w:bottom w:val="single" w:color="000000" w:sz="4" w:space="0"/>
                    <w:right w:val="single" w:color="000000" w:sz="4" w:space="0"/>
                  </w:tcBorders>
                  <w:shd w:val="clear" w:color="auto" w:fill="auto"/>
                  <w:vAlign w:val="center"/>
                </w:tcPr>
                <w:p>
                  <w:pPr>
                    <w:autoSpaceDE w:val="0"/>
                    <w:autoSpaceDN w:val="0"/>
                    <w:adjustRightInd w:val="0"/>
                    <w:spacing w:line="320" w:lineRule="exact"/>
                    <w:jc w:val="center"/>
                    <w:rPr>
                      <w:rFonts w:ascii="宋体" w:cs="宋体"/>
                      <w:kern w:val="0"/>
                    </w:rPr>
                  </w:pPr>
                  <w:r>
                    <w:rPr>
                      <w:rFonts w:hint="eastAsia" w:ascii="宋体" w:cs="宋体"/>
                      <w:kern w:val="0"/>
                    </w:rPr>
                    <w:t>时段</w:t>
                  </w: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pPr>
                    <w:autoSpaceDE w:val="0"/>
                    <w:autoSpaceDN w:val="0"/>
                    <w:adjustRightInd w:val="0"/>
                    <w:spacing w:line="320" w:lineRule="exact"/>
                    <w:jc w:val="center"/>
                    <w:rPr>
                      <w:rFonts w:ascii="宋体" w:cs="宋体"/>
                      <w:kern w:val="0"/>
                    </w:rPr>
                  </w:pPr>
                  <w:r>
                    <w:rPr>
                      <w:rFonts w:hint="eastAsia" w:ascii="宋体" w:cs="宋体"/>
                      <w:kern w:val="0"/>
                    </w:rPr>
                    <w:t>类型</w:t>
                  </w:r>
                </w:p>
              </w:tc>
              <w:tc>
                <w:tcPr>
                  <w:tcW w:w="661" w:type="pct"/>
                  <w:tcBorders>
                    <w:top w:val="single" w:color="000000" w:sz="4" w:space="0"/>
                    <w:left w:val="single" w:color="000000" w:sz="4" w:space="0"/>
                    <w:bottom w:val="single" w:color="000000" w:sz="4" w:space="0"/>
                    <w:right w:val="single" w:color="000000" w:sz="4" w:space="0"/>
                  </w:tcBorders>
                  <w:shd w:val="clear" w:color="auto" w:fill="auto"/>
                  <w:vAlign w:val="center"/>
                </w:tcPr>
                <w:p>
                  <w:pPr>
                    <w:autoSpaceDE w:val="0"/>
                    <w:autoSpaceDN w:val="0"/>
                    <w:adjustRightInd w:val="0"/>
                    <w:spacing w:line="320" w:lineRule="exact"/>
                    <w:jc w:val="center"/>
                    <w:rPr>
                      <w:rFonts w:ascii="宋体" w:cs="宋体"/>
                      <w:kern w:val="0"/>
                    </w:rPr>
                  </w:pPr>
                  <w:r>
                    <w:rPr>
                      <w:rFonts w:hint="eastAsia" w:ascii="宋体" w:cs="宋体"/>
                      <w:kern w:val="0"/>
                    </w:rPr>
                    <w:t>监管重点</w:t>
                  </w:r>
                </w:p>
              </w:tc>
              <w:tc>
                <w:tcPr>
                  <w:tcW w:w="3495" w:type="pct"/>
                  <w:tcBorders>
                    <w:top w:val="single" w:color="000000" w:sz="4" w:space="0"/>
                    <w:left w:val="single" w:color="000000" w:sz="4" w:space="0"/>
                    <w:bottom w:val="single" w:color="000000" w:sz="4" w:space="0"/>
                    <w:right w:val="single" w:color="000000" w:sz="4" w:space="0"/>
                  </w:tcBorders>
                  <w:shd w:val="clear" w:color="auto" w:fill="auto"/>
                  <w:vAlign w:val="center"/>
                </w:tcPr>
                <w:p>
                  <w:pPr>
                    <w:autoSpaceDE w:val="0"/>
                    <w:autoSpaceDN w:val="0"/>
                    <w:adjustRightInd w:val="0"/>
                    <w:spacing w:line="320" w:lineRule="exact"/>
                    <w:jc w:val="center"/>
                    <w:rPr>
                      <w:rFonts w:ascii="宋体" w:cs="宋体"/>
                      <w:kern w:val="0"/>
                    </w:rPr>
                  </w:pPr>
                  <w:r>
                    <w:rPr>
                      <w:rFonts w:hint="eastAsia" w:ascii="宋体" w:cs="宋体"/>
                      <w:kern w:val="0"/>
                    </w:rPr>
                    <w:t>监管内容</w:t>
                  </w:r>
                </w:p>
              </w:tc>
            </w:tr>
            <w:tr>
              <w:tblPrEx>
                <w:tblCellMar>
                  <w:top w:w="0" w:type="dxa"/>
                  <w:left w:w="0" w:type="dxa"/>
                  <w:bottom w:w="0" w:type="dxa"/>
                  <w:right w:w="0" w:type="dxa"/>
                </w:tblCellMar>
              </w:tblPrEx>
              <w:trPr>
                <w:trHeight w:val="340" w:hRule="atLeast"/>
                <w:jc w:val="center"/>
              </w:trPr>
              <w:tc>
                <w:tcPr>
                  <w:tcW w:w="43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autoSpaceDE w:val="0"/>
                    <w:autoSpaceDN w:val="0"/>
                    <w:adjustRightInd w:val="0"/>
                    <w:spacing w:line="320" w:lineRule="exact"/>
                    <w:jc w:val="center"/>
                    <w:rPr>
                      <w:rFonts w:ascii="宋体" w:cs="宋体"/>
                      <w:kern w:val="0"/>
                    </w:rPr>
                  </w:pPr>
                  <w:r>
                    <w:rPr>
                      <w:rFonts w:hint="eastAsia" w:ascii="宋体" w:cs="宋体"/>
                      <w:kern w:val="0"/>
                    </w:rPr>
                    <w:t>施工期</w:t>
                  </w:r>
                </w:p>
              </w:tc>
              <w:tc>
                <w:tcPr>
                  <w:tcW w:w="41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autoSpaceDE w:val="0"/>
                    <w:autoSpaceDN w:val="0"/>
                    <w:adjustRightInd w:val="0"/>
                    <w:spacing w:line="320" w:lineRule="exact"/>
                    <w:jc w:val="center"/>
                    <w:rPr>
                      <w:rFonts w:ascii="宋体" w:cs="宋体"/>
                      <w:kern w:val="0"/>
                    </w:rPr>
                  </w:pPr>
                  <w:r>
                    <w:rPr>
                      <w:rFonts w:hint="eastAsia" w:ascii="宋体" w:cs="宋体"/>
                      <w:kern w:val="0"/>
                    </w:rPr>
                    <w:t>扬尘</w:t>
                  </w:r>
                </w:p>
              </w:tc>
              <w:tc>
                <w:tcPr>
                  <w:tcW w:w="66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autoSpaceDE w:val="0"/>
                    <w:autoSpaceDN w:val="0"/>
                    <w:adjustRightInd w:val="0"/>
                    <w:spacing w:line="320" w:lineRule="exact"/>
                    <w:jc w:val="center"/>
                    <w:rPr>
                      <w:rFonts w:ascii="宋体" w:cs="宋体"/>
                      <w:kern w:val="0"/>
                    </w:rPr>
                  </w:pPr>
                  <w:r>
                    <w:rPr>
                      <w:rFonts w:hint="eastAsia" w:ascii="宋体" w:cs="宋体"/>
                      <w:kern w:val="0"/>
                    </w:rPr>
                    <w:t>土石方开挖、物料堆场、车辆、柴油发电机</w:t>
                  </w:r>
                </w:p>
              </w:tc>
              <w:tc>
                <w:tcPr>
                  <w:tcW w:w="3495" w:type="pct"/>
                  <w:tcBorders>
                    <w:top w:val="single" w:color="000000" w:sz="4" w:space="0"/>
                    <w:left w:val="single" w:color="000000" w:sz="4" w:space="0"/>
                    <w:bottom w:val="single" w:color="000000" w:sz="4" w:space="0"/>
                    <w:right w:val="single" w:color="000000" w:sz="4" w:space="0"/>
                  </w:tcBorders>
                  <w:shd w:val="clear" w:color="auto" w:fill="auto"/>
                  <w:vAlign w:val="center"/>
                </w:tcPr>
                <w:p>
                  <w:pPr>
                    <w:autoSpaceDE w:val="0"/>
                    <w:autoSpaceDN w:val="0"/>
                    <w:adjustRightInd w:val="0"/>
                    <w:spacing w:line="320" w:lineRule="exact"/>
                    <w:ind w:left="107"/>
                    <w:jc w:val="left"/>
                    <w:rPr>
                      <w:rFonts w:ascii="宋体" w:cs="宋体"/>
                      <w:kern w:val="0"/>
                    </w:rPr>
                  </w:pPr>
                  <w:r>
                    <w:rPr>
                      <w:rFonts w:hint="eastAsia" w:ascii="宋体" w:cs="宋体"/>
                      <w:kern w:val="0"/>
                    </w:rPr>
                    <w:t>土方堆放点要相对集中，易产尘的堆放材料应采取覆盖措施，大风时停止施工，施工区物料储场全封闭。</w:t>
                  </w:r>
                </w:p>
              </w:tc>
            </w:tr>
            <w:tr>
              <w:trPr>
                <w:trHeight w:val="340" w:hRule="atLeast"/>
                <w:jc w:val="center"/>
              </w:trPr>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autoSpaceDE w:val="0"/>
                    <w:autoSpaceDN w:val="0"/>
                    <w:adjustRightInd w:val="0"/>
                    <w:spacing w:line="320" w:lineRule="exact"/>
                    <w:ind w:left="223"/>
                    <w:jc w:val="center"/>
                    <w:rPr>
                      <w:rFonts w:ascii="宋体" w:cs="宋体"/>
                      <w:kern w:val="0"/>
                    </w:rPr>
                  </w:pPr>
                  <w:r>
                    <w:rPr>
                      <w:rFonts w:hint="eastAsia" w:ascii="宋体" w:cs="宋体"/>
                      <w:kern w:val="0"/>
                    </w:rPr>
                    <w:t>施</w:t>
                  </w:r>
                </w:p>
                <w:p>
                  <w:pPr>
                    <w:autoSpaceDE w:val="0"/>
                    <w:autoSpaceDN w:val="0"/>
                    <w:adjustRightInd w:val="0"/>
                    <w:spacing w:line="320" w:lineRule="exact"/>
                    <w:ind w:left="223"/>
                    <w:jc w:val="center"/>
                    <w:rPr>
                      <w:rFonts w:ascii="宋体" w:cs="宋体"/>
                      <w:kern w:val="0"/>
                    </w:rPr>
                  </w:pPr>
                  <w:r>
                    <w:rPr>
                      <w:rFonts w:hint="eastAsia" w:ascii="宋体" w:cs="宋体"/>
                      <w:kern w:val="0"/>
                    </w:rPr>
                    <w:t>工</w:t>
                  </w:r>
                </w:p>
                <w:p>
                  <w:pPr>
                    <w:autoSpaceDE w:val="0"/>
                    <w:autoSpaceDN w:val="0"/>
                    <w:adjustRightInd w:val="0"/>
                    <w:spacing w:line="320" w:lineRule="exact"/>
                    <w:ind w:left="223"/>
                    <w:jc w:val="center"/>
                    <w:rPr>
                      <w:rFonts w:ascii="宋体" w:cs="宋体"/>
                      <w:kern w:val="0"/>
                    </w:rPr>
                  </w:pPr>
                  <w:r>
                    <w:rPr>
                      <w:rFonts w:hint="eastAsia" w:ascii="宋体" w:cs="宋体"/>
                      <w:kern w:val="0"/>
                    </w:rPr>
                    <w:t>期</w:t>
                  </w: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autoSpaceDE w:val="0"/>
                    <w:autoSpaceDN w:val="0"/>
                    <w:adjustRightInd w:val="0"/>
                    <w:spacing w:line="320" w:lineRule="exact"/>
                    <w:ind w:left="131"/>
                    <w:jc w:val="center"/>
                    <w:rPr>
                      <w:rFonts w:ascii="宋体" w:cs="宋体"/>
                      <w:kern w:val="0"/>
                    </w:rPr>
                  </w:pPr>
                  <w:r>
                    <w:rPr>
                      <w:rFonts w:hint="eastAsia" w:ascii="宋体" w:cs="宋体"/>
                      <w:kern w:val="0"/>
                    </w:rPr>
                    <w:t>扬尘</w:t>
                  </w:r>
                </w:p>
              </w:tc>
              <w:tc>
                <w:tcPr>
                  <w:tcW w:w="66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autoSpaceDE w:val="0"/>
                    <w:autoSpaceDN w:val="0"/>
                    <w:adjustRightInd w:val="0"/>
                    <w:spacing w:line="320" w:lineRule="exact"/>
                    <w:ind w:left="156"/>
                    <w:jc w:val="center"/>
                    <w:rPr>
                      <w:rFonts w:ascii="宋体" w:cs="宋体"/>
                      <w:kern w:val="0"/>
                    </w:rPr>
                  </w:pPr>
                  <w:r>
                    <w:rPr>
                      <w:rFonts w:hint="eastAsia" w:ascii="宋体" w:cs="宋体"/>
                      <w:kern w:val="0"/>
                    </w:rPr>
                    <w:t>土石方开</w:t>
                  </w:r>
                </w:p>
                <w:p>
                  <w:pPr>
                    <w:autoSpaceDE w:val="0"/>
                    <w:autoSpaceDN w:val="0"/>
                    <w:adjustRightInd w:val="0"/>
                    <w:spacing w:line="320" w:lineRule="exact"/>
                    <w:ind w:left="156"/>
                    <w:jc w:val="center"/>
                    <w:rPr>
                      <w:rFonts w:ascii="宋体" w:cs="宋体"/>
                      <w:kern w:val="0"/>
                    </w:rPr>
                  </w:pPr>
                  <w:r>
                    <w:rPr>
                      <w:rFonts w:hint="eastAsia" w:ascii="宋体" w:cs="宋体"/>
                      <w:kern w:val="0"/>
                    </w:rPr>
                    <w:t>挖、物料</w:t>
                  </w:r>
                </w:p>
                <w:p>
                  <w:pPr>
                    <w:autoSpaceDE w:val="0"/>
                    <w:autoSpaceDN w:val="0"/>
                    <w:adjustRightInd w:val="0"/>
                    <w:spacing w:line="320" w:lineRule="exact"/>
                    <w:ind w:left="156"/>
                    <w:jc w:val="center"/>
                    <w:rPr>
                      <w:rFonts w:ascii="宋体" w:cs="宋体"/>
                      <w:kern w:val="0"/>
                    </w:rPr>
                  </w:pPr>
                  <w:r>
                    <w:rPr>
                      <w:rFonts w:hint="eastAsia" w:ascii="宋体" w:cs="宋体"/>
                      <w:kern w:val="0"/>
                    </w:rPr>
                    <w:t>堆场、车</w:t>
                  </w:r>
                </w:p>
                <w:p>
                  <w:pPr>
                    <w:autoSpaceDE w:val="0"/>
                    <w:autoSpaceDN w:val="0"/>
                    <w:adjustRightInd w:val="0"/>
                    <w:spacing w:line="320" w:lineRule="exact"/>
                    <w:ind w:left="156"/>
                    <w:jc w:val="center"/>
                    <w:rPr>
                      <w:rFonts w:ascii="宋体" w:cs="宋体"/>
                      <w:kern w:val="0"/>
                    </w:rPr>
                  </w:pPr>
                  <w:r>
                    <w:rPr>
                      <w:rFonts w:hint="eastAsia" w:ascii="宋体" w:cs="宋体"/>
                      <w:kern w:val="0"/>
                    </w:rPr>
                    <w:t>辆、柴油</w:t>
                  </w:r>
                </w:p>
                <w:p>
                  <w:pPr>
                    <w:autoSpaceDE w:val="0"/>
                    <w:autoSpaceDN w:val="0"/>
                    <w:adjustRightInd w:val="0"/>
                    <w:spacing w:line="320" w:lineRule="exact"/>
                    <w:ind w:left="259"/>
                    <w:jc w:val="center"/>
                    <w:rPr>
                      <w:rFonts w:ascii="宋体" w:cs="宋体"/>
                      <w:kern w:val="0"/>
                    </w:rPr>
                  </w:pPr>
                  <w:r>
                    <w:rPr>
                      <w:rFonts w:hint="eastAsia" w:ascii="宋体" w:cs="宋体"/>
                      <w:kern w:val="0"/>
                    </w:rPr>
                    <w:t>发电机</w:t>
                  </w:r>
                </w:p>
              </w:tc>
              <w:tc>
                <w:tcPr>
                  <w:tcW w:w="3495" w:type="pct"/>
                  <w:tcBorders>
                    <w:top w:val="single" w:color="000000" w:sz="4" w:space="0"/>
                    <w:left w:val="single" w:color="000000" w:sz="4" w:space="0"/>
                    <w:bottom w:val="single" w:color="000000" w:sz="4" w:space="0"/>
                    <w:right w:val="single" w:color="000000" w:sz="4" w:space="0"/>
                  </w:tcBorders>
                  <w:shd w:val="clear" w:color="auto" w:fill="auto"/>
                  <w:vAlign w:val="center"/>
                </w:tcPr>
                <w:p>
                  <w:pPr>
                    <w:autoSpaceDE w:val="0"/>
                    <w:autoSpaceDN w:val="0"/>
                    <w:adjustRightInd w:val="0"/>
                    <w:spacing w:line="320" w:lineRule="exact"/>
                    <w:ind w:left="107"/>
                    <w:jc w:val="left"/>
                    <w:rPr>
                      <w:rFonts w:ascii="宋体" w:cs="宋体"/>
                      <w:kern w:val="0"/>
                    </w:rPr>
                  </w:pPr>
                  <w:r>
                    <w:rPr>
                      <w:rFonts w:hint="eastAsia" w:ascii="宋体" w:cs="宋体"/>
                      <w:kern w:val="0"/>
                    </w:rPr>
                    <w:t>规范运输路线，合理安排运输时间，加盖篷布，路面定时洒水，保持地面湿润不易起尘。</w:t>
                  </w:r>
                </w:p>
              </w:tc>
            </w:tr>
            <w:tr>
              <w:tblPrEx>
                <w:tblCellMar>
                  <w:top w:w="0" w:type="dxa"/>
                  <w:left w:w="0" w:type="dxa"/>
                  <w:bottom w:w="0" w:type="dxa"/>
                  <w:right w:w="0" w:type="dxa"/>
                </w:tblCellMar>
              </w:tblPrEx>
              <w:trPr>
                <w:trHeight w:val="340" w:hRule="atLeast"/>
                <w:jc w:val="center"/>
              </w:trPr>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autoSpaceDE w:val="0"/>
                    <w:autoSpaceDN w:val="0"/>
                    <w:adjustRightInd w:val="0"/>
                    <w:spacing w:line="320" w:lineRule="exact"/>
                    <w:ind w:left="223"/>
                    <w:jc w:val="center"/>
                    <w:rPr>
                      <w:rFonts w:ascii="宋体" w:cs="宋体"/>
                      <w:kern w:val="0"/>
                    </w:rPr>
                  </w:pPr>
                  <w:r>
                    <w:rPr>
                      <w:rFonts w:hint="eastAsia" w:ascii="宋体" w:cs="宋体"/>
                      <w:kern w:val="0"/>
                    </w:rPr>
                    <w:t>施</w:t>
                  </w:r>
                </w:p>
                <w:p>
                  <w:pPr>
                    <w:autoSpaceDE w:val="0"/>
                    <w:autoSpaceDN w:val="0"/>
                    <w:adjustRightInd w:val="0"/>
                    <w:spacing w:line="320" w:lineRule="exact"/>
                    <w:ind w:left="223"/>
                    <w:jc w:val="center"/>
                    <w:rPr>
                      <w:rFonts w:ascii="宋体" w:cs="宋体"/>
                      <w:kern w:val="0"/>
                    </w:rPr>
                  </w:pPr>
                  <w:r>
                    <w:rPr>
                      <w:rFonts w:hint="eastAsia" w:ascii="宋体" w:cs="宋体"/>
                      <w:kern w:val="0"/>
                    </w:rPr>
                    <w:t>工</w:t>
                  </w:r>
                </w:p>
                <w:p>
                  <w:pPr>
                    <w:autoSpaceDE w:val="0"/>
                    <w:autoSpaceDN w:val="0"/>
                    <w:adjustRightInd w:val="0"/>
                    <w:spacing w:line="320" w:lineRule="exact"/>
                    <w:ind w:left="223"/>
                    <w:jc w:val="center"/>
                    <w:rPr>
                      <w:rFonts w:ascii="宋体" w:cs="宋体"/>
                      <w:kern w:val="0"/>
                    </w:rPr>
                  </w:pPr>
                  <w:r>
                    <w:rPr>
                      <w:rFonts w:hint="eastAsia" w:ascii="宋体" w:cs="宋体"/>
                      <w:kern w:val="0"/>
                    </w:rPr>
                    <w:t>期</w:t>
                  </w: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autoSpaceDE w:val="0"/>
                    <w:autoSpaceDN w:val="0"/>
                    <w:adjustRightInd w:val="0"/>
                    <w:spacing w:line="320" w:lineRule="exact"/>
                    <w:ind w:left="131"/>
                    <w:jc w:val="center"/>
                    <w:rPr>
                      <w:rFonts w:ascii="宋体" w:cs="宋体"/>
                      <w:kern w:val="0"/>
                    </w:rPr>
                  </w:pPr>
                  <w:r>
                    <w:rPr>
                      <w:rFonts w:hint="eastAsia" w:ascii="宋体" w:cs="宋体"/>
                      <w:kern w:val="0"/>
                    </w:rPr>
                    <w:t>扬尘</w:t>
                  </w:r>
                </w:p>
              </w:tc>
              <w:tc>
                <w:tcPr>
                  <w:tcW w:w="66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autoSpaceDE w:val="0"/>
                    <w:autoSpaceDN w:val="0"/>
                    <w:adjustRightInd w:val="0"/>
                    <w:spacing w:line="320" w:lineRule="exact"/>
                    <w:ind w:left="156"/>
                    <w:jc w:val="center"/>
                    <w:rPr>
                      <w:rFonts w:ascii="宋体" w:cs="宋体"/>
                      <w:kern w:val="0"/>
                    </w:rPr>
                  </w:pPr>
                  <w:r>
                    <w:rPr>
                      <w:rFonts w:hint="eastAsia" w:ascii="宋体" w:cs="宋体"/>
                      <w:kern w:val="0"/>
                    </w:rPr>
                    <w:t>土石方开</w:t>
                  </w:r>
                </w:p>
                <w:p>
                  <w:pPr>
                    <w:autoSpaceDE w:val="0"/>
                    <w:autoSpaceDN w:val="0"/>
                    <w:adjustRightInd w:val="0"/>
                    <w:spacing w:line="320" w:lineRule="exact"/>
                    <w:ind w:left="156"/>
                    <w:jc w:val="center"/>
                    <w:rPr>
                      <w:rFonts w:ascii="宋体" w:cs="宋体"/>
                      <w:kern w:val="0"/>
                    </w:rPr>
                  </w:pPr>
                  <w:r>
                    <w:rPr>
                      <w:rFonts w:hint="eastAsia" w:ascii="宋体" w:cs="宋体"/>
                      <w:kern w:val="0"/>
                    </w:rPr>
                    <w:t>挖、物料</w:t>
                  </w:r>
                </w:p>
                <w:p>
                  <w:pPr>
                    <w:autoSpaceDE w:val="0"/>
                    <w:autoSpaceDN w:val="0"/>
                    <w:adjustRightInd w:val="0"/>
                    <w:spacing w:line="320" w:lineRule="exact"/>
                    <w:ind w:left="156"/>
                    <w:jc w:val="center"/>
                    <w:rPr>
                      <w:rFonts w:ascii="宋体" w:cs="宋体"/>
                      <w:kern w:val="0"/>
                    </w:rPr>
                  </w:pPr>
                  <w:r>
                    <w:rPr>
                      <w:rFonts w:hint="eastAsia" w:ascii="宋体" w:cs="宋体"/>
                      <w:kern w:val="0"/>
                    </w:rPr>
                    <w:t>堆场、车</w:t>
                  </w:r>
                </w:p>
                <w:p>
                  <w:pPr>
                    <w:autoSpaceDE w:val="0"/>
                    <w:autoSpaceDN w:val="0"/>
                    <w:adjustRightInd w:val="0"/>
                    <w:spacing w:line="320" w:lineRule="exact"/>
                    <w:ind w:left="156"/>
                    <w:jc w:val="center"/>
                    <w:rPr>
                      <w:rFonts w:ascii="宋体" w:cs="宋体"/>
                      <w:kern w:val="0"/>
                    </w:rPr>
                  </w:pPr>
                  <w:r>
                    <w:rPr>
                      <w:rFonts w:hint="eastAsia" w:ascii="宋体" w:cs="宋体"/>
                      <w:kern w:val="0"/>
                    </w:rPr>
                    <w:t>辆、柴油</w:t>
                  </w:r>
                </w:p>
                <w:p>
                  <w:pPr>
                    <w:autoSpaceDE w:val="0"/>
                    <w:autoSpaceDN w:val="0"/>
                    <w:adjustRightInd w:val="0"/>
                    <w:spacing w:line="320" w:lineRule="exact"/>
                    <w:ind w:left="259"/>
                    <w:jc w:val="center"/>
                    <w:rPr>
                      <w:rFonts w:ascii="宋体" w:cs="宋体"/>
                      <w:kern w:val="0"/>
                    </w:rPr>
                  </w:pPr>
                  <w:r>
                    <w:rPr>
                      <w:rFonts w:hint="eastAsia" w:ascii="宋体" w:cs="宋体"/>
                      <w:kern w:val="0"/>
                    </w:rPr>
                    <w:t>发电机</w:t>
                  </w:r>
                </w:p>
              </w:tc>
              <w:tc>
                <w:tcPr>
                  <w:tcW w:w="3495" w:type="pct"/>
                  <w:tcBorders>
                    <w:top w:val="single" w:color="000000" w:sz="4" w:space="0"/>
                    <w:left w:val="single" w:color="000000" w:sz="4" w:space="0"/>
                    <w:bottom w:val="single" w:color="000000" w:sz="4" w:space="0"/>
                    <w:right w:val="single" w:color="000000" w:sz="4" w:space="0"/>
                  </w:tcBorders>
                  <w:shd w:val="clear" w:color="auto" w:fill="auto"/>
                  <w:vAlign w:val="center"/>
                </w:tcPr>
                <w:p>
                  <w:pPr>
                    <w:autoSpaceDE w:val="0"/>
                    <w:autoSpaceDN w:val="0"/>
                    <w:adjustRightInd w:val="0"/>
                    <w:spacing w:line="320" w:lineRule="exact"/>
                    <w:ind w:left="107"/>
                    <w:jc w:val="left"/>
                    <w:rPr>
                      <w:rFonts w:ascii="宋体" w:cs="宋体"/>
                      <w:kern w:val="0"/>
                    </w:rPr>
                  </w:pPr>
                  <w:r>
                    <w:rPr>
                      <w:rFonts w:hint="eastAsia" w:ascii="宋体" w:cs="宋体"/>
                      <w:kern w:val="0"/>
                    </w:rPr>
                    <w:t>柴油发电机和车辆取得年检合格标签。</w:t>
                  </w:r>
                </w:p>
              </w:tc>
            </w:tr>
            <w:tr>
              <w:tblPrEx>
                <w:tblCellMar>
                  <w:top w:w="0" w:type="dxa"/>
                  <w:left w:w="0" w:type="dxa"/>
                  <w:bottom w:w="0" w:type="dxa"/>
                  <w:right w:w="0" w:type="dxa"/>
                </w:tblCellMar>
              </w:tblPrEx>
              <w:trPr>
                <w:trHeight w:val="340" w:hRule="atLeast"/>
                <w:jc w:val="center"/>
              </w:trPr>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autoSpaceDE w:val="0"/>
                    <w:autoSpaceDN w:val="0"/>
                    <w:adjustRightInd w:val="0"/>
                    <w:spacing w:line="320" w:lineRule="exact"/>
                    <w:ind w:left="223"/>
                    <w:jc w:val="center"/>
                    <w:rPr>
                      <w:rFonts w:ascii="宋体" w:cs="宋体"/>
                      <w:kern w:val="0"/>
                    </w:rPr>
                  </w:pPr>
                  <w:r>
                    <w:rPr>
                      <w:rFonts w:hint="eastAsia" w:ascii="宋体" w:cs="宋体"/>
                      <w:kern w:val="0"/>
                    </w:rPr>
                    <w:t>施</w:t>
                  </w:r>
                </w:p>
                <w:p>
                  <w:pPr>
                    <w:autoSpaceDE w:val="0"/>
                    <w:autoSpaceDN w:val="0"/>
                    <w:adjustRightInd w:val="0"/>
                    <w:spacing w:line="320" w:lineRule="exact"/>
                    <w:ind w:left="223"/>
                    <w:jc w:val="center"/>
                    <w:rPr>
                      <w:rFonts w:ascii="宋体" w:cs="宋体"/>
                      <w:kern w:val="0"/>
                    </w:rPr>
                  </w:pPr>
                  <w:r>
                    <w:rPr>
                      <w:rFonts w:hint="eastAsia" w:ascii="宋体" w:cs="宋体"/>
                      <w:kern w:val="0"/>
                    </w:rPr>
                    <w:t>工</w:t>
                  </w:r>
                </w:p>
                <w:p>
                  <w:pPr>
                    <w:autoSpaceDE w:val="0"/>
                    <w:autoSpaceDN w:val="0"/>
                    <w:adjustRightInd w:val="0"/>
                    <w:spacing w:line="320" w:lineRule="exact"/>
                    <w:ind w:left="223"/>
                    <w:jc w:val="center"/>
                    <w:rPr>
                      <w:rFonts w:ascii="宋体" w:cs="宋体"/>
                      <w:kern w:val="0"/>
                    </w:rPr>
                  </w:pPr>
                  <w:r>
                    <w:rPr>
                      <w:rFonts w:hint="eastAsia" w:ascii="宋体" w:cs="宋体"/>
                      <w:kern w:val="0"/>
                    </w:rPr>
                    <w:t>期</w:t>
                  </w: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pPr>
                    <w:autoSpaceDE w:val="0"/>
                    <w:autoSpaceDN w:val="0"/>
                    <w:adjustRightInd w:val="0"/>
                    <w:spacing w:line="320" w:lineRule="exact"/>
                    <w:jc w:val="center"/>
                    <w:rPr>
                      <w:rFonts w:ascii="宋体" w:cs="宋体"/>
                      <w:kern w:val="0"/>
                    </w:rPr>
                  </w:pPr>
                  <w:r>
                    <w:rPr>
                      <w:rFonts w:hint="eastAsia" w:ascii="宋体" w:cs="宋体"/>
                      <w:kern w:val="0"/>
                    </w:rPr>
                    <w:t>噪声</w:t>
                  </w:r>
                </w:p>
              </w:tc>
              <w:tc>
                <w:tcPr>
                  <w:tcW w:w="661" w:type="pct"/>
                  <w:tcBorders>
                    <w:top w:val="single" w:color="000000" w:sz="4" w:space="0"/>
                    <w:left w:val="single" w:color="000000" w:sz="4" w:space="0"/>
                    <w:bottom w:val="single" w:color="000000" w:sz="4" w:space="0"/>
                    <w:right w:val="single" w:color="000000" w:sz="4" w:space="0"/>
                  </w:tcBorders>
                  <w:shd w:val="clear" w:color="auto" w:fill="auto"/>
                  <w:vAlign w:val="center"/>
                </w:tcPr>
                <w:p>
                  <w:pPr>
                    <w:autoSpaceDE w:val="0"/>
                    <w:autoSpaceDN w:val="0"/>
                    <w:adjustRightInd w:val="0"/>
                    <w:spacing w:line="320" w:lineRule="exact"/>
                    <w:jc w:val="center"/>
                    <w:rPr>
                      <w:rFonts w:ascii="宋体" w:cs="宋体"/>
                      <w:kern w:val="0"/>
                    </w:rPr>
                  </w:pPr>
                  <w:r>
                    <w:rPr>
                      <w:rFonts w:hint="eastAsia" w:ascii="宋体" w:cs="宋体"/>
                      <w:kern w:val="0"/>
                    </w:rPr>
                    <w:t>施工机械设备</w:t>
                  </w:r>
                </w:p>
              </w:tc>
              <w:tc>
                <w:tcPr>
                  <w:tcW w:w="3495" w:type="pct"/>
                  <w:tcBorders>
                    <w:top w:val="single" w:color="000000" w:sz="4" w:space="0"/>
                    <w:left w:val="single" w:color="000000" w:sz="4" w:space="0"/>
                    <w:bottom w:val="single" w:color="000000" w:sz="4" w:space="0"/>
                    <w:right w:val="single" w:color="000000" w:sz="4" w:space="0"/>
                  </w:tcBorders>
                  <w:shd w:val="clear" w:color="auto" w:fill="auto"/>
                  <w:vAlign w:val="center"/>
                </w:tcPr>
                <w:p>
                  <w:pPr>
                    <w:autoSpaceDE w:val="0"/>
                    <w:autoSpaceDN w:val="0"/>
                    <w:adjustRightInd w:val="0"/>
                    <w:spacing w:line="320" w:lineRule="exact"/>
                    <w:ind w:left="107"/>
                    <w:jc w:val="left"/>
                    <w:rPr>
                      <w:rFonts w:ascii="宋体" w:cs="宋体"/>
                      <w:kern w:val="0"/>
                    </w:rPr>
                  </w:pPr>
                  <w:r>
                    <w:rPr>
                      <w:rFonts w:hint="eastAsia" w:ascii="宋体" w:cs="宋体"/>
                      <w:kern w:val="0"/>
                    </w:rPr>
                    <w:t>合理安排作业时间，经常对设备进行检修维护，夜间应停止施工，尽量减少施工噪声影响。</w:t>
                  </w:r>
                </w:p>
              </w:tc>
            </w:tr>
            <w:tr>
              <w:tblPrEx>
                <w:tblCellMar>
                  <w:top w:w="0" w:type="dxa"/>
                  <w:left w:w="0" w:type="dxa"/>
                  <w:bottom w:w="0" w:type="dxa"/>
                  <w:right w:w="0" w:type="dxa"/>
                </w:tblCellMar>
              </w:tblPrEx>
              <w:trPr>
                <w:trHeight w:val="340" w:hRule="atLeast"/>
                <w:jc w:val="center"/>
              </w:trPr>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autoSpaceDE w:val="0"/>
                    <w:autoSpaceDN w:val="0"/>
                    <w:adjustRightInd w:val="0"/>
                    <w:spacing w:line="320" w:lineRule="exact"/>
                    <w:ind w:left="223"/>
                    <w:jc w:val="center"/>
                    <w:rPr>
                      <w:rFonts w:ascii="宋体" w:cs="宋体"/>
                      <w:kern w:val="0"/>
                    </w:rPr>
                  </w:pPr>
                  <w:r>
                    <w:rPr>
                      <w:rFonts w:hint="eastAsia" w:ascii="宋体" w:cs="宋体"/>
                      <w:kern w:val="0"/>
                    </w:rPr>
                    <w:t>施</w:t>
                  </w:r>
                </w:p>
                <w:p>
                  <w:pPr>
                    <w:autoSpaceDE w:val="0"/>
                    <w:autoSpaceDN w:val="0"/>
                    <w:adjustRightInd w:val="0"/>
                    <w:spacing w:line="320" w:lineRule="exact"/>
                    <w:ind w:left="223"/>
                    <w:jc w:val="center"/>
                    <w:rPr>
                      <w:rFonts w:ascii="宋体" w:cs="宋体"/>
                      <w:kern w:val="0"/>
                    </w:rPr>
                  </w:pPr>
                  <w:r>
                    <w:rPr>
                      <w:rFonts w:hint="eastAsia" w:ascii="宋体" w:cs="宋体"/>
                      <w:kern w:val="0"/>
                    </w:rPr>
                    <w:t>工</w:t>
                  </w:r>
                </w:p>
                <w:p>
                  <w:pPr>
                    <w:autoSpaceDE w:val="0"/>
                    <w:autoSpaceDN w:val="0"/>
                    <w:adjustRightInd w:val="0"/>
                    <w:spacing w:line="320" w:lineRule="exact"/>
                    <w:ind w:left="223"/>
                    <w:jc w:val="center"/>
                    <w:rPr>
                      <w:rFonts w:ascii="宋体" w:cs="宋体"/>
                      <w:kern w:val="0"/>
                    </w:rPr>
                  </w:pPr>
                  <w:r>
                    <w:rPr>
                      <w:rFonts w:hint="eastAsia" w:ascii="宋体" w:cs="宋体"/>
                      <w:kern w:val="0"/>
                    </w:rPr>
                    <w:t>期</w:t>
                  </w: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pPr>
                    <w:autoSpaceDE w:val="0"/>
                    <w:autoSpaceDN w:val="0"/>
                    <w:adjustRightInd w:val="0"/>
                    <w:spacing w:line="320" w:lineRule="exact"/>
                    <w:jc w:val="center"/>
                    <w:rPr>
                      <w:rFonts w:ascii="宋体" w:cs="宋体"/>
                      <w:kern w:val="0"/>
                    </w:rPr>
                  </w:pPr>
                  <w:r>
                    <w:rPr>
                      <w:rFonts w:hint="eastAsia" w:ascii="宋体" w:cs="宋体"/>
                      <w:kern w:val="0"/>
                    </w:rPr>
                    <w:t>废水</w:t>
                  </w:r>
                </w:p>
              </w:tc>
              <w:tc>
                <w:tcPr>
                  <w:tcW w:w="661" w:type="pct"/>
                  <w:tcBorders>
                    <w:top w:val="single" w:color="000000" w:sz="4" w:space="0"/>
                    <w:left w:val="single" w:color="000000" w:sz="4" w:space="0"/>
                    <w:bottom w:val="single" w:color="000000" w:sz="4" w:space="0"/>
                    <w:right w:val="single" w:color="000000" w:sz="4" w:space="0"/>
                  </w:tcBorders>
                  <w:shd w:val="clear" w:color="auto" w:fill="auto"/>
                  <w:vAlign w:val="center"/>
                </w:tcPr>
                <w:p>
                  <w:pPr>
                    <w:autoSpaceDE w:val="0"/>
                    <w:autoSpaceDN w:val="0"/>
                    <w:adjustRightInd w:val="0"/>
                    <w:spacing w:line="320" w:lineRule="exact"/>
                    <w:ind w:left="108"/>
                    <w:jc w:val="center"/>
                    <w:rPr>
                      <w:rFonts w:ascii="宋体" w:cs="宋体"/>
                      <w:kern w:val="0"/>
                    </w:rPr>
                  </w:pPr>
                  <w:r>
                    <w:rPr>
                      <w:rFonts w:hint="eastAsia" w:ascii="宋体" w:cs="宋体"/>
                      <w:kern w:val="0"/>
                    </w:rPr>
                    <w:t>生产废水</w:t>
                  </w:r>
                </w:p>
                <w:p>
                  <w:pPr>
                    <w:autoSpaceDE w:val="0"/>
                    <w:autoSpaceDN w:val="0"/>
                    <w:adjustRightInd w:val="0"/>
                    <w:spacing w:line="320" w:lineRule="exact"/>
                    <w:ind w:left="108"/>
                    <w:jc w:val="center"/>
                    <w:rPr>
                      <w:rFonts w:ascii="宋体" w:cs="宋体"/>
                      <w:kern w:val="0"/>
                    </w:rPr>
                  </w:pPr>
                  <w:r>
                    <w:rPr>
                      <w:rFonts w:hint="eastAsia" w:ascii="宋体" w:cs="宋体"/>
                      <w:kern w:val="0"/>
                    </w:rPr>
                    <w:t>生活污水</w:t>
                  </w:r>
                </w:p>
              </w:tc>
              <w:tc>
                <w:tcPr>
                  <w:tcW w:w="3495" w:type="pct"/>
                  <w:tcBorders>
                    <w:top w:val="single" w:color="000000" w:sz="4" w:space="0"/>
                    <w:left w:val="single" w:color="000000" w:sz="4" w:space="0"/>
                    <w:bottom w:val="single" w:color="000000" w:sz="4" w:space="0"/>
                    <w:right w:val="single" w:color="000000" w:sz="4" w:space="0"/>
                  </w:tcBorders>
                  <w:shd w:val="clear" w:color="auto" w:fill="auto"/>
                  <w:vAlign w:val="center"/>
                </w:tcPr>
                <w:p>
                  <w:pPr>
                    <w:autoSpaceDE w:val="0"/>
                    <w:autoSpaceDN w:val="0"/>
                    <w:adjustRightInd w:val="0"/>
                    <w:spacing w:line="320" w:lineRule="exact"/>
                    <w:ind w:left="107"/>
                    <w:jc w:val="left"/>
                    <w:rPr>
                      <w:rFonts w:ascii="宋体" w:cs="宋体"/>
                      <w:kern w:val="0"/>
                    </w:rPr>
                  </w:pPr>
                  <w:r>
                    <w:rPr>
                      <w:rFonts w:hint="eastAsia" w:ascii="宋体" w:cs="宋体"/>
                      <w:kern w:val="0"/>
                    </w:rPr>
                    <w:t>生产废水设沉淀池，经收集沉淀后可用于物料拌和等；生活污水经沉淀后用于绿化浇洒。</w:t>
                  </w:r>
                </w:p>
              </w:tc>
            </w:tr>
            <w:tr>
              <w:tblPrEx>
                <w:tblCellMar>
                  <w:top w:w="0" w:type="dxa"/>
                  <w:left w:w="0" w:type="dxa"/>
                  <w:bottom w:w="0" w:type="dxa"/>
                  <w:right w:w="0" w:type="dxa"/>
                </w:tblCellMar>
              </w:tblPrEx>
              <w:trPr>
                <w:trHeight w:val="340" w:hRule="atLeast"/>
                <w:jc w:val="center"/>
              </w:trPr>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autoSpaceDE w:val="0"/>
                    <w:autoSpaceDN w:val="0"/>
                    <w:adjustRightInd w:val="0"/>
                    <w:spacing w:line="320" w:lineRule="exact"/>
                    <w:ind w:left="223"/>
                    <w:jc w:val="center"/>
                    <w:rPr>
                      <w:rFonts w:ascii="宋体" w:cs="宋体"/>
                      <w:kern w:val="0"/>
                    </w:rPr>
                  </w:pPr>
                  <w:r>
                    <w:rPr>
                      <w:rFonts w:hint="eastAsia" w:ascii="宋体" w:cs="宋体"/>
                      <w:kern w:val="0"/>
                    </w:rPr>
                    <w:t>施</w:t>
                  </w:r>
                </w:p>
                <w:p>
                  <w:pPr>
                    <w:autoSpaceDE w:val="0"/>
                    <w:autoSpaceDN w:val="0"/>
                    <w:adjustRightInd w:val="0"/>
                    <w:spacing w:line="320" w:lineRule="exact"/>
                    <w:ind w:left="223"/>
                    <w:jc w:val="center"/>
                    <w:rPr>
                      <w:rFonts w:ascii="宋体" w:cs="宋体"/>
                      <w:kern w:val="0"/>
                    </w:rPr>
                  </w:pPr>
                  <w:r>
                    <w:rPr>
                      <w:rFonts w:hint="eastAsia" w:ascii="宋体" w:cs="宋体"/>
                      <w:kern w:val="0"/>
                    </w:rPr>
                    <w:t>工</w:t>
                  </w:r>
                </w:p>
                <w:p>
                  <w:pPr>
                    <w:autoSpaceDE w:val="0"/>
                    <w:autoSpaceDN w:val="0"/>
                    <w:adjustRightInd w:val="0"/>
                    <w:spacing w:line="320" w:lineRule="exact"/>
                    <w:ind w:left="223"/>
                    <w:jc w:val="center"/>
                    <w:rPr>
                      <w:rFonts w:ascii="宋体" w:cs="宋体"/>
                      <w:kern w:val="0"/>
                    </w:rPr>
                  </w:pPr>
                  <w:r>
                    <w:rPr>
                      <w:rFonts w:hint="eastAsia" w:ascii="宋体" w:cs="宋体"/>
                      <w:kern w:val="0"/>
                    </w:rPr>
                    <w:t>期</w:t>
                  </w:r>
                </w:p>
              </w:tc>
              <w:tc>
                <w:tcPr>
                  <w:tcW w:w="41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autoSpaceDE w:val="0"/>
                    <w:autoSpaceDN w:val="0"/>
                    <w:adjustRightInd w:val="0"/>
                    <w:spacing w:line="320" w:lineRule="exact"/>
                    <w:jc w:val="center"/>
                    <w:rPr>
                      <w:rFonts w:ascii="宋体" w:cs="宋体"/>
                      <w:kern w:val="0"/>
                    </w:rPr>
                  </w:pPr>
                  <w:r>
                    <w:rPr>
                      <w:rFonts w:hint="eastAsia" w:ascii="宋体" w:cs="宋体"/>
                      <w:kern w:val="0"/>
                    </w:rPr>
                    <w:t>固废</w:t>
                  </w:r>
                </w:p>
              </w:tc>
              <w:tc>
                <w:tcPr>
                  <w:tcW w:w="661" w:type="pct"/>
                  <w:tcBorders>
                    <w:top w:val="single" w:color="000000" w:sz="4" w:space="0"/>
                    <w:left w:val="single" w:color="000000" w:sz="4" w:space="0"/>
                    <w:bottom w:val="single" w:color="000000" w:sz="4" w:space="0"/>
                    <w:right w:val="single" w:color="000000" w:sz="4" w:space="0"/>
                  </w:tcBorders>
                  <w:shd w:val="clear" w:color="auto" w:fill="auto"/>
                  <w:vAlign w:val="center"/>
                </w:tcPr>
                <w:p>
                  <w:pPr>
                    <w:autoSpaceDE w:val="0"/>
                    <w:autoSpaceDN w:val="0"/>
                    <w:adjustRightInd w:val="0"/>
                    <w:spacing w:line="320" w:lineRule="exact"/>
                    <w:jc w:val="center"/>
                    <w:rPr>
                      <w:rFonts w:ascii="宋体" w:cs="宋体"/>
                      <w:kern w:val="0"/>
                    </w:rPr>
                  </w:pPr>
                  <w:r>
                    <w:rPr>
                      <w:rFonts w:hint="eastAsia" w:ascii="宋体" w:cs="宋体"/>
                      <w:kern w:val="0"/>
                    </w:rPr>
                    <w:t>土石方</w:t>
                  </w:r>
                </w:p>
              </w:tc>
              <w:tc>
                <w:tcPr>
                  <w:tcW w:w="3495" w:type="pct"/>
                  <w:tcBorders>
                    <w:top w:val="single" w:color="000000" w:sz="4" w:space="0"/>
                    <w:left w:val="single" w:color="000000" w:sz="4" w:space="0"/>
                    <w:bottom w:val="single" w:color="000000" w:sz="4" w:space="0"/>
                    <w:right w:val="single" w:color="000000" w:sz="4" w:space="0"/>
                  </w:tcBorders>
                  <w:shd w:val="clear" w:color="auto" w:fill="auto"/>
                  <w:vAlign w:val="center"/>
                </w:tcPr>
                <w:p>
                  <w:pPr>
                    <w:autoSpaceDE w:val="0"/>
                    <w:autoSpaceDN w:val="0"/>
                    <w:adjustRightInd w:val="0"/>
                    <w:spacing w:line="320" w:lineRule="exact"/>
                    <w:ind w:left="107"/>
                    <w:jc w:val="left"/>
                    <w:rPr>
                      <w:rFonts w:ascii="宋体" w:cs="宋体"/>
                      <w:kern w:val="0"/>
                    </w:rPr>
                  </w:pPr>
                  <w:r>
                    <w:rPr>
                      <w:rFonts w:hint="eastAsia" w:ascii="宋体" w:cs="宋体"/>
                      <w:kern w:val="0"/>
                    </w:rPr>
                    <w:t>检修道路修筑时应移挖作填，严禁顺坡倾倒土石方。</w:t>
                  </w:r>
                </w:p>
              </w:tc>
            </w:tr>
            <w:tr>
              <w:tblPrEx>
                <w:tblCellMar>
                  <w:top w:w="0" w:type="dxa"/>
                  <w:left w:w="0" w:type="dxa"/>
                  <w:bottom w:w="0" w:type="dxa"/>
                  <w:right w:w="0" w:type="dxa"/>
                </w:tblCellMar>
              </w:tblPrEx>
              <w:trPr>
                <w:trHeight w:val="340" w:hRule="atLeast"/>
                <w:jc w:val="center"/>
              </w:trPr>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autoSpaceDE w:val="0"/>
                    <w:autoSpaceDN w:val="0"/>
                    <w:adjustRightInd w:val="0"/>
                    <w:spacing w:line="320" w:lineRule="exact"/>
                    <w:ind w:left="223"/>
                    <w:jc w:val="center"/>
                    <w:rPr>
                      <w:rFonts w:ascii="宋体" w:cs="宋体"/>
                      <w:kern w:val="0"/>
                    </w:rPr>
                  </w:pPr>
                  <w:r>
                    <w:rPr>
                      <w:rFonts w:hint="eastAsia" w:ascii="宋体" w:cs="宋体"/>
                      <w:kern w:val="0"/>
                    </w:rPr>
                    <w:t>施</w:t>
                  </w:r>
                </w:p>
                <w:p>
                  <w:pPr>
                    <w:autoSpaceDE w:val="0"/>
                    <w:autoSpaceDN w:val="0"/>
                    <w:adjustRightInd w:val="0"/>
                    <w:spacing w:line="320" w:lineRule="exact"/>
                    <w:ind w:left="223"/>
                    <w:jc w:val="center"/>
                    <w:rPr>
                      <w:rFonts w:ascii="宋体" w:cs="宋体"/>
                      <w:kern w:val="0"/>
                    </w:rPr>
                  </w:pPr>
                  <w:r>
                    <w:rPr>
                      <w:rFonts w:hint="eastAsia" w:ascii="宋体" w:cs="宋体"/>
                      <w:kern w:val="0"/>
                    </w:rPr>
                    <w:t>工</w:t>
                  </w:r>
                </w:p>
                <w:p>
                  <w:pPr>
                    <w:autoSpaceDE w:val="0"/>
                    <w:autoSpaceDN w:val="0"/>
                    <w:adjustRightInd w:val="0"/>
                    <w:spacing w:line="320" w:lineRule="exact"/>
                    <w:ind w:left="223"/>
                    <w:jc w:val="center"/>
                    <w:rPr>
                      <w:rFonts w:ascii="宋体" w:cs="宋体"/>
                      <w:kern w:val="0"/>
                    </w:rPr>
                  </w:pPr>
                  <w:r>
                    <w:rPr>
                      <w:rFonts w:hint="eastAsia" w:ascii="宋体" w:cs="宋体"/>
                      <w:kern w:val="0"/>
                    </w:rPr>
                    <w:t>期</w:t>
                  </w: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autoSpaceDE w:val="0"/>
                    <w:autoSpaceDN w:val="0"/>
                    <w:adjustRightInd w:val="0"/>
                    <w:spacing w:line="320" w:lineRule="exact"/>
                    <w:ind w:left="131"/>
                    <w:jc w:val="center"/>
                    <w:rPr>
                      <w:rFonts w:ascii="宋体" w:cs="宋体"/>
                      <w:kern w:val="0"/>
                    </w:rPr>
                  </w:pPr>
                  <w:r>
                    <w:rPr>
                      <w:rFonts w:hint="eastAsia" w:ascii="宋体" w:cs="宋体"/>
                      <w:kern w:val="0"/>
                    </w:rPr>
                    <w:t>固废</w:t>
                  </w:r>
                </w:p>
              </w:tc>
              <w:tc>
                <w:tcPr>
                  <w:tcW w:w="661" w:type="pct"/>
                  <w:tcBorders>
                    <w:top w:val="single" w:color="000000" w:sz="4" w:space="0"/>
                    <w:left w:val="single" w:color="000000" w:sz="4" w:space="0"/>
                    <w:bottom w:val="single" w:color="000000" w:sz="4" w:space="0"/>
                    <w:right w:val="single" w:color="000000" w:sz="4" w:space="0"/>
                  </w:tcBorders>
                  <w:shd w:val="clear" w:color="auto" w:fill="auto"/>
                  <w:vAlign w:val="center"/>
                </w:tcPr>
                <w:p>
                  <w:pPr>
                    <w:autoSpaceDE w:val="0"/>
                    <w:autoSpaceDN w:val="0"/>
                    <w:adjustRightInd w:val="0"/>
                    <w:spacing w:line="320" w:lineRule="exact"/>
                    <w:jc w:val="center"/>
                    <w:rPr>
                      <w:rFonts w:ascii="宋体" w:cs="宋体"/>
                      <w:kern w:val="0"/>
                    </w:rPr>
                  </w:pPr>
                  <w:r>
                    <w:rPr>
                      <w:rFonts w:hint="eastAsia" w:ascii="宋体" w:cs="宋体"/>
                      <w:kern w:val="0"/>
                    </w:rPr>
                    <w:t>生活垃圾</w:t>
                  </w:r>
                </w:p>
              </w:tc>
              <w:tc>
                <w:tcPr>
                  <w:tcW w:w="3495" w:type="pct"/>
                  <w:tcBorders>
                    <w:top w:val="single" w:color="000000" w:sz="4" w:space="0"/>
                    <w:left w:val="single" w:color="000000" w:sz="4" w:space="0"/>
                    <w:bottom w:val="single" w:color="000000" w:sz="4" w:space="0"/>
                    <w:right w:val="single" w:color="000000" w:sz="4" w:space="0"/>
                  </w:tcBorders>
                  <w:shd w:val="clear" w:color="auto" w:fill="auto"/>
                  <w:vAlign w:val="center"/>
                </w:tcPr>
                <w:p>
                  <w:pPr>
                    <w:autoSpaceDE w:val="0"/>
                    <w:autoSpaceDN w:val="0"/>
                    <w:adjustRightInd w:val="0"/>
                    <w:spacing w:line="320" w:lineRule="exact"/>
                    <w:ind w:left="107"/>
                    <w:jc w:val="left"/>
                    <w:rPr>
                      <w:rFonts w:ascii="宋体" w:cs="宋体"/>
                      <w:kern w:val="0"/>
                    </w:rPr>
                  </w:pPr>
                  <w:r>
                    <w:rPr>
                      <w:rFonts w:hint="eastAsia" w:ascii="宋体" w:cs="宋体"/>
                      <w:kern w:val="0"/>
                    </w:rPr>
                    <w:t>施工营地设垃圾桶，集中收集后送至当地环卫部门指定地点处置。</w:t>
                  </w:r>
                </w:p>
              </w:tc>
            </w:tr>
            <w:tr>
              <w:tblPrEx>
                <w:tblCellMar>
                  <w:top w:w="0" w:type="dxa"/>
                  <w:left w:w="0" w:type="dxa"/>
                  <w:bottom w:w="0" w:type="dxa"/>
                  <w:right w:w="0" w:type="dxa"/>
                </w:tblCellMar>
              </w:tblPrEx>
              <w:trPr>
                <w:trHeight w:val="340" w:hRule="atLeast"/>
                <w:jc w:val="center"/>
              </w:trPr>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autoSpaceDE w:val="0"/>
                    <w:autoSpaceDN w:val="0"/>
                    <w:adjustRightInd w:val="0"/>
                    <w:spacing w:line="320" w:lineRule="exact"/>
                    <w:ind w:left="223"/>
                    <w:jc w:val="center"/>
                    <w:rPr>
                      <w:rFonts w:ascii="宋体" w:cs="宋体"/>
                      <w:kern w:val="0"/>
                    </w:rPr>
                  </w:pPr>
                  <w:r>
                    <w:rPr>
                      <w:rFonts w:hint="eastAsia" w:ascii="宋体" w:cs="宋体"/>
                      <w:kern w:val="0"/>
                    </w:rPr>
                    <w:t>施</w:t>
                  </w:r>
                </w:p>
                <w:p>
                  <w:pPr>
                    <w:autoSpaceDE w:val="0"/>
                    <w:autoSpaceDN w:val="0"/>
                    <w:adjustRightInd w:val="0"/>
                    <w:spacing w:line="320" w:lineRule="exact"/>
                    <w:ind w:left="223"/>
                    <w:jc w:val="center"/>
                    <w:rPr>
                      <w:rFonts w:ascii="宋体" w:cs="宋体"/>
                      <w:kern w:val="0"/>
                    </w:rPr>
                  </w:pPr>
                  <w:r>
                    <w:rPr>
                      <w:rFonts w:hint="eastAsia" w:ascii="宋体" w:cs="宋体"/>
                      <w:kern w:val="0"/>
                    </w:rPr>
                    <w:t>工</w:t>
                  </w:r>
                </w:p>
                <w:p>
                  <w:pPr>
                    <w:autoSpaceDE w:val="0"/>
                    <w:autoSpaceDN w:val="0"/>
                    <w:adjustRightInd w:val="0"/>
                    <w:spacing w:line="320" w:lineRule="exact"/>
                    <w:ind w:left="223"/>
                    <w:jc w:val="center"/>
                    <w:rPr>
                      <w:rFonts w:ascii="宋体" w:cs="宋体"/>
                      <w:kern w:val="0"/>
                    </w:rPr>
                  </w:pPr>
                  <w:r>
                    <w:rPr>
                      <w:rFonts w:hint="eastAsia" w:ascii="宋体" w:cs="宋体"/>
                      <w:kern w:val="0"/>
                    </w:rPr>
                    <w:t>期</w:t>
                  </w: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pPr>
                    <w:autoSpaceDE w:val="0"/>
                    <w:autoSpaceDN w:val="0"/>
                    <w:adjustRightInd w:val="0"/>
                    <w:spacing w:line="320" w:lineRule="exact"/>
                    <w:jc w:val="center"/>
                    <w:rPr>
                      <w:rFonts w:ascii="宋体" w:cs="宋体"/>
                      <w:kern w:val="0"/>
                    </w:rPr>
                  </w:pPr>
                  <w:r>
                    <w:rPr>
                      <w:rFonts w:hint="eastAsia" w:ascii="宋体" w:cs="宋体"/>
                      <w:kern w:val="0"/>
                    </w:rPr>
                    <w:t>生态</w:t>
                  </w:r>
                </w:p>
              </w:tc>
              <w:tc>
                <w:tcPr>
                  <w:tcW w:w="661" w:type="pct"/>
                  <w:tcBorders>
                    <w:top w:val="single" w:color="000000" w:sz="4" w:space="0"/>
                    <w:left w:val="single" w:color="000000" w:sz="4" w:space="0"/>
                    <w:bottom w:val="single" w:color="000000" w:sz="4" w:space="0"/>
                    <w:right w:val="single" w:color="000000" w:sz="4" w:space="0"/>
                  </w:tcBorders>
                  <w:shd w:val="clear" w:color="auto" w:fill="auto"/>
                  <w:vAlign w:val="center"/>
                </w:tcPr>
                <w:p>
                  <w:pPr>
                    <w:autoSpaceDE w:val="0"/>
                    <w:autoSpaceDN w:val="0"/>
                    <w:adjustRightInd w:val="0"/>
                    <w:spacing w:line="320" w:lineRule="exact"/>
                    <w:jc w:val="center"/>
                    <w:rPr>
                      <w:rFonts w:ascii="宋体" w:cs="宋体"/>
                      <w:kern w:val="0"/>
                    </w:rPr>
                  </w:pPr>
                  <w:r>
                    <w:rPr>
                      <w:rFonts w:hint="eastAsia" w:ascii="宋体" w:cs="宋体"/>
                      <w:kern w:val="0"/>
                    </w:rPr>
                    <w:t>施工行为</w:t>
                  </w:r>
                </w:p>
              </w:tc>
              <w:tc>
                <w:tcPr>
                  <w:tcW w:w="3495" w:type="pct"/>
                  <w:tcBorders>
                    <w:top w:val="single" w:color="000000" w:sz="4" w:space="0"/>
                    <w:left w:val="single" w:color="000000" w:sz="4" w:space="0"/>
                    <w:bottom w:val="single" w:color="000000" w:sz="4" w:space="0"/>
                    <w:right w:val="single" w:color="000000" w:sz="4" w:space="0"/>
                  </w:tcBorders>
                  <w:shd w:val="clear" w:color="auto" w:fill="auto"/>
                  <w:vAlign w:val="center"/>
                </w:tcPr>
                <w:p>
                  <w:pPr>
                    <w:autoSpaceDE w:val="0"/>
                    <w:autoSpaceDN w:val="0"/>
                    <w:adjustRightInd w:val="0"/>
                    <w:spacing w:line="320" w:lineRule="exact"/>
                    <w:ind w:left="107"/>
                    <w:jc w:val="left"/>
                    <w:rPr>
                      <w:rFonts w:ascii="宋体" w:cs="宋体"/>
                      <w:kern w:val="0"/>
                    </w:rPr>
                  </w:pPr>
                  <w:r>
                    <w:rPr>
                      <w:rFonts w:hint="eastAsia" w:ascii="宋体" w:cs="宋体"/>
                      <w:kern w:val="0"/>
                    </w:rPr>
                    <w:t>施工单位应严格控制施工范围，尽量避免占用成林地和砍伐林木；施工结束后对临时占地区应及时平整，进行植被恢复或土地复垦。施工避开雨天和大风天，基础开挖、道路修筑要做好边坡防护和水土流失防治措施。</w:t>
                  </w:r>
                </w:p>
              </w:tc>
            </w:tr>
            <w:tr>
              <w:tblPrEx>
                <w:tblCellMar>
                  <w:top w:w="0" w:type="dxa"/>
                  <w:left w:w="0" w:type="dxa"/>
                  <w:bottom w:w="0" w:type="dxa"/>
                  <w:right w:w="0" w:type="dxa"/>
                </w:tblCellMar>
              </w:tblPrEx>
              <w:trPr>
                <w:trHeight w:val="340" w:hRule="atLeast"/>
                <w:jc w:val="center"/>
              </w:trPr>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autoSpaceDE w:val="0"/>
                    <w:autoSpaceDN w:val="0"/>
                    <w:adjustRightInd w:val="0"/>
                    <w:spacing w:line="320" w:lineRule="exact"/>
                    <w:ind w:left="223"/>
                    <w:jc w:val="center"/>
                    <w:rPr>
                      <w:rFonts w:ascii="宋体" w:cs="宋体"/>
                      <w:kern w:val="0"/>
                    </w:rPr>
                  </w:pPr>
                  <w:r>
                    <w:rPr>
                      <w:rFonts w:hint="eastAsia" w:ascii="宋体" w:cs="宋体"/>
                      <w:kern w:val="0"/>
                    </w:rPr>
                    <w:t>施</w:t>
                  </w:r>
                </w:p>
                <w:p>
                  <w:pPr>
                    <w:autoSpaceDE w:val="0"/>
                    <w:autoSpaceDN w:val="0"/>
                    <w:adjustRightInd w:val="0"/>
                    <w:spacing w:line="320" w:lineRule="exact"/>
                    <w:ind w:left="223"/>
                    <w:jc w:val="center"/>
                    <w:rPr>
                      <w:rFonts w:ascii="宋体" w:cs="宋体"/>
                      <w:kern w:val="0"/>
                    </w:rPr>
                  </w:pPr>
                  <w:r>
                    <w:rPr>
                      <w:rFonts w:hint="eastAsia" w:ascii="宋体" w:cs="宋体"/>
                      <w:kern w:val="0"/>
                    </w:rPr>
                    <w:t>工</w:t>
                  </w:r>
                </w:p>
                <w:p>
                  <w:pPr>
                    <w:autoSpaceDE w:val="0"/>
                    <w:autoSpaceDN w:val="0"/>
                    <w:adjustRightInd w:val="0"/>
                    <w:spacing w:line="320" w:lineRule="exact"/>
                    <w:ind w:left="223"/>
                    <w:jc w:val="center"/>
                    <w:rPr>
                      <w:rFonts w:ascii="宋体" w:cs="宋体"/>
                      <w:kern w:val="0"/>
                    </w:rPr>
                  </w:pPr>
                  <w:r>
                    <w:rPr>
                      <w:rFonts w:hint="eastAsia" w:ascii="宋体" w:cs="宋体"/>
                      <w:kern w:val="0"/>
                    </w:rPr>
                    <w:t>期</w:t>
                  </w: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pPr>
                    <w:autoSpaceDE w:val="0"/>
                    <w:autoSpaceDN w:val="0"/>
                    <w:adjustRightInd w:val="0"/>
                    <w:spacing w:line="320" w:lineRule="exact"/>
                    <w:jc w:val="center"/>
                    <w:rPr>
                      <w:rFonts w:ascii="宋体" w:cs="宋体"/>
                      <w:kern w:val="0"/>
                    </w:rPr>
                  </w:pPr>
                  <w:r>
                    <w:rPr>
                      <w:rFonts w:hint="eastAsia" w:ascii="宋体" w:cs="宋体"/>
                      <w:kern w:val="0"/>
                    </w:rPr>
                    <w:t>管理</w:t>
                  </w:r>
                </w:p>
              </w:tc>
              <w:tc>
                <w:tcPr>
                  <w:tcW w:w="661" w:type="pct"/>
                  <w:tcBorders>
                    <w:top w:val="single" w:color="000000" w:sz="4" w:space="0"/>
                    <w:left w:val="single" w:color="000000" w:sz="4" w:space="0"/>
                    <w:bottom w:val="single" w:color="000000" w:sz="4" w:space="0"/>
                    <w:right w:val="single" w:color="000000" w:sz="4" w:space="0"/>
                  </w:tcBorders>
                  <w:shd w:val="clear" w:color="auto" w:fill="auto"/>
                  <w:vAlign w:val="center"/>
                </w:tcPr>
                <w:p>
                  <w:pPr>
                    <w:autoSpaceDE w:val="0"/>
                    <w:autoSpaceDN w:val="0"/>
                    <w:adjustRightInd w:val="0"/>
                    <w:spacing w:line="320" w:lineRule="exact"/>
                    <w:jc w:val="center"/>
                    <w:rPr>
                      <w:rFonts w:ascii="宋体" w:cs="宋体"/>
                      <w:kern w:val="0"/>
                    </w:rPr>
                  </w:pPr>
                  <w:r>
                    <w:rPr>
                      <w:rFonts w:hint="eastAsia" w:ascii="宋体" w:cs="宋体"/>
                      <w:kern w:val="0"/>
                    </w:rPr>
                    <w:t>施工过程</w:t>
                  </w:r>
                </w:p>
              </w:tc>
              <w:tc>
                <w:tcPr>
                  <w:tcW w:w="3495" w:type="pct"/>
                  <w:tcBorders>
                    <w:top w:val="single" w:color="000000" w:sz="4" w:space="0"/>
                    <w:left w:val="single" w:color="000000" w:sz="4" w:space="0"/>
                    <w:bottom w:val="single" w:color="000000" w:sz="4" w:space="0"/>
                    <w:right w:val="single" w:color="000000" w:sz="4" w:space="0"/>
                  </w:tcBorders>
                  <w:shd w:val="clear" w:color="auto" w:fill="auto"/>
                  <w:vAlign w:val="center"/>
                </w:tcPr>
                <w:p>
                  <w:pPr>
                    <w:autoSpaceDE w:val="0"/>
                    <w:autoSpaceDN w:val="0"/>
                    <w:adjustRightInd w:val="0"/>
                    <w:spacing w:line="320" w:lineRule="exact"/>
                    <w:ind w:left="107"/>
                    <w:jc w:val="left"/>
                    <w:rPr>
                      <w:rFonts w:ascii="宋体" w:cs="宋体"/>
                      <w:kern w:val="0"/>
                    </w:rPr>
                  </w:pPr>
                  <w:r>
                    <w:rPr>
                      <w:rFonts w:hint="eastAsia" w:ascii="宋体" w:cs="宋体"/>
                      <w:kern w:val="0"/>
                    </w:rPr>
                    <w:t>本项目施工期应有专人负责环境保护措施的监督管理工作，确保施工期各项环保措施的实施，对施工过程是否造成水土流失加剧和生态环境破坏，是否符合国家有关环保法律、法规等进行监督并及时解决纠正。</w:t>
                  </w:r>
                </w:p>
              </w:tc>
            </w:tr>
          </w:tbl>
          <w:p>
            <w:pPr>
              <w:adjustRightInd w:val="0"/>
              <w:snapToGrid w:val="0"/>
              <w:spacing w:line="480" w:lineRule="exact"/>
              <w:ind w:firstLine="520" w:firstLineChars="200"/>
              <w:rPr>
                <w:bCs/>
                <w:spacing w:val="10"/>
                <w:sz w:val="24"/>
                <w:szCs w:val="24"/>
              </w:rPr>
            </w:pPr>
          </w:p>
          <w:p>
            <w:pPr>
              <w:adjustRightInd w:val="0"/>
              <w:snapToGrid w:val="0"/>
              <w:spacing w:line="480" w:lineRule="exact"/>
              <w:ind w:firstLine="460" w:firstLineChars="200"/>
              <w:rPr>
                <w:bCs/>
                <w:spacing w:val="10"/>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78" w:hRule="atLeast"/>
          <w:jc w:val="center"/>
        </w:trPr>
        <w:tc>
          <w:tcPr>
            <w:tcW w:w="557" w:type="dxa"/>
            <w:tcMar>
              <w:left w:w="28" w:type="dxa"/>
              <w:right w:w="28" w:type="dxa"/>
            </w:tcMar>
            <w:vAlign w:val="center"/>
          </w:tcPr>
          <w:p>
            <w:pPr>
              <w:adjustRightInd w:val="0"/>
              <w:snapToGrid w:val="0"/>
              <w:jc w:val="center"/>
              <w:rPr>
                <w:rFonts w:ascii="宋体" w:hAnsi="宋体" w:cs="宋体"/>
                <w:bCs/>
                <w:spacing w:val="10"/>
              </w:rPr>
            </w:pPr>
            <w:r>
              <w:rPr>
                <w:rFonts w:hint="eastAsia" w:ascii="宋体" w:hAnsi="宋体" w:cs="宋体"/>
                <w:bCs/>
                <w:spacing w:val="10"/>
              </w:rPr>
              <w:t>运营期生态环境保护措施</w:t>
            </w:r>
          </w:p>
        </w:tc>
        <w:tc>
          <w:tcPr>
            <w:tcW w:w="8805" w:type="dxa"/>
          </w:tcPr>
          <w:p>
            <w:pPr>
              <w:adjustRightInd w:val="0"/>
              <w:snapToGrid w:val="0"/>
              <w:spacing w:line="480" w:lineRule="exact"/>
              <w:ind w:firstLine="522" w:firstLineChars="200"/>
              <w:rPr>
                <w:b/>
                <w:spacing w:val="10"/>
                <w:sz w:val="24"/>
                <w:szCs w:val="24"/>
              </w:rPr>
            </w:pPr>
            <w:r>
              <w:rPr>
                <w:b/>
                <w:spacing w:val="10"/>
                <w:sz w:val="24"/>
                <w:szCs w:val="24"/>
              </w:rPr>
              <w:t>1、</w:t>
            </w:r>
            <w:r>
              <w:rPr>
                <w:rFonts w:hint="eastAsia"/>
                <w:b/>
                <w:spacing w:val="10"/>
                <w:sz w:val="24"/>
                <w:szCs w:val="24"/>
              </w:rPr>
              <w:t>运营</w:t>
            </w:r>
            <w:r>
              <w:rPr>
                <w:b/>
                <w:spacing w:val="10"/>
                <w:sz w:val="24"/>
                <w:szCs w:val="24"/>
              </w:rPr>
              <w:t>期生态保护措施</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bCs/>
                <w:sz w:val="24"/>
                <w:szCs w:val="24"/>
                <w:lang w:val="en-US" w:eastAsia="zh-CN"/>
              </w:rPr>
            </w:pPr>
            <w:r>
              <w:rPr>
                <w:rFonts w:hint="eastAsia"/>
                <w:bCs/>
                <w:sz w:val="24"/>
                <w:szCs w:val="24"/>
                <w:lang w:val="en-US" w:eastAsia="zh-CN"/>
              </w:rPr>
              <w:t>①项目永久占地采取占补平衡的原则，特别是占地耕地及时进行补偿。临时占地恢复为道路边的绿地。改造成主干道周边的绿地，恢复植被。</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bCs/>
                <w:sz w:val="24"/>
                <w:szCs w:val="24"/>
              </w:rPr>
            </w:pPr>
            <w:r>
              <w:rPr>
                <w:rFonts w:hint="eastAsia"/>
                <w:bCs/>
                <w:sz w:val="24"/>
                <w:szCs w:val="24"/>
                <w:lang w:val="en-US" w:eastAsia="zh-CN"/>
              </w:rPr>
              <w:t>②</w:t>
            </w:r>
            <w:r>
              <w:rPr>
                <w:rFonts w:hint="default"/>
                <w:bCs/>
                <w:sz w:val="24"/>
                <w:szCs w:val="24"/>
              </w:rPr>
              <w:t>及时实施</w:t>
            </w:r>
            <w:r>
              <w:rPr>
                <w:rFonts w:hint="eastAsia"/>
                <w:bCs/>
                <w:sz w:val="24"/>
                <w:szCs w:val="24"/>
                <w:lang w:eastAsia="zh-CN"/>
              </w:rPr>
              <w:t>道路</w:t>
            </w:r>
            <w:r>
              <w:rPr>
                <w:rFonts w:hint="default"/>
                <w:bCs/>
                <w:sz w:val="24"/>
                <w:szCs w:val="24"/>
              </w:rPr>
              <w:t>绿化工程，并加强对绿化植物管理与养护，使之保证成活。</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bCs/>
                <w:sz w:val="24"/>
                <w:szCs w:val="24"/>
              </w:rPr>
            </w:pPr>
            <w:r>
              <w:rPr>
                <w:rFonts w:hint="eastAsia"/>
                <w:bCs/>
                <w:sz w:val="24"/>
                <w:szCs w:val="24"/>
                <w:lang w:val="en-US" w:eastAsia="zh-CN"/>
              </w:rPr>
              <w:t>③</w:t>
            </w:r>
            <w:r>
              <w:rPr>
                <w:rFonts w:hint="default"/>
                <w:bCs/>
                <w:sz w:val="24"/>
                <w:szCs w:val="24"/>
              </w:rPr>
              <w:t>组建完善的道路管理、维护队伍，及时修复受损路面和设施，适时修整道路绿化工程，按需浇水，保证路面完好、绿化带的成活率和美观性。</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bCs/>
                <w:sz w:val="24"/>
                <w:szCs w:val="24"/>
              </w:rPr>
            </w:pPr>
            <w:r>
              <w:rPr>
                <w:rFonts w:hint="eastAsia"/>
                <w:bCs/>
                <w:sz w:val="24"/>
                <w:szCs w:val="24"/>
                <w:lang w:val="en-US" w:eastAsia="zh-CN"/>
              </w:rPr>
              <w:t>④</w:t>
            </w:r>
            <w:r>
              <w:rPr>
                <w:rFonts w:hint="default"/>
                <w:bCs/>
                <w:sz w:val="24"/>
                <w:szCs w:val="24"/>
              </w:rPr>
              <w:t>强化</w:t>
            </w:r>
            <w:r>
              <w:rPr>
                <w:rFonts w:hint="eastAsia"/>
                <w:bCs/>
                <w:sz w:val="24"/>
                <w:szCs w:val="24"/>
                <w:lang w:eastAsia="zh-CN"/>
              </w:rPr>
              <w:t>道路</w:t>
            </w:r>
            <w:r>
              <w:rPr>
                <w:rFonts w:hint="default"/>
                <w:bCs/>
                <w:sz w:val="24"/>
                <w:szCs w:val="24"/>
              </w:rPr>
              <w:t>沿线固体废弃物污染治理的监督工作，要求运输含尘物料的汽车加盖蓬布，服务区、收费站等沿线设施设置垃圾箱，对产生的餐饮、生活垃圾等固体废弃物均要组织回收、分类，并且定期集中运往附近城镇垃圾站处理。</w:t>
            </w:r>
          </w:p>
          <w:p>
            <w:pPr>
              <w:adjustRightInd w:val="0"/>
              <w:snapToGrid w:val="0"/>
              <w:spacing w:line="480" w:lineRule="exact"/>
              <w:ind w:firstLine="522" w:firstLineChars="200"/>
              <w:rPr>
                <w:b/>
                <w:spacing w:val="10"/>
                <w:sz w:val="24"/>
                <w:szCs w:val="24"/>
              </w:rPr>
            </w:pPr>
            <w:r>
              <w:rPr>
                <w:b/>
                <w:spacing w:val="10"/>
                <w:sz w:val="24"/>
                <w:szCs w:val="24"/>
              </w:rPr>
              <w:t>2、</w:t>
            </w:r>
            <w:r>
              <w:rPr>
                <w:rFonts w:hint="eastAsia"/>
                <w:b/>
                <w:spacing w:val="10"/>
                <w:sz w:val="24"/>
                <w:szCs w:val="24"/>
              </w:rPr>
              <w:t>运营期大气污染防治措施</w:t>
            </w:r>
          </w:p>
          <w:p>
            <w:pPr>
              <w:spacing w:line="480" w:lineRule="exact"/>
              <w:ind w:firstLine="480" w:firstLineChars="200"/>
              <w:rPr>
                <w:rFonts w:hint="eastAsia"/>
                <w:bCs/>
                <w:sz w:val="24"/>
                <w:szCs w:val="24"/>
              </w:rPr>
            </w:pPr>
            <w:r>
              <w:rPr>
                <w:rFonts w:hint="eastAsia"/>
                <w:bCs/>
                <w:sz w:val="24"/>
                <w:szCs w:val="24"/>
                <w:lang w:val="en-US" w:eastAsia="zh-CN"/>
              </w:rPr>
              <w:t>①</w:t>
            </w:r>
            <w:r>
              <w:rPr>
                <w:rFonts w:hint="eastAsia"/>
                <w:bCs/>
                <w:sz w:val="24"/>
                <w:szCs w:val="24"/>
              </w:rPr>
              <w:t>加强道路管理，确保道路顺畅，</w:t>
            </w:r>
            <w:r>
              <w:rPr>
                <w:rFonts w:hint="eastAsia"/>
                <w:bCs/>
                <w:sz w:val="24"/>
                <w:szCs w:val="24"/>
                <w:lang w:val="en-US" w:eastAsia="zh-CN"/>
              </w:rPr>
              <w:t>尽量</w:t>
            </w:r>
            <w:r>
              <w:rPr>
                <w:rFonts w:hint="eastAsia"/>
                <w:bCs/>
                <w:sz w:val="24"/>
                <w:szCs w:val="24"/>
              </w:rPr>
              <w:t>提高车速，减少汽车尾气排放；</w:t>
            </w:r>
          </w:p>
          <w:p>
            <w:pPr>
              <w:spacing w:line="480" w:lineRule="exact"/>
              <w:ind w:firstLine="480" w:firstLineChars="200"/>
              <w:rPr>
                <w:bCs/>
                <w:sz w:val="24"/>
                <w:szCs w:val="24"/>
              </w:rPr>
            </w:pPr>
            <w:r>
              <w:rPr>
                <w:rFonts w:hint="eastAsia"/>
                <w:bCs/>
                <w:sz w:val="24"/>
                <w:szCs w:val="24"/>
                <w:lang w:val="en-US" w:eastAsia="zh-CN"/>
              </w:rPr>
              <w:t>②</w:t>
            </w:r>
            <w:r>
              <w:rPr>
                <w:rFonts w:hint="eastAsia"/>
                <w:bCs/>
                <w:sz w:val="24"/>
                <w:szCs w:val="24"/>
              </w:rPr>
              <w:t>后期工作中加强道路两侧和中央绿化工作，利用植物吸收污染物，减轻污染。</w:t>
            </w:r>
          </w:p>
          <w:p>
            <w:pPr>
              <w:adjustRightInd w:val="0"/>
              <w:snapToGrid w:val="0"/>
              <w:spacing w:line="480" w:lineRule="exact"/>
              <w:ind w:firstLine="522" w:firstLineChars="200"/>
              <w:rPr>
                <w:b/>
                <w:spacing w:val="10"/>
                <w:sz w:val="24"/>
                <w:szCs w:val="24"/>
              </w:rPr>
            </w:pPr>
            <w:r>
              <w:rPr>
                <w:b/>
                <w:spacing w:val="10"/>
                <w:sz w:val="24"/>
                <w:szCs w:val="24"/>
              </w:rPr>
              <w:t>3、</w:t>
            </w:r>
            <w:r>
              <w:rPr>
                <w:rFonts w:hint="eastAsia"/>
                <w:b/>
                <w:spacing w:val="10"/>
                <w:sz w:val="24"/>
                <w:szCs w:val="24"/>
              </w:rPr>
              <w:t>运营期</w:t>
            </w:r>
            <w:r>
              <w:rPr>
                <w:rFonts w:hint="eastAsia"/>
                <w:b/>
                <w:spacing w:val="10"/>
                <w:sz w:val="24"/>
                <w:szCs w:val="24"/>
                <w:lang w:val="en-US" w:eastAsia="zh-CN"/>
              </w:rPr>
              <w:t>噪声污染防治措施</w:t>
            </w:r>
          </w:p>
          <w:p>
            <w:pPr>
              <w:adjustRightInd w:val="0"/>
              <w:snapToGrid w:val="0"/>
              <w:spacing w:line="480" w:lineRule="exact"/>
              <w:ind w:firstLine="480" w:firstLineChars="200"/>
              <w:rPr>
                <w:rFonts w:hint="eastAsia"/>
                <w:bCs/>
                <w:sz w:val="24"/>
                <w:szCs w:val="24"/>
              </w:rPr>
            </w:pPr>
            <w:r>
              <w:rPr>
                <w:rFonts w:hint="eastAsia"/>
                <w:bCs/>
                <w:sz w:val="24"/>
                <w:szCs w:val="24"/>
              </w:rPr>
              <w:t>①控制行车噪声</w:t>
            </w:r>
          </w:p>
          <w:p>
            <w:pPr>
              <w:adjustRightInd w:val="0"/>
              <w:snapToGrid w:val="0"/>
              <w:spacing w:line="480" w:lineRule="exact"/>
              <w:ind w:firstLine="480" w:firstLineChars="200"/>
              <w:rPr>
                <w:rFonts w:hint="eastAsia"/>
                <w:bCs/>
                <w:sz w:val="24"/>
                <w:szCs w:val="24"/>
              </w:rPr>
            </w:pPr>
            <w:r>
              <w:rPr>
                <w:rFonts w:hint="eastAsia"/>
                <w:bCs/>
                <w:sz w:val="24"/>
                <w:szCs w:val="24"/>
              </w:rPr>
              <w:t>根据《中华人民共和国环境噪声污染防治条例》，加强公共交通、</w:t>
            </w:r>
            <w:r>
              <w:rPr>
                <w:rFonts w:hint="eastAsia"/>
                <w:bCs/>
                <w:sz w:val="24"/>
                <w:szCs w:val="24"/>
                <w:lang w:eastAsia="zh-CN"/>
              </w:rPr>
              <w:t>道路</w:t>
            </w:r>
            <w:r>
              <w:rPr>
                <w:rFonts w:hint="eastAsia"/>
                <w:bCs/>
                <w:sz w:val="24"/>
                <w:szCs w:val="24"/>
              </w:rPr>
              <w:t>运输管理。</w:t>
            </w:r>
          </w:p>
          <w:p>
            <w:pPr>
              <w:adjustRightInd w:val="0"/>
              <w:snapToGrid w:val="0"/>
              <w:spacing w:line="480" w:lineRule="exact"/>
              <w:ind w:firstLine="480" w:firstLineChars="200"/>
              <w:rPr>
                <w:rFonts w:hint="eastAsia"/>
                <w:bCs/>
                <w:sz w:val="24"/>
                <w:szCs w:val="24"/>
              </w:rPr>
            </w:pPr>
            <w:r>
              <w:rPr>
                <w:rFonts w:hint="eastAsia"/>
                <w:bCs/>
                <w:sz w:val="24"/>
                <w:szCs w:val="24"/>
              </w:rPr>
              <w:t>②加强道路养护</w:t>
            </w:r>
          </w:p>
          <w:p>
            <w:pPr>
              <w:adjustRightInd w:val="0"/>
              <w:snapToGrid w:val="0"/>
              <w:spacing w:line="480" w:lineRule="exact"/>
              <w:ind w:firstLine="480" w:firstLineChars="200"/>
              <w:rPr>
                <w:rFonts w:hint="eastAsia"/>
                <w:bCs/>
                <w:sz w:val="24"/>
                <w:szCs w:val="24"/>
              </w:rPr>
            </w:pPr>
            <w:r>
              <w:rPr>
                <w:rFonts w:hint="eastAsia"/>
                <w:bCs/>
                <w:sz w:val="24"/>
                <w:szCs w:val="24"/>
              </w:rPr>
              <w:t>加强道路养护，使路面维持最佳状态，减少轮胎噪声对敏感区的影响。</w:t>
            </w:r>
          </w:p>
          <w:p>
            <w:pPr>
              <w:adjustRightInd w:val="0"/>
              <w:snapToGrid w:val="0"/>
              <w:spacing w:line="480" w:lineRule="exact"/>
              <w:ind w:firstLine="480" w:firstLineChars="200"/>
              <w:rPr>
                <w:rFonts w:hint="eastAsia"/>
                <w:bCs/>
                <w:sz w:val="24"/>
                <w:szCs w:val="24"/>
              </w:rPr>
            </w:pPr>
            <w:r>
              <w:rPr>
                <w:rFonts w:hint="eastAsia"/>
                <w:bCs/>
                <w:sz w:val="24"/>
                <w:szCs w:val="24"/>
              </w:rPr>
              <w:t>③绿化防护措施</w:t>
            </w:r>
          </w:p>
          <w:p>
            <w:pPr>
              <w:adjustRightInd w:val="0"/>
              <w:snapToGrid w:val="0"/>
              <w:spacing w:line="480" w:lineRule="exact"/>
              <w:ind w:firstLine="480" w:firstLineChars="200"/>
              <w:rPr>
                <w:rFonts w:hint="eastAsia"/>
                <w:bCs/>
                <w:sz w:val="24"/>
                <w:szCs w:val="24"/>
              </w:rPr>
            </w:pPr>
            <w:r>
              <w:rPr>
                <w:rFonts w:hint="eastAsia"/>
                <w:bCs/>
                <w:sz w:val="24"/>
                <w:szCs w:val="24"/>
              </w:rPr>
              <w:t>完善本项目道路绿化工程，树种的选择要考虑具有隔声效果的乔木树种。</w:t>
            </w:r>
          </w:p>
          <w:p>
            <w:pPr>
              <w:adjustRightInd w:val="0"/>
              <w:snapToGrid w:val="0"/>
              <w:spacing w:line="480" w:lineRule="exact"/>
              <w:ind w:firstLine="522" w:firstLineChars="200"/>
              <w:rPr>
                <w:b/>
                <w:spacing w:val="10"/>
                <w:sz w:val="24"/>
                <w:szCs w:val="24"/>
              </w:rPr>
            </w:pPr>
            <w:r>
              <w:rPr>
                <w:b/>
                <w:spacing w:val="10"/>
                <w:sz w:val="24"/>
                <w:szCs w:val="24"/>
              </w:rPr>
              <w:t>4、</w:t>
            </w:r>
            <w:r>
              <w:rPr>
                <w:rFonts w:hint="eastAsia"/>
                <w:b/>
                <w:spacing w:val="10"/>
                <w:sz w:val="24"/>
                <w:szCs w:val="24"/>
              </w:rPr>
              <w:t>运营期固废环境环保措施</w:t>
            </w:r>
          </w:p>
          <w:p>
            <w:pPr>
              <w:spacing w:line="480" w:lineRule="exact"/>
              <w:ind w:firstLine="480" w:firstLineChars="200"/>
              <w:rPr>
                <w:rFonts w:ascii="宋体" w:hAnsi="宋体" w:cs="宋体"/>
                <w:bCs/>
                <w:spacing w:val="10"/>
              </w:rPr>
            </w:pPr>
            <w:r>
              <w:rPr>
                <w:rFonts w:hint="default" w:ascii="Times New Roman" w:hAnsi="Times New Roman" w:cs="Times New Roman"/>
                <w:color w:val="000000"/>
                <w:sz w:val="24"/>
              </w:rPr>
              <w:t>营运期线路日常维护产生的少量筑路物料，收集后以汽车封闭运输方式运至当地管理部门的指定地点进行处置。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03" w:hRule="atLeast"/>
          <w:jc w:val="center"/>
        </w:trPr>
        <w:tc>
          <w:tcPr>
            <w:tcW w:w="557" w:type="dxa"/>
            <w:vAlign w:val="center"/>
          </w:tcPr>
          <w:p>
            <w:pPr>
              <w:adjustRightInd w:val="0"/>
              <w:snapToGrid w:val="0"/>
              <w:jc w:val="center"/>
              <w:rPr>
                <w:rFonts w:ascii="宋体" w:hAnsi="宋体" w:cs="宋体"/>
                <w:bCs/>
                <w:spacing w:val="10"/>
              </w:rPr>
            </w:pPr>
            <w:r>
              <w:rPr>
                <w:rFonts w:hint="eastAsia" w:ascii="宋体" w:hAnsi="宋体"/>
                <w:bCs/>
              </w:rPr>
              <w:t>其他</w:t>
            </w:r>
          </w:p>
        </w:tc>
        <w:tc>
          <w:tcPr>
            <w:tcW w:w="8805" w:type="dxa"/>
            <w:vAlign w:val="center"/>
          </w:tcPr>
          <w:p>
            <w:pPr>
              <w:adjustRightInd w:val="0"/>
              <w:snapToGrid w:val="0"/>
              <w:spacing w:line="480" w:lineRule="exact"/>
              <w:ind w:firstLine="460" w:firstLineChars="200"/>
              <w:rPr>
                <w:rFonts w:hint="eastAsia" w:ascii="宋体" w:hAnsi="宋体" w:eastAsia="宋体" w:cs="宋体"/>
                <w:bCs/>
                <w:spacing w:val="10"/>
                <w:lang w:val="en-US" w:eastAsia="zh-CN"/>
              </w:rPr>
            </w:pPr>
            <w:r>
              <w:rPr>
                <w:rFonts w:hint="eastAsia" w:ascii="宋体" w:hAnsi="宋体" w:cs="宋体"/>
                <w:bCs/>
                <w:spacing w:val="10"/>
                <w:lang w:val="en-US"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1" w:hRule="atLeast"/>
          <w:jc w:val="center"/>
        </w:trPr>
        <w:tc>
          <w:tcPr>
            <w:tcW w:w="557" w:type="dxa"/>
            <w:vAlign w:val="center"/>
          </w:tcPr>
          <w:p>
            <w:pPr>
              <w:adjustRightInd w:val="0"/>
              <w:snapToGrid w:val="0"/>
              <w:jc w:val="center"/>
              <w:rPr>
                <w:rFonts w:ascii="宋体" w:hAnsi="宋体" w:cs="宋体"/>
                <w:bCs/>
                <w:spacing w:val="10"/>
              </w:rPr>
            </w:pPr>
            <w:r>
              <w:rPr>
                <w:rFonts w:hint="eastAsia" w:ascii="宋体" w:hAnsi="宋体"/>
                <w:bCs/>
              </w:rPr>
              <w:t>环保投资</w:t>
            </w:r>
          </w:p>
        </w:tc>
        <w:tc>
          <w:tcPr>
            <w:tcW w:w="8805" w:type="dxa"/>
          </w:tcPr>
          <w:p>
            <w:pPr>
              <w:adjustRightInd w:val="0"/>
              <w:snapToGrid w:val="0"/>
              <w:spacing w:line="480" w:lineRule="exact"/>
              <w:ind w:firstLine="480" w:firstLineChars="200"/>
              <w:rPr>
                <w:rFonts w:hint="default" w:ascii="Times New Roman" w:hAnsi="Times New Roman" w:cs="Times New Roman"/>
                <w:bCs/>
                <w:kern w:val="0"/>
                <w:sz w:val="24"/>
                <w:szCs w:val="24"/>
              </w:rPr>
            </w:pPr>
            <w:r>
              <w:rPr>
                <w:rFonts w:hint="default" w:ascii="Times New Roman" w:hAnsi="Times New Roman" w:cs="Times New Roman"/>
                <w:bCs/>
                <w:kern w:val="0"/>
                <w:sz w:val="24"/>
                <w:szCs w:val="24"/>
              </w:rPr>
              <w:t>对本次道路工程施工期和营运期环境保护投资费用估算详见表</w:t>
            </w:r>
            <w:r>
              <w:rPr>
                <w:rFonts w:hint="default" w:ascii="Times New Roman" w:hAnsi="Times New Roman" w:cs="Times New Roman"/>
                <w:bCs/>
                <w:kern w:val="0"/>
                <w:sz w:val="24"/>
                <w:szCs w:val="24"/>
                <w:lang w:val="en-US" w:eastAsia="zh-CN"/>
              </w:rPr>
              <w:t>5-3</w:t>
            </w:r>
            <w:r>
              <w:rPr>
                <w:rFonts w:hint="default" w:ascii="Times New Roman" w:hAnsi="Times New Roman" w:cs="Times New Roman"/>
                <w:bCs/>
                <w:kern w:val="0"/>
                <w:sz w:val="24"/>
                <w:szCs w:val="24"/>
              </w:rPr>
              <w:t>。工程环保投资</w:t>
            </w:r>
            <w:r>
              <w:rPr>
                <w:rFonts w:hint="eastAsia" w:cs="Times New Roman"/>
                <w:bCs/>
                <w:kern w:val="0"/>
                <w:sz w:val="24"/>
                <w:szCs w:val="24"/>
                <w:lang w:val="en-US" w:eastAsia="zh-CN"/>
              </w:rPr>
              <w:t>230</w:t>
            </w:r>
            <w:r>
              <w:rPr>
                <w:rFonts w:hint="default" w:ascii="Times New Roman" w:hAnsi="Times New Roman" w:cs="Times New Roman"/>
                <w:bCs/>
                <w:kern w:val="0"/>
                <w:sz w:val="24"/>
                <w:szCs w:val="24"/>
              </w:rPr>
              <w:t>万元，占工程总投资的</w:t>
            </w:r>
            <w:r>
              <w:rPr>
                <w:rFonts w:hint="default" w:ascii="Times New Roman" w:hAnsi="Times New Roman" w:cs="Times New Roman"/>
                <w:bCs/>
                <w:kern w:val="0"/>
                <w:sz w:val="24"/>
                <w:szCs w:val="24"/>
                <w:lang w:val="en-US" w:eastAsia="zh-CN"/>
              </w:rPr>
              <w:t>0.</w:t>
            </w:r>
            <w:r>
              <w:rPr>
                <w:rFonts w:hint="eastAsia" w:cs="Times New Roman"/>
                <w:bCs/>
                <w:kern w:val="0"/>
                <w:sz w:val="24"/>
                <w:szCs w:val="24"/>
                <w:lang w:val="en-US" w:eastAsia="zh-CN"/>
              </w:rPr>
              <w:t>46</w:t>
            </w:r>
            <w:r>
              <w:rPr>
                <w:rFonts w:hint="default" w:ascii="Times New Roman" w:hAnsi="Times New Roman" w:cs="Times New Roman"/>
                <w:bCs/>
                <w:kern w:val="0"/>
                <w:sz w:val="24"/>
                <w:szCs w:val="24"/>
              </w:rPr>
              <w:t>%。</w:t>
            </w:r>
          </w:p>
          <w:p>
            <w:pPr>
              <w:adjustRightInd w:val="0"/>
              <w:snapToGrid w:val="0"/>
              <w:spacing w:line="480" w:lineRule="exact"/>
              <w:ind w:firstLine="480" w:firstLineChars="200"/>
              <w:rPr>
                <w:rFonts w:ascii="宋体" w:hAnsi="宋体"/>
                <w:bCs/>
                <w:kern w:val="0"/>
                <w:sz w:val="24"/>
                <w:szCs w:val="24"/>
              </w:rPr>
            </w:pPr>
            <w:r>
              <w:rPr>
                <w:rFonts w:hint="eastAsia" w:ascii="宋体" w:hAnsi="宋体"/>
                <w:bCs/>
                <w:kern w:val="0"/>
                <w:sz w:val="24"/>
                <w:szCs w:val="24"/>
              </w:rPr>
              <w:t>本项目环保投资具体见下表。</w:t>
            </w:r>
          </w:p>
          <w:p>
            <w:pPr>
              <w:pStyle w:val="27"/>
              <w:spacing w:before="0" w:after="0" w:afterAutospacing="0" w:line="480" w:lineRule="atLeast"/>
              <w:rPr>
                <w:rFonts w:ascii="黑体" w:hAnsi="黑体" w:eastAsia="黑体"/>
                <w:sz w:val="24"/>
                <w:szCs w:val="24"/>
              </w:rPr>
            </w:pPr>
            <w:r>
              <w:rPr>
                <w:rFonts w:hint="eastAsia" w:ascii="黑体" w:hAnsi="黑体" w:eastAsia="黑体"/>
                <w:sz w:val="24"/>
                <w:szCs w:val="24"/>
              </w:rPr>
              <w:t>表</w:t>
            </w:r>
            <w:r>
              <w:rPr>
                <w:rFonts w:ascii="黑体" w:hAnsi="黑体" w:eastAsia="黑体"/>
                <w:sz w:val="24"/>
                <w:szCs w:val="24"/>
              </w:rPr>
              <w:t>5-</w:t>
            </w:r>
            <w:r>
              <w:rPr>
                <w:rFonts w:hint="eastAsia" w:ascii="黑体" w:hAnsi="黑体" w:eastAsia="黑体"/>
                <w:sz w:val="24"/>
                <w:szCs w:val="24"/>
                <w:lang w:val="en-US" w:eastAsia="zh-CN"/>
              </w:rPr>
              <w:t>3</w:t>
            </w:r>
            <w:r>
              <w:rPr>
                <w:rFonts w:hint="eastAsia" w:ascii="黑体" w:hAnsi="黑体" w:eastAsia="黑体"/>
                <w:sz w:val="24"/>
                <w:szCs w:val="24"/>
              </w:rPr>
              <w:t xml:space="preserve">  本项目环保投资明细表</w:t>
            </w:r>
          </w:p>
          <w:tbl>
            <w:tblPr>
              <w:tblStyle w:val="21"/>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48"/>
              <w:gridCol w:w="1367"/>
              <w:gridCol w:w="6083"/>
              <w:gridCol w:w="9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jc w:val="center"/>
              </w:trPr>
              <w:tc>
                <w:tcPr>
                  <w:tcW w:w="2015" w:type="dxa"/>
                  <w:gridSpan w:val="2"/>
                  <w:tcBorders>
                    <w:tl2br w:val="nil"/>
                    <w:tr2bl w:val="nil"/>
                  </w:tcBorders>
                  <w:noWrap w:val="0"/>
                  <w:vAlign w:val="center"/>
                </w:tcPr>
                <w:p>
                  <w:pPr>
                    <w:pStyle w:val="50"/>
                    <w:keepNext w:val="0"/>
                    <w:keepLines w:val="0"/>
                    <w:pageBreakBefore w:val="0"/>
                    <w:widowControl w:val="0"/>
                    <w:kinsoku/>
                    <w:wordWrap/>
                    <w:overflowPunct/>
                    <w:topLinePunct w:val="0"/>
                    <w:autoSpaceDE/>
                    <w:autoSpaceDN/>
                    <w:bidi w:val="0"/>
                    <w:adjustRightInd/>
                    <w:snapToGrid/>
                    <w:spacing w:line="240" w:lineRule="auto"/>
                    <w:textAlignment w:val="auto"/>
                    <w:rPr>
                      <w:rFonts w:cs="Times New Roman"/>
                      <w:sz w:val="21"/>
                      <w:szCs w:val="21"/>
                    </w:rPr>
                  </w:pPr>
                  <w:r>
                    <w:rPr>
                      <w:rFonts w:cs="Times New Roman"/>
                      <w:sz w:val="21"/>
                      <w:szCs w:val="21"/>
                    </w:rPr>
                    <w:t>项目内容</w:t>
                  </w:r>
                </w:p>
              </w:tc>
              <w:tc>
                <w:tcPr>
                  <w:tcW w:w="6083" w:type="dxa"/>
                  <w:tcBorders>
                    <w:tl2br w:val="nil"/>
                    <w:tr2bl w:val="nil"/>
                  </w:tcBorders>
                  <w:noWrap w:val="0"/>
                  <w:vAlign w:val="center"/>
                </w:tcPr>
                <w:p>
                  <w:pPr>
                    <w:pStyle w:val="50"/>
                    <w:keepNext w:val="0"/>
                    <w:keepLines w:val="0"/>
                    <w:pageBreakBefore w:val="0"/>
                    <w:widowControl w:val="0"/>
                    <w:kinsoku/>
                    <w:wordWrap/>
                    <w:overflowPunct/>
                    <w:topLinePunct w:val="0"/>
                    <w:autoSpaceDE/>
                    <w:autoSpaceDN/>
                    <w:bidi w:val="0"/>
                    <w:adjustRightInd/>
                    <w:snapToGrid/>
                    <w:spacing w:line="240" w:lineRule="auto"/>
                    <w:textAlignment w:val="auto"/>
                    <w:rPr>
                      <w:rFonts w:cs="Times New Roman"/>
                      <w:sz w:val="21"/>
                      <w:szCs w:val="21"/>
                    </w:rPr>
                  </w:pPr>
                  <w:r>
                    <w:rPr>
                      <w:rFonts w:cs="Times New Roman"/>
                      <w:sz w:val="21"/>
                      <w:szCs w:val="21"/>
                    </w:rPr>
                    <w:t>具体措施</w:t>
                  </w:r>
                </w:p>
              </w:tc>
              <w:tc>
                <w:tcPr>
                  <w:tcW w:w="973" w:type="dxa"/>
                  <w:tcBorders>
                    <w:tl2br w:val="nil"/>
                    <w:tr2bl w:val="nil"/>
                  </w:tcBorders>
                  <w:noWrap w:val="0"/>
                  <w:vAlign w:val="center"/>
                </w:tcPr>
                <w:p>
                  <w:pPr>
                    <w:pStyle w:val="50"/>
                    <w:keepNext w:val="0"/>
                    <w:keepLines w:val="0"/>
                    <w:pageBreakBefore w:val="0"/>
                    <w:widowControl w:val="0"/>
                    <w:kinsoku/>
                    <w:wordWrap/>
                    <w:overflowPunct/>
                    <w:topLinePunct w:val="0"/>
                    <w:autoSpaceDE/>
                    <w:autoSpaceDN/>
                    <w:bidi w:val="0"/>
                    <w:adjustRightInd/>
                    <w:snapToGrid/>
                    <w:spacing w:line="240" w:lineRule="auto"/>
                    <w:textAlignment w:val="auto"/>
                    <w:rPr>
                      <w:rFonts w:cs="Times New Roman"/>
                      <w:sz w:val="21"/>
                      <w:szCs w:val="21"/>
                    </w:rPr>
                  </w:pPr>
                  <w:r>
                    <w:rPr>
                      <w:rFonts w:cs="Times New Roman"/>
                      <w:sz w:val="21"/>
                      <w:szCs w:val="21"/>
                    </w:rPr>
                    <w:t>费用</w:t>
                  </w:r>
                </w:p>
                <w:p>
                  <w:pPr>
                    <w:pStyle w:val="50"/>
                    <w:keepNext w:val="0"/>
                    <w:keepLines w:val="0"/>
                    <w:pageBreakBefore w:val="0"/>
                    <w:widowControl w:val="0"/>
                    <w:kinsoku/>
                    <w:wordWrap/>
                    <w:overflowPunct/>
                    <w:topLinePunct w:val="0"/>
                    <w:autoSpaceDE/>
                    <w:autoSpaceDN/>
                    <w:bidi w:val="0"/>
                    <w:adjustRightInd/>
                    <w:snapToGrid/>
                    <w:spacing w:line="240" w:lineRule="auto"/>
                    <w:textAlignment w:val="auto"/>
                    <w:rPr>
                      <w:rFonts w:cs="Times New Roman"/>
                      <w:sz w:val="21"/>
                      <w:szCs w:val="21"/>
                    </w:rPr>
                  </w:pPr>
                  <w:r>
                    <w:rPr>
                      <w:rFonts w:cs="Times New Roman"/>
                      <w:sz w:val="21"/>
                      <w:szCs w:val="21"/>
                    </w:rPr>
                    <w:t>（万元）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6" w:hRule="atLeast"/>
                <w:jc w:val="center"/>
              </w:trPr>
              <w:tc>
                <w:tcPr>
                  <w:tcW w:w="648" w:type="dxa"/>
                  <w:vMerge w:val="restart"/>
                  <w:tcBorders>
                    <w:tl2br w:val="nil"/>
                    <w:tr2bl w:val="nil"/>
                  </w:tcBorders>
                  <w:noWrap w:val="0"/>
                  <w:vAlign w:val="center"/>
                </w:tcPr>
                <w:p>
                  <w:pPr>
                    <w:pStyle w:val="5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s="Times New Roman"/>
                      <w:kern w:val="2"/>
                      <w:sz w:val="21"/>
                      <w:szCs w:val="21"/>
                      <w:lang w:val="en-US" w:eastAsia="zh-CN" w:bidi="ar-SA"/>
                    </w:rPr>
                  </w:pPr>
                  <w:r>
                    <w:rPr>
                      <w:rFonts w:hint="eastAsia" w:cs="Times New Roman"/>
                      <w:kern w:val="2"/>
                      <w:sz w:val="21"/>
                      <w:szCs w:val="21"/>
                      <w:lang w:val="en-US" w:eastAsia="zh-CN" w:bidi="ar-SA"/>
                    </w:rPr>
                    <w:t>施工期</w:t>
                  </w:r>
                </w:p>
              </w:tc>
              <w:tc>
                <w:tcPr>
                  <w:tcW w:w="1367" w:type="dxa"/>
                  <w:tcBorders>
                    <w:tl2br w:val="nil"/>
                    <w:tr2bl w:val="nil"/>
                  </w:tcBorders>
                  <w:noWrap w:val="0"/>
                  <w:vAlign w:val="center"/>
                </w:tcPr>
                <w:p>
                  <w:pPr>
                    <w:pStyle w:val="50"/>
                    <w:keepNext w:val="0"/>
                    <w:keepLines w:val="0"/>
                    <w:pageBreakBefore w:val="0"/>
                    <w:widowControl w:val="0"/>
                    <w:kinsoku/>
                    <w:wordWrap/>
                    <w:overflowPunct/>
                    <w:topLinePunct w:val="0"/>
                    <w:autoSpaceDE/>
                    <w:autoSpaceDN/>
                    <w:bidi w:val="0"/>
                    <w:adjustRightInd/>
                    <w:snapToGrid/>
                    <w:spacing w:line="240" w:lineRule="auto"/>
                    <w:textAlignment w:val="auto"/>
                    <w:rPr>
                      <w:rFonts w:cs="Times New Roman"/>
                      <w:sz w:val="21"/>
                      <w:szCs w:val="21"/>
                    </w:rPr>
                  </w:pPr>
                  <w:r>
                    <w:rPr>
                      <w:rFonts w:cs="Times New Roman"/>
                      <w:sz w:val="21"/>
                      <w:szCs w:val="21"/>
                    </w:rPr>
                    <w:t>空气污染防护</w:t>
                  </w:r>
                </w:p>
              </w:tc>
              <w:tc>
                <w:tcPr>
                  <w:tcW w:w="6083" w:type="dxa"/>
                  <w:tcBorders>
                    <w:tl2br w:val="nil"/>
                    <w:tr2bl w:val="nil"/>
                  </w:tcBorders>
                  <w:noWrap w:val="0"/>
                  <w:vAlign w:val="center"/>
                </w:tcPr>
                <w:p>
                  <w:pPr>
                    <w:pStyle w:val="50"/>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eastAsia" w:cs="Times New Roman"/>
                      <w:kern w:val="2"/>
                      <w:sz w:val="21"/>
                      <w:szCs w:val="21"/>
                      <w:lang w:val="en-US" w:eastAsia="zh-CN" w:bidi="ar-SA"/>
                    </w:rPr>
                  </w:pPr>
                  <w:r>
                    <w:rPr>
                      <w:rFonts w:hint="eastAsia" w:cs="Times New Roman"/>
                      <w:kern w:val="2"/>
                      <w:sz w:val="21"/>
                      <w:szCs w:val="21"/>
                      <w:lang w:val="en-US" w:eastAsia="zh-CN" w:bidi="ar-SA"/>
                    </w:rPr>
                    <w:t>①土方开挖过程中产生的土方及施工过程中使用的多尘物料应使用帆布覆盖，并在施工场地内设置专用临时处置、堆放点，严禁超施工界堆放、暂存，且不宜设置在迎风坡和风口；在施工场地四周建设围墙，围隔在施工期可作防污、挡尘、隔声作用；对暂存场进行洒水抑尘。封闭的运输车或经过改造的可以封闭的运输车进行运输。</w:t>
                  </w:r>
                </w:p>
                <w:p>
                  <w:pPr>
                    <w:pStyle w:val="50"/>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eastAsia" w:cs="Times New Roman"/>
                      <w:kern w:val="2"/>
                      <w:sz w:val="21"/>
                      <w:szCs w:val="21"/>
                      <w:lang w:val="en-US" w:eastAsia="zh-CN" w:bidi="ar-SA"/>
                    </w:rPr>
                  </w:pPr>
                  <w:r>
                    <w:rPr>
                      <w:rFonts w:hint="eastAsia" w:cs="Times New Roman"/>
                      <w:kern w:val="2"/>
                      <w:sz w:val="21"/>
                      <w:szCs w:val="21"/>
                      <w:lang w:val="en-US" w:eastAsia="zh-CN" w:bidi="ar-SA"/>
                    </w:rPr>
                    <w:t>②路面沥青采用已熬制好的商品沥青混凝土，现场不进行沥青熬炼与拌合。</w:t>
                  </w:r>
                </w:p>
                <w:p>
                  <w:pPr>
                    <w:pStyle w:val="50"/>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eastAsia" w:cs="Times New Roman"/>
                      <w:kern w:val="2"/>
                      <w:sz w:val="21"/>
                      <w:szCs w:val="21"/>
                      <w:lang w:val="en-US" w:eastAsia="zh-CN" w:bidi="ar-SA"/>
                    </w:rPr>
                  </w:pPr>
                  <w:r>
                    <w:rPr>
                      <w:rFonts w:hint="eastAsia" w:cs="Times New Roman"/>
                      <w:kern w:val="2"/>
                      <w:sz w:val="21"/>
                      <w:szCs w:val="21"/>
                      <w:lang w:val="en-US" w:eastAsia="zh-CN" w:bidi="ar-SA"/>
                    </w:rPr>
                    <w:t>③根据工程量情况，分段、分点安排施工进度要求，并对开挖、设备安装（管道铺设）及填埋恢复等合理安排，避免出现管道沟渠土方、地基裸土等长时间堆积的现象；</w:t>
                  </w:r>
                </w:p>
                <w:p>
                  <w:pPr>
                    <w:pStyle w:val="50"/>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eastAsia" w:cs="Times New Roman"/>
                      <w:kern w:val="2"/>
                      <w:sz w:val="21"/>
                      <w:szCs w:val="21"/>
                      <w:lang w:val="en-US" w:eastAsia="zh-CN" w:bidi="ar-SA"/>
                    </w:rPr>
                  </w:pPr>
                  <w:r>
                    <w:rPr>
                      <w:rFonts w:hint="eastAsia" w:cs="Times New Roman"/>
                      <w:kern w:val="2"/>
                      <w:sz w:val="21"/>
                      <w:szCs w:val="21"/>
                      <w:lang w:val="en-US" w:eastAsia="zh-CN" w:bidi="ar-SA"/>
                    </w:rPr>
                    <w:t>④可收集利用施工废水在路面和施工区洒水，干旱、多风季节可增加洒水次数（一般天气状况应不少于3次/日，大风日应加大洒水频率），指定专人负责洒水和清扫工作，对施工路段及便道适时洒水，以保持下垫面和空气湿润，减少起尘量；</w:t>
                  </w:r>
                </w:p>
                <w:p>
                  <w:pPr>
                    <w:pStyle w:val="50"/>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eastAsia" w:cs="Times New Roman"/>
                      <w:kern w:val="2"/>
                      <w:sz w:val="21"/>
                      <w:szCs w:val="21"/>
                      <w:lang w:val="en-US" w:eastAsia="zh-CN" w:bidi="ar-SA"/>
                    </w:rPr>
                  </w:pPr>
                  <w:r>
                    <w:rPr>
                      <w:rFonts w:hint="eastAsia" w:cs="Times New Roman"/>
                      <w:kern w:val="2"/>
                      <w:sz w:val="21"/>
                      <w:szCs w:val="21"/>
                      <w:lang w:val="en-US" w:eastAsia="zh-CN" w:bidi="ar-SA"/>
                    </w:rPr>
                    <w:t>⑤施工前应当公布施工路段、场地情况，避免因产生相关纠纷或事件而导致不必要的污染影响；</w:t>
                  </w:r>
                </w:p>
                <w:p>
                  <w:pPr>
                    <w:pStyle w:val="50"/>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eastAsia" w:cs="Times New Roman"/>
                      <w:kern w:val="2"/>
                      <w:sz w:val="21"/>
                      <w:szCs w:val="21"/>
                      <w:lang w:val="en-US" w:eastAsia="zh-CN" w:bidi="ar-SA"/>
                    </w:rPr>
                  </w:pPr>
                  <w:r>
                    <w:rPr>
                      <w:rFonts w:hint="eastAsia" w:cs="Times New Roman"/>
                      <w:kern w:val="2"/>
                      <w:sz w:val="21"/>
                      <w:szCs w:val="21"/>
                      <w:lang w:val="en-US" w:eastAsia="zh-CN" w:bidi="ar-SA"/>
                    </w:rPr>
                    <w:t>⑥运输车辆不能超载过量，易抛洒、产尘车辆适当加湿，在施工区内和经过敏感路段时对运输、装卸等车辆进行限速，车速以不超过10km/h为宜；车辆经过居民区时禁止鸣笛，夜晚10：30后不安排运输任务。</w:t>
                  </w:r>
                </w:p>
                <w:p>
                  <w:pPr>
                    <w:pStyle w:val="50"/>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eastAsia" w:cs="Times New Roman"/>
                      <w:kern w:val="2"/>
                      <w:sz w:val="21"/>
                      <w:szCs w:val="21"/>
                      <w:lang w:val="en-US" w:eastAsia="zh-CN" w:bidi="ar-SA"/>
                    </w:rPr>
                  </w:pPr>
                  <w:r>
                    <w:rPr>
                      <w:rFonts w:hint="eastAsia" w:cs="Times New Roman"/>
                      <w:kern w:val="2"/>
                      <w:sz w:val="21"/>
                      <w:szCs w:val="21"/>
                      <w:lang w:val="en-US" w:eastAsia="zh-CN" w:bidi="ar-SA"/>
                    </w:rPr>
                    <w:t>⑦设置专人获取气象预报信息，对有大风（风力四级以上）预报时，必须立即停止施工；</w:t>
                  </w:r>
                </w:p>
                <w:p>
                  <w:pPr>
                    <w:pStyle w:val="50"/>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eastAsia" w:cs="Times New Roman"/>
                      <w:kern w:val="2"/>
                      <w:sz w:val="21"/>
                      <w:szCs w:val="21"/>
                      <w:lang w:val="en-US" w:eastAsia="zh-CN" w:bidi="ar-SA"/>
                    </w:rPr>
                  </w:pPr>
                  <w:r>
                    <w:rPr>
                      <w:rFonts w:hint="eastAsia" w:cs="Times New Roman"/>
                      <w:kern w:val="2"/>
                      <w:sz w:val="21"/>
                      <w:szCs w:val="21"/>
                      <w:lang w:val="en-US" w:eastAsia="zh-CN" w:bidi="ar-SA"/>
                    </w:rPr>
                    <w:t>⑧本项目取土采用商品购买方式，在运输过程中要合理运输，防止沿途洒漏，造成二次污染。</w:t>
                  </w:r>
                </w:p>
                <w:p>
                  <w:pPr>
                    <w:pStyle w:val="50"/>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cs="Times New Roman"/>
                      <w:kern w:val="2"/>
                      <w:sz w:val="21"/>
                      <w:szCs w:val="21"/>
                      <w:lang w:val="en-US" w:eastAsia="zh-CN" w:bidi="ar-SA"/>
                    </w:rPr>
                  </w:pPr>
                  <w:r>
                    <w:rPr>
                      <w:rFonts w:hint="eastAsia" w:cs="Times New Roman"/>
                      <w:kern w:val="2"/>
                      <w:sz w:val="21"/>
                      <w:szCs w:val="21"/>
                      <w:lang w:val="en-US" w:eastAsia="zh-CN" w:bidi="ar-SA"/>
                    </w:rPr>
                    <w:t>⑨使用优质燃油，并加强设备及车辆养护，以减少机械和车辆的有害废气排放；污染物排放满足《非道路移动柴油机械排气烟度限值及测量方法》中相关要求。</w:t>
                  </w:r>
                </w:p>
              </w:tc>
              <w:tc>
                <w:tcPr>
                  <w:tcW w:w="973" w:type="dxa"/>
                  <w:tcBorders>
                    <w:tl2br w:val="nil"/>
                    <w:tr2bl w:val="nil"/>
                  </w:tcBorders>
                  <w:noWrap w:val="0"/>
                  <w:vAlign w:val="center"/>
                </w:tcPr>
                <w:p>
                  <w:pPr>
                    <w:pStyle w:val="5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s="Times New Roman"/>
                      <w:kern w:val="2"/>
                      <w:sz w:val="21"/>
                      <w:szCs w:val="21"/>
                      <w:lang w:val="en-US" w:eastAsia="zh-CN" w:bidi="ar-SA"/>
                    </w:rPr>
                  </w:pPr>
                  <w:r>
                    <w:rPr>
                      <w:rFonts w:hint="eastAsia" w:cs="Times New Roman"/>
                      <w:sz w:val="21"/>
                      <w:szCs w:val="21"/>
                      <w:lang w:val="en-US" w:eastAsia="zh-CN"/>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48" w:type="dxa"/>
                  <w:vMerge w:val="continue"/>
                  <w:tcBorders>
                    <w:tl2br w:val="nil"/>
                    <w:tr2bl w:val="nil"/>
                  </w:tcBorders>
                  <w:noWrap w:val="0"/>
                  <w:vAlign w:val="center"/>
                </w:tcPr>
                <w:p>
                  <w:pPr>
                    <w:pStyle w:val="50"/>
                    <w:keepNext w:val="0"/>
                    <w:keepLines w:val="0"/>
                    <w:pageBreakBefore w:val="0"/>
                    <w:widowControl w:val="0"/>
                    <w:kinsoku/>
                    <w:wordWrap/>
                    <w:overflowPunct/>
                    <w:topLinePunct w:val="0"/>
                    <w:autoSpaceDE/>
                    <w:autoSpaceDN/>
                    <w:bidi w:val="0"/>
                    <w:adjustRightInd/>
                    <w:snapToGrid/>
                    <w:spacing w:line="240" w:lineRule="auto"/>
                    <w:textAlignment w:val="auto"/>
                    <w:rPr>
                      <w:rFonts w:cs="Times New Roman"/>
                      <w:sz w:val="21"/>
                      <w:szCs w:val="21"/>
                    </w:rPr>
                  </w:pPr>
                </w:p>
              </w:tc>
              <w:tc>
                <w:tcPr>
                  <w:tcW w:w="1367" w:type="dxa"/>
                  <w:tcBorders>
                    <w:tl2br w:val="nil"/>
                    <w:tr2bl w:val="nil"/>
                  </w:tcBorders>
                  <w:noWrap w:val="0"/>
                  <w:vAlign w:val="center"/>
                </w:tcPr>
                <w:p>
                  <w:pPr>
                    <w:pStyle w:val="50"/>
                    <w:keepNext w:val="0"/>
                    <w:keepLines w:val="0"/>
                    <w:pageBreakBefore w:val="0"/>
                    <w:widowControl w:val="0"/>
                    <w:kinsoku/>
                    <w:wordWrap/>
                    <w:overflowPunct/>
                    <w:topLinePunct w:val="0"/>
                    <w:autoSpaceDE/>
                    <w:autoSpaceDN/>
                    <w:bidi w:val="0"/>
                    <w:adjustRightInd/>
                    <w:snapToGrid/>
                    <w:spacing w:line="240" w:lineRule="auto"/>
                    <w:textAlignment w:val="auto"/>
                    <w:rPr>
                      <w:rFonts w:cs="Times New Roman"/>
                      <w:sz w:val="21"/>
                      <w:szCs w:val="21"/>
                    </w:rPr>
                  </w:pPr>
                  <w:r>
                    <w:rPr>
                      <w:rFonts w:cs="Times New Roman"/>
                      <w:sz w:val="21"/>
                      <w:szCs w:val="21"/>
                    </w:rPr>
                    <w:t>噪声污染控制</w:t>
                  </w:r>
                </w:p>
              </w:tc>
              <w:tc>
                <w:tcPr>
                  <w:tcW w:w="6083" w:type="dxa"/>
                  <w:tcBorders>
                    <w:tl2br w:val="nil"/>
                    <w:tr2bl w:val="nil"/>
                  </w:tcBorders>
                  <w:noWrap w:val="0"/>
                  <w:vAlign w:val="center"/>
                </w:tcPr>
                <w:p>
                  <w:pPr>
                    <w:pStyle w:val="50"/>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cs="Times New Roman"/>
                      <w:sz w:val="21"/>
                      <w:szCs w:val="21"/>
                    </w:rPr>
                  </w:pPr>
                  <w:r>
                    <w:rPr>
                      <w:rFonts w:hint="eastAsia" w:cs="Times New Roman"/>
                      <w:sz w:val="21"/>
                      <w:szCs w:val="21"/>
                    </w:rPr>
                    <w:t>①合理安排施工时间</w:t>
                  </w:r>
                  <w:r>
                    <w:rPr>
                      <w:rFonts w:hint="eastAsia" w:cs="Times New Roman"/>
                      <w:sz w:val="21"/>
                      <w:szCs w:val="21"/>
                      <w:lang w:eastAsia="zh-CN"/>
                    </w:rPr>
                    <w:t>、</w:t>
                  </w:r>
                  <w:r>
                    <w:rPr>
                      <w:rFonts w:hint="eastAsia" w:cs="Times New Roman"/>
                      <w:sz w:val="21"/>
                      <w:szCs w:val="21"/>
                    </w:rPr>
                    <w:t>②合理布局施工现场</w:t>
                  </w:r>
                  <w:r>
                    <w:rPr>
                      <w:rFonts w:hint="eastAsia" w:cs="Times New Roman"/>
                      <w:sz w:val="21"/>
                      <w:szCs w:val="21"/>
                      <w:lang w:eastAsia="zh-CN"/>
                    </w:rPr>
                    <w:t>、</w:t>
                  </w:r>
                  <w:r>
                    <w:rPr>
                      <w:rFonts w:hint="eastAsia" w:cs="Times New Roman"/>
                      <w:sz w:val="21"/>
                      <w:szCs w:val="21"/>
                    </w:rPr>
                    <w:t>③降低设备声级</w:t>
                  </w:r>
                  <w:r>
                    <w:rPr>
                      <w:rFonts w:hint="eastAsia" w:cs="Times New Roman"/>
                      <w:sz w:val="21"/>
                      <w:szCs w:val="21"/>
                      <w:lang w:eastAsia="zh-CN"/>
                    </w:rPr>
                    <w:t>、</w:t>
                  </w:r>
                  <w:r>
                    <w:rPr>
                      <w:rFonts w:hint="eastAsia" w:cs="Times New Roman"/>
                      <w:sz w:val="21"/>
                      <w:szCs w:val="21"/>
                    </w:rPr>
                    <w:t>④降低人为噪音</w:t>
                  </w:r>
                  <w:r>
                    <w:rPr>
                      <w:rFonts w:hint="eastAsia" w:cs="Times New Roman"/>
                      <w:sz w:val="21"/>
                      <w:szCs w:val="21"/>
                      <w:lang w:eastAsia="zh-CN"/>
                    </w:rPr>
                    <w:t>、</w:t>
                  </w:r>
                  <w:r>
                    <w:rPr>
                      <w:rFonts w:hint="eastAsia" w:cs="Times New Roman"/>
                      <w:sz w:val="21"/>
                      <w:szCs w:val="21"/>
                    </w:rPr>
                    <w:t>⑤建立临时声障</w:t>
                  </w:r>
                  <w:r>
                    <w:rPr>
                      <w:rFonts w:hint="eastAsia" w:cs="Times New Roman"/>
                      <w:sz w:val="21"/>
                      <w:szCs w:val="21"/>
                      <w:lang w:eastAsia="zh-CN"/>
                    </w:rPr>
                    <w:t>、</w:t>
                  </w:r>
                  <w:r>
                    <w:rPr>
                      <w:rFonts w:hint="eastAsia" w:cs="Times New Roman"/>
                      <w:sz w:val="21"/>
                      <w:szCs w:val="21"/>
                    </w:rPr>
                    <w:t>⑥建立施工围档</w:t>
                  </w:r>
                  <w:r>
                    <w:rPr>
                      <w:rFonts w:hint="eastAsia" w:cs="Times New Roman"/>
                      <w:sz w:val="21"/>
                      <w:szCs w:val="21"/>
                      <w:lang w:eastAsia="zh-CN"/>
                    </w:rPr>
                    <w:t>、</w:t>
                  </w:r>
                  <w:r>
                    <w:rPr>
                      <w:rFonts w:hint="eastAsia" w:cs="Times New Roman"/>
                      <w:sz w:val="21"/>
                      <w:szCs w:val="21"/>
                    </w:rPr>
                    <w:t>⑦运输要采用车况良好的车辆，并应注意定期维修、养护；在沿线敏感区段要禁止鸣笛；一般情况应禁止夜间运输量</w:t>
                  </w:r>
                  <w:r>
                    <w:rPr>
                      <w:rFonts w:hint="eastAsia" w:cs="Times New Roman"/>
                      <w:sz w:val="21"/>
                      <w:szCs w:val="21"/>
                      <w:lang w:eastAsia="zh-CN"/>
                    </w:rPr>
                    <w:t>、</w:t>
                  </w:r>
                  <w:r>
                    <w:rPr>
                      <w:rFonts w:hint="eastAsia" w:cs="Times New Roman"/>
                      <w:sz w:val="21"/>
                      <w:szCs w:val="21"/>
                    </w:rPr>
                    <w:t>⑧加强监督管理</w:t>
                  </w:r>
                  <w:r>
                    <w:rPr>
                      <w:rFonts w:hint="eastAsia" w:cs="Times New Roman"/>
                      <w:sz w:val="21"/>
                      <w:szCs w:val="21"/>
                      <w:lang w:eastAsia="zh-CN"/>
                    </w:rPr>
                    <w:t>、</w:t>
                  </w:r>
                  <w:r>
                    <w:rPr>
                      <w:rFonts w:hint="eastAsia" w:cs="Times New Roman"/>
                      <w:sz w:val="21"/>
                      <w:szCs w:val="21"/>
                    </w:rPr>
                    <w:t>⑨环评规定严禁高噪声、高振动的设备在中午或夜间休息时间作业，施工单位应选用低噪音机械设备或带隔声、消声设备，严格按照环境保护部环发（2010）144号文《关于加强环境噪声污染防治工作改善城乡声环境质量的意见》要求，加强施工期管理，限制在敏感区内夜间进行产生噪声污染的施工作业，运输车辆在噪声敏感点路段禁鸣、限速行驶。严格执行《建筑施工场界环境噪声排放标准》要求，尽可能减少施工噪声对周围居民的影响。</w:t>
                  </w:r>
                </w:p>
              </w:tc>
              <w:tc>
                <w:tcPr>
                  <w:tcW w:w="973" w:type="dxa"/>
                  <w:tcBorders>
                    <w:tl2br w:val="nil"/>
                    <w:tr2bl w:val="nil"/>
                  </w:tcBorders>
                  <w:noWrap w:val="0"/>
                  <w:vAlign w:val="center"/>
                </w:tcPr>
                <w:p>
                  <w:pPr>
                    <w:pStyle w:val="5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s="Times New Roman"/>
                      <w:sz w:val="21"/>
                      <w:szCs w:val="21"/>
                      <w:lang w:val="en-US"/>
                    </w:rPr>
                  </w:pPr>
                  <w:r>
                    <w:rPr>
                      <w:rFonts w:hint="eastAsia" w:cs="Times New Roman"/>
                      <w:sz w:val="21"/>
                      <w:szCs w:val="21"/>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2" w:hRule="atLeast"/>
                <w:jc w:val="center"/>
              </w:trPr>
              <w:tc>
                <w:tcPr>
                  <w:tcW w:w="648" w:type="dxa"/>
                  <w:vMerge w:val="continue"/>
                  <w:tcBorders>
                    <w:tl2br w:val="nil"/>
                    <w:tr2bl w:val="nil"/>
                  </w:tcBorders>
                  <w:noWrap w:val="0"/>
                  <w:vAlign w:val="center"/>
                </w:tcPr>
                <w:p>
                  <w:pPr>
                    <w:pStyle w:val="50"/>
                    <w:keepNext w:val="0"/>
                    <w:keepLines w:val="0"/>
                    <w:pageBreakBefore w:val="0"/>
                    <w:widowControl w:val="0"/>
                    <w:kinsoku/>
                    <w:wordWrap/>
                    <w:overflowPunct/>
                    <w:topLinePunct w:val="0"/>
                    <w:autoSpaceDE/>
                    <w:autoSpaceDN/>
                    <w:bidi w:val="0"/>
                    <w:adjustRightInd/>
                    <w:snapToGrid/>
                    <w:spacing w:line="240" w:lineRule="auto"/>
                    <w:textAlignment w:val="auto"/>
                    <w:rPr>
                      <w:rFonts w:cs="Times New Roman"/>
                      <w:sz w:val="21"/>
                      <w:szCs w:val="21"/>
                    </w:rPr>
                  </w:pPr>
                </w:p>
              </w:tc>
              <w:tc>
                <w:tcPr>
                  <w:tcW w:w="1367" w:type="dxa"/>
                  <w:tcBorders>
                    <w:tl2br w:val="nil"/>
                    <w:tr2bl w:val="nil"/>
                  </w:tcBorders>
                  <w:noWrap w:val="0"/>
                  <w:vAlign w:val="center"/>
                </w:tcPr>
                <w:p>
                  <w:pPr>
                    <w:pStyle w:val="50"/>
                    <w:keepNext w:val="0"/>
                    <w:keepLines w:val="0"/>
                    <w:pageBreakBefore w:val="0"/>
                    <w:widowControl w:val="0"/>
                    <w:kinsoku/>
                    <w:wordWrap/>
                    <w:overflowPunct/>
                    <w:topLinePunct w:val="0"/>
                    <w:autoSpaceDE/>
                    <w:autoSpaceDN/>
                    <w:bidi w:val="0"/>
                    <w:adjustRightInd/>
                    <w:snapToGrid/>
                    <w:spacing w:line="240" w:lineRule="auto"/>
                    <w:textAlignment w:val="auto"/>
                    <w:rPr>
                      <w:rFonts w:cs="Times New Roman"/>
                      <w:sz w:val="21"/>
                      <w:szCs w:val="21"/>
                    </w:rPr>
                  </w:pPr>
                  <w:r>
                    <w:rPr>
                      <w:rFonts w:cs="Times New Roman"/>
                      <w:sz w:val="21"/>
                      <w:szCs w:val="21"/>
                    </w:rPr>
                    <w:t>水质污染控制</w:t>
                  </w:r>
                </w:p>
              </w:tc>
              <w:tc>
                <w:tcPr>
                  <w:tcW w:w="6083" w:type="dxa"/>
                  <w:tcBorders>
                    <w:tl2br w:val="nil"/>
                    <w:tr2bl w:val="nil"/>
                  </w:tcBorders>
                  <w:noWrap w:val="0"/>
                  <w:vAlign w:val="center"/>
                </w:tcPr>
                <w:p>
                  <w:pPr>
                    <w:pStyle w:val="50"/>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cs="Times New Roman"/>
                      <w:sz w:val="21"/>
                      <w:szCs w:val="21"/>
                    </w:rPr>
                  </w:pPr>
                  <w:r>
                    <w:rPr>
                      <w:rFonts w:hint="eastAsia" w:cs="Times New Roman"/>
                      <w:sz w:val="21"/>
                      <w:szCs w:val="21"/>
                    </w:rPr>
                    <w:t>本项目施工期设备冲洗、场地冲洗废水经隔油+沉淀回用施工物料区洒水抑尘；车辆冲洗废水沉淀回用，不外排；生活污水排入</w:t>
                  </w:r>
                  <w:r>
                    <w:rPr>
                      <w:rFonts w:hint="eastAsia" w:cs="Times New Roman"/>
                      <w:sz w:val="21"/>
                      <w:szCs w:val="21"/>
                      <w:lang w:val="en-US" w:eastAsia="zh-CN"/>
                    </w:rPr>
                    <w:t>移动水冲厕</w:t>
                  </w:r>
                  <w:r>
                    <w:rPr>
                      <w:rFonts w:hint="eastAsia" w:cs="Times New Roman"/>
                      <w:sz w:val="21"/>
                      <w:szCs w:val="21"/>
                    </w:rPr>
                    <w:t>定期清掏，用于附近农田施肥；运营期无生活污水与生产废水的产生与排放。</w:t>
                  </w:r>
                </w:p>
              </w:tc>
              <w:tc>
                <w:tcPr>
                  <w:tcW w:w="973" w:type="dxa"/>
                  <w:tcBorders>
                    <w:tl2br w:val="nil"/>
                    <w:tr2bl w:val="nil"/>
                  </w:tcBorders>
                  <w:noWrap w:val="0"/>
                  <w:vAlign w:val="center"/>
                </w:tcPr>
                <w:p>
                  <w:pPr>
                    <w:pStyle w:val="5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eastAsia="宋体" w:cs="Times New Roman"/>
                      <w:sz w:val="21"/>
                      <w:szCs w:val="21"/>
                      <w:lang w:val="en-US" w:eastAsia="zh-CN"/>
                    </w:rPr>
                  </w:pPr>
                  <w:r>
                    <w:rPr>
                      <w:rFonts w:hint="eastAsia" w:cs="Times New Roman"/>
                      <w:sz w:val="21"/>
                      <w:szCs w:val="21"/>
                      <w:lang w:val="en-US" w:eastAsia="zh-CN"/>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8" w:hRule="atLeast"/>
                <w:jc w:val="center"/>
              </w:trPr>
              <w:tc>
                <w:tcPr>
                  <w:tcW w:w="648" w:type="dxa"/>
                  <w:vMerge w:val="continue"/>
                  <w:tcBorders>
                    <w:tl2br w:val="nil"/>
                    <w:tr2bl w:val="nil"/>
                  </w:tcBorders>
                  <w:noWrap w:val="0"/>
                  <w:vAlign w:val="center"/>
                </w:tcPr>
                <w:p>
                  <w:pPr>
                    <w:pStyle w:val="50"/>
                    <w:keepNext w:val="0"/>
                    <w:keepLines w:val="0"/>
                    <w:pageBreakBefore w:val="0"/>
                    <w:widowControl w:val="0"/>
                    <w:kinsoku/>
                    <w:wordWrap/>
                    <w:overflowPunct/>
                    <w:topLinePunct w:val="0"/>
                    <w:autoSpaceDE/>
                    <w:autoSpaceDN/>
                    <w:bidi w:val="0"/>
                    <w:adjustRightInd/>
                    <w:snapToGrid/>
                    <w:spacing w:line="240" w:lineRule="auto"/>
                    <w:textAlignment w:val="auto"/>
                    <w:rPr>
                      <w:rFonts w:cs="Times New Roman"/>
                      <w:sz w:val="21"/>
                      <w:szCs w:val="21"/>
                    </w:rPr>
                  </w:pPr>
                </w:p>
              </w:tc>
              <w:tc>
                <w:tcPr>
                  <w:tcW w:w="1367" w:type="dxa"/>
                  <w:tcBorders>
                    <w:tl2br w:val="nil"/>
                    <w:tr2bl w:val="nil"/>
                  </w:tcBorders>
                  <w:noWrap w:val="0"/>
                  <w:vAlign w:val="center"/>
                </w:tcPr>
                <w:p>
                  <w:pPr>
                    <w:pStyle w:val="50"/>
                    <w:keepNext w:val="0"/>
                    <w:keepLines w:val="0"/>
                    <w:pageBreakBefore w:val="0"/>
                    <w:widowControl w:val="0"/>
                    <w:kinsoku/>
                    <w:wordWrap/>
                    <w:overflowPunct/>
                    <w:topLinePunct w:val="0"/>
                    <w:autoSpaceDE/>
                    <w:autoSpaceDN/>
                    <w:bidi w:val="0"/>
                    <w:adjustRightInd/>
                    <w:snapToGrid/>
                    <w:spacing w:line="240" w:lineRule="auto"/>
                    <w:textAlignment w:val="auto"/>
                    <w:rPr>
                      <w:rFonts w:cs="Times New Roman"/>
                      <w:kern w:val="2"/>
                      <w:sz w:val="21"/>
                      <w:szCs w:val="21"/>
                      <w:lang w:val="en-US" w:eastAsia="zh-CN" w:bidi="ar-SA"/>
                    </w:rPr>
                  </w:pPr>
                  <w:r>
                    <w:rPr>
                      <w:rFonts w:cs="Times New Roman"/>
                      <w:sz w:val="21"/>
                      <w:szCs w:val="21"/>
                    </w:rPr>
                    <w:t>固废污染控制</w:t>
                  </w:r>
                </w:p>
              </w:tc>
              <w:tc>
                <w:tcPr>
                  <w:tcW w:w="6083" w:type="dxa"/>
                  <w:tcBorders>
                    <w:tl2br w:val="nil"/>
                    <w:tr2bl w:val="nil"/>
                  </w:tcBorders>
                  <w:noWrap w:val="0"/>
                  <w:vAlign w:val="center"/>
                </w:tcPr>
                <w:p>
                  <w:pPr>
                    <w:pStyle w:val="50"/>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cs="Times New Roman"/>
                      <w:kern w:val="2"/>
                      <w:sz w:val="21"/>
                      <w:szCs w:val="21"/>
                      <w:lang w:val="en-US" w:eastAsia="zh-CN" w:bidi="ar-SA"/>
                    </w:rPr>
                  </w:pPr>
                  <w:r>
                    <w:rPr>
                      <w:rFonts w:hint="eastAsia" w:cs="Times New Roman"/>
                      <w:kern w:val="2"/>
                      <w:sz w:val="21"/>
                      <w:szCs w:val="21"/>
                      <w:lang w:val="en-US" w:eastAsia="zh-CN" w:bidi="ar-SA"/>
                    </w:rPr>
                    <w:t>余方按照五台县人民政府的要求进行处理。施工中的建筑垃圾主要是碎砖块、灰浆、废材料等，应由各施工队妥善处理，由五台县环卫局统一规划处置；施工期施工人数按200人计，每日产生垃圾0.5kg/人·天，生活垃圾每天产生量约为100kg/d，可用垃圾桶收集后由环卫工人运送到指定垃圾场处理。</w:t>
                  </w:r>
                </w:p>
              </w:tc>
              <w:tc>
                <w:tcPr>
                  <w:tcW w:w="973" w:type="dxa"/>
                  <w:tcBorders>
                    <w:tl2br w:val="nil"/>
                    <w:tr2bl w:val="nil"/>
                  </w:tcBorders>
                  <w:noWrap w:val="0"/>
                  <w:vAlign w:val="center"/>
                </w:tcPr>
                <w:p>
                  <w:pPr>
                    <w:pStyle w:val="5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s="Times New Roman"/>
                      <w:sz w:val="21"/>
                      <w:szCs w:val="21"/>
                      <w:lang w:val="en-US" w:eastAsia="zh-CN"/>
                    </w:rPr>
                  </w:pPr>
                  <w:r>
                    <w:rPr>
                      <w:rFonts w:hint="eastAsia" w:cs="Times New Roman"/>
                      <w:sz w:val="21"/>
                      <w:szCs w:val="21"/>
                      <w:lang w:val="en-US" w:eastAsia="zh-CN"/>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48" w:type="dxa"/>
                  <w:vMerge w:val="continue"/>
                  <w:tcBorders>
                    <w:tl2br w:val="nil"/>
                    <w:tr2bl w:val="nil"/>
                  </w:tcBorders>
                  <w:noWrap w:val="0"/>
                  <w:vAlign w:val="center"/>
                </w:tcPr>
                <w:p>
                  <w:pPr>
                    <w:pStyle w:val="50"/>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宋体" w:cs="Times New Roman"/>
                      <w:sz w:val="21"/>
                      <w:szCs w:val="21"/>
                      <w:lang w:val="en-US" w:eastAsia="zh-CN"/>
                    </w:rPr>
                  </w:pPr>
                </w:p>
              </w:tc>
              <w:tc>
                <w:tcPr>
                  <w:tcW w:w="1367" w:type="dxa"/>
                  <w:vMerge w:val="restart"/>
                  <w:tcBorders>
                    <w:tl2br w:val="nil"/>
                    <w:tr2bl w:val="nil"/>
                  </w:tcBorders>
                  <w:noWrap w:val="0"/>
                  <w:vAlign w:val="center"/>
                </w:tcPr>
                <w:p>
                  <w:pPr>
                    <w:pStyle w:val="50"/>
                    <w:keepNext w:val="0"/>
                    <w:keepLines w:val="0"/>
                    <w:pageBreakBefore w:val="0"/>
                    <w:widowControl w:val="0"/>
                    <w:kinsoku/>
                    <w:wordWrap/>
                    <w:overflowPunct/>
                    <w:topLinePunct w:val="0"/>
                    <w:autoSpaceDE/>
                    <w:autoSpaceDN/>
                    <w:bidi w:val="0"/>
                    <w:adjustRightInd/>
                    <w:snapToGrid/>
                    <w:spacing w:line="240" w:lineRule="auto"/>
                    <w:textAlignment w:val="auto"/>
                    <w:rPr>
                      <w:rFonts w:cs="Times New Roman"/>
                      <w:sz w:val="21"/>
                      <w:szCs w:val="21"/>
                    </w:rPr>
                  </w:pPr>
                  <w:r>
                    <w:rPr>
                      <w:rFonts w:cs="Times New Roman"/>
                      <w:sz w:val="21"/>
                      <w:szCs w:val="21"/>
                    </w:rPr>
                    <w:t>生态保护</w:t>
                  </w:r>
                </w:p>
              </w:tc>
              <w:tc>
                <w:tcPr>
                  <w:tcW w:w="6083" w:type="dxa"/>
                  <w:tcBorders>
                    <w:tl2br w:val="nil"/>
                    <w:tr2bl w:val="nil"/>
                  </w:tcBorders>
                  <w:noWrap w:val="0"/>
                  <w:vAlign w:val="center"/>
                </w:tcPr>
                <w:p>
                  <w:pPr>
                    <w:pStyle w:val="50"/>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宋体" w:cs="Times New Roman"/>
                      <w:sz w:val="21"/>
                      <w:szCs w:val="21"/>
                      <w:lang w:eastAsia="zh-CN"/>
                    </w:rPr>
                  </w:pPr>
                  <w:r>
                    <w:rPr>
                      <w:rFonts w:cs="Times New Roman"/>
                      <w:sz w:val="21"/>
                      <w:szCs w:val="21"/>
                    </w:rPr>
                    <w:t>临时占地恢复</w:t>
                  </w:r>
                  <w:r>
                    <w:rPr>
                      <w:rFonts w:hint="eastAsia" w:cs="Times New Roman"/>
                      <w:sz w:val="21"/>
                      <w:szCs w:val="21"/>
                      <w:lang w:eastAsia="zh-CN"/>
                    </w:rPr>
                    <w:t>。</w:t>
                  </w:r>
                </w:p>
              </w:tc>
              <w:tc>
                <w:tcPr>
                  <w:tcW w:w="973" w:type="dxa"/>
                  <w:tcBorders>
                    <w:tl2br w:val="nil"/>
                    <w:tr2bl w:val="nil"/>
                  </w:tcBorders>
                  <w:noWrap w:val="0"/>
                  <w:vAlign w:val="center"/>
                </w:tcPr>
                <w:p>
                  <w:pPr>
                    <w:pStyle w:val="5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eastAsia="宋体" w:cs="Times New Roman"/>
                      <w:sz w:val="21"/>
                      <w:szCs w:val="21"/>
                      <w:lang w:val="en-US" w:eastAsia="zh-CN"/>
                    </w:rPr>
                  </w:pPr>
                  <w:r>
                    <w:rPr>
                      <w:rFonts w:hint="eastAsia" w:cs="Times New Roman"/>
                      <w:sz w:val="21"/>
                      <w:szCs w:val="21"/>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6" w:hRule="atLeast"/>
                <w:jc w:val="center"/>
              </w:trPr>
              <w:tc>
                <w:tcPr>
                  <w:tcW w:w="648" w:type="dxa"/>
                  <w:vMerge w:val="continue"/>
                  <w:tcBorders>
                    <w:tl2br w:val="nil"/>
                    <w:tr2bl w:val="nil"/>
                  </w:tcBorders>
                  <w:noWrap w:val="0"/>
                  <w:vAlign w:val="center"/>
                </w:tcPr>
                <w:p>
                  <w:pPr>
                    <w:pStyle w:val="50"/>
                    <w:keepNext w:val="0"/>
                    <w:keepLines w:val="0"/>
                    <w:pageBreakBefore w:val="0"/>
                    <w:widowControl w:val="0"/>
                    <w:kinsoku/>
                    <w:wordWrap/>
                    <w:overflowPunct/>
                    <w:topLinePunct w:val="0"/>
                    <w:autoSpaceDE/>
                    <w:autoSpaceDN/>
                    <w:bidi w:val="0"/>
                    <w:adjustRightInd/>
                    <w:snapToGrid/>
                    <w:spacing w:line="240" w:lineRule="auto"/>
                    <w:textAlignment w:val="auto"/>
                    <w:rPr>
                      <w:rFonts w:cs="Times New Roman"/>
                      <w:sz w:val="21"/>
                      <w:szCs w:val="21"/>
                    </w:rPr>
                  </w:pPr>
                </w:p>
              </w:tc>
              <w:tc>
                <w:tcPr>
                  <w:tcW w:w="1367" w:type="dxa"/>
                  <w:vMerge w:val="continue"/>
                  <w:tcBorders>
                    <w:tl2br w:val="nil"/>
                    <w:tr2bl w:val="nil"/>
                  </w:tcBorders>
                  <w:noWrap w:val="0"/>
                  <w:vAlign w:val="center"/>
                </w:tcPr>
                <w:p>
                  <w:pPr>
                    <w:pStyle w:val="50"/>
                    <w:keepNext w:val="0"/>
                    <w:keepLines w:val="0"/>
                    <w:pageBreakBefore w:val="0"/>
                    <w:widowControl w:val="0"/>
                    <w:kinsoku/>
                    <w:wordWrap/>
                    <w:overflowPunct/>
                    <w:topLinePunct w:val="0"/>
                    <w:autoSpaceDE/>
                    <w:autoSpaceDN/>
                    <w:bidi w:val="0"/>
                    <w:adjustRightInd/>
                    <w:snapToGrid/>
                    <w:spacing w:line="240" w:lineRule="auto"/>
                    <w:textAlignment w:val="auto"/>
                    <w:rPr>
                      <w:rFonts w:cs="Times New Roman"/>
                      <w:sz w:val="21"/>
                      <w:szCs w:val="21"/>
                    </w:rPr>
                  </w:pPr>
                </w:p>
              </w:tc>
              <w:tc>
                <w:tcPr>
                  <w:tcW w:w="6083" w:type="dxa"/>
                  <w:tcBorders>
                    <w:tl2br w:val="nil"/>
                    <w:tr2bl w:val="nil"/>
                  </w:tcBorders>
                  <w:noWrap w:val="0"/>
                  <w:vAlign w:val="center"/>
                </w:tcPr>
                <w:p>
                  <w:pPr>
                    <w:pStyle w:val="50"/>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宋体" w:cs="Times New Roman"/>
                      <w:sz w:val="21"/>
                      <w:szCs w:val="21"/>
                      <w:lang w:eastAsia="zh-CN"/>
                    </w:rPr>
                  </w:pPr>
                  <w:r>
                    <w:rPr>
                      <w:rFonts w:cs="Times New Roman"/>
                      <w:sz w:val="21"/>
                      <w:szCs w:val="21"/>
                    </w:rPr>
                    <w:t>绿化及水土保持</w:t>
                  </w:r>
                  <w:r>
                    <w:rPr>
                      <w:rFonts w:hint="eastAsia" w:cs="Times New Roman"/>
                      <w:sz w:val="21"/>
                      <w:szCs w:val="21"/>
                      <w:lang w:eastAsia="zh-CN"/>
                    </w:rPr>
                    <w:t>。</w:t>
                  </w:r>
                </w:p>
              </w:tc>
              <w:tc>
                <w:tcPr>
                  <w:tcW w:w="973" w:type="dxa"/>
                  <w:tcBorders>
                    <w:tl2br w:val="nil"/>
                    <w:tr2bl w:val="nil"/>
                  </w:tcBorders>
                  <w:noWrap w:val="0"/>
                  <w:vAlign w:val="center"/>
                </w:tcPr>
                <w:p>
                  <w:pPr>
                    <w:pStyle w:val="5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s="Times New Roman"/>
                      <w:sz w:val="21"/>
                      <w:szCs w:val="21"/>
                      <w:lang w:val="en-US"/>
                    </w:rPr>
                  </w:pPr>
                  <w:r>
                    <w:rPr>
                      <w:rFonts w:hint="eastAsia" w:cs="Times New Roman"/>
                      <w:sz w:val="21"/>
                      <w:szCs w:val="21"/>
                      <w:lang w:val="en-US" w:eastAsia="zh-CN"/>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4" w:hRule="atLeast"/>
                <w:jc w:val="center"/>
              </w:trPr>
              <w:tc>
                <w:tcPr>
                  <w:tcW w:w="648" w:type="dxa"/>
                  <w:vMerge w:val="continue"/>
                  <w:tcBorders>
                    <w:tl2br w:val="nil"/>
                    <w:tr2bl w:val="nil"/>
                  </w:tcBorders>
                  <w:noWrap w:val="0"/>
                  <w:vAlign w:val="center"/>
                </w:tcPr>
                <w:p>
                  <w:pPr>
                    <w:pStyle w:val="50"/>
                    <w:keepNext w:val="0"/>
                    <w:keepLines w:val="0"/>
                    <w:pageBreakBefore w:val="0"/>
                    <w:widowControl w:val="0"/>
                    <w:kinsoku/>
                    <w:wordWrap/>
                    <w:overflowPunct/>
                    <w:topLinePunct w:val="0"/>
                    <w:autoSpaceDE/>
                    <w:autoSpaceDN/>
                    <w:bidi w:val="0"/>
                    <w:adjustRightInd/>
                    <w:snapToGrid/>
                    <w:spacing w:line="240" w:lineRule="auto"/>
                    <w:textAlignment w:val="auto"/>
                    <w:rPr>
                      <w:rFonts w:cs="Times New Roman"/>
                      <w:sz w:val="21"/>
                      <w:szCs w:val="21"/>
                    </w:rPr>
                  </w:pPr>
                </w:p>
              </w:tc>
              <w:tc>
                <w:tcPr>
                  <w:tcW w:w="1367" w:type="dxa"/>
                  <w:tcBorders>
                    <w:tl2br w:val="nil"/>
                    <w:tr2bl w:val="nil"/>
                  </w:tcBorders>
                  <w:noWrap w:val="0"/>
                  <w:vAlign w:val="center"/>
                </w:tcPr>
                <w:p>
                  <w:pPr>
                    <w:pStyle w:val="50"/>
                    <w:keepNext w:val="0"/>
                    <w:keepLines w:val="0"/>
                    <w:pageBreakBefore w:val="0"/>
                    <w:widowControl w:val="0"/>
                    <w:kinsoku/>
                    <w:wordWrap/>
                    <w:overflowPunct/>
                    <w:topLinePunct w:val="0"/>
                    <w:autoSpaceDE/>
                    <w:autoSpaceDN/>
                    <w:bidi w:val="0"/>
                    <w:adjustRightInd/>
                    <w:snapToGrid/>
                    <w:spacing w:line="240" w:lineRule="auto"/>
                    <w:textAlignment w:val="auto"/>
                    <w:rPr>
                      <w:rFonts w:cs="Times New Roman"/>
                      <w:kern w:val="2"/>
                      <w:sz w:val="21"/>
                      <w:szCs w:val="21"/>
                      <w:lang w:val="en-US" w:eastAsia="zh-CN" w:bidi="ar-SA"/>
                    </w:rPr>
                  </w:pPr>
                  <w:r>
                    <w:rPr>
                      <w:rFonts w:cs="Times New Roman"/>
                      <w:sz w:val="21"/>
                      <w:szCs w:val="21"/>
                    </w:rPr>
                    <w:t>环境风险</w:t>
                  </w:r>
                </w:p>
              </w:tc>
              <w:tc>
                <w:tcPr>
                  <w:tcW w:w="6083" w:type="dxa"/>
                  <w:tcBorders>
                    <w:tl2br w:val="nil"/>
                    <w:tr2bl w:val="nil"/>
                  </w:tcBorders>
                  <w:noWrap w:val="0"/>
                  <w:vAlign w:val="center"/>
                </w:tcPr>
                <w:p>
                  <w:pPr>
                    <w:pStyle w:val="50"/>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宋体" w:cs="Times New Roman"/>
                      <w:kern w:val="2"/>
                      <w:sz w:val="21"/>
                      <w:szCs w:val="21"/>
                      <w:lang w:val="en-US" w:eastAsia="zh-CN" w:bidi="ar-SA"/>
                    </w:rPr>
                  </w:pPr>
                  <w:r>
                    <w:rPr>
                      <w:rFonts w:cs="Times New Roman"/>
                      <w:sz w:val="21"/>
                      <w:szCs w:val="21"/>
                    </w:rPr>
                    <w:t>环境风险应急预案制定，演练及风险物资</w:t>
                  </w:r>
                  <w:r>
                    <w:rPr>
                      <w:rFonts w:hint="eastAsia" w:cs="Times New Roman"/>
                      <w:sz w:val="21"/>
                      <w:szCs w:val="21"/>
                      <w:lang w:eastAsia="zh-CN"/>
                    </w:rPr>
                    <w:t>。</w:t>
                  </w:r>
                </w:p>
              </w:tc>
              <w:tc>
                <w:tcPr>
                  <w:tcW w:w="973" w:type="dxa"/>
                  <w:tcBorders>
                    <w:tl2br w:val="nil"/>
                    <w:tr2bl w:val="nil"/>
                  </w:tcBorders>
                  <w:noWrap w:val="0"/>
                  <w:vAlign w:val="center"/>
                </w:tcPr>
                <w:p>
                  <w:pPr>
                    <w:pStyle w:val="5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eastAsia="宋体" w:cs="Times New Roman"/>
                      <w:kern w:val="2"/>
                      <w:sz w:val="21"/>
                      <w:szCs w:val="21"/>
                      <w:lang w:val="en-US" w:eastAsia="zh-CN" w:bidi="ar-SA"/>
                    </w:rPr>
                  </w:pPr>
                  <w:r>
                    <w:rPr>
                      <w:rFonts w:hint="eastAsia" w:cs="Times New Roman"/>
                      <w:sz w:val="21"/>
                      <w:szCs w:val="21"/>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7" w:hRule="atLeast"/>
                <w:jc w:val="center"/>
              </w:trPr>
              <w:tc>
                <w:tcPr>
                  <w:tcW w:w="648" w:type="dxa"/>
                  <w:vMerge w:val="restart"/>
                  <w:tcBorders>
                    <w:tl2br w:val="nil"/>
                    <w:tr2bl w:val="nil"/>
                  </w:tcBorders>
                  <w:noWrap w:val="0"/>
                  <w:vAlign w:val="center"/>
                </w:tcPr>
                <w:p>
                  <w:pPr>
                    <w:pStyle w:val="50"/>
                    <w:keepNext w:val="0"/>
                    <w:keepLines w:val="0"/>
                    <w:pageBreakBefore w:val="0"/>
                    <w:widowControl w:val="0"/>
                    <w:kinsoku/>
                    <w:wordWrap/>
                    <w:overflowPunct/>
                    <w:topLinePunct w:val="0"/>
                    <w:autoSpaceDE/>
                    <w:autoSpaceDN/>
                    <w:bidi w:val="0"/>
                    <w:adjustRightInd/>
                    <w:snapToGrid/>
                    <w:spacing w:line="240" w:lineRule="auto"/>
                    <w:textAlignment w:val="auto"/>
                    <w:rPr>
                      <w:rFonts w:cs="Times New Roman"/>
                      <w:sz w:val="21"/>
                      <w:szCs w:val="21"/>
                    </w:rPr>
                  </w:pPr>
                  <w:r>
                    <w:rPr>
                      <w:rFonts w:hint="eastAsia" w:cs="Times New Roman"/>
                      <w:sz w:val="21"/>
                      <w:szCs w:val="21"/>
                      <w:lang w:val="en-US" w:eastAsia="zh-CN"/>
                    </w:rPr>
                    <w:t>运营期</w:t>
                  </w:r>
                </w:p>
              </w:tc>
              <w:tc>
                <w:tcPr>
                  <w:tcW w:w="1367" w:type="dxa"/>
                  <w:tcBorders>
                    <w:tl2br w:val="nil"/>
                    <w:tr2bl w:val="nil"/>
                  </w:tcBorders>
                  <w:noWrap w:val="0"/>
                  <w:vAlign w:val="center"/>
                </w:tcPr>
                <w:p>
                  <w:pPr>
                    <w:pStyle w:val="5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eastAsia="宋体" w:cs="Times New Roman"/>
                      <w:sz w:val="21"/>
                      <w:szCs w:val="21"/>
                      <w:lang w:val="en-US" w:eastAsia="zh-CN"/>
                    </w:rPr>
                  </w:pPr>
                  <w:r>
                    <w:rPr>
                      <w:rFonts w:hint="eastAsia" w:eastAsia="宋体" w:cs="Times New Roman"/>
                      <w:sz w:val="21"/>
                      <w:szCs w:val="21"/>
                      <w:lang w:val="en-US" w:eastAsia="zh-CN"/>
                    </w:rPr>
                    <w:t>固废</w:t>
                  </w:r>
                </w:p>
              </w:tc>
              <w:tc>
                <w:tcPr>
                  <w:tcW w:w="6083" w:type="dxa"/>
                  <w:tcBorders>
                    <w:tl2br w:val="nil"/>
                    <w:tr2bl w:val="nil"/>
                  </w:tcBorders>
                  <w:noWrap w:val="0"/>
                  <w:vAlign w:val="center"/>
                </w:tcPr>
                <w:p>
                  <w:pPr>
                    <w:pStyle w:val="5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eastAsia="宋体" w:cs="Times New Roman"/>
                      <w:sz w:val="21"/>
                      <w:szCs w:val="21"/>
                      <w:lang w:val="en-US" w:eastAsia="zh-CN"/>
                    </w:rPr>
                  </w:pPr>
                  <w:r>
                    <w:rPr>
                      <w:rFonts w:hint="eastAsia" w:eastAsia="宋体" w:cs="Times New Roman"/>
                      <w:sz w:val="21"/>
                      <w:szCs w:val="21"/>
                      <w:lang w:val="en-US" w:eastAsia="zh-CN"/>
                    </w:rPr>
                    <w:t>环卫清扫。</w:t>
                  </w:r>
                </w:p>
              </w:tc>
              <w:tc>
                <w:tcPr>
                  <w:tcW w:w="973" w:type="dxa"/>
                  <w:tcBorders>
                    <w:tl2br w:val="nil"/>
                    <w:tr2bl w:val="nil"/>
                  </w:tcBorders>
                  <w:noWrap w:val="0"/>
                  <w:vAlign w:val="center"/>
                </w:tcPr>
                <w:p>
                  <w:pPr>
                    <w:pStyle w:val="5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eastAsia="宋体" w:cs="Times New Roman"/>
                      <w:sz w:val="21"/>
                      <w:szCs w:val="21"/>
                      <w:lang w:val="en-US" w:eastAsia="zh-CN"/>
                    </w:rPr>
                  </w:pPr>
                  <w:r>
                    <w:rPr>
                      <w:rFonts w:hint="eastAsia" w:cs="Times New Roman"/>
                      <w:sz w:val="21"/>
                      <w:szCs w:val="21"/>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5" w:hRule="atLeast"/>
                <w:jc w:val="center"/>
              </w:trPr>
              <w:tc>
                <w:tcPr>
                  <w:tcW w:w="648" w:type="dxa"/>
                  <w:vMerge w:val="continue"/>
                  <w:tcBorders>
                    <w:tl2br w:val="nil"/>
                    <w:tr2bl w:val="nil"/>
                  </w:tcBorders>
                  <w:noWrap w:val="0"/>
                  <w:vAlign w:val="center"/>
                </w:tcPr>
                <w:p>
                  <w:pPr>
                    <w:pStyle w:val="50"/>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s="Times New Roman"/>
                      <w:sz w:val="21"/>
                      <w:szCs w:val="21"/>
                      <w:lang w:val="en-US" w:eastAsia="zh-CN"/>
                    </w:rPr>
                  </w:pPr>
                </w:p>
              </w:tc>
              <w:tc>
                <w:tcPr>
                  <w:tcW w:w="1367" w:type="dxa"/>
                  <w:tcBorders>
                    <w:tl2br w:val="nil"/>
                    <w:tr2bl w:val="nil"/>
                  </w:tcBorders>
                  <w:noWrap w:val="0"/>
                  <w:vAlign w:val="center"/>
                </w:tcPr>
                <w:p>
                  <w:pPr>
                    <w:pStyle w:val="50"/>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宋体" w:cs="Times New Roman"/>
                      <w:kern w:val="2"/>
                      <w:sz w:val="21"/>
                      <w:szCs w:val="21"/>
                      <w:lang w:val="en-US" w:eastAsia="zh-CN" w:bidi="ar-SA"/>
                    </w:rPr>
                  </w:pPr>
                  <w:r>
                    <w:rPr>
                      <w:rFonts w:hint="eastAsia" w:cs="Times New Roman"/>
                      <w:sz w:val="21"/>
                      <w:szCs w:val="21"/>
                      <w:lang w:val="en-US" w:eastAsia="zh-CN"/>
                    </w:rPr>
                    <w:t>噪声</w:t>
                  </w:r>
                </w:p>
              </w:tc>
              <w:tc>
                <w:tcPr>
                  <w:tcW w:w="6083" w:type="dxa"/>
                  <w:tcBorders>
                    <w:tl2br w:val="nil"/>
                    <w:tr2bl w:val="nil"/>
                  </w:tcBorders>
                  <w:noWrap w:val="0"/>
                  <w:vAlign w:val="center"/>
                </w:tcPr>
                <w:p>
                  <w:pPr>
                    <w:pStyle w:val="50"/>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宋体" w:cs="Times New Roman"/>
                      <w:kern w:val="2"/>
                      <w:sz w:val="21"/>
                      <w:szCs w:val="21"/>
                      <w:lang w:val="en-US" w:eastAsia="zh-CN" w:bidi="ar-SA"/>
                    </w:rPr>
                  </w:pPr>
                  <w:r>
                    <w:rPr>
                      <w:rFonts w:hint="eastAsia" w:cs="Times New Roman"/>
                      <w:sz w:val="21"/>
                      <w:szCs w:val="21"/>
                      <w:lang w:val="en-US" w:eastAsia="zh-CN"/>
                    </w:rPr>
                    <w:t>跟踪检测。</w:t>
                  </w:r>
                </w:p>
              </w:tc>
              <w:tc>
                <w:tcPr>
                  <w:tcW w:w="973" w:type="dxa"/>
                  <w:tcBorders>
                    <w:tl2br w:val="nil"/>
                    <w:tr2bl w:val="nil"/>
                  </w:tcBorders>
                  <w:noWrap w:val="0"/>
                  <w:vAlign w:val="center"/>
                </w:tcPr>
                <w:p>
                  <w:pPr>
                    <w:pStyle w:val="5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eastAsia="宋体" w:cs="Times New Roman"/>
                      <w:kern w:val="2"/>
                      <w:sz w:val="21"/>
                      <w:szCs w:val="21"/>
                      <w:lang w:val="en-US" w:eastAsia="zh-CN" w:bidi="ar-SA"/>
                    </w:rPr>
                  </w:pPr>
                  <w:r>
                    <w:rPr>
                      <w:rFonts w:hint="eastAsia" w:cs="Times New Roman"/>
                      <w:sz w:val="21"/>
                      <w:szCs w:val="21"/>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5" w:hRule="atLeast"/>
                <w:jc w:val="center"/>
              </w:trPr>
              <w:tc>
                <w:tcPr>
                  <w:tcW w:w="648" w:type="dxa"/>
                  <w:vMerge w:val="continue"/>
                  <w:tcBorders>
                    <w:tl2br w:val="nil"/>
                    <w:tr2bl w:val="nil"/>
                  </w:tcBorders>
                  <w:noWrap w:val="0"/>
                  <w:vAlign w:val="center"/>
                </w:tcPr>
                <w:p>
                  <w:pPr>
                    <w:pStyle w:val="50"/>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s="Times New Roman"/>
                      <w:sz w:val="21"/>
                      <w:szCs w:val="21"/>
                      <w:lang w:val="en-US" w:eastAsia="zh-CN"/>
                    </w:rPr>
                  </w:pPr>
                </w:p>
              </w:tc>
              <w:tc>
                <w:tcPr>
                  <w:tcW w:w="1367" w:type="dxa"/>
                  <w:tcBorders>
                    <w:tl2br w:val="nil"/>
                    <w:tr2bl w:val="nil"/>
                  </w:tcBorders>
                  <w:noWrap w:val="0"/>
                  <w:vAlign w:val="center"/>
                </w:tcPr>
                <w:p>
                  <w:pPr>
                    <w:pStyle w:val="50"/>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宋体" w:cs="Times New Roman"/>
                      <w:kern w:val="2"/>
                      <w:sz w:val="21"/>
                      <w:szCs w:val="21"/>
                      <w:lang w:val="en-US" w:eastAsia="zh-CN" w:bidi="ar-SA"/>
                    </w:rPr>
                  </w:pPr>
                  <w:r>
                    <w:rPr>
                      <w:rFonts w:hint="eastAsia" w:cs="Times New Roman"/>
                      <w:sz w:val="21"/>
                      <w:szCs w:val="21"/>
                      <w:lang w:val="en-US" w:eastAsia="zh-CN"/>
                    </w:rPr>
                    <w:t>生态</w:t>
                  </w:r>
                </w:p>
              </w:tc>
              <w:tc>
                <w:tcPr>
                  <w:tcW w:w="6083" w:type="dxa"/>
                  <w:tcBorders>
                    <w:tl2br w:val="nil"/>
                    <w:tr2bl w:val="nil"/>
                  </w:tcBorders>
                  <w:noWrap w:val="0"/>
                  <w:vAlign w:val="center"/>
                </w:tcPr>
                <w:p>
                  <w:pPr>
                    <w:pStyle w:val="50"/>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宋体" w:cs="Times New Roman"/>
                      <w:kern w:val="2"/>
                      <w:sz w:val="21"/>
                      <w:szCs w:val="21"/>
                      <w:lang w:val="en-US" w:eastAsia="zh-CN" w:bidi="ar-SA"/>
                    </w:rPr>
                  </w:pPr>
                  <w:r>
                    <w:rPr>
                      <w:rFonts w:hint="eastAsia" w:cs="Times New Roman"/>
                      <w:sz w:val="21"/>
                      <w:szCs w:val="21"/>
                      <w:lang w:val="en-US" w:eastAsia="zh-CN"/>
                    </w:rPr>
                    <w:t>定期维护绿化</w:t>
                  </w:r>
                  <w:r>
                    <w:rPr>
                      <w:rFonts w:hint="eastAsia" w:cs="Times New Roman"/>
                      <w:sz w:val="21"/>
                      <w:szCs w:val="21"/>
                      <w:lang w:eastAsia="zh-CN"/>
                    </w:rPr>
                    <w:t>、</w:t>
                  </w:r>
                  <w:r>
                    <w:rPr>
                      <w:rFonts w:cs="Times New Roman"/>
                      <w:sz w:val="21"/>
                      <w:szCs w:val="21"/>
                    </w:rPr>
                    <w:t>跟踪监测</w:t>
                  </w:r>
                  <w:r>
                    <w:rPr>
                      <w:rFonts w:hint="eastAsia" w:cs="Times New Roman"/>
                      <w:sz w:val="21"/>
                      <w:szCs w:val="21"/>
                      <w:lang w:eastAsia="zh-CN"/>
                    </w:rPr>
                    <w:t>。</w:t>
                  </w:r>
                </w:p>
              </w:tc>
              <w:tc>
                <w:tcPr>
                  <w:tcW w:w="973" w:type="dxa"/>
                  <w:tcBorders>
                    <w:tl2br w:val="nil"/>
                    <w:tr2bl w:val="nil"/>
                  </w:tcBorders>
                  <w:noWrap w:val="0"/>
                  <w:vAlign w:val="center"/>
                </w:tcPr>
                <w:p>
                  <w:pPr>
                    <w:pStyle w:val="5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eastAsia="宋体" w:cs="Times New Roman"/>
                      <w:kern w:val="2"/>
                      <w:sz w:val="21"/>
                      <w:szCs w:val="21"/>
                      <w:lang w:val="en-US" w:eastAsia="zh-CN" w:bidi="ar-SA"/>
                    </w:rPr>
                  </w:pPr>
                  <w:r>
                    <w:rPr>
                      <w:rFonts w:hint="eastAsia" w:cs="Times New Roman"/>
                      <w:sz w:val="21"/>
                      <w:szCs w:val="21"/>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015" w:type="dxa"/>
                  <w:gridSpan w:val="2"/>
                  <w:tcBorders>
                    <w:tl2br w:val="nil"/>
                    <w:tr2bl w:val="nil"/>
                  </w:tcBorders>
                  <w:noWrap w:val="0"/>
                  <w:vAlign w:val="center"/>
                </w:tcPr>
                <w:p>
                  <w:pPr>
                    <w:pStyle w:val="50"/>
                    <w:keepNext w:val="0"/>
                    <w:keepLines w:val="0"/>
                    <w:pageBreakBefore w:val="0"/>
                    <w:widowControl w:val="0"/>
                    <w:kinsoku/>
                    <w:wordWrap/>
                    <w:overflowPunct/>
                    <w:topLinePunct w:val="0"/>
                    <w:autoSpaceDE/>
                    <w:autoSpaceDN/>
                    <w:bidi w:val="0"/>
                    <w:adjustRightInd/>
                    <w:snapToGrid/>
                    <w:spacing w:line="240" w:lineRule="auto"/>
                    <w:textAlignment w:val="auto"/>
                    <w:rPr>
                      <w:rFonts w:cs="Times New Roman"/>
                      <w:sz w:val="21"/>
                      <w:szCs w:val="21"/>
                    </w:rPr>
                  </w:pPr>
                  <w:r>
                    <w:rPr>
                      <w:rFonts w:cs="Times New Roman"/>
                      <w:sz w:val="21"/>
                      <w:szCs w:val="21"/>
                    </w:rPr>
                    <w:t>合计</w:t>
                  </w:r>
                </w:p>
              </w:tc>
              <w:tc>
                <w:tcPr>
                  <w:tcW w:w="6083" w:type="dxa"/>
                  <w:tcBorders>
                    <w:tl2br w:val="nil"/>
                    <w:tr2bl w:val="nil"/>
                  </w:tcBorders>
                  <w:noWrap w:val="0"/>
                  <w:vAlign w:val="center"/>
                </w:tcPr>
                <w:p>
                  <w:pPr>
                    <w:pStyle w:val="5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eastAsia="宋体" w:cs="Times New Roman"/>
                      <w:sz w:val="21"/>
                      <w:szCs w:val="21"/>
                      <w:lang w:val="en-US" w:eastAsia="zh-CN"/>
                    </w:rPr>
                  </w:pPr>
                  <w:r>
                    <w:rPr>
                      <w:rFonts w:hint="eastAsia" w:cs="Times New Roman"/>
                      <w:sz w:val="21"/>
                      <w:szCs w:val="21"/>
                      <w:lang w:val="en-US" w:eastAsia="zh-CN"/>
                    </w:rPr>
                    <w:t>--</w:t>
                  </w:r>
                </w:p>
              </w:tc>
              <w:tc>
                <w:tcPr>
                  <w:tcW w:w="973" w:type="dxa"/>
                  <w:tcBorders>
                    <w:tl2br w:val="nil"/>
                    <w:tr2bl w:val="nil"/>
                  </w:tcBorders>
                  <w:noWrap w:val="0"/>
                  <w:vAlign w:val="center"/>
                </w:tcPr>
                <w:p>
                  <w:pPr>
                    <w:pStyle w:val="5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eastAsia="宋体" w:cs="Times New Roman"/>
                      <w:sz w:val="21"/>
                      <w:szCs w:val="21"/>
                      <w:lang w:val="en-US" w:eastAsia="zh-CN"/>
                    </w:rPr>
                  </w:pPr>
                  <w:r>
                    <w:rPr>
                      <w:rFonts w:hint="eastAsia" w:cs="Times New Roman"/>
                      <w:sz w:val="21"/>
                      <w:szCs w:val="21"/>
                      <w:lang w:val="en-US" w:eastAsia="zh-CN"/>
                    </w:rPr>
                    <w:t>970</w:t>
                  </w:r>
                </w:p>
              </w:tc>
            </w:tr>
          </w:tbl>
          <w:p>
            <w:pPr>
              <w:keepNext w:val="0"/>
              <w:keepLines w:val="0"/>
              <w:pageBreakBefore w:val="0"/>
              <w:widowControl w:val="0"/>
              <w:kinsoku/>
              <w:wordWrap/>
              <w:overflowPunct/>
              <w:topLinePunct w:val="0"/>
              <w:autoSpaceDE/>
              <w:autoSpaceDN/>
              <w:bidi w:val="0"/>
              <w:adjustRightInd w:val="0"/>
              <w:snapToGrid w:val="0"/>
              <w:spacing w:line="100" w:lineRule="exact"/>
              <w:ind w:firstLine="480" w:firstLineChars="200"/>
              <w:textAlignment w:val="auto"/>
              <w:rPr>
                <w:rFonts w:ascii="宋体" w:hAnsi="宋体"/>
                <w:kern w:val="0"/>
                <w:sz w:val="24"/>
                <w:szCs w:val="24"/>
              </w:rPr>
            </w:pPr>
          </w:p>
          <w:p>
            <w:pPr>
              <w:keepNext w:val="0"/>
              <w:keepLines w:val="0"/>
              <w:pageBreakBefore w:val="0"/>
              <w:widowControl w:val="0"/>
              <w:kinsoku/>
              <w:wordWrap/>
              <w:overflowPunct/>
              <w:topLinePunct w:val="0"/>
              <w:autoSpaceDE/>
              <w:autoSpaceDN/>
              <w:bidi w:val="0"/>
              <w:adjustRightInd w:val="0"/>
              <w:snapToGrid w:val="0"/>
              <w:spacing w:line="100" w:lineRule="exact"/>
              <w:textAlignment w:val="auto"/>
              <w:rPr>
                <w:rFonts w:ascii="宋体" w:hAnsi="宋体" w:cs="宋体"/>
                <w:bCs/>
                <w:spacing w:val="10"/>
              </w:rPr>
            </w:pPr>
          </w:p>
        </w:tc>
      </w:tr>
    </w:tbl>
    <w:p>
      <w:pPr>
        <w:sectPr>
          <w:pgSz w:w="11906" w:h="16838"/>
          <w:pgMar w:top="1701" w:right="1531" w:bottom="1701" w:left="1531" w:header="1134" w:footer="992" w:gutter="0"/>
          <w:pgBorders>
            <w:top w:val="none" w:sz="0" w:space="0"/>
            <w:left w:val="none" w:sz="0" w:space="0"/>
            <w:bottom w:val="none" w:sz="0" w:space="0"/>
            <w:right w:val="none" w:sz="0" w:space="0"/>
          </w:pgBorders>
          <w:cols w:space="425" w:num="1"/>
          <w:docGrid w:type="lines" w:linePitch="312" w:charSpace="0"/>
        </w:sectPr>
      </w:pPr>
    </w:p>
    <w:p>
      <w:pPr>
        <w:pStyle w:val="19"/>
        <w:jc w:val="center"/>
        <w:outlineLvl w:val="0"/>
        <w:rPr>
          <w:rFonts w:ascii="黑体" w:hAnsi="黑体" w:eastAsia="黑体"/>
          <w:sz w:val="30"/>
          <w:szCs w:val="30"/>
        </w:rPr>
      </w:pPr>
      <w:r>
        <w:rPr>
          <w:rFonts w:hint="eastAsia" w:ascii="黑体" w:hAnsi="黑体" w:eastAsia="黑体"/>
          <w:sz w:val="30"/>
          <w:szCs w:val="30"/>
        </w:rPr>
        <w:t>六、</w:t>
      </w:r>
      <w:r>
        <w:rPr>
          <w:rFonts w:hint="eastAsia" w:ascii="黑体" w:hAnsi="黑体" w:eastAsia="黑体"/>
          <w:snapToGrid w:val="0"/>
          <w:sz w:val="30"/>
          <w:szCs w:val="30"/>
        </w:rPr>
        <w:t>生态环境保护措施监督检查清单</w:t>
      </w:r>
    </w:p>
    <w:tbl>
      <w:tblPr>
        <w:tblStyle w:val="21"/>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128"/>
        <w:gridCol w:w="3784"/>
        <w:gridCol w:w="2796"/>
        <w:gridCol w:w="3434"/>
        <w:gridCol w:w="285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3" w:type="pct"/>
            <w:vMerge w:val="restart"/>
            <w:tcBorders>
              <w:tl2br w:val="single" w:color="auto" w:sz="4" w:space="0"/>
            </w:tcBorders>
          </w:tcPr>
          <w:p>
            <w:pPr>
              <w:pStyle w:val="19"/>
              <w:adjustRightInd w:val="0"/>
              <w:snapToGrid w:val="0"/>
              <w:spacing w:before="93" w:beforeLines="30" w:beforeAutospacing="0" w:after="0" w:afterAutospacing="0"/>
              <w:jc w:val="center"/>
              <w:outlineLvl w:val="0"/>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 xml:space="preserve">  内容</w:t>
            </w:r>
          </w:p>
          <w:p>
            <w:pPr>
              <w:pStyle w:val="19"/>
              <w:adjustRightInd w:val="0"/>
              <w:snapToGrid w:val="0"/>
              <w:spacing w:before="0" w:beforeAutospacing="0" w:after="0" w:afterAutospacing="0" w:line="14" w:lineRule="auto"/>
              <w:outlineLvl w:val="0"/>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 xml:space="preserve">  </w:t>
            </w:r>
          </w:p>
          <w:p>
            <w:pPr>
              <w:pStyle w:val="19"/>
              <w:adjustRightInd w:val="0"/>
              <w:snapToGrid w:val="0"/>
              <w:spacing w:before="0" w:beforeAutospacing="0" w:after="0" w:afterAutospacing="0"/>
              <w:outlineLvl w:val="0"/>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要素</w:t>
            </w:r>
          </w:p>
        </w:tc>
        <w:tc>
          <w:tcPr>
            <w:tcW w:w="2351" w:type="pct"/>
            <w:gridSpan w:val="2"/>
            <w:vAlign w:val="center"/>
          </w:tcPr>
          <w:p>
            <w:pPr>
              <w:pStyle w:val="19"/>
              <w:adjustRightInd w:val="0"/>
              <w:snapToGrid w:val="0"/>
              <w:spacing w:before="0" w:beforeAutospacing="0" w:after="0" w:afterAutospacing="0"/>
              <w:jc w:val="center"/>
              <w:outlineLvl w:val="0"/>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施工期</w:t>
            </w:r>
          </w:p>
        </w:tc>
        <w:tc>
          <w:tcPr>
            <w:tcW w:w="2245" w:type="pct"/>
            <w:gridSpan w:val="2"/>
            <w:vAlign w:val="center"/>
          </w:tcPr>
          <w:p>
            <w:pPr>
              <w:pStyle w:val="19"/>
              <w:adjustRightInd w:val="0"/>
              <w:snapToGrid w:val="0"/>
              <w:spacing w:before="0" w:beforeAutospacing="0" w:after="0" w:afterAutospacing="0"/>
              <w:jc w:val="center"/>
              <w:outlineLvl w:val="0"/>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运营期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3" w:type="pct"/>
            <w:vMerge w:val="continue"/>
          </w:tcPr>
          <w:p>
            <w:pPr>
              <w:pStyle w:val="19"/>
              <w:adjustRightInd w:val="0"/>
              <w:snapToGrid w:val="0"/>
              <w:spacing w:before="0" w:beforeAutospacing="0" w:after="0" w:afterAutospacing="0"/>
              <w:ind w:firstLine="840"/>
              <w:jc w:val="center"/>
              <w:outlineLvl w:val="0"/>
              <w:rPr>
                <w:rFonts w:hint="default" w:ascii="Times New Roman" w:hAnsi="Times New Roman" w:eastAsia="宋体" w:cs="Times New Roman"/>
                <w:kern w:val="2"/>
                <w:sz w:val="21"/>
                <w:szCs w:val="21"/>
              </w:rPr>
            </w:pPr>
          </w:p>
        </w:tc>
        <w:tc>
          <w:tcPr>
            <w:tcW w:w="1352" w:type="pct"/>
            <w:vAlign w:val="center"/>
          </w:tcPr>
          <w:p>
            <w:pPr>
              <w:pStyle w:val="19"/>
              <w:adjustRightInd w:val="0"/>
              <w:snapToGrid w:val="0"/>
              <w:spacing w:before="0" w:beforeAutospacing="0" w:after="0" w:afterAutospacing="0"/>
              <w:jc w:val="center"/>
              <w:outlineLvl w:val="0"/>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环境保护措施</w:t>
            </w:r>
          </w:p>
        </w:tc>
        <w:tc>
          <w:tcPr>
            <w:tcW w:w="999" w:type="pct"/>
            <w:vAlign w:val="center"/>
          </w:tcPr>
          <w:p>
            <w:pPr>
              <w:pStyle w:val="19"/>
              <w:adjustRightInd w:val="0"/>
              <w:snapToGrid w:val="0"/>
              <w:spacing w:before="0" w:beforeAutospacing="0" w:after="0" w:afterAutospacing="0"/>
              <w:jc w:val="center"/>
              <w:outlineLvl w:val="0"/>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验收要求</w:t>
            </w:r>
          </w:p>
        </w:tc>
        <w:tc>
          <w:tcPr>
            <w:tcW w:w="1227" w:type="pct"/>
            <w:vAlign w:val="center"/>
          </w:tcPr>
          <w:p>
            <w:pPr>
              <w:pStyle w:val="19"/>
              <w:adjustRightInd w:val="0"/>
              <w:snapToGrid w:val="0"/>
              <w:spacing w:before="0" w:beforeAutospacing="0" w:after="0" w:afterAutospacing="0"/>
              <w:jc w:val="center"/>
              <w:outlineLvl w:val="0"/>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环境保护措施</w:t>
            </w:r>
          </w:p>
        </w:tc>
        <w:tc>
          <w:tcPr>
            <w:tcW w:w="1017" w:type="pct"/>
            <w:vAlign w:val="center"/>
          </w:tcPr>
          <w:p>
            <w:pPr>
              <w:pStyle w:val="19"/>
              <w:adjustRightInd w:val="0"/>
              <w:snapToGrid w:val="0"/>
              <w:spacing w:before="0" w:beforeAutospacing="0" w:after="0" w:afterAutospacing="0"/>
              <w:jc w:val="center"/>
              <w:outlineLvl w:val="0"/>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验收要求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3" w:type="pct"/>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陆生生态</w:t>
            </w:r>
          </w:p>
        </w:tc>
        <w:tc>
          <w:tcPr>
            <w:tcW w:w="1352" w:type="pct"/>
            <w:vAlign w:val="center"/>
          </w:tcPr>
          <w:p>
            <w:pPr>
              <w:numPr>
                <w:ilvl w:val="0"/>
                <w:numId w:val="0"/>
              </w:numPr>
              <w:adjustRightInd w:val="0"/>
              <w:snapToGrid w:val="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1.</w:t>
            </w:r>
            <w:r>
              <w:rPr>
                <w:rFonts w:hint="default" w:ascii="Times New Roman" w:hAnsi="Times New Roman" w:eastAsia="宋体" w:cs="Times New Roman"/>
                <w:sz w:val="21"/>
                <w:szCs w:val="21"/>
              </w:rPr>
              <w:t>严禁破坏道路用地范围外的农田，尽量减少占用、践踏、随意砍伐破坏植被；林区路段应严格控制施工范围，做好森林防火措施。</w:t>
            </w:r>
          </w:p>
          <w:p>
            <w:pPr>
              <w:numPr>
                <w:ilvl w:val="0"/>
                <w:numId w:val="0"/>
              </w:numPr>
              <w:adjustRightInd w:val="0"/>
              <w:snapToGrid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2.严禁超越施工作业带范围作业，加强管理，严禁施工人员超越施工作业带从事其他活动。</w:t>
            </w:r>
          </w:p>
          <w:p>
            <w:pPr>
              <w:adjustRightInd w:val="0"/>
              <w:snapToGrid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3.在道路沿线设置景观绿化再造工程。使自然景观与人文景观相互融合，形成完整、丰富、和谐的面貌。</w:t>
            </w:r>
          </w:p>
        </w:tc>
        <w:tc>
          <w:tcPr>
            <w:tcW w:w="999" w:type="pct"/>
            <w:vAlign w:val="center"/>
          </w:tcPr>
          <w:p>
            <w:pPr>
              <w:adjustRightInd w:val="0"/>
              <w:snapToGrid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1.严禁砍伐道路用地范围外的林木，林区路段严格控制施工范围，做好森林防火措施。</w:t>
            </w:r>
          </w:p>
          <w:p>
            <w:pPr>
              <w:adjustRightInd w:val="0"/>
              <w:snapToGrid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2.严禁超越施工作业带范围作业，加强管理，严禁施工人员超越施工作业带从事其他活动。</w:t>
            </w:r>
          </w:p>
          <w:p>
            <w:pPr>
              <w:adjustRightInd w:val="0"/>
              <w:snapToGrid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3.在道路沿线设置景观绿化再造工程。</w:t>
            </w:r>
          </w:p>
        </w:tc>
        <w:tc>
          <w:tcPr>
            <w:tcW w:w="1227"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1.及时实施道路绿化工程，并加强对绿化植物管理与养护，使之保证成活。</w:t>
            </w:r>
          </w:p>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2.组建完善的道路管理、维护队伍，及时修复受损路面和设施，适时修整道路绿化工程，按需浇水，保证路面完好、绿化带的成活率和美观性。</w:t>
            </w:r>
          </w:p>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3.强化道路沿线固体废弃物污染治理的监督工作，要求运输含尘物料的汽车加盖蓬布，服务区、收费站等沿线设施设置垃圾箱，对产生的餐饮、生活垃圾等固体废弃物均要组织回收、分类，并且定期集中运往附近城镇垃圾站处理。</w:t>
            </w:r>
          </w:p>
          <w:p>
            <w:pPr>
              <w:adjustRightInd w:val="0"/>
              <w:snapToGrid w:val="0"/>
              <w:jc w:val="both"/>
              <w:rPr>
                <w:rFonts w:hint="default" w:ascii="Times New Roman" w:hAnsi="Times New Roman" w:eastAsia="宋体" w:cs="Times New Roman"/>
                <w:sz w:val="21"/>
                <w:szCs w:val="21"/>
              </w:rPr>
            </w:pPr>
            <w:r>
              <w:rPr>
                <w:rFonts w:hint="default" w:ascii="Times New Roman" w:hAnsi="Times New Roman" w:eastAsia="宋体" w:cs="Times New Roman"/>
                <w:color w:val="000000"/>
                <w:sz w:val="21"/>
                <w:szCs w:val="21"/>
                <w:lang w:val="en-US" w:eastAsia="zh-CN"/>
              </w:rPr>
              <w:t>4、项目永久占地采取占补平衡的原则，特别是占地耕地及时进行补偿。临时占地恢复为道路边的绿地。改造成主干道周边的绿地，恢复植被。</w:t>
            </w:r>
          </w:p>
        </w:tc>
        <w:tc>
          <w:tcPr>
            <w:tcW w:w="1017"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1.实施道路绿化工程，落实绿化植物管理与养护制度。</w:t>
            </w:r>
          </w:p>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2.组建有完善的道路管理、维护队伍，落实管理维护制度</w:t>
            </w:r>
          </w:p>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3.运输含尘物料的汽车加盖蓬布，服务区、收费站等沿线设施设置垃圾箱；制定并落实餐饮、生活垃圾等固体废弃物回收、分类制度，制度并落实定期集中运往附近城镇垃圾站处理制度。</w:t>
            </w:r>
          </w:p>
          <w:p>
            <w:pPr>
              <w:jc w:val="both"/>
              <w:rPr>
                <w:rFonts w:hint="default" w:ascii="Times New Roman" w:hAnsi="Times New Roman" w:eastAsia="宋体" w:cs="Times New Roman"/>
                <w:sz w:val="21"/>
                <w:szCs w:val="21"/>
              </w:rPr>
            </w:pPr>
            <w:r>
              <w:rPr>
                <w:rFonts w:hint="default" w:ascii="Times New Roman" w:hAnsi="Times New Roman" w:eastAsia="宋体" w:cs="Times New Roman"/>
                <w:color w:val="000000"/>
                <w:sz w:val="21"/>
                <w:szCs w:val="21"/>
                <w:lang w:val="en-US" w:eastAsia="zh-CN"/>
              </w:rPr>
              <w:t>4、永久占地落实占补平衡制度，临时占地恢复为道路边的绿地。改造成主干道周边的绿地。</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3" w:type="pct"/>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水生生态</w:t>
            </w:r>
          </w:p>
        </w:tc>
        <w:tc>
          <w:tcPr>
            <w:tcW w:w="1352" w:type="pct"/>
            <w:vAlign w:val="center"/>
          </w:tcPr>
          <w:p>
            <w:pPr>
              <w:adjustRightInd w:val="0"/>
              <w:snapToGrid w:val="0"/>
              <w:jc w:val="both"/>
              <w:rPr>
                <w:rFonts w:hint="default" w:ascii="Times New Roman" w:hAnsi="Times New Roman" w:eastAsia="宋体" w:cs="Times New Roman"/>
                <w:sz w:val="21"/>
                <w:szCs w:val="21"/>
              </w:rPr>
            </w:pPr>
            <w:r>
              <w:rPr>
                <w:rFonts w:hint="default" w:ascii="Times New Roman" w:hAnsi="Times New Roman" w:eastAsia="宋体" w:cs="Times New Roman"/>
                <w:color w:val="000000"/>
                <w:sz w:val="21"/>
                <w:szCs w:val="21"/>
                <w:lang w:val="en-US" w:eastAsia="zh-CN"/>
              </w:rPr>
              <w:t>采取必要的环保措施，加强箱涵建设点的管理。箱涵施工时注意围挡以控制浮游生物受影响的区域范围，排放的悬浮物在经过一定距离沉淀后，可进一步减轻对水生生物的影响。</w:t>
            </w:r>
          </w:p>
        </w:tc>
        <w:tc>
          <w:tcPr>
            <w:tcW w:w="999" w:type="pct"/>
            <w:vAlign w:val="center"/>
          </w:tcPr>
          <w:p>
            <w:pPr>
              <w:adjustRightInd w:val="0"/>
              <w:snapToGrid w:val="0"/>
              <w:rPr>
                <w:rFonts w:hint="default" w:ascii="Times New Roman" w:hAnsi="Times New Roman" w:eastAsia="宋体" w:cs="Times New Roman"/>
                <w:sz w:val="21"/>
                <w:szCs w:val="21"/>
              </w:rPr>
            </w:pPr>
            <w:r>
              <w:rPr>
                <w:rFonts w:hint="default" w:ascii="Times New Roman" w:hAnsi="Times New Roman" w:eastAsia="宋体" w:cs="Times New Roman"/>
                <w:color w:val="000000"/>
                <w:sz w:val="21"/>
                <w:szCs w:val="21"/>
                <w:lang w:val="en-US" w:eastAsia="zh-CN"/>
              </w:rPr>
              <w:t>加强箱涵建设点的管理，避免污废水排入水体，桥梁施工时注意围挡以控制浮游生物受影响的区域范围。</w:t>
            </w:r>
          </w:p>
        </w:tc>
        <w:tc>
          <w:tcPr>
            <w:tcW w:w="1227" w:type="pct"/>
            <w:vAlign w:val="center"/>
          </w:tcPr>
          <w:p>
            <w:pPr>
              <w:adjustRightInd w:val="0"/>
              <w:snapToGrid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1017" w:type="pct"/>
            <w:vAlign w:val="center"/>
          </w:tcPr>
          <w:p>
            <w:pPr>
              <w:adjustRightInd w:val="0"/>
              <w:snapToGrid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3" w:type="pct"/>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地表水环境</w:t>
            </w:r>
          </w:p>
        </w:tc>
        <w:tc>
          <w:tcPr>
            <w:tcW w:w="1352"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1.施工营地设化粪池，生活污水排入化粪池，定期清淘处理。</w:t>
            </w:r>
          </w:p>
          <w:p>
            <w:pPr>
              <w:adjustRightInd w:val="0"/>
              <w:snapToGrid w:val="0"/>
              <w:jc w:val="both"/>
              <w:rPr>
                <w:rFonts w:hint="default" w:ascii="Times New Roman" w:hAnsi="Times New Roman" w:eastAsia="宋体" w:cs="Times New Roman"/>
                <w:sz w:val="21"/>
                <w:szCs w:val="21"/>
              </w:rPr>
            </w:pPr>
            <w:r>
              <w:rPr>
                <w:rFonts w:hint="default" w:ascii="Times New Roman" w:hAnsi="Times New Roman" w:eastAsia="宋体" w:cs="Times New Roman"/>
                <w:color w:val="000000"/>
                <w:sz w:val="21"/>
                <w:szCs w:val="21"/>
                <w:lang w:val="en-US" w:eastAsia="zh-CN"/>
              </w:rPr>
              <w:t>2.施工营地设洗车平台和沉淀池，冲洗废水经沉淀处理后循环使用不外排。</w:t>
            </w:r>
          </w:p>
        </w:tc>
        <w:tc>
          <w:tcPr>
            <w:tcW w:w="999"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1.施工营地设化粪池，生活污水排入化粪池，定期清淘处理。</w:t>
            </w:r>
          </w:p>
          <w:p>
            <w:pPr>
              <w:adjustRightInd w:val="0"/>
              <w:snapToGrid w:val="0"/>
              <w:jc w:val="both"/>
              <w:rPr>
                <w:rFonts w:hint="default" w:ascii="Times New Roman" w:hAnsi="Times New Roman" w:eastAsia="宋体" w:cs="Times New Roman"/>
                <w:sz w:val="21"/>
                <w:szCs w:val="21"/>
              </w:rPr>
            </w:pPr>
            <w:r>
              <w:rPr>
                <w:rFonts w:hint="default" w:ascii="Times New Roman" w:hAnsi="Times New Roman" w:eastAsia="宋体" w:cs="Times New Roman"/>
                <w:color w:val="000000"/>
                <w:sz w:val="21"/>
                <w:szCs w:val="21"/>
                <w:lang w:val="en-US" w:eastAsia="zh-CN"/>
              </w:rPr>
              <w:t>2.施工营地设洗车平台和沉淀池，冲洗废水经沉淀处理后循环使用不外排。</w:t>
            </w:r>
          </w:p>
        </w:tc>
        <w:tc>
          <w:tcPr>
            <w:tcW w:w="3434" w:type="dxa"/>
            <w:vAlign w:val="center"/>
          </w:tcPr>
          <w:p>
            <w:pPr>
              <w:adjustRightInd w:val="0"/>
              <w:snapToGrid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2850" w:type="dxa"/>
            <w:vAlign w:val="center"/>
          </w:tcPr>
          <w:p>
            <w:pPr>
              <w:adjustRightInd w:val="0"/>
              <w:snapToGrid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3" w:type="pct"/>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地下水及土壤环境</w:t>
            </w:r>
          </w:p>
        </w:tc>
        <w:tc>
          <w:tcPr>
            <w:tcW w:w="1352" w:type="pct"/>
            <w:vAlign w:val="center"/>
          </w:tcPr>
          <w:p>
            <w:pPr>
              <w:adjustRightInd w:val="0"/>
              <w:snapToGrid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999" w:type="pct"/>
            <w:vAlign w:val="center"/>
          </w:tcPr>
          <w:p>
            <w:pPr>
              <w:adjustRightInd w:val="0"/>
              <w:snapToGrid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1227" w:type="pct"/>
            <w:vAlign w:val="center"/>
          </w:tcPr>
          <w:p>
            <w:pPr>
              <w:adjustRightInd w:val="0"/>
              <w:snapToGrid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1017" w:type="pct"/>
            <w:vAlign w:val="center"/>
          </w:tcPr>
          <w:p>
            <w:pPr>
              <w:adjustRightInd w:val="0"/>
              <w:snapToGrid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3" w:type="pct"/>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声环境</w:t>
            </w:r>
          </w:p>
        </w:tc>
        <w:tc>
          <w:tcPr>
            <w:tcW w:w="378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000000"/>
                <w:sz w:val="21"/>
                <w:szCs w:val="21"/>
                <w:lang w:val="en-US" w:eastAsia="zh-CN"/>
              </w:rPr>
              <w:t>合理安排施工时间，选择低噪声设备，定期维修设备，遵守操作规程，减少人为噪声，固定噪声源封闭操作，加强日常监督。</w:t>
            </w:r>
          </w:p>
        </w:tc>
        <w:tc>
          <w:tcPr>
            <w:tcW w:w="279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000000"/>
                <w:sz w:val="21"/>
                <w:szCs w:val="21"/>
                <w:lang w:val="en-US" w:eastAsia="zh-CN"/>
              </w:rPr>
              <w:t>合理安排施工时间，选择低噪声设备，定期维修设备，遵守操作规程，减少人为噪声，固定噪声源封闭操作，加强日常监督。</w:t>
            </w:r>
          </w:p>
        </w:tc>
        <w:tc>
          <w:tcPr>
            <w:tcW w:w="343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000000"/>
                <w:sz w:val="21"/>
                <w:szCs w:val="21"/>
                <w:lang w:val="en-US" w:eastAsia="zh-CN"/>
              </w:rPr>
              <w:t>合理控制行车速度；加强道路养护，使路面维持最佳状态；完善本项目道路绿化工程，树种的选择要考虑具有隔声效果的乔木树种。</w:t>
            </w:r>
          </w:p>
        </w:tc>
        <w:tc>
          <w:tcPr>
            <w:tcW w:w="28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000000"/>
                <w:sz w:val="21"/>
                <w:szCs w:val="21"/>
                <w:lang w:val="en-US" w:eastAsia="zh-CN"/>
              </w:rPr>
              <w:t>限速标志、道路养护制度和措施，绿化工程。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3" w:type="pct"/>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振动</w:t>
            </w:r>
          </w:p>
        </w:tc>
        <w:tc>
          <w:tcPr>
            <w:tcW w:w="1352" w:type="pct"/>
            <w:vAlign w:val="center"/>
          </w:tcPr>
          <w:p>
            <w:pPr>
              <w:adjustRightInd w:val="0"/>
              <w:snapToGrid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999" w:type="pct"/>
            <w:vAlign w:val="center"/>
          </w:tcPr>
          <w:p>
            <w:pPr>
              <w:adjustRightInd w:val="0"/>
              <w:snapToGrid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1227" w:type="pct"/>
            <w:vAlign w:val="center"/>
          </w:tcPr>
          <w:p>
            <w:pPr>
              <w:adjustRightInd w:val="0"/>
              <w:snapToGrid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1017" w:type="pct"/>
            <w:vAlign w:val="center"/>
          </w:tcPr>
          <w:p>
            <w:pPr>
              <w:adjustRightInd w:val="0"/>
              <w:snapToGrid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3" w:type="pct"/>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大气环境</w:t>
            </w:r>
          </w:p>
        </w:tc>
        <w:tc>
          <w:tcPr>
            <w:tcW w:w="378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1.确保做到工地周边设置围挡、物料堆放覆盖、土方开挖湿法作业、路面硬化、出入车辆清洗、渣土车辆密闭运输做到“六个百分之百”。</w:t>
            </w:r>
          </w:p>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2.主要物料采用工厂定点生产或采购。</w:t>
            </w:r>
          </w:p>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3.建立车辆清洗点，对经常出入施工现场的车辆的车轮进行清洗，车辆经常过往的道路要保持路面平坦、清洁，并适当硬化和配备一定的洒水设施。</w:t>
            </w:r>
          </w:p>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000000"/>
                <w:sz w:val="21"/>
                <w:szCs w:val="21"/>
                <w:lang w:val="en-US" w:eastAsia="zh-CN"/>
              </w:rPr>
              <w:t>4.沥青熔融和拌和过程全部在专业工厂进行。建议路面铺设使用乳化沥青。</w:t>
            </w:r>
          </w:p>
        </w:tc>
        <w:tc>
          <w:tcPr>
            <w:tcW w:w="279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en-US" w:eastAsia="zh-CN"/>
              </w:rPr>
              <w:t>1.</w:t>
            </w:r>
            <w:r>
              <w:rPr>
                <w:rFonts w:hint="default" w:ascii="Times New Roman" w:hAnsi="Times New Roman" w:eastAsia="宋体" w:cs="Times New Roman"/>
                <w:color w:val="000000"/>
                <w:sz w:val="21"/>
                <w:szCs w:val="21"/>
              </w:rPr>
              <w:t>工地周边</w:t>
            </w:r>
            <w:r>
              <w:rPr>
                <w:rFonts w:hint="default" w:ascii="Times New Roman" w:hAnsi="Times New Roman" w:eastAsia="宋体" w:cs="Times New Roman"/>
                <w:color w:val="000000"/>
                <w:sz w:val="21"/>
                <w:szCs w:val="21"/>
                <w:lang w:val="en-US" w:eastAsia="zh-CN"/>
              </w:rPr>
              <w:t>设置</w:t>
            </w:r>
            <w:r>
              <w:rPr>
                <w:rFonts w:hint="default" w:ascii="Times New Roman" w:hAnsi="Times New Roman" w:eastAsia="宋体" w:cs="Times New Roman"/>
                <w:color w:val="000000"/>
                <w:sz w:val="21"/>
                <w:szCs w:val="21"/>
              </w:rPr>
              <w:t>围挡、物料堆放覆盖、土方开挖湿法作业、路面硬化、出入车辆清洗、渣土车辆密闭运输</w:t>
            </w:r>
            <w:r>
              <w:rPr>
                <w:rFonts w:hint="default" w:ascii="Times New Roman" w:hAnsi="Times New Roman" w:eastAsia="宋体" w:cs="Times New Roman"/>
                <w:color w:val="000000"/>
                <w:sz w:val="21"/>
                <w:szCs w:val="21"/>
                <w:lang w:val="en-US" w:eastAsia="zh-CN"/>
              </w:rPr>
              <w:t>做到</w:t>
            </w:r>
            <w:r>
              <w:rPr>
                <w:rFonts w:hint="default" w:ascii="Times New Roman" w:hAnsi="Times New Roman" w:eastAsia="宋体" w:cs="Times New Roman"/>
                <w:color w:val="000000"/>
                <w:sz w:val="21"/>
                <w:szCs w:val="21"/>
              </w:rPr>
              <w:t>“六个百分之百”。</w:t>
            </w:r>
          </w:p>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en-US" w:eastAsia="zh-CN"/>
              </w:rPr>
              <w:t>2.</w:t>
            </w:r>
            <w:r>
              <w:rPr>
                <w:rFonts w:hint="default" w:ascii="Times New Roman" w:hAnsi="Times New Roman" w:eastAsia="宋体" w:cs="Times New Roman"/>
                <w:color w:val="000000"/>
                <w:sz w:val="21"/>
                <w:szCs w:val="21"/>
              </w:rPr>
              <w:t>主要物料采用工厂化定点生产或采购。</w:t>
            </w:r>
          </w:p>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en-US" w:eastAsia="zh-CN"/>
              </w:rPr>
              <w:t>3.</w:t>
            </w:r>
            <w:r>
              <w:rPr>
                <w:rFonts w:hint="default" w:ascii="Times New Roman" w:hAnsi="Times New Roman" w:eastAsia="宋体" w:cs="Times New Roman"/>
                <w:color w:val="000000"/>
                <w:sz w:val="21"/>
                <w:szCs w:val="21"/>
              </w:rPr>
              <w:t>建立车辆清洗点，对经常出入施工现场的车辆的车轮进行清洗，车辆经常过往的道路要保持路面平坦、清洁，</w:t>
            </w:r>
            <w:r>
              <w:rPr>
                <w:rFonts w:hint="default" w:ascii="Times New Roman" w:hAnsi="Times New Roman" w:eastAsia="宋体" w:cs="Times New Roman"/>
                <w:color w:val="000000"/>
                <w:sz w:val="21"/>
                <w:szCs w:val="21"/>
                <w:lang w:val="en-US" w:eastAsia="zh-CN"/>
              </w:rPr>
              <w:t>路面</w:t>
            </w:r>
            <w:r>
              <w:rPr>
                <w:rFonts w:hint="default" w:ascii="Times New Roman" w:hAnsi="Times New Roman" w:eastAsia="宋体" w:cs="Times New Roman"/>
                <w:color w:val="000000"/>
                <w:sz w:val="21"/>
                <w:szCs w:val="21"/>
              </w:rPr>
              <w:t>硬化和配备一定的洒水设施。</w:t>
            </w:r>
          </w:p>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000000"/>
                <w:sz w:val="21"/>
                <w:szCs w:val="21"/>
                <w:lang w:val="en-US" w:eastAsia="zh-CN"/>
              </w:rPr>
              <w:t>4.</w:t>
            </w:r>
            <w:r>
              <w:rPr>
                <w:rFonts w:hint="default" w:ascii="Times New Roman" w:hAnsi="Times New Roman" w:eastAsia="宋体" w:cs="Times New Roman"/>
                <w:color w:val="000000"/>
                <w:sz w:val="21"/>
                <w:szCs w:val="21"/>
              </w:rPr>
              <w:t>沥青熔融和拌和过程全部在专业工厂进行。路面铺设使用乳化沥青</w:t>
            </w:r>
            <w:r>
              <w:rPr>
                <w:rFonts w:hint="default" w:ascii="Times New Roman" w:hAnsi="Times New Roman" w:eastAsia="宋体" w:cs="Times New Roman"/>
                <w:color w:val="000000"/>
                <w:sz w:val="21"/>
                <w:szCs w:val="21"/>
                <w:lang w:eastAsia="zh-CN"/>
              </w:rPr>
              <w:t>。</w:t>
            </w:r>
          </w:p>
        </w:tc>
        <w:tc>
          <w:tcPr>
            <w:tcW w:w="343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en-US" w:eastAsia="zh-CN"/>
              </w:rPr>
              <w:t>1.</w:t>
            </w:r>
            <w:r>
              <w:rPr>
                <w:rFonts w:hint="default" w:ascii="Times New Roman" w:hAnsi="Times New Roman" w:eastAsia="宋体" w:cs="Times New Roman"/>
                <w:color w:val="000000"/>
                <w:sz w:val="21"/>
                <w:szCs w:val="21"/>
              </w:rPr>
              <w:t>加强道路管理，确保道路顺畅，尽量提高车速，减少汽车尾气排放；</w:t>
            </w:r>
          </w:p>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000000"/>
                <w:sz w:val="21"/>
                <w:szCs w:val="21"/>
                <w:lang w:val="en-US" w:eastAsia="zh-CN"/>
              </w:rPr>
              <w:t>2.</w:t>
            </w:r>
            <w:r>
              <w:rPr>
                <w:rFonts w:hint="default" w:ascii="Times New Roman" w:hAnsi="Times New Roman" w:eastAsia="宋体" w:cs="Times New Roman"/>
                <w:color w:val="000000"/>
                <w:sz w:val="21"/>
                <w:szCs w:val="21"/>
              </w:rPr>
              <w:t>后期工作中加强道路两侧和中央绿化工作，利用植物吸收污染物，减轻污染。</w:t>
            </w:r>
          </w:p>
        </w:tc>
        <w:tc>
          <w:tcPr>
            <w:tcW w:w="28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en-US" w:eastAsia="zh-CN"/>
              </w:rPr>
              <w:t>1.</w:t>
            </w:r>
            <w:r>
              <w:rPr>
                <w:rFonts w:hint="default" w:ascii="Times New Roman" w:hAnsi="Times New Roman" w:eastAsia="宋体" w:cs="Times New Roman"/>
                <w:color w:val="000000"/>
                <w:sz w:val="21"/>
                <w:szCs w:val="21"/>
              </w:rPr>
              <w:t>加强道路管理，确保道路顺畅，尽量提高车速；</w:t>
            </w:r>
          </w:p>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000000"/>
                <w:sz w:val="21"/>
                <w:szCs w:val="21"/>
                <w:lang w:val="en-US" w:eastAsia="zh-CN"/>
              </w:rPr>
              <w:t>2.</w:t>
            </w:r>
            <w:r>
              <w:rPr>
                <w:rFonts w:hint="default" w:ascii="Times New Roman" w:hAnsi="Times New Roman" w:eastAsia="宋体" w:cs="Times New Roman"/>
                <w:color w:val="000000"/>
                <w:sz w:val="21"/>
                <w:szCs w:val="21"/>
              </w:rPr>
              <w:t>道路两侧和中央绿化工作。</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3" w:type="pct"/>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固体废物</w:t>
            </w:r>
          </w:p>
        </w:tc>
        <w:tc>
          <w:tcPr>
            <w:tcW w:w="378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000000"/>
                <w:sz w:val="21"/>
                <w:szCs w:val="21"/>
                <w:lang w:val="en-US" w:eastAsia="zh-CN"/>
              </w:rPr>
              <w:t>弃方按照当地管理部门要求，以汽车封闭运输方式运至指定地点进行处置。施工人员生活垃圾由当地环卫部门统一清运处理。</w:t>
            </w:r>
          </w:p>
        </w:tc>
        <w:tc>
          <w:tcPr>
            <w:tcW w:w="279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000000"/>
                <w:sz w:val="21"/>
                <w:szCs w:val="21"/>
                <w:lang w:val="en-US" w:eastAsia="zh-CN"/>
              </w:rPr>
              <w:t>弃方按照当地管理部门要求，以汽车封闭运输方式运至指定地点进行处置。施工人员生活垃圾由当地环卫部门统一清运处理。</w:t>
            </w:r>
          </w:p>
        </w:tc>
        <w:tc>
          <w:tcPr>
            <w:tcW w:w="343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000000"/>
                <w:sz w:val="21"/>
                <w:szCs w:val="21"/>
              </w:rPr>
              <w:t>营运期线路日常维护产生的少量筑路物料，收集后以汽车封闭运输方式运至当地管理部门的指定地点进行处置。</w:t>
            </w:r>
          </w:p>
        </w:tc>
        <w:tc>
          <w:tcPr>
            <w:tcW w:w="28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000000"/>
                <w:sz w:val="21"/>
                <w:szCs w:val="21"/>
              </w:rPr>
              <w:t>营运期线路日常维护产生的少量筑路物料，收集后以汽车封闭运输方式运至当地管理部门的指定地点进行处置。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3" w:type="pct"/>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电磁环境</w:t>
            </w:r>
          </w:p>
        </w:tc>
        <w:tc>
          <w:tcPr>
            <w:tcW w:w="1352" w:type="pct"/>
            <w:vAlign w:val="center"/>
          </w:tcPr>
          <w:p>
            <w:pPr>
              <w:adjustRightInd w:val="0"/>
              <w:snapToGrid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999" w:type="pct"/>
            <w:vAlign w:val="center"/>
          </w:tcPr>
          <w:p>
            <w:pPr>
              <w:adjustRightInd w:val="0"/>
              <w:snapToGrid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1227" w:type="pct"/>
            <w:vAlign w:val="center"/>
          </w:tcPr>
          <w:p>
            <w:pPr>
              <w:adjustRightInd w:val="0"/>
              <w:snapToGrid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1017" w:type="pct"/>
            <w:vAlign w:val="center"/>
          </w:tcPr>
          <w:p>
            <w:pPr>
              <w:adjustRightInd w:val="0"/>
              <w:snapToGrid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3" w:type="pct"/>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环境风险</w:t>
            </w:r>
          </w:p>
        </w:tc>
        <w:tc>
          <w:tcPr>
            <w:tcW w:w="378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000000"/>
                <w:sz w:val="21"/>
                <w:szCs w:val="21"/>
                <w:lang w:val="en-US" w:eastAsia="zh-CN"/>
              </w:rPr>
              <w:t>/</w:t>
            </w:r>
          </w:p>
        </w:tc>
        <w:tc>
          <w:tcPr>
            <w:tcW w:w="279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000000"/>
                <w:sz w:val="21"/>
                <w:szCs w:val="21"/>
                <w:lang w:val="en-US" w:eastAsia="zh-CN"/>
              </w:rPr>
              <w:t>/</w:t>
            </w:r>
          </w:p>
        </w:tc>
        <w:tc>
          <w:tcPr>
            <w:tcW w:w="343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000000"/>
                <w:sz w:val="21"/>
                <w:szCs w:val="21"/>
                <w:lang w:val="en-US" w:eastAsia="zh-CN"/>
              </w:rPr>
              <w:t>/</w:t>
            </w:r>
          </w:p>
        </w:tc>
        <w:tc>
          <w:tcPr>
            <w:tcW w:w="28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000000"/>
                <w:sz w:val="21"/>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3" w:type="pct"/>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环境监测</w:t>
            </w:r>
          </w:p>
        </w:tc>
        <w:tc>
          <w:tcPr>
            <w:tcW w:w="1352" w:type="pct"/>
            <w:vAlign w:val="center"/>
          </w:tcPr>
          <w:p>
            <w:pPr>
              <w:adjustRightInd w:val="0"/>
              <w:snapToGrid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999" w:type="pct"/>
            <w:vAlign w:val="center"/>
          </w:tcPr>
          <w:p>
            <w:pPr>
              <w:adjustRightInd w:val="0"/>
              <w:snapToGrid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1227" w:type="pct"/>
            <w:vAlign w:val="center"/>
          </w:tcPr>
          <w:p>
            <w:pPr>
              <w:adjustRightInd w:val="0"/>
              <w:snapToGrid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1017" w:type="pct"/>
            <w:vAlign w:val="center"/>
          </w:tcPr>
          <w:p>
            <w:pPr>
              <w:adjustRightInd w:val="0"/>
              <w:snapToGrid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3" w:type="pct"/>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其他</w:t>
            </w:r>
          </w:p>
        </w:tc>
        <w:tc>
          <w:tcPr>
            <w:tcW w:w="1352" w:type="pct"/>
            <w:vAlign w:val="center"/>
          </w:tcPr>
          <w:p>
            <w:pPr>
              <w:adjustRightInd w:val="0"/>
              <w:snapToGrid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999" w:type="pct"/>
            <w:vAlign w:val="center"/>
          </w:tcPr>
          <w:p>
            <w:pPr>
              <w:adjustRightInd w:val="0"/>
              <w:snapToGrid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1227" w:type="pct"/>
            <w:vAlign w:val="center"/>
          </w:tcPr>
          <w:p>
            <w:pPr>
              <w:adjustRightInd w:val="0"/>
              <w:snapToGrid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1017" w:type="pct"/>
            <w:vAlign w:val="center"/>
          </w:tcPr>
          <w:p>
            <w:pPr>
              <w:adjustRightInd w:val="0"/>
              <w:snapToGrid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r>
    </w:tbl>
    <w:p>
      <w:pPr>
        <w:sectPr>
          <w:pgSz w:w="16838" w:h="11906" w:orient="landscape"/>
          <w:pgMar w:top="1531" w:right="1531" w:bottom="1531" w:left="1531" w:header="992" w:footer="992" w:gutter="0"/>
          <w:pgBorders>
            <w:top w:val="none" w:sz="0" w:space="0"/>
            <w:left w:val="none" w:sz="0" w:space="0"/>
            <w:bottom w:val="none" w:sz="0" w:space="0"/>
            <w:right w:val="none" w:sz="0" w:space="0"/>
          </w:pgBorders>
          <w:cols w:space="425" w:num="1"/>
          <w:docGrid w:type="lines" w:linePitch="312" w:charSpace="0"/>
        </w:sectPr>
      </w:pPr>
    </w:p>
    <w:p>
      <w:pPr>
        <w:pStyle w:val="19"/>
        <w:jc w:val="center"/>
        <w:outlineLvl w:val="0"/>
        <w:rPr>
          <w:rFonts w:ascii="黑体" w:hAnsi="黑体" w:eastAsia="黑体"/>
          <w:sz w:val="30"/>
          <w:szCs w:val="30"/>
        </w:rPr>
      </w:pPr>
      <w:r>
        <w:rPr>
          <w:rFonts w:hint="eastAsia" w:ascii="黑体" w:hAnsi="黑体" w:eastAsia="黑体"/>
          <w:sz w:val="30"/>
          <w:szCs w:val="30"/>
        </w:rPr>
        <w:t>七、</w:t>
      </w:r>
      <w:r>
        <w:rPr>
          <w:rFonts w:hint="eastAsia" w:ascii="黑体" w:hAnsi="黑体" w:eastAsia="黑体"/>
          <w:snapToGrid w:val="0"/>
          <w:sz w:val="30"/>
          <w:szCs w:val="30"/>
        </w:rPr>
        <w:t>结论</w:t>
      </w:r>
    </w:p>
    <w:tbl>
      <w:tblPr>
        <w:tblStyle w:val="22"/>
        <w:tblW w:w="9214" w:type="dxa"/>
        <w:tblInd w:w="-14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07" w:hRule="atLeast"/>
        </w:trPr>
        <w:tc>
          <w:tcPr>
            <w:tcW w:w="9214" w:type="dxa"/>
            <w:vAlign w:val="center"/>
          </w:tcPr>
          <w:p>
            <w:pPr>
              <w:adjustRightInd w:val="0"/>
              <w:snapToGrid w:val="0"/>
              <w:spacing w:line="480" w:lineRule="exact"/>
              <w:ind w:firstLine="482" w:firstLineChars="200"/>
              <w:rPr>
                <w:bCs/>
              </w:rPr>
            </w:pPr>
            <w:r>
              <w:rPr>
                <w:rFonts w:hint="eastAsia"/>
                <w:b/>
                <w:bCs w:val="0"/>
                <w:sz w:val="24"/>
                <w:szCs w:val="24"/>
              </w:rPr>
              <w:t>综上所述，本项目符合国家产业政策，只要认真贯彻执行国家的环保法律、法规，认真落实污染防治措施和污染防治对策，污染物可做到达标排放，不会对周围环境产生明显影响，评价认为本项目建设从环保角度可行。</w:t>
            </w:r>
          </w:p>
        </w:tc>
      </w:tr>
    </w:tbl>
    <w:p>
      <w:pPr>
        <w:rPr>
          <w:rFonts w:hint="eastAsia"/>
          <w:lang w:val="en-US" w:eastAsia="zh-CN"/>
        </w:rPr>
        <w:sectPr>
          <w:pgSz w:w="11906" w:h="16838"/>
          <w:pgMar w:top="1701" w:right="1531" w:bottom="1701" w:left="1531" w:header="1134" w:footer="992" w:gutter="0"/>
          <w:pgBorders>
            <w:top w:val="none" w:sz="0" w:space="0"/>
            <w:left w:val="none" w:sz="0" w:space="0"/>
            <w:bottom w:val="none" w:sz="0" w:space="0"/>
            <w:right w:val="none" w:sz="0" w:space="0"/>
          </w:pgBorders>
          <w:cols w:space="425" w:num="1"/>
          <w:docGrid w:type="lines" w:linePitch="312" w:charSpace="0"/>
        </w:sectPr>
      </w:pPr>
    </w:p>
    <w:p>
      <w:pPr>
        <w:spacing w:line="720" w:lineRule="auto"/>
        <w:jc w:val="center"/>
        <w:rPr>
          <w:rFonts w:hint="default" w:ascii="Times New Roman" w:hAnsi="Times New Roman" w:cs="Times New Roman"/>
          <w:b/>
          <w:bCs/>
          <w:color w:val="auto"/>
          <w:sz w:val="36"/>
          <w:highlight w:val="none"/>
        </w:rPr>
      </w:pPr>
    </w:p>
    <w:p>
      <w:pPr>
        <w:spacing w:line="720" w:lineRule="auto"/>
        <w:jc w:val="center"/>
        <w:rPr>
          <w:rFonts w:hint="default" w:ascii="Times New Roman" w:hAnsi="Times New Roman" w:cs="Times New Roman"/>
          <w:b/>
          <w:bCs/>
          <w:color w:val="auto"/>
          <w:sz w:val="36"/>
          <w:highlight w:val="none"/>
        </w:rPr>
      </w:pPr>
    </w:p>
    <w:p>
      <w:pPr>
        <w:spacing w:line="720" w:lineRule="auto"/>
        <w:jc w:val="center"/>
        <w:outlineLvl w:val="0"/>
        <w:rPr>
          <w:rFonts w:hint="default" w:ascii="Times New Roman" w:hAnsi="Times New Roman" w:eastAsia="宋体" w:cs="Times New Roman"/>
          <w:b/>
          <w:bCs/>
          <w:color w:val="auto"/>
          <w:sz w:val="40"/>
          <w:szCs w:val="28"/>
          <w:highlight w:val="none"/>
          <w:lang w:eastAsia="zh-CN"/>
        </w:rPr>
      </w:pPr>
      <w:r>
        <w:rPr>
          <w:rFonts w:hint="default" w:ascii="Times New Roman" w:hAnsi="Times New Roman" w:eastAsia="宋体" w:cs="Times New Roman"/>
          <w:b/>
          <w:bCs/>
          <w:color w:val="auto"/>
          <w:sz w:val="40"/>
          <w:szCs w:val="28"/>
          <w:highlight w:val="none"/>
          <w:lang w:eastAsia="zh-CN"/>
        </w:rPr>
        <w:t>五台县湖滨大街西延等三条道路管网建设项目</w:t>
      </w:r>
    </w:p>
    <w:p>
      <w:pPr>
        <w:spacing w:line="720" w:lineRule="auto"/>
        <w:jc w:val="center"/>
        <w:rPr>
          <w:rFonts w:hint="default" w:ascii="Times New Roman" w:hAnsi="Times New Roman" w:cs="Times New Roman"/>
          <w:b/>
          <w:bCs/>
          <w:color w:val="auto"/>
          <w:sz w:val="48"/>
          <w:szCs w:val="36"/>
          <w:highlight w:val="none"/>
        </w:rPr>
      </w:pPr>
      <w:r>
        <w:rPr>
          <w:rFonts w:hint="default" w:ascii="Times New Roman" w:hAnsi="Times New Roman" w:cs="Times New Roman"/>
          <w:b/>
          <w:bCs/>
          <w:color w:val="auto"/>
          <w:sz w:val="48"/>
          <w:szCs w:val="36"/>
          <w:highlight w:val="none"/>
        </w:rPr>
        <w:t>声环境影响专项评价</w:t>
      </w:r>
    </w:p>
    <w:p>
      <w:pPr>
        <w:spacing w:line="720" w:lineRule="auto"/>
        <w:jc w:val="center"/>
        <w:rPr>
          <w:rFonts w:hint="default" w:ascii="Times New Roman" w:hAnsi="Times New Roman" w:cs="Times New Roman"/>
          <w:b/>
          <w:bCs/>
          <w:color w:val="auto"/>
          <w:sz w:val="48"/>
          <w:szCs w:val="36"/>
          <w:highlight w:val="none"/>
        </w:rPr>
      </w:pPr>
    </w:p>
    <w:p>
      <w:pPr>
        <w:spacing w:line="720" w:lineRule="auto"/>
        <w:jc w:val="center"/>
        <w:rPr>
          <w:rFonts w:hint="default" w:ascii="Times New Roman" w:hAnsi="Times New Roman" w:cs="Times New Roman"/>
          <w:b/>
          <w:bCs/>
          <w:color w:val="auto"/>
          <w:sz w:val="48"/>
          <w:szCs w:val="36"/>
          <w:highlight w:val="none"/>
        </w:rPr>
      </w:pPr>
    </w:p>
    <w:p>
      <w:pPr>
        <w:spacing w:line="720" w:lineRule="auto"/>
        <w:jc w:val="center"/>
        <w:rPr>
          <w:rFonts w:hint="default" w:ascii="Times New Roman" w:hAnsi="Times New Roman" w:cs="Times New Roman"/>
          <w:b/>
          <w:bCs/>
          <w:color w:val="auto"/>
          <w:sz w:val="48"/>
          <w:szCs w:val="36"/>
          <w:highlight w:val="none"/>
        </w:rPr>
      </w:pPr>
    </w:p>
    <w:p>
      <w:pPr>
        <w:spacing w:line="720" w:lineRule="auto"/>
        <w:jc w:val="center"/>
        <w:rPr>
          <w:rFonts w:hint="default" w:ascii="Times New Roman" w:hAnsi="Times New Roman" w:cs="Times New Roman"/>
          <w:b/>
          <w:bCs/>
          <w:color w:val="auto"/>
          <w:sz w:val="48"/>
          <w:szCs w:val="36"/>
          <w:highlight w:val="none"/>
        </w:rPr>
      </w:pPr>
    </w:p>
    <w:p>
      <w:pPr>
        <w:spacing w:line="720" w:lineRule="auto"/>
        <w:jc w:val="center"/>
        <w:rPr>
          <w:rFonts w:hint="default" w:ascii="Times New Roman" w:hAnsi="Times New Roman" w:cs="Times New Roman"/>
          <w:b/>
          <w:bCs/>
          <w:color w:val="auto"/>
          <w:sz w:val="48"/>
          <w:szCs w:val="36"/>
          <w:highlight w:val="none"/>
        </w:rPr>
      </w:pPr>
    </w:p>
    <w:p>
      <w:pPr>
        <w:spacing w:line="720" w:lineRule="auto"/>
        <w:jc w:val="center"/>
        <w:rPr>
          <w:rFonts w:hint="default" w:ascii="Times New Roman" w:hAnsi="Times New Roman" w:cs="Times New Roman"/>
          <w:b/>
          <w:bCs/>
          <w:color w:val="auto"/>
          <w:sz w:val="48"/>
          <w:szCs w:val="36"/>
          <w:highlight w:val="none"/>
        </w:rPr>
      </w:pPr>
    </w:p>
    <w:p>
      <w:pPr>
        <w:spacing w:line="720" w:lineRule="auto"/>
        <w:jc w:val="center"/>
        <w:rPr>
          <w:rFonts w:hint="default" w:ascii="Times New Roman" w:hAnsi="Times New Roman" w:cs="Times New Roman"/>
          <w:b/>
          <w:bCs/>
          <w:color w:val="auto"/>
          <w:sz w:val="48"/>
          <w:szCs w:val="36"/>
          <w:highlight w:val="none"/>
        </w:rPr>
      </w:pPr>
    </w:p>
    <w:p>
      <w:pPr>
        <w:spacing w:line="720" w:lineRule="auto"/>
        <w:jc w:val="center"/>
        <w:rPr>
          <w:rFonts w:hint="default" w:ascii="Times New Roman" w:hAnsi="Times New Roman" w:cs="Times New Roman"/>
          <w:b/>
          <w:bCs/>
          <w:color w:val="auto"/>
          <w:sz w:val="36"/>
          <w:highlight w:val="none"/>
        </w:rPr>
      </w:pPr>
    </w:p>
    <w:p>
      <w:pPr>
        <w:spacing w:line="720" w:lineRule="auto"/>
        <w:jc w:val="center"/>
        <w:rPr>
          <w:rFonts w:hint="default" w:ascii="Times New Roman" w:hAnsi="Times New Roman" w:cs="Times New Roman"/>
          <w:b/>
          <w:bCs/>
          <w:color w:val="auto"/>
          <w:sz w:val="36"/>
          <w:highlight w:val="none"/>
        </w:rPr>
      </w:pPr>
    </w:p>
    <w:p>
      <w:pPr>
        <w:spacing w:line="720" w:lineRule="auto"/>
        <w:jc w:val="center"/>
        <w:rPr>
          <w:rFonts w:hint="default" w:ascii="Times New Roman" w:hAnsi="Times New Roman" w:cs="Times New Roman"/>
          <w:b/>
          <w:bCs/>
          <w:color w:val="auto"/>
          <w:sz w:val="36"/>
          <w:highlight w:val="none"/>
        </w:rPr>
        <w:sectPr>
          <w:headerReference r:id="rId6" w:type="default"/>
          <w:footerReference r:id="rId7" w:type="default"/>
          <w:pgSz w:w="11906" w:h="16838"/>
          <w:pgMar w:top="1440" w:right="1797" w:bottom="1440" w:left="1797" w:header="851" w:footer="992" w:gutter="0"/>
          <w:pgBorders>
            <w:top w:val="none" w:sz="0" w:space="0"/>
            <w:left w:val="none" w:sz="0" w:space="0"/>
            <w:bottom w:val="none" w:sz="0" w:space="0"/>
            <w:right w:val="none" w:sz="0" w:space="0"/>
          </w:pgBorders>
          <w:pgNumType w:start="1"/>
          <w:cols w:space="720" w:num="1"/>
          <w:titlePg/>
          <w:docGrid w:type="lines" w:linePitch="312" w:charSpace="0"/>
        </w:sectPr>
      </w:pPr>
      <w:r>
        <w:rPr>
          <w:rFonts w:hint="default" w:ascii="Times New Roman" w:hAnsi="Times New Roman" w:cs="Times New Roman"/>
          <w:b/>
          <w:bCs/>
          <w:color w:val="auto"/>
          <w:sz w:val="36"/>
          <w:highlight w:val="none"/>
        </w:rPr>
        <w:t>二〇二</w:t>
      </w:r>
      <w:r>
        <w:rPr>
          <w:rFonts w:hint="eastAsia" w:cs="Times New Roman"/>
          <w:b/>
          <w:bCs/>
          <w:color w:val="auto"/>
          <w:sz w:val="36"/>
          <w:highlight w:val="none"/>
          <w:lang w:val="en-US" w:eastAsia="zh-CN"/>
        </w:rPr>
        <w:t>三</w:t>
      </w:r>
      <w:r>
        <w:rPr>
          <w:rFonts w:hint="default" w:ascii="Times New Roman" w:hAnsi="Times New Roman" w:cs="Times New Roman"/>
          <w:b/>
          <w:bCs/>
          <w:color w:val="auto"/>
          <w:sz w:val="36"/>
          <w:highlight w:val="none"/>
        </w:rPr>
        <w:t>年</w:t>
      </w:r>
      <w:r>
        <w:rPr>
          <w:rFonts w:hint="eastAsia" w:cs="Times New Roman"/>
          <w:b/>
          <w:bCs/>
          <w:color w:val="auto"/>
          <w:sz w:val="36"/>
          <w:highlight w:val="none"/>
          <w:lang w:val="en-US" w:eastAsia="zh-CN"/>
        </w:rPr>
        <w:t>三</w:t>
      </w:r>
      <w:r>
        <w:rPr>
          <w:rFonts w:hint="default" w:ascii="Times New Roman" w:hAnsi="Times New Roman" w:cs="Times New Roman"/>
          <w:b/>
          <w:bCs/>
          <w:color w:val="auto"/>
          <w:sz w:val="36"/>
          <w:highlight w:val="none"/>
        </w:rPr>
        <w:t>月</w:t>
      </w:r>
    </w:p>
    <w:p>
      <w:pPr>
        <w:pStyle w:val="48"/>
        <w:spacing w:line="360" w:lineRule="auto"/>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zh-CN"/>
        </w:rPr>
        <w:t>目录</w:t>
      </w:r>
    </w:p>
    <w:p>
      <w:pPr>
        <w:spacing w:line="360" w:lineRule="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fldChar w:fldCharType="begin"/>
      </w:r>
      <w:r>
        <w:rPr>
          <w:rFonts w:hint="default" w:ascii="Times New Roman" w:hAnsi="Times New Roman" w:cs="Times New Roman"/>
          <w:color w:val="auto"/>
          <w:sz w:val="24"/>
          <w:highlight w:val="none"/>
        </w:rPr>
        <w:instrText xml:space="preserve"> TOC \o "1-3" \h \z \u </w:instrText>
      </w:r>
      <w:r>
        <w:rPr>
          <w:rFonts w:hint="default" w:ascii="Times New Roman" w:hAnsi="Times New Roman" w:cs="Times New Roman"/>
          <w:color w:val="auto"/>
          <w:sz w:val="24"/>
          <w:highlight w:val="none"/>
        </w:rPr>
        <w:fldChar w:fldCharType="separate"/>
      </w:r>
      <w:r>
        <w:rPr>
          <w:rFonts w:hint="default" w:ascii="Times New Roman" w:hAnsi="Times New Roman" w:cs="Times New Roman"/>
          <w:color w:val="auto"/>
          <w:sz w:val="24"/>
          <w:highlight w:val="none"/>
        </w:rPr>
        <w:fldChar w:fldCharType="begin"/>
      </w:r>
      <w:r>
        <w:rPr>
          <w:rFonts w:hint="default" w:ascii="Times New Roman" w:hAnsi="Times New Roman" w:cs="Times New Roman"/>
          <w:color w:val="auto"/>
          <w:sz w:val="24"/>
          <w:highlight w:val="none"/>
        </w:rPr>
        <w:instrText xml:space="preserve"> HYPERLINK \l "_Toc58267070" </w:instrText>
      </w:r>
      <w:r>
        <w:rPr>
          <w:rFonts w:hint="default" w:ascii="Times New Roman" w:hAnsi="Times New Roman" w:cs="Times New Roman"/>
          <w:color w:val="auto"/>
          <w:sz w:val="24"/>
          <w:highlight w:val="none"/>
        </w:rPr>
        <w:fldChar w:fldCharType="separate"/>
      </w:r>
      <w:r>
        <w:rPr>
          <w:rStyle w:val="24"/>
          <w:rFonts w:hint="default" w:ascii="Times New Roman" w:hAnsi="Times New Roman" w:cs="Times New Roman"/>
          <w:color w:val="auto"/>
          <w:highlight w:val="none"/>
        </w:rPr>
        <w:t>1.1评价总则</w:t>
      </w:r>
      <w:r>
        <w:rPr>
          <w:rFonts w:hint="default" w:ascii="Times New Roman" w:hAnsi="Times New Roman" w:cs="Times New Roman"/>
          <w:color w:val="auto"/>
          <w:sz w:val="24"/>
          <w:highlight w:val="none"/>
        </w:rPr>
        <w:tab/>
      </w:r>
      <w:r>
        <w:rPr>
          <w:rFonts w:hint="default" w:ascii="Times New Roman" w:hAnsi="Times New Roman" w:cs="Times New Roman"/>
          <w:color w:val="auto"/>
          <w:sz w:val="24"/>
          <w:highlight w:val="none"/>
        </w:rPr>
        <w:fldChar w:fldCharType="end"/>
      </w:r>
    </w:p>
    <w:p>
      <w:pPr>
        <w:pStyle w:val="11"/>
        <w:tabs>
          <w:tab w:val="right" w:leader="dot" w:pos="8302"/>
        </w:tabs>
        <w:spacing w:line="360" w:lineRule="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"_Toc58267071" </w:instrText>
      </w:r>
      <w:r>
        <w:rPr>
          <w:rFonts w:hint="default" w:ascii="Times New Roman" w:hAnsi="Times New Roman" w:cs="Times New Roman"/>
          <w:color w:val="auto"/>
          <w:sz w:val="24"/>
          <w:szCs w:val="24"/>
          <w:highlight w:val="none"/>
        </w:rPr>
        <w:fldChar w:fldCharType="separate"/>
      </w:r>
      <w:r>
        <w:rPr>
          <w:rStyle w:val="24"/>
          <w:rFonts w:hint="default" w:ascii="Times New Roman" w:hAnsi="Times New Roman" w:cs="Times New Roman"/>
          <w:color w:val="auto"/>
          <w:szCs w:val="24"/>
          <w:highlight w:val="none"/>
        </w:rPr>
        <w:t>1.1.1评价等级</w:t>
      </w:r>
      <w:r>
        <w:rPr>
          <w:rFonts w:hint="default" w:ascii="Times New Roman" w:hAnsi="Times New Roman" w:cs="Times New Roman"/>
          <w:color w:val="auto"/>
          <w:sz w:val="24"/>
          <w:szCs w:val="24"/>
          <w:highlight w:val="none"/>
        </w:rPr>
        <w:tab/>
      </w: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PAGEREF _Toc58267071 \h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1</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1"/>
        <w:tabs>
          <w:tab w:val="right" w:leader="dot" w:pos="8302"/>
        </w:tabs>
        <w:spacing w:line="360" w:lineRule="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"_Toc58267072" </w:instrText>
      </w:r>
      <w:r>
        <w:rPr>
          <w:rFonts w:hint="default" w:ascii="Times New Roman" w:hAnsi="Times New Roman" w:cs="Times New Roman"/>
          <w:color w:val="auto"/>
          <w:sz w:val="24"/>
          <w:szCs w:val="24"/>
          <w:highlight w:val="none"/>
        </w:rPr>
        <w:fldChar w:fldCharType="separate"/>
      </w:r>
      <w:r>
        <w:rPr>
          <w:rStyle w:val="24"/>
          <w:rFonts w:hint="default" w:ascii="Times New Roman" w:hAnsi="Times New Roman" w:cs="Times New Roman"/>
          <w:color w:val="auto"/>
          <w:szCs w:val="24"/>
          <w:highlight w:val="none"/>
        </w:rPr>
        <w:t>1.1.2评价范围</w:t>
      </w:r>
      <w:r>
        <w:rPr>
          <w:rFonts w:hint="default" w:ascii="Times New Roman" w:hAnsi="Times New Roman" w:cs="Times New Roman"/>
          <w:color w:val="auto"/>
          <w:sz w:val="24"/>
          <w:szCs w:val="24"/>
          <w:highlight w:val="none"/>
        </w:rPr>
        <w:tab/>
      </w: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PAGEREF _Toc58267072 \h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1</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1"/>
        <w:tabs>
          <w:tab w:val="right" w:leader="dot" w:pos="8302"/>
        </w:tabs>
        <w:spacing w:line="360" w:lineRule="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"_Toc58267073" </w:instrText>
      </w:r>
      <w:r>
        <w:rPr>
          <w:rFonts w:hint="default" w:ascii="Times New Roman" w:hAnsi="Times New Roman" w:cs="Times New Roman"/>
          <w:color w:val="auto"/>
          <w:sz w:val="24"/>
          <w:szCs w:val="24"/>
          <w:highlight w:val="none"/>
        </w:rPr>
        <w:fldChar w:fldCharType="separate"/>
      </w:r>
      <w:r>
        <w:rPr>
          <w:rStyle w:val="24"/>
          <w:rFonts w:hint="default" w:ascii="Times New Roman" w:hAnsi="Times New Roman" w:cs="Times New Roman"/>
          <w:color w:val="auto"/>
          <w:szCs w:val="24"/>
          <w:highlight w:val="none"/>
        </w:rPr>
        <w:t>1.1.3评价标准</w:t>
      </w:r>
      <w:r>
        <w:rPr>
          <w:rFonts w:hint="default" w:ascii="Times New Roman" w:hAnsi="Times New Roman" w:cs="Times New Roman"/>
          <w:color w:val="auto"/>
          <w:sz w:val="24"/>
          <w:szCs w:val="24"/>
          <w:highlight w:val="none"/>
        </w:rPr>
        <w:tab/>
      </w: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PAGEREF _Toc58267073 \h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1</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8"/>
        <w:tabs>
          <w:tab w:val="right" w:leader="dot" w:pos="8302"/>
        </w:tabs>
        <w:spacing w:line="360" w:lineRule="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"_Toc58267074" </w:instrText>
      </w:r>
      <w:r>
        <w:rPr>
          <w:rFonts w:hint="default" w:ascii="Times New Roman" w:hAnsi="Times New Roman" w:cs="Times New Roman"/>
          <w:color w:val="auto"/>
          <w:sz w:val="24"/>
          <w:szCs w:val="24"/>
          <w:highlight w:val="none"/>
        </w:rPr>
        <w:fldChar w:fldCharType="separate"/>
      </w:r>
      <w:r>
        <w:rPr>
          <w:rStyle w:val="24"/>
          <w:rFonts w:hint="default" w:ascii="Times New Roman" w:hAnsi="Times New Roman" w:cs="Times New Roman"/>
          <w:color w:val="auto"/>
          <w:szCs w:val="24"/>
          <w:highlight w:val="none"/>
        </w:rPr>
        <w:t>1.2道路沿线声环境质量现状及评价</w:t>
      </w:r>
      <w:r>
        <w:rPr>
          <w:rFonts w:hint="default" w:ascii="Times New Roman" w:hAnsi="Times New Roman" w:cs="Times New Roman"/>
          <w:color w:val="auto"/>
          <w:sz w:val="24"/>
          <w:szCs w:val="24"/>
          <w:highlight w:val="none"/>
        </w:rPr>
        <w:tab/>
      </w: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PAGEREF _Toc58267074 \h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1</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1"/>
        <w:tabs>
          <w:tab w:val="right" w:leader="dot" w:pos="8302"/>
        </w:tabs>
        <w:spacing w:line="360" w:lineRule="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"_Toc58267075" </w:instrText>
      </w:r>
      <w:r>
        <w:rPr>
          <w:rFonts w:hint="default" w:ascii="Times New Roman" w:hAnsi="Times New Roman" w:cs="Times New Roman"/>
          <w:color w:val="auto"/>
          <w:sz w:val="24"/>
          <w:szCs w:val="24"/>
          <w:highlight w:val="none"/>
        </w:rPr>
        <w:fldChar w:fldCharType="separate"/>
      </w:r>
      <w:r>
        <w:rPr>
          <w:rStyle w:val="24"/>
          <w:rFonts w:hint="default" w:ascii="Times New Roman" w:hAnsi="Times New Roman" w:cs="Times New Roman"/>
          <w:color w:val="auto"/>
          <w:szCs w:val="24"/>
          <w:highlight w:val="none"/>
        </w:rPr>
        <w:t>1.2.1沿线敏感区分布</w:t>
      </w:r>
      <w:r>
        <w:rPr>
          <w:rFonts w:hint="default" w:ascii="Times New Roman" w:hAnsi="Times New Roman" w:cs="Times New Roman"/>
          <w:color w:val="auto"/>
          <w:sz w:val="24"/>
          <w:szCs w:val="24"/>
          <w:highlight w:val="none"/>
        </w:rPr>
        <w:tab/>
      </w: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PAGEREF _Toc58267075 \h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1</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1"/>
        <w:tabs>
          <w:tab w:val="right" w:leader="dot" w:pos="8302"/>
        </w:tabs>
        <w:spacing w:line="360" w:lineRule="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"_Toc58267076" </w:instrText>
      </w:r>
      <w:r>
        <w:rPr>
          <w:rFonts w:hint="default" w:ascii="Times New Roman" w:hAnsi="Times New Roman" w:cs="Times New Roman"/>
          <w:color w:val="auto"/>
          <w:sz w:val="24"/>
          <w:szCs w:val="24"/>
          <w:highlight w:val="none"/>
        </w:rPr>
        <w:fldChar w:fldCharType="separate"/>
      </w:r>
      <w:r>
        <w:rPr>
          <w:rStyle w:val="24"/>
          <w:rFonts w:hint="default" w:ascii="Times New Roman" w:hAnsi="Times New Roman" w:cs="Times New Roman"/>
          <w:color w:val="auto"/>
          <w:szCs w:val="24"/>
          <w:highlight w:val="none"/>
        </w:rPr>
        <w:t>1.2.2噪声监测布点</w:t>
      </w:r>
      <w:r>
        <w:rPr>
          <w:rFonts w:hint="default" w:ascii="Times New Roman" w:hAnsi="Times New Roman" w:cs="Times New Roman"/>
          <w:color w:val="auto"/>
          <w:sz w:val="24"/>
          <w:szCs w:val="24"/>
          <w:highlight w:val="none"/>
        </w:rPr>
        <w:tab/>
      </w: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PAGEREF _Toc58267076 \h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2</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1"/>
        <w:tabs>
          <w:tab w:val="right" w:leader="dot" w:pos="8302"/>
        </w:tabs>
        <w:spacing w:line="360" w:lineRule="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"_Toc58267077" </w:instrText>
      </w:r>
      <w:r>
        <w:rPr>
          <w:rFonts w:hint="default" w:ascii="Times New Roman" w:hAnsi="Times New Roman" w:cs="Times New Roman"/>
          <w:color w:val="auto"/>
          <w:sz w:val="24"/>
          <w:szCs w:val="24"/>
          <w:highlight w:val="none"/>
        </w:rPr>
        <w:fldChar w:fldCharType="separate"/>
      </w:r>
      <w:r>
        <w:rPr>
          <w:rStyle w:val="24"/>
          <w:rFonts w:hint="default" w:ascii="Times New Roman" w:hAnsi="Times New Roman" w:cs="Times New Roman"/>
          <w:color w:val="auto"/>
          <w:szCs w:val="24"/>
          <w:highlight w:val="none"/>
        </w:rPr>
        <w:t>1.2.3测量仪器、测量时间、测量条件及数据采集</w:t>
      </w:r>
      <w:r>
        <w:rPr>
          <w:rFonts w:hint="default" w:ascii="Times New Roman" w:hAnsi="Times New Roman" w:cs="Times New Roman"/>
          <w:color w:val="auto"/>
          <w:sz w:val="24"/>
          <w:szCs w:val="24"/>
          <w:highlight w:val="none"/>
        </w:rPr>
        <w:tab/>
      </w: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PAGEREF _Toc58267077 \h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2</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1"/>
        <w:tabs>
          <w:tab w:val="right" w:leader="dot" w:pos="8302"/>
        </w:tabs>
        <w:spacing w:line="360" w:lineRule="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"_Toc58267078" </w:instrText>
      </w:r>
      <w:r>
        <w:rPr>
          <w:rFonts w:hint="default" w:ascii="Times New Roman" w:hAnsi="Times New Roman" w:cs="Times New Roman"/>
          <w:color w:val="auto"/>
          <w:sz w:val="24"/>
          <w:szCs w:val="24"/>
          <w:highlight w:val="none"/>
        </w:rPr>
        <w:fldChar w:fldCharType="separate"/>
      </w:r>
      <w:r>
        <w:rPr>
          <w:rStyle w:val="24"/>
          <w:rFonts w:hint="default" w:ascii="Times New Roman" w:hAnsi="Times New Roman" w:cs="Times New Roman"/>
          <w:color w:val="auto"/>
          <w:szCs w:val="24"/>
          <w:highlight w:val="none"/>
        </w:rPr>
        <w:t>1.2.4监测结果及现状评价</w:t>
      </w:r>
      <w:r>
        <w:rPr>
          <w:rFonts w:hint="default" w:ascii="Times New Roman" w:hAnsi="Times New Roman" w:cs="Times New Roman"/>
          <w:color w:val="auto"/>
          <w:sz w:val="24"/>
          <w:szCs w:val="24"/>
          <w:highlight w:val="none"/>
        </w:rPr>
        <w:tab/>
      </w: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PAGEREF _Toc58267078 \h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4</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8"/>
        <w:tabs>
          <w:tab w:val="right" w:leader="dot" w:pos="8302"/>
        </w:tabs>
        <w:spacing w:line="360" w:lineRule="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"_Toc58267079" </w:instrText>
      </w:r>
      <w:r>
        <w:rPr>
          <w:rFonts w:hint="default" w:ascii="Times New Roman" w:hAnsi="Times New Roman" w:cs="Times New Roman"/>
          <w:color w:val="auto"/>
          <w:sz w:val="24"/>
          <w:szCs w:val="24"/>
          <w:highlight w:val="none"/>
        </w:rPr>
        <w:fldChar w:fldCharType="separate"/>
      </w:r>
      <w:r>
        <w:rPr>
          <w:rStyle w:val="24"/>
          <w:rFonts w:hint="default" w:ascii="Times New Roman" w:hAnsi="Times New Roman" w:cs="Times New Roman"/>
          <w:color w:val="auto"/>
          <w:szCs w:val="24"/>
          <w:highlight w:val="none"/>
        </w:rPr>
        <w:t>1.3声环境影响预测与评价</w:t>
      </w:r>
      <w:r>
        <w:rPr>
          <w:rFonts w:hint="default" w:ascii="Times New Roman" w:hAnsi="Times New Roman" w:cs="Times New Roman"/>
          <w:color w:val="auto"/>
          <w:sz w:val="24"/>
          <w:szCs w:val="24"/>
          <w:highlight w:val="none"/>
        </w:rPr>
        <w:tab/>
      </w: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PAGEREF _Toc58267079 \h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4</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1"/>
        <w:tabs>
          <w:tab w:val="right" w:leader="dot" w:pos="8302"/>
        </w:tabs>
        <w:spacing w:line="360" w:lineRule="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"_Toc58267080" </w:instrText>
      </w:r>
      <w:r>
        <w:rPr>
          <w:rFonts w:hint="default" w:ascii="Times New Roman" w:hAnsi="Times New Roman" w:cs="Times New Roman"/>
          <w:color w:val="auto"/>
          <w:sz w:val="24"/>
          <w:szCs w:val="24"/>
          <w:highlight w:val="none"/>
        </w:rPr>
        <w:fldChar w:fldCharType="separate"/>
      </w:r>
      <w:r>
        <w:rPr>
          <w:rStyle w:val="24"/>
          <w:rFonts w:hint="default" w:ascii="Times New Roman" w:hAnsi="Times New Roman" w:cs="Times New Roman"/>
          <w:color w:val="auto"/>
          <w:szCs w:val="24"/>
          <w:highlight w:val="none"/>
        </w:rPr>
        <w:t>1.3.1施工期声环境影响预测与评价</w:t>
      </w:r>
      <w:r>
        <w:rPr>
          <w:rFonts w:hint="default" w:ascii="Times New Roman" w:hAnsi="Times New Roman" w:cs="Times New Roman"/>
          <w:color w:val="auto"/>
          <w:sz w:val="24"/>
          <w:szCs w:val="24"/>
          <w:highlight w:val="none"/>
        </w:rPr>
        <w:tab/>
      </w: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PAGEREF _Toc58267080 \h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4</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1"/>
        <w:tabs>
          <w:tab w:val="right" w:leader="dot" w:pos="8302"/>
        </w:tabs>
        <w:spacing w:line="360" w:lineRule="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"_Toc58267081" </w:instrText>
      </w:r>
      <w:r>
        <w:rPr>
          <w:rFonts w:hint="default" w:ascii="Times New Roman" w:hAnsi="Times New Roman" w:cs="Times New Roman"/>
          <w:color w:val="auto"/>
          <w:sz w:val="24"/>
          <w:szCs w:val="24"/>
          <w:highlight w:val="none"/>
        </w:rPr>
        <w:fldChar w:fldCharType="separate"/>
      </w:r>
      <w:r>
        <w:rPr>
          <w:rStyle w:val="24"/>
          <w:rFonts w:hint="default" w:ascii="Times New Roman" w:hAnsi="Times New Roman" w:cs="Times New Roman"/>
          <w:color w:val="auto"/>
          <w:szCs w:val="24"/>
          <w:highlight w:val="none"/>
        </w:rPr>
        <w:t>1.3.2营运期声环境影响预测与评价</w:t>
      </w:r>
      <w:r>
        <w:rPr>
          <w:rFonts w:hint="default" w:ascii="Times New Roman" w:hAnsi="Times New Roman" w:cs="Times New Roman"/>
          <w:color w:val="auto"/>
          <w:sz w:val="24"/>
          <w:szCs w:val="24"/>
          <w:highlight w:val="none"/>
        </w:rPr>
        <w:tab/>
      </w: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PAGEREF _Toc58267081 \h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6</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1"/>
        <w:tabs>
          <w:tab w:val="right" w:leader="dot" w:pos="8302"/>
        </w:tabs>
        <w:spacing w:line="360" w:lineRule="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"_Toc58267082" </w:instrText>
      </w:r>
      <w:r>
        <w:rPr>
          <w:rFonts w:hint="default" w:ascii="Times New Roman" w:hAnsi="Times New Roman" w:cs="Times New Roman"/>
          <w:color w:val="auto"/>
          <w:sz w:val="24"/>
          <w:szCs w:val="24"/>
          <w:highlight w:val="none"/>
        </w:rPr>
        <w:fldChar w:fldCharType="separate"/>
      </w:r>
      <w:r>
        <w:rPr>
          <w:rStyle w:val="24"/>
          <w:rFonts w:hint="default" w:ascii="Times New Roman" w:hAnsi="Times New Roman" w:cs="Times New Roman"/>
          <w:snapToGrid w:val="0"/>
          <w:color w:val="auto"/>
          <w:szCs w:val="24"/>
          <w:highlight w:val="none"/>
        </w:rPr>
        <w:t>1.4.1施工期噪声污染防治措施</w:t>
      </w:r>
      <w:r>
        <w:rPr>
          <w:rFonts w:hint="default" w:ascii="Times New Roman" w:hAnsi="Times New Roman" w:cs="Times New Roman"/>
          <w:color w:val="auto"/>
          <w:sz w:val="24"/>
          <w:szCs w:val="24"/>
          <w:highlight w:val="none"/>
        </w:rPr>
        <w:tab/>
      </w: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PAGEREF _Toc58267082 \h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23</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1"/>
        <w:tabs>
          <w:tab w:val="right" w:leader="dot" w:pos="8302"/>
        </w:tabs>
        <w:spacing w:line="360" w:lineRule="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"_Toc58267083" </w:instrText>
      </w:r>
      <w:r>
        <w:rPr>
          <w:rFonts w:hint="default" w:ascii="Times New Roman" w:hAnsi="Times New Roman" w:cs="Times New Roman"/>
          <w:color w:val="auto"/>
          <w:sz w:val="24"/>
          <w:szCs w:val="24"/>
          <w:highlight w:val="none"/>
        </w:rPr>
        <w:fldChar w:fldCharType="separate"/>
      </w:r>
      <w:r>
        <w:rPr>
          <w:rStyle w:val="24"/>
          <w:rFonts w:hint="default" w:ascii="Times New Roman" w:hAnsi="Times New Roman" w:cs="Times New Roman"/>
          <w:snapToGrid w:val="0"/>
          <w:color w:val="auto"/>
          <w:szCs w:val="24"/>
          <w:highlight w:val="none"/>
        </w:rPr>
        <w:t>1.4.2营运期噪声污染防治措施</w:t>
      </w:r>
      <w:r>
        <w:rPr>
          <w:rFonts w:hint="default" w:ascii="Times New Roman" w:hAnsi="Times New Roman" w:cs="Times New Roman"/>
          <w:color w:val="auto"/>
          <w:sz w:val="24"/>
          <w:szCs w:val="24"/>
          <w:highlight w:val="none"/>
        </w:rPr>
        <w:tab/>
      </w: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PAGEREF _Toc58267083 \h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24</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8"/>
        <w:tabs>
          <w:tab w:val="right" w:leader="dot" w:pos="8302"/>
        </w:tabs>
        <w:spacing w:line="360" w:lineRule="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"_Toc58267084" </w:instrText>
      </w:r>
      <w:r>
        <w:rPr>
          <w:rFonts w:hint="default" w:ascii="Times New Roman" w:hAnsi="Times New Roman" w:cs="Times New Roman"/>
          <w:color w:val="auto"/>
          <w:sz w:val="24"/>
          <w:szCs w:val="24"/>
          <w:highlight w:val="none"/>
        </w:rPr>
        <w:fldChar w:fldCharType="separate"/>
      </w:r>
      <w:r>
        <w:rPr>
          <w:rStyle w:val="24"/>
          <w:rFonts w:hint="default" w:ascii="Times New Roman" w:hAnsi="Times New Roman" w:cs="Times New Roman"/>
          <w:color w:val="auto"/>
          <w:szCs w:val="24"/>
          <w:highlight w:val="none"/>
        </w:rPr>
        <w:t>1.5小结</w:t>
      </w:r>
      <w:r>
        <w:rPr>
          <w:rFonts w:hint="default" w:ascii="Times New Roman" w:hAnsi="Times New Roman" w:cs="Times New Roman"/>
          <w:color w:val="auto"/>
          <w:sz w:val="24"/>
          <w:szCs w:val="24"/>
          <w:highlight w:val="none"/>
        </w:rPr>
        <w:tab/>
      </w: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PAGEREF _Toc58267084 \h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24</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spacing w:line="360" w:lineRule="auto"/>
        <w:rPr>
          <w:rFonts w:hint="default" w:ascii="Times New Roman" w:hAnsi="Times New Roman" w:cs="Times New Roman"/>
          <w:color w:val="auto"/>
          <w:highlight w:val="none"/>
        </w:rPr>
      </w:pPr>
      <w:r>
        <w:rPr>
          <w:rFonts w:hint="default" w:ascii="Times New Roman" w:hAnsi="Times New Roman" w:cs="Times New Roman"/>
          <w:color w:val="auto"/>
          <w:sz w:val="24"/>
          <w:highlight w:val="none"/>
          <w:lang w:val="zh-CN"/>
        </w:rPr>
        <w:fldChar w:fldCharType="end"/>
      </w:r>
    </w:p>
    <w:p>
      <w:pPr>
        <w:spacing w:line="720" w:lineRule="auto"/>
        <w:jc w:val="center"/>
        <w:rPr>
          <w:rFonts w:hint="default" w:ascii="Times New Roman" w:hAnsi="Times New Roman" w:cs="Times New Roman"/>
          <w:b/>
          <w:bCs/>
          <w:color w:val="auto"/>
          <w:sz w:val="22"/>
          <w:szCs w:val="21"/>
          <w:highlight w:val="none"/>
        </w:rPr>
        <w:sectPr>
          <w:pgSz w:w="11906" w:h="16838"/>
          <w:pgMar w:top="1440" w:right="1797" w:bottom="1440" w:left="1797" w:header="851" w:footer="992" w:gutter="0"/>
          <w:pgBorders>
            <w:top w:val="none" w:sz="0" w:space="0"/>
            <w:left w:val="none" w:sz="0" w:space="0"/>
            <w:bottom w:val="none" w:sz="0" w:space="0"/>
            <w:right w:val="none" w:sz="0" w:space="0"/>
          </w:pgBorders>
          <w:cols w:space="720" w:num="1"/>
          <w:titlePg/>
          <w:docGrid w:type="lines" w:linePitch="312" w:charSpace="0"/>
        </w:sectPr>
      </w:pPr>
    </w:p>
    <w:p>
      <w:pPr>
        <w:spacing w:before="312" w:beforeLines="100" w:after="312" w:afterLines="100" w:line="600" w:lineRule="exact"/>
        <w:jc w:val="center"/>
        <w:rPr>
          <w:rFonts w:hint="default" w:ascii="Times New Roman" w:hAnsi="Times New Roman" w:cs="Times New Roman"/>
          <w:b/>
          <w:bCs/>
          <w:color w:val="auto"/>
          <w:sz w:val="32"/>
          <w:szCs w:val="28"/>
          <w:highlight w:val="none"/>
        </w:rPr>
      </w:pPr>
      <w:r>
        <w:rPr>
          <w:rFonts w:hint="default" w:ascii="Times New Roman" w:hAnsi="Times New Roman" w:cs="Times New Roman"/>
          <w:b/>
          <w:bCs/>
          <w:color w:val="auto"/>
          <w:sz w:val="32"/>
          <w:szCs w:val="28"/>
          <w:highlight w:val="none"/>
        </w:rPr>
        <w:t>第一章  声环境影响评价</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both"/>
        <w:textAlignment w:val="auto"/>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根据《建设项目环境影响报告表编制技术指南（生态影响类）》（试行），本项目属于</w:t>
      </w:r>
      <w:r>
        <w:rPr>
          <w:rFonts w:hint="default" w:ascii="Times New Roman" w:hAnsi="Times New Roman" w:cs="Times New Roman"/>
          <w:color w:val="auto"/>
          <w:sz w:val="24"/>
          <w:szCs w:val="22"/>
          <w:highlight w:val="none"/>
          <w:lang w:eastAsia="zh-CN"/>
        </w:rPr>
        <w:t>“</w:t>
      </w:r>
      <w:r>
        <w:rPr>
          <w:rFonts w:hint="default" w:ascii="Times New Roman" w:hAnsi="Times New Roman" w:cs="Times New Roman"/>
          <w:color w:val="auto"/>
          <w:sz w:val="24"/>
          <w:szCs w:val="22"/>
          <w:highlight w:val="none"/>
          <w:lang w:val="en-US" w:eastAsia="zh-CN"/>
        </w:rPr>
        <w:t>城市道路（不含维修，不含支路、人行天桥、人行地道）”的项目，</w:t>
      </w:r>
      <w:r>
        <w:rPr>
          <w:rFonts w:hint="default" w:ascii="Times New Roman" w:hAnsi="Times New Roman" w:cs="Times New Roman"/>
          <w:color w:val="auto"/>
          <w:sz w:val="24"/>
          <w:szCs w:val="22"/>
          <w:highlight w:val="none"/>
        </w:rPr>
        <w:t>需要设置声环境影响专项评价。</w:t>
      </w:r>
    </w:p>
    <w:p>
      <w:pPr>
        <w:spacing w:before="60" w:after="60" w:line="480" w:lineRule="exact"/>
        <w:ind w:firstLine="643" w:firstLineChars="200"/>
        <w:jc w:val="left"/>
        <w:outlineLvl w:val="1"/>
        <w:rPr>
          <w:rFonts w:hint="default" w:ascii="Times New Roman" w:hAnsi="Times New Roman" w:eastAsia="黑体" w:cs="Times New Roman"/>
          <w:b/>
          <w:bCs/>
          <w:color w:val="auto"/>
          <w:sz w:val="32"/>
          <w:szCs w:val="28"/>
          <w:highlight w:val="none"/>
        </w:rPr>
      </w:pPr>
      <w:bookmarkStart w:id="6" w:name="_Toc58267070"/>
      <w:r>
        <w:rPr>
          <w:rFonts w:hint="default" w:ascii="Times New Roman" w:hAnsi="Times New Roman" w:eastAsia="黑体" w:cs="Times New Roman"/>
          <w:b/>
          <w:bCs/>
          <w:color w:val="auto"/>
          <w:sz w:val="32"/>
          <w:szCs w:val="28"/>
          <w:highlight w:val="none"/>
        </w:rPr>
        <w:t>1.1评价总则</w:t>
      </w:r>
      <w:bookmarkEnd w:id="6"/>
    </w:p>
    <w:p>
      <w:pPr>
        <w:spacing w:before="60" w:after="60" w:line="480" w:lineRule="exact"/>
        <w:ind w:firstLine="482" w:firstLineChars="200"/>
        <w:jc w:val="left"/>
        <w:outlineLvl w:val="2"/>
        <w:rPr>
          <w:rFonts w:hint="default" w:ascii="Times New Roman" w:hAnsi="Times New Roman" w:eastAsia="黑体" w:cs="Times New Roman"/>
          <w:b/>
          <w:bCs/>
          <w:color w:val="auto"/>
          <w:sz w:val="24"/>
          <w:szCs w:val="22"/>
          <w:highlight w:val="none"/>
        </w:rPr>
      </w:pPr>
      <w:bookmarkStart w:id="7" w:name="_Toc58267071"/>
      <w:r>
        <w:rPr>
          <w:rFonts w:hint="default" w:ascii="Times New Roman" w:hAnsi="Times New Roman" w:eastAsia="黑体" w:cs="Times New Roman"/>
          <w:b/>
          <w:bCs/>
          <w:color w:val="auto"/>
          <w:sz w:val="24"/>
          <w:szCs w:val="22"/>
          <w:highlight w:val="none"/>
        </w:rPr>
        <w:t>1.1.1评价等级</w:t>
      </w:r>
      <w:bookmarkEnd w:id="7"/>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both"/>
        <w:textAlignment w:val="auto"/>
        <w:rPr>
          <w:rFonts w:hint="default" w:ascii="Times New Roman" w:hAnsi="Times New Roman" w:eastAsia="宋体" w:cs="Times New Roman"/>
          <w:color w:val="auto"/>
          <w:sz w:val="24"/>
          <w:szCs w:val="22"/>
          <w:highlight w:val="none"/>
        </w:rPr>
      </w:pPr>
      <w:r>
        <w:rPr>
          <w:rFonts w:hint="default" w:ascii="Times New Roman" w:hAnsi="Times New Roman" w:eastAsia="宋体" w:cs="Times New Roman"/>
          <w:color w:val="auto"/>
          <w:sz w:val="24"/>
          <w:szCs w:val="22"/>
          <w:highlight w:val="none"/>
        </w:rPr>
        <w:t>根据《环境影响评价技术导则 声环境》（HJ2.4-2022）和《道路建设项目环境影响评价规范》（JTGB03-2006），本项目建设完成后会使交通量明显增加，项目所在声功能区为2类，因此确定本次评价的声环境影响评价定为二级评价。</w:t>
      </w:r>
    </w:p>
    <w:p>
      <w:pPr>
        <w:spacing w:before="60" w:after="60" w:line="480" w:lineRule="exact"/>
        <w:ind w:firstLine="482" w:firstLineChars="200"/>
        <w:jc w:val="left"/>
        <w:outlineLvl w:val="2"/>
        <w:rPr>
          <w:rFonts w:hint="default" w:ascii="Times New Roman" w:hAnsi="Times New Roman" w:eastAsia="黑体" w:cs="Times New Roman"/>
          <w:b/>
          <w:bCs/>
          <w:color w:val="auto"/>
          <w:sz w:val="24"/>
          <w:szCs w:val="22"/>
          <w:highlight w:val="none"/>
        </w:rPr>
      </w:pPr>
      <w:bookmarkStart w:id="8" w:name="_Toc58267072"/>
      <w:r>
        <w:rPr>
          <w:rFonts w:hint="default" w:ascii="Times New Roman" w:hAnsi="Times New Roman" w:eastAsia="黑体" w:cs="Times New Roman"/>
          <w:b/>
          <w:bCs/>
          <w:color w:val="auto"/>
          <w:sz w:val="24"/>
          <w:szCs w:val="22"/>
          <w:highlight w:val="none"/>
        </w:rPr>
        <w:t>1.1.2评价范围</w:t>
      </w:r>
      <w:bookmarkEnd w:id="8"/>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both"/>
        <w:textAlignment w:val="auto"/>
        <w:rPr>
          <w:rFonts w:hint="default" w:ascii="Times New Roman" w:hAnsi="Times New Roman" w:eastAsia="宋体" w:cs="Times New Roman"/>
          <w:color w:val="auto"/>
          <w:sz w:val="24"/>
          <w:szCs w:val="22"/>
          <w:highlight w:val="none"/>
        </w:rPr>
      </w:pPr>
      <w:r>
        <w:rPr>
          <w:rFonts w:hint="default" w:ascii="Times New Roman" w:hAnsi="Times New Roman" w:eastAsia="宋体" w:cs="Times New Roman"/>
          <w:color w:val="auto"/>
          <w:sz w:val="24"/>
          <w:szCs w:val="22"/>
          <w:highlight w:val="none"/>
        </w:rPr>
        <w:t>本项目评价范围为道路中心线两侧各200m范围内的声环境敏感点。</w:t>
      </w:r>
    </w:p>
    <w:p>
      <w:pPr>
        <w:spacing w:before="60" w:after="60" w:line="480" w:lineRule="exact"/>
        <w:ind w:firstLine="482" w:firstLineChars="200"/>
        <w:jc w:val="left"/>
        <w:outlineLvl w:val="2"/>
        <w:rPr>
          <w:rFonts w:hint="default" w:ascii="Times New Roman" w:hAnsi="Times New Roman" w:eastAsia="黑体" w:cs="Times New Roman"/>
          <w:b/>
          <w:bCs/>
          <w:color w:val="auto"/>
          <w:sz w:val="24"/>
          <w:szCs w:val="22"/>
          <w:highlight w:val="none"/>
        </w:rPr>
      </w:pPr>
      <w:bookmarkStart w:id="9" w:name="_Toc58267073"/>
      <w:r>
        <w:rPr>
          <w:rFonts w:hint="default" w:ascii="Times New Roman" w:hAnsi="Times New Roman" w:eastAsia="黑体" w:cs="Times New Roman"/>
          <w:b/>
          <w:bCs/>
          <w:color w:val="auto"/>
          <w:sz w:val="24"/>
          <w:szCs w:val="22"/>
          <w:highlight w:val="none"/>
        </w:rPr>
        <w:t>1.1.3评价标准</w:t>
      </w:r>
      <w:bookmarkEnd w:id="9"/>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both"/>
        <w:textAlignment w:val="auto"/>
        <w:rPr>
          <w:rFonts w:hint="default" w:ascii="Times New Roman" w:hAnsi="Times New Roman" w:eastAsia="宋体" w:cs="Times New Roman"/>
          <w:color w:val="auto"/>
          <w:sz w:val="24"/>
          <w:szCs w:val="22"/>
          <w:highlight w:val="none"/>
        </w:rPr>
      </w:pPr>
      <w:r>
        <w:rPr>
          <w:rFonts w:hint="default" w:ascii="Times New Roman" w:hAnsi="Times New Roman" w:eastAsia="宋体" w:cs="Times New Roman"/>
          <w:color w:val="auto"/>
          <w:sz w:val="24"/>
          <w:szCs w:val="22"/>
          <w:highlight w:val="none"/>
        </w:rPr>
        <w:t>根据国家环保局（环发[2003]94号）《关于公路、铁路（含轻轨）等建设项目环境影响评价中环境噪声有关问题的通知》和《城市区域环境噪声适用区划分技术规范》（GB/T15190-94），声环境影响评价执行标准为：道路红线外35米以内区域执行《声环境质量标准》（GB3096-2008）中4a类标准；道路红线外35米以外区域执行GB3096-2008 中</w:t>
      </w:r>
      <w:r>
        <w:rPr>
          <w:rFonts w:hint="default" w:ascii="Times New Roman" w:hAnsi="Times New Roman" w:eastAsia="宋体" w:cs="Times New Roman"/>
          <w:color w:val="auto"/>
          <w:sz w:val="24"/>
          <w:szCs w:val="22"/>
          <w:highlight w:val="none"/>
          <w:lang w:val="en-US" w:eastAsia="zh-CN"/>
        </w:rPr>
        <w:t>2</w:t>
      </w:r>
      <w:r>
        <w:rPr>
          <w:rFonts w:hint="default" w:ascii="Times New Roman" w:hAnsi="Times New Roman" w:eastAsia="宋体" w:cs="Times New Roman"/>
          <w:color w:val="auto"/>
          <w:sz w:val="24"/>
          <w:szCs w:val="22"/>
          <w:highlight w:val="none"/>
        </w:rPr>
        <w:t>类标准。具体标准值见表1-1。</w:t>
      </w:r>
    </w:p>
    <w:p>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b/>
          <w:color w:val="auto"/>
          <w:spacing w:val="4"/>
          <w:sz w:val="21"/>
          <w:szCs w:val="21"/>
          <w:highlight w:val="none"/>
        </w:rPr>
      </w:pPr>
      <w:r>
        <w:rPr>
          <w:rFonts w:hint="default" w:ascii="Times New Roman" w:hAnsi="Times New Roman" w:cs="Times New Roman"/>
          <w:b/>
          <w:color w:val="auto"/>
          <w:spacing w:val="4"/>
          <w:sz w:val="21"/>
          <w:szCs w:val="21"/>
          <w:highlight w:val="none"/>
        </w:rPr>
        <w:t>表1-1  声环境质量标准  dB（A）</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26"/>
        <w:gridCol w:w="3281"/>
        <w:gridCol w:w="32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标准</w:t>
            </w:r>
          </w:p>
        </w:tc>
        <w:tc>
          <w:tcPr>
            <w:tcW w:w="176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昼  间</w:t>
            </w:r>
          </w:p>
        </w:tc>
        <w:tc>
          <w:tcPr>
            <w:tcW w:w="176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夜  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Cs/>
                <w:color w:val="auto"/>
                <w:sz w:val="21"/>
                <w:szCs w:val="21"/>
                <w:highlight w:val="none"/>
                <w:lang w:eastAsia="zh-CN"/>
              </w:rPr>
            </w:pPr>
            <w:r>
              <w:rPr>
                <w:rFonts w:hint="eastAsia" w:ascii="Times New Roman" w:hAnsi="Times New Roman" w:cs="Times New Roman"/>
                <w:bCs/>
                <w:color w:val="auto"/>
                <w:sz w:val="21"/>
                <w:szCs w:val="21"/>
                <w:highlight w:val="none"/>
                <w:lang w:val="en-US" w:eastAsia="zh-CN"/>
              </w:rPr>
              <w:t>2</w:t>
            </w:r>
          </w:p>
        </w:tc>
        <w:tc>
          <w:tcPr>
            <w:tcW w:w="176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60</w:t>
            </w:r>
          </w:p>
        </w:tc>
        <w:tc>
          <w:tcPr>
            <w:tcW w:w="176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4</w:t>
            </w:r>
            <w:r>
              <w:rPr>
                <w:rFonts w:hint="default" w:ascii="Times New Roman" w:hAnsi="Times New Roman" w:cs="Times New Roman"/>
                <w:color w:val="auto"/>
                <w:sz w:val="21"/>
                <w:szCs w:val="21"/>
                <w:highlight w:val="none"/>
              </w:rPr>
              <w:t>a</w:t>
            </w:r>
          </w:p>
        </w:tc>
        <w:tc>
          <w:tcPr>
            <w:tcW w:w="176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70</w:t>
            </w:r>
          </w:p>
        </w:tc>
        <w:tc>
          <w:tcPr>
            <w:tcW w:w="176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55</w:t>
            </w:r>
          </w:p>
        </w:tc>
      </w:tr>
    </w:tbl>
    <w:p>
      <w:pPr>
        <w:spacing w:before="60" w:after="60" w:line="480" w:lineRule="exact"/>
        <w:ind w:firstLine="643" w:firstLineChars="200"/>
        <w:jc w:val="left"/>
        <w:outlineLvl w:val="1"/>
        <w:rPr>
          <w:rFonts w:hint="default" w:ascii="Times New Roman" w:hAnsi="Times New Roman" w:eastAsia="黑体" w:cs="Times New Roman"/>
          <w:b/>
          <w:bCs/>
          <w:color w:val="auto"/>
          <w:sz w:val="32"/>
          <w:szCs w:val="28"/>
          <w:highlight w:val="none"/>
        </w:rPr>
      </w:pPr>
      <w:bookmarkStart w:id="10" w:name="_Toc58267074"/>
      <w:r>
        <w:rPr>
          <w:rFonts w:hint="default" w:ascii="Times New Roman" w:hAnsi="Times New Roman" w:eastAsia="黑体" w:cs="Times New Roman"/>
          <w:b/>
          <w:bCs/>
          <w:color w:val="auto"/>
          <w:sz w:val="32"/>
          <w:szCs w:val="28"/>
          <w:highlight w:val="none"/>
        </w:rPr>
        <w:t>1.2道路沿线声环境质量现状及评价</w:t>
      </w:r>
      <w:bookmarkEnd w:id="10"/>
    </w:p>
    <w:p>
      <w:pPr>
        <w:spacing w:before="60" w:after="60" w:line="480" w:lineRule="exact"/>
        <w:ind w:firstLine="482" w:firstLineChars="200"/>
        <w:jc w:val="left"/>
        <w:outlineLvl w:val="2"/>
        <w:rPr>
          <w:rFonts w:hint="default" w:ascii="Times New Roman" w:hAnsi="Times New Roman" w:eastAsia="黑体" w:cs="Times New Roman"/>
          <w:b/>
          <w:bCs/>
          <w:color w:val="auto"/>
          <w:sz w:val="24"/>
          <w:szCs w:val="22"/>
          <w:highlight w:val="none"/>
        </w:rPr>
      </w:pPr>
      <w:bookmarkStart w:id="11" w:name="_Toc58267075"/>
      <w:r>
        <w:rPr>
          <w:rFonts w:hint="default" w:ascii="Times New Roman" w:hAnsi="Times New Roman" w:eastAsia="黑体" w:cs="Times New Roman"/>
          <w:b/>
          <w:bCs/>
          <w:color w:val="auto"/>
          <w:sz w:val="24"/>
          <w:szCs w:val="22"/>
          <w:highlight w:val="none"/>
        </w:rPr>
        <w:t>1.2.1沿线敏感区分布</w:t>
      </w:r>
      <w:bookmarkEnd w:id="11"/>
    </w:p>
    <w:p>
      <w:pPr>
        <w:spacing w:line="480" w:lineRule="exact"/>
        <w:ind w:firstLine="480" w:firstLineChars="200"/>
        <w:jc w:val="both"/>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经现场踏勘，本项目200m范围的敏感目标为</w:t>
      </w:r>
      <w:r>
        <w:rPr>
          <w:rFonts w:hint="default" w:ascii="Times New Roman" w:hAnsi="Times New Roman" w:cs="Times New Roman"/>
          <w:color w:val="auto"/>
          <w:sz w:val="24"/>
          <w:szCs w:val="22"/>
          <w:highlight w:val="none"/>
          <w:lang w:val="en-US" w:eastAsia="zh-CN"/>
        </w:rPr>
        <w:t>碧海花园E区</w:t>
      </w:r>
      <w:r>
        <w:rPr>
          <w:rFonts w:hint="default" w:ascii="Times New Roman" w:hAnsi="Times New Roman" w:cs="Times New Roman"/>
          <w:color w:val="auto"/>
          <w:sz w:val="24"/>
          <w:szCs w:val="22"/>
          <w:highlight w:val="none"/>
          <w:lang w:eastAsia="zh-CN"/>
        </w:rPr>
        <w:t>、</w:t>
      </w:r>
      <w:r>
        <w:rPr>
          <w:rFonts w:hint="default" w:ascii="Times New Roman" w:hAnsi="Times New Roman" w:cs="Times New Roman"/>
          <w:color w:val="auto"/>
          <w:sz w:val="24"/>
          <w:szCs w:val="22"/>
          <w:highlight w:val="none"/>
          <w:lang w:val="en-US" w:eastAsia="zh-CN"/>
        </w:rPr>
        <w:t>唐家湾村</w:t>
      </w:r>
      <w:r>
        <w:rPr>
          <w:rFonts w:hint="default" w:ascii="Times New Roman" w:hAnsi="Times New Roman" w:cs="Times New Roman"/>
          <w:color w:val="auto"/>
          <w:sz w:val="24"/>
          <w:szCs w:val="22"/>
          <w:highlight w:val="none"/>
          <w:lang w:eastAsia="zh-CN"/>
        </w:rPr>
        <w:t>、</w:t>
      </w:r>
      <w:r>
        <w:rPr>
          <w:rFonts w:hint="default" w:ascii="Times New Roman" w:hAnsi="Times New Roman" w:cs="Times New Roman"/>
          <w:color w:val="auto"/>
          <w:sz w:val="24"/>
          <w:szCs w:val="22"/>
          <w:highlight w:val="none"/>
          <w:lang w:val="en-US" w:eastAsia="zh-CN"/>
        </w:rPr>
        <w:t>西富苑小区</w:t>
      </w:r>
      <w:r>
        <w:rPr>
          <w:rFonts w:hint="default" w:ascii="Times New Roman" w:hAnsi="Times New Roman" w:cs="Times New Roman"/>
          <w:color w:val="auto"/>
          <w:sz w:val="24"/>
          <w:szCs w:val="22"/>
          <w:highlight w:val="none"/>
          <w:lang w:eastAsia="zh-CN"/>
        </w:rPr>
        <w:t>、</w:t>
      </w:r>
      <w:r>
        <w:rPr>
          <w:rFonts w:hint="default" w:ascii="Times New Roman" w:hAnsi="Times New Roman" w:cs="Times New Roman"/>
          <w:color w:val="auto"/>
          <w:sz w:val="24"/>
          <w:szCs w:val="22"/>
          <w:highlight w:val="none"/>
          <w:lang w:val="en-US" w:eastAsia="zh-CN"/>
        </w:rPr>
        <w:t>王家沟村</w:t>
      </w:r>
      <w:r>
        <w:rPr>
          <w:rFonts w:hint="default" w:ascii="Times New Roman" w:hAnsi="Times New Roman" w:cs="Times New Roman"/>
          <w:color w:val="auto"/>
          <w:sz w:val="24"/>
          <w:szCs w:val="22"/>
          <w:highlight w:val="none"/>
          <w:lang w:eastAsia="zh-CN"/>
        </w:rPr>
        <w:t>、</w:t>
      </w:r>
      <w:r>
        <w:rPr>
          <w:rFonts w:hint="default" w:ascii="Times New Roman" w:hAnsi="Times New Roman" w:cs="Times New Roman"/>
          <w:color w:val="auto"/>
          <w:sz w:val="24"/>
          <w:szCs w:val="22"/>
          <w:highlight w:val="none"/>
          <w:lang w:val="en-US" w:eastAsia="zh-CN"/>
        </w:rPr>
        <w:t>王庄村</w:t>
      </w:r>
      <w:r>
        <w:rPr>
          <w:rFonts w:hint="default" w:ascii="Times New Roman" w:hAnsi="Times New Roman" w:cs="Times New Roman"/>
          <w:color w:val="auto"/>
          <w:sz w:val="24"/>
          <w:szCs w:val="22"/>
          <w:highlight w:val="none"/>
          <w:lang w:eastAsia="zh-CN"/>
        </w:rPr>
        <w:t>，</w:t>
      </w:r>
      <w:r>
        <w:rPr>
          <w:rFonts w:hint="default" w:ascii="Times New Roman" w:hAnsi="Times New Roman" w:cs="Times New Roman"/>
          <w:color w:val="auto"/>
          <w:sz w:val="24"/>
          <w:szCs w:val="22"/>
          <w:highlight w:val="none"/>
        </w:rPr>
        <w:t>共</w:t>
      </w:r>
      <w:r>
        <w:rPr>
          <w:rFonts w:hint="eastAsia" w:ascii="Times New Roman" w:hAnsi="Times New Roman" w:cs="Times New Roman"/>
          <w:color w:val="auto"/>
          <w:sz w:val="24"/>
          <w:szCs w:val="22"/>
          <w:highlight w:val="none"/>
          <w:lang w:val="en-US" w:eastAsia="zh-CN"/>
        </w:rPr>
        <w:t>5</w:t>
      </w:r>
      <w:r>
        <w:rPr>
          <w:rFonts w:hint="default" w:ascii="Times New Roman" w:hAnsi="Times New Roman" w:cs="Times New Roman"/>
          <w:color w:val="auto"/>
          <w:sz w:val="24"/>
          <w:szCs w:val="22"/>
          <w:highlight w:val="none"/>
        </w:rPr>
        <w:t>个敏感</w:t>
      </w:r>
      <w:r>
        <w:rPr>
          <w:rFonts w:hint="eastAsia" w:ascii="Times New Roman" w:hAnsi="Times New Roman" w:cs="Times New Roman"/>
          <w:color w:val="auto"/>
          <w:sz w:val="24"/>
          <w:szCs w:val="22"/>
          <w:highlight w:val="none"/>
          <w:lang w:val="en-US" w:eastAsia="zh-CN"/>
        </w:rPr>
        <w:t>点居住区</w:t>
      </w:r>
      <w:r>
        <w:rPr>
          <w:rFonts w:hint="default" w:ascii="Times New Roman" w:hAnsi="Times New Roman" w:cs="Times New Roman"/>
          <w:color w:val="auto"/>
          <w:sz w:val="24"/>
          <w:szCs w:val="22"/>
          <w:highlight w:val="none"/>
        </w:rPr>
        <w:t>。</w:t>
      </w:r>
    </w:p>
    <w:p>
      <w:pPr>
        <w:spacing w:line="440" w:lineRule="exact"/>
        <w:ind w:firstLine="200"/>
        <w:jc w:val="center"/>
        <w:rPr>
          <w:rFonts w:hint="default" w:ascii="Times New Roman" w:hAnsi="Times New Roman" w:cs="Times New Roman"/>
          <w:b/>
          <w:color w:val="auto"/>
          <w:szCs w:val="21"/>
          <w:highlight w:val="none"/>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color w:val="auto"/>
          <w:sz w:val="21"/>
          <w:szCs w:val="21"/>
          <w:highlight w:val="none"/>
        </w:rPr>
      </w:pPr>
    </w:p>
    <w:p>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color w:val="auto"/>
          <w:spacing w:val="4"/>
          <w:sz w:val="21"/>
          <w:szCs w:val="21"/>
          <w:highlight w:val="none"/>
        </w:rPr>
      </w:pPr>
      <w:r>
        <w:rPr>
          <w:rFonts w:hint="default" w:ascii="Times New Roman" w:hAnsi="Times New Roman" w:eastAsia="宋体" w:cs="Times New Roman"/>
          <w:b/>
          <w:color w:val="auto"/>
          <w:spacing w:val="4"/>
          <w:sz w:val="21"/>
          <w:szCs w:val="21"/>
          <w:highlight w:val="none"/>
        </w:rPr>
        <w:t>表1-2  沿线声环境敏感目标分布情况</w:t>
      </w:r>
    </w:p>
    <w:tbl>
      <w:tblPr>
        <w:tblStyle w:val="21"/>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4"/>
        <w:gridCol w:w="1813"/>
        <w:gridCol w:w="956"/>
        <w:gridCol w:w="1036"/>
        <w:gridCol w:w="1787"/>
        <w:gridCol w:w="1519"/>
        <w:gridCol w:w="15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类别</w:t>
            </w:r>
          </w:p>
        </w:tc>
        <w:tc>
          <w:tcPr>
            <w:tcW w:w="97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保护对象</w:t>
            </w:r>
          </w:p>
        </w:tc>
        <w:tc>
          <w:tcPr>
            <w:tcW w:w="51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方位</w:t>
            </w:r>
          </w:p>
        </w:tc>
        <w:tc>
          <w:tcPr>
            <w:tcW w:w="55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相对</w:t>
            </w:r>
          </w:p>
          <w:p>
            <w:pPr>
              <w:keepNext w:val="0"/>
              <w:keepLines w:val="0"/>
              <w:pageBreakBefore w:val="0"/>
              <w:widowControl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高差/m</w:t>
            </w:r>
          </w:p>
        </w:tc>
        <w:tc>
          <w:tcPr>
            <w:tcW w:w="9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与公路中线/边界线最近距离/m</w:t>
            </w:r>
          </w:p>
        </w:tc>
        <w:tc>
          <w:tcPr>
            <w:tcW w:w="8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临路房屋朝向</w:t>
            </w:r>
          </w:p>
        </w:tc>
        <w:tc>
          <w:tcPr>
            <w:tcW w:w="8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分布前排临路户数/人数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36"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噪声</w:t>
            </w:r>
          </w:p>
        </w:tc>
        <w:tc>
          <w:tcPr>
            <w:tcW w:w="97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cs="Times New Roman"/>
                <w:bCs/>
                <w:color w:val="auto"/>
                <w:sz w:val="21"/>
                <w:szCs w:val="21"/>
                <w:highlight w:val="none"/>
              </w:rPr>
            </w:pPr>
            <w:r>
              <w:rPr>
                <w:rFonts w:hint="default" w:ascii="Times New Roman" w:hAnsi="Times New Roman" w:eastAsia="宋体"/>
                <w:snapToGrid w:val="0"/>
                <w:color w:val="auto"/>
                <w:sz w:val="21"/>
                <w:szCs w:val="21"/>
                <w:lang w:val="en-US" w:eastAsia="zh-CN"/>
              </w:rPr>
              <w:t>碧海花园E区</w:t>
            </w:r>
          </w:p>
        </w:tc>
        <w:tc>
          <w:tcPr>
            <w:tcW w:w="51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eastAsia="宋体" w:cs="Times New Roman"/>
                <w:bCs/>
                <w:color w:val="auto"/>
                <w:sz w:val="21"/>
                <w:szCs w:val="21"/>
                <w:highlight w:val="none"/>
                <w:lang w:eastAsia="zh-CN"/>
              </w:rPr>
            </w:pPr>
            <w:r>
              <w:rPr>
                <w:rFonts w:hint="eastAsia" w:ascii="Times New Roman" w:hAnsi="Times New Roman" w:cs="Times New Roman"/>
                <w:bCs/>
                <w:color w:val="auto"/>
                <w:sz w:val="21"/>
                <w:szCs w:val="21"/>
                <w:highlight w:val="none"/>
                <w:lang w:val="en-US" w:eastAsia="zh-CN"/>
              </w:rPr>
              <w:t>NE</w:t>
            </w:r>
          </w:p>
        </w:tc>
        <w:tc>
          <w:tcPr>
            <w:tcW w:w="55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0</w:t>
            </w:r>
          </w:p>
        </w:tc>
        <w:tc>
          <w:tcPr>
            <w:tcW w:w="9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26</w:t>
            </w:r>
            <w:r>
              <w:rPr>
                <w:rFonts w:hint="default" w:ascii="Times New Roman" w:hAnsi="Times New Roman" w:cs="Times New Roman"/>
                <w:bCs/>
                <w:color w:val="auto"/>
                <w:sz w:val="21"/>
                <w:szCs w:val="21"/>
                <w:highlight w:val="none"/>
              </w:rPr>
              <w:t>/</w:t>
            </w:r>
            <w:r>
              <w:rPr>
                <w:rFonts w:hint="default" w:ascii="Times New Roman" w:hAnsi="Times New Roman" w:cs="Times New Roman"/>
                <w:bCs/>
                <w:color w:val="auto"/>
                <w:sz w:val="21"/>
                <w:szCs w:val="21"/>
                <w:highlight w:val="none"/>
                <w:lang w:val="en-US" w:eastAsia="zh-CN"/>
              </w:rPr>
              <w:t>15</w:t>
            </w:r>
          </w:p>
        </w:tc>
        <w:tc>
          <w:tcPr>
            <w:tcW w:w="8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朝向</w:t>
            </w:r>
          </w:p>
        </w:tc>
        <w:tc>
          <w:tcPr>
            <w:tcW w:w="8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60/240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3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cs="Times New Roman"/>
                <w:bCs/>
                <w:color w:val="auto"/>
                <w:sz w:val="21"/>
                <w:szCs w:val="21"/>
                <w:highlight w:val="none"/>
              </w:rPr>
            </w:pPr>
          </w:p>
        </w:tc>
        <w:tc>
          <w:tcPr>
            <w:tcW w:w="97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cs="Times New Roman"/>
                <w:bCs/>
                <w:color w:val="auto"/>
                <w:sz w:val="21"/>
                <w:szCs w:val="21"/>
                <w:highlight w:val="none"/>
              </w:rPr>
            </w:pPr>
            <w:r>
              <w:rPr>
                <w:rFonts w:hint="default" w:ascii="Times New Roman" w:hAnsi="Times New Roman" w:eastAsia="宋体"/>
                <w:snapToGrid w:val="0"/>
                <w:color w:val="auto"/>
                <w:sz w:val="21"/>
                <w:szCs w:val="21"/>
                <w:lang w:val="en-US" w:eastAsia="zh-CN"/>
              </w:rPr>
              <w:t>唐家湾村</w:t>
            </w:r>
          </w:p>
        </w:tc>
        <w:tc>
          <w:tcPr>
            <w:tcW w:w="51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lang w:val="en-US" w:eastAsia="zh-CN"/>
              </w:rPr>
              <w:t>穿越</w:t>
            </w:r>
          </w:p>
        </w:tc>
        <w:tc>
          <w:tcPr>
            <w:tcW w:w="55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0</w:t>
            </w:r>
          </w:p>
        </w:tc>
        <w:tc>
          <w:tcPr>
            <w:tcW w:w="9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26</w:t>
            </w:r>
            <w:r>
              <w:rPr>
                <w:rFonts w:hint="default" w:ascii="Times New Roman" w:hAnsi="Times New Roman" w:cs="Times New Roman"/>
                <w:bCs/>
                <w:color w:val="auto"/>
                <w:sz w:val="21"/>
                <w:szCs w:val="21"/>
                <w:highlight w:val="none"/>
              </w:rPr>
              <w:t>/</w:t>
            </w:r>
            <w:r>
              <w:rPr>
                <w:rFonts w:hint="default" w:ascii="Times New Roman" w:hAnsi="Times New Roman" w:cs="Times New Roman"/>
                <w:bCs/>
                <w:color w:val="auto"/>
                <w:sz w:val="21"/>
                <w:szCs w:val="21"/>
                <w:highlight w:val="none"/>
                <w:lang w:val="en-US" w:eastAsia="zh-CN"/>
              </w:rPr>
              <w:t>15</w:t>
            </w:r>
          </w:p>
        </w:tc>
        <w:tc>
          <w:tcPr>
            <w:tcW w:w="8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cs="Times New Roman"/>
                <w:color w:val="auto"/>
                <w:spacing w:val="4"/>
                <w:sz w:val="21"/>
                <w:szCs w:val="21"/>
                <w:highlight w:val="none"/>
                <w:lang w:val="en-US" w:eastAsia="zh-CN"/>
              </w:rPr>
              <w:t>北侧面朝、南侧背向</w:t>
            </w:r>
          </w:p>
        </w:tc>
        <w:tc>
          <w:tcPr>
            <w:tcW w:w="8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20/80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3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cs="Times New Roman"/>
                <w:bCs/>
                <w:color w:val="auto"/>
                <w:sz w:val="21"/>
                <w:szCs w:val="21"/>
                <w:highlight w:val="none"/>
              </w:rPr>
            </w:pPr>
          </w:p>
        </w:tc>
        <w:tc>
          <w:tcPr>
            <w:tcW w:w="97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cs="Times New Roman"/>
                <w:bCs/>
                <w:color w:val="auto"/>
                <w:sz w:val="21"/>
                <w:szCs w:val="21"/>
                <w:highlight w:val="none"/>
              </w:rPr>
            </w:pPr>
            <w:r>
              <w:rPr>
                <w:rFonts w:hint="default" w:ascii="Times New Roman" w:hAnsi="Times New Roman" w:eastAsia="宋体"/>
                <w:snapToGrid w:val="0"/>
                <w:color w:val="auto"/>
                <w:sz w:val="21"/>
                <w:szCs w:val="21"/>
                <w:lang w:val="en-US" w:eastAsia="zh-CN"/>
              </w:rPr>
              <w:t>西富苑小区</w:t>
            </w:r>
          </w:p>
        </w:tc>
        <w:tc>
          <w:tcPr>
            <w:tcW w:w="51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SE</w:t>
            </w:r>
          </w:p>
        </w:tc>
        <w:tc>
          <w:tcPr>
            <w:tcW w:w="55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0</w:t>
            </w:r>
          </w:p>
        </w:tc>
        <w:tc>
          <w:tcPr>
            <w:tcW w:w="9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16</w:t>
            </w:r>
            <w:r>
              <w:rPr>
                <w:rFonts w:hint="default" w:ascii="Times New Roman" w:hAnsi="Times New Roman" w:cs="Times New Roman"/>
                <w:bCs/>
                <w:color w:val="auto"/>
                <w:sz w:val="21"/>
                <w:szCs w:val="21"/>
                <w:highlight w:val="none"/>
              </w:rPr>
              <w:t>/</w:t>
            </w:r>
            <w:r>
              <w:rPr>
                <w:rFonts w:hint="default" w:ascii="Times New Roman" w:hAnsi="Times New Roman" w:cs="Times New Roman"/>
                <w:bCs/>
                <w:color w:val="auto"/>
                <w:sz w:val="21"/>
                <w:szCs w:val="21"/>
                <w:highlight w:val="none"/>
                <w:lang w:val="en-US" w:eastAsia="zh-CN"/>
              </w:rPr>
              <w:t>5</w:t>
            </w:r>
          </w:p>
        </w:tc>
        <w:tc>
          <w:tcPr>
            <w:tcW w:w="8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pacing w:val="4"/>
                <w:sz w:val="21"/>
                <w:szCs w:val="21"/>
                <w:highlight w:val="none"/>
              </w:rPr>
              <w:t>平行</w:t>
            </w:r>
          </w:p>
        </w:tc>
        <w:tc>
          <w:tcPr>
            <w:tcW w:w="8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48/192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3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cs="Times New Roman"/>
                <w:bCs/>
                <w:color w:val="auto"/>
                <w:sz w:val="21"/>
                <w:szCs w:val="21"/>
                <w:highlight w:val="none"/>
              </w:rPr>
            </w:pPr>
          </w:p>
        </w:tc>
        <w:tc>
          <w:tcPr>
            <w:tcW w:w="97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cs="Times New Roman"/>
                <w:bCs/>
                <w:color w:val="auto"/>
                <w:sz w:val="21"/>
                <w:szCs w:val="21"/>
                <w:highlight w:val="none"/>
              </w:rPr>
            </w:pPr>
            <w:r>
              <w:rPr>
                <w:rFonts w:hint="eastAsia" w:ascii="Times New Roman" w:hAnsi="Times New Roman" w:eastAsia="宋体"/>
                <w:snapToGrid w:val="0"/>
                <w:color w:val="auto"/>
                <w:sz w:val="21"/>
                <w:szCs w:val="21"/>
                <w:lang w:val="en-US" w:eastAsia="zh-CN"/>
              </w:rPr>
              <w:t>王家沟村</w:t>
            </w:r>
          </w:p>
        </w:tc>
        <w:tc>
          <w:tcPr>
            <w:tcW w:w="51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cs="Times New Roman"/>
                <w:bCs/>
                <w:color w:val="auto"/>
                <w:sz w:val="21"/>
                <w:szCs w:val="21"/>
                <w:highlight w:val="none"/>
              </w:rPr>
            </w:pPr>
            <w:r>
              <w:rPr>
                <w:rFonts w:hint="eastAsia" w:ascii="Times New Roman" w:hAnsi="Times New Roman" w:cs="Times New Roman"/>
                <w:bCs/>
                <w:color w:val="auto"/>
                <w:sz w:val="21"/>
                <w:szCs w:val="21"/>
                <w:highlight w:val="none"/>
                <w:lang w:val="en-US" w:eastAsia="zh-CN"/>
              </w:rPr>
              <w:t>E</w:t>
            </w:r>
          </w:p>
        </w:tc>
        <w:tc>
          <w:tcPr>
            <w:tcW w:w="55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0</w:t>
            </w:r>
          </w:p>
        </w:tc>
        <w:tc>
          <w:tcPr>
            <w:tcW w:w="9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61</w:t>
            </w:r>
            <w:r>
              <w:rPr>
                <w:rFonts w:hint="default" w:ascii="Times New Roman" w:hAnsi="Times New Roman" w:cs="Times New Roman"/>
                <w:bCs/>
                <w:color w:val="auto"/>
                <w:sz w:val="21"/>
                <w:szCs w:val="21"/>
                <w:highlight w:val="none"/>
              </w:rPr>
              <w:t>/</w:t>
            </w:r>
            <w:r>
              <w:rPr>
                <w:rFonts w:hint="default" w:ascii="Times New Roman" w:hAnsi="Times New Roman" w:cs="Times New Roman"/>
                <w:bCs/>
                <w:color w:val="auto"/>
                <w:sz w:val="21"/>
                <w:szCs w:val="21"/>
                <w:highlight w:val="none"/>
                <w:lang w:val="en-US" w:eastAsia="zh-CN"/>
              </w:rPr>
              <w:t>50</w:t>
            </w:r>
          </w:p>
        </w:tc>
        <w:tc>
          <w:tcPr>
            <w:tcW w:w="8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cs="Times New Roman"/>
                <w:color w:val="auto"/>
                <w:spacing w:val="4"/>
                <w:sz w:val="21"/>
                <w:szCs w:val="21"/>
                <w:highlight w:val="none"/>
                <w:lang w:val="en-US" w:eastAsia="zh-CN"/>
              </w:rPr>
              <w:t>45°朝向</w:t>
            </w:r>
          </w:p>
        </w:tc>
        <w:tc>
          <w:tcPr>
            <w:tcW w:w="8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7/28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3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cs="Times New Roman"/>
                <w:bCs/>
                <w:color w:val="auto"/>
                <w:sz w:val="21"/>
                <w:szCs w:val="21"/>
                <w:highlight w:val="none"/>
              </w:rPr>
            </w:pPr>
          </w:p>
        </w:tc>
        <w:tc>
          <w:tcPr>
            <w:tcW w:w="97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cs="Times New Roman"/>
                <w:bCs/>
                <w:color w:val="auto"/>
                <w:sz w:val="21"/>
                <w:szCs w:val="21"/>
                <w:highlight w:val="none"/>
              </w:rPr>
            </w:pPr>
            <w:r>
              <w:rPr>
                <w:rFonts w:hint="eastAsia" w:ascii="Times New Roman" w:hAnsi="Times New Roman" w:eastAsia="宋体"/>
                <w:snapToGrid w:val="0"/>
                <w:color w:val="auto"/>
                <w:sz w:val="21"/>
                <w:szCs w:val="21"/>
                <w:lang w:val="en-US" w:eastAsia="zh-CN"/>
              </w:rPr>
              <w:t>王庄村</w:t>
            </w:r>
          </w:p>
        </w:tc>
        <w:tc>
          <w:tcPr>
            <w:tcW w:w="51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cs="Times New Roman"/>
                <w:bCs/>
                <w:color w:val="auto"/>
                <w:sz w:val="21"/>
                <w:szCs w:val="21"/>
                <w:highlight w:val="none"/>
              </w:rPr>
            </w:pPr>
            <w:r>
              <w:rPr>
                <w:rFonts w:hint="eastAsia" w:ascii="Times New Roman" w:hAnsi="Times New Roman" w:cs="Times New Roman"/>
                <w:bCs/>
                <w:color w:val="auto"/>
                <w:sz w:val="21"/>
                <w:szCs w:val="21"/>
                <w:highlight w:val="none"/>
                <w:lang w:val="en-US" w:eastAsia="zh-CN"/>
              </w:rPr>
              <w:t>SE</w:t>
            </w:r>
          </w:p>
        </w:tc>
        <w:tc>
          <w:tcPr>
            <w:tcW w:w="55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0</w:t>
            </w:r>
          </w:p>
        </w:tc>
        <w:tc>
          <w:tcPr>
            <w:tcW w:w="96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21</w:t>
            </w:r>
            <w:r>
              <w:rPr>
                <w:rFonts w:hint="default" w:ascii="Times New Roman" w:hAnsi="Times New Roman" w:cs="Times New Roman"/>
                <w:bCs/>
                <w:color w:val="auto"/>
                <w:sz w:val="21"/>
                <w:szCs w:val="21"/>
                <w:highlight w:val="none"/>
              </w:rPr>
              <w:t>/</w:t>
            </w:r>
            <w:r>
              <w:rPr>
                <w:rFonts w:hint="default" w:ascii="Times New Roman" w:hAnsi="Times New Roman" w:cs="Times New Roman"/>
                <w:bCs/>
                <w:color w:val="auto"/>
                <w:sz w:val="21"/>
                <w:szCs w:val="21"/>
                <w:highlight w:val="none"/>
                <w:lang w:val="en-US" w:eastAsia="zh-CN"/>
              </w:rPr>
              <w:t>10</w:t>
            </w:r>
          </w:p>
        </w:tc>
        <w:tc>
          <w:tcPr>
            <w:tcW w:w="8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背向</w:t>
            </w:r>
          </w:p>
        </w:tc>
        <w:tc>
          <w:tcPr>
            <w:tcW w:w="83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4/16</w:t>
            </w:r>
          </w:p>
        </w:tc>
      </w:tr>
    </w:tbl>
    <w:p>
      <w:pPr>
        <w:spacing w:before="60" w:after="60" w:line="480" w:lineRule="exact"/>
        <w:ind w:firstLine="482" w:firstLineChars="200"/>
        <w:jc w:val="left"/>
        <w:outlineLvl w:val="2"/>
        <w:rPr>
          <w:rFonts w:hint="default" w:ascii="Times New Roman" w:hAnsi="Times New Roman" w:eastAsia="黑体" w:cs="Times New Roman"/>
          <w:b/>
          <w:bCs/>
          <w:color w:val="auto"/>
          <w:sz w:val="24"/>
          <w:szCs w:val="22"/>
          <w:highlight w:val="none"/>
        </w:rPr>
      </w:pPr>
      <w:bookmarkStart w:id="12" w:name="_Toc58267076"/>
      <w:r>
        <w:rPr>
          <w:rFonts w:hint="default" w:ascii="Times New Roman" w:hAnsi="Times New Roman" w:eastAsia="黑体" w:cs="Times New Roman"/>
          <w:b/>
          <w:bCs/>
          <w:color w:val="auto"/>
          <w:sz w:val="24"/>
          <w:szCs w:val="22"/>
          <w:highlight w:val="none"/>
        </w:rPr>
        <w:t>1.2.2噪声监测布点</w:t>
      </w:r>
      <w:bookmarkEnd w:id="12"/>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both"/>
        <w:textAlignment w:val="auto"/>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（1）监测布点原则</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both"/>
        <w:textAlignment w:val="auto"/>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①监测点的布设应能代表周围声环境状况。</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both"/>
        <w:textAlignment w:val="auto"/>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②监测点应布设在较为暴露、开阔的区域，便于营运期声源的叠加。</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both"/>
        <w:textAlignment w:val="auto"/>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③能够代表不同地形、区域环境类型。</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both"/>
        <w:textAlignment w:val="auto"/>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（2）监测点的布设</w:t>
      </w:r>
    </w:p>
    <w:p>
      <w:pPr>
        <w:pStyle w:val="12"/>
        <w:keepNext w:val="0"/>
        <w:keepLines w:val="0"/>
        <w:pageBreakBefore w:val="0"/>
        <w:widowControl w:val="0"/>
        <w:kinsoku/>
        <w:wordWrap/>
        <w:overflowPunct/>
        <w:topLinePunct w:val="0"/>
        <w:autoSpaceDE/>
        <w:autoSpaceDN/>
        <w:bidi w:val="0"/>
        <w:adjustRightInd/>
        <w:snapToGrid/>
        <w:spacing w:line="480" w:lineRule="exact"/>
        <w:ind w:firstLine="482"/>
        <w:jc w:val="both"/>
        <w:textAlignment w:val="auto"/>
        <w:rPr>
          <w:rFonts w:hint="default" w:ascii="Times New Roman" w:hAnsi="Times New Roman" w:cs="Times New Roman"/>
          <w:color w:val="auto"/>
          <w:spacing w:val="4"/>
          <w:sz w:val="24"/>
          <w:highlight w:val="none"/>
        </w:rPr>
      </w:pPr>
      <w:r>
        <w:rPr>
          <w:rFonts w:hint="default" w:ascii="Times New Roman" w:hAnsi="Times New Roman" w:cs="Times New Roman"/>
          <w:color w:val="auto"/>
          <w:spacing w:val="4"/>
          <w:sz w:val="24"/>
          <w:highlight w:val="none"/>
        </w:rPr>
        <w:t>本次噪声现状监测按照导则和噪声监测规范布点要求，本次噪声现状监测在声环境敏感点进行布设，分别为：</w:t>
      </w:r>
      <w:r>
        <w:rPr>
          <w:rFonts w:hint="default" w:ascii="Times New Roman" w:hAnsi="Times New Roman" w:cs="Times New Roman"/>
          <w:color w:val="auto"/>
          <w:spacing w:val="4"/>
          <w:sz w:val="24"/>
          <w:highlight w:val="none"/>
          <w:lang w:val="en-US" w:eastAsia="zh-CN"/>
        </w:rPr>
        <w:t>碧海花园E区1号楼西侧1层</w:t>
      </w:r>
      <w:r>
        <w:rPr>
          <w:rFonts w:hint="eastAsia" w:ascii="Times New Roman" w:hAnsi="Times New Roman" w:cs="Times New Roman"/>
          <w:color w:val="auto"/>
          <w:spacing w:val="4"/>
          <w:sz w:val="24"/>
          <w:highlight w:val="none"/>
          <w:lang w:val="en-US" w:eastAsia="zh-CN"/>
        </w:rPr>
        <w:t>、3层、5层，唐家湾村</w:t>
      </w:r>
      <w:r>
        <w:rPr>
          <w:rFonts w:hint="eastAsia" w:ascii="Times New Roman" w:hAnsi="Times New Roman" w:cs="Times New Roman"/>
          <w:color w:val="auto"/>
          <w:spacing w:val="4"/>
          <w:sz w:val="24"/>
          <w:highlight w:val="none"/>
          <w:lang w:eastAsia="zh-CN"/>
        </w:rPr>
        <w:t>，</w:t>
      </w:r>
      <w:r>
        <w:rPr>
          <w:rFonts w:hint="eastAsia" w:ascii="Times New Roman" w:hAnsi="Times New Roman" w:cs="Times New Roman"/>
          <w:color w:val="auto"/>
          <w:spacing w:val="4"/>
          <w:sz w:val="24"/>
          <w:highlight w:val="none"/>
          <w:lang w:val="en-US" w:eastAsia="zh-CN"/>
        </w:rPr>
        <w:t>西富苑小区6号楼西侧1层、3层、5层，王家沟村</w:t>
      </w:r>
      <w:r>
        <w:rPr>
          <w:rFonts w:hint="eastAsia" w:ascii="Times New Roman" w:hAnsi="Times New Roman" w:cs="Times New Roman"/>
          <w:color w:val="auto"/>
          <w:spacing w:val="4"/>
          <w:sz w:val="24"/>
          <w:highlight w:val="none"/>
          <w:lang w:eastAsia="zh-CN"/>
        </w:rPr>
        <w:t>，</w:t>
      </w:r>
      <w:r>
        <w:rPr>
          <w:rFonts w:hint="eastAsia" w:ascii="Times New Roman" w:hAnsi="Times New Roman" w:cs="Times New Roman"/>
          <w:color w:val="auto"/>
          <w:spacing w:val="4"/>
          <w:sz w:val="24"/>
          <w:highlight w:val="none"/>
          <w:lang w:val="en-US" w:eastAsia="zh-CN"/>
        </w:rPr>
        <w:t>王庄村</w:t>
      </w:r>
      <w:r>
        <w:rPr>
          <w:rFonts w:hint="default" w:ascii="Times New Roman" w:hAnsi="Times New Roman" w:cs="Times New Roman"/>
          <w:color w:val="auto"/>
          <w:spacing w:val="4"/>
          <w:sz w:val="24"/>
          <w:highlight w:val="none"/>
        </w:rPr>
        <w:t>，共</w:t>
      </w:r>
      <w:r>
        <w:rPr>
          <w:rFonts w:hint="default" w:ascii="Times New Roman" w:hAnsi="Times New Roman" w:cs="Times New Roman"/>
          <w:color w:val="auto"/>
          <w:spacing w:val="4"/>
          <w:sz w:val="24"/>
          <w:highlight w:val="none"/>
          <w:lang w:val="en-US" w:eastAsia="zh-CN"/>
        </w:rPr>
        <w:t>7</w:t>
      </w:r>
      <w:r>
        <w:rPr>
          <w:rFonts w:hint="default" w:ascii="Times New Roman" w:hAnsi="Times New Roman" w:cs="Times New Roman"/>
          <w:color w:val="auto"/>
          <w:spacing w:val="4"/>
          <w:sz w:val="24"/>
          <w:highlight w:val="none"/>
        </w:rPr>
        <w:t>个监测点。</w:t>
      </w:r>
    </w:p>
    <w:p>
      <w:pPr>
        <w:pStyle w:val="12"/>
        <w:keepNext w:val="0"/>
        <w:keepLines w:val="0"/>
        <w:pageBreakBefore w:val="0"/>
        <w:widowControl w:val="0"/>
        <w:kinsoku/>
        <w:wordWrap/>
        <w:overflowPunct/>
        <w:topLinePunct w:val="0"/>
        <w:autoSpaceDE/>
        <w:autoSpaceDN/>
        <w:bidi w:val="0"/>
        <w:adjustRightInd/>
        <w:snapToGrid/>
        <w:spacing w:line="480" w:lineRule="exact"/>
        <w:ind w:firstLine="482"/>
        <w:jc w:val="both"/>
        <w:textAlignment w:val="auto"/>
        <w:rPr>
          <w:rFonts w:hint="default" w:ascii="Times New Roman" w:hAnsi="Times New Roman" w:cs="Times New Roman"/>
          <w:color w:val="auto"/>
          <w:spacing w:val="4"/>
          <w:sz w:val="24"/>
          <w:highlight w:val="none"/>
        </w:rPr>
      </w:pPr>
      <w:r>
        <w:rPr>
          <w:rFonts w:hint="default" w:ascii="Times New Roman" w:hAnsi="Times New Roman" w:cs="Times New Roman"/>
          <w:color w:val="auto"/>
          <w:spacing w:val="4"/>
          <w:sz w:val="24"/>
          <w:highlight w:val="none"/>
        </w:rPr>
        <w:t>监测布点见图1-1</w:t>
      </w:r>
      <w:r>
        <w:rPr>
          <w:rFonts w:hint="eastAsia" w:ascii="Times New Roman" w:hAnsi="Times New Roman" w:cs="Times New Roman"/>
          <w:color w:val="auto"/>
          <w:spacing w:val="4"/>
          <w:sz w:val="24"/>
          <w:highlight w:val="none"/>
          <w:lang w:val="en-US" w:eastAsia="zh-CN"/>
        </w:rPr>
        <w:t>@</w:t>
      </w:r>
      <w:r>
        <w:rPr>
          <w:rFonts w:hint="default" w:ascii="Times New Roman" w:hAnsi="Times New Roman" w:cs="Times New Roman"/>
          <w:color w:val="auto"/>
          <w:spacing w:val="4"/>
          <w:sz w:val="24"/>
          <w:highlight w:val="none"/>
        </w:rPr>
        <w:t>。</w:t>
      </w:r>
    </w:p>
    <w:p>
      <w:pPr>
        <w:spacing w:before="60" w:after="60" w:line="480" w:lineRule="exact"/>
        <w:ind w:firstLine="482" w:firstLineChars="200"/>
        <w:jc w:val="left"/>
        <w:outlineLvl w:val="2"/>
        <w:rPr>
          <w:rFonts w:hint="default" w:ascii="Times New Roman" w:hAnsi="Times New Roman" w:eastAsia="黑体" w:cs="Times New Roman"/>
          <w:b/>
          <w:bCs/>
          <w:color w:val="auto"/>
          <w:sz w:val="24"/>
          <w:szCs w:val="22"/>
          <w:highlight w:val="none"/>
        </w:rPr>
      </w:pPr>
      <w:bookmarkStart w:id="13" w:name="_Toc58267077"/>
      <w:r>
        <w:rPr>
          <w:rFonts w:hint="default" w:ascii="Times New Roman" w:hAnsi="Times New Roman" w:eastAsia="黑体" w:cs="Times New Roman"/>
          <w:b/>
          <w:bCs/>
          <w:color w:val="auto"/>
          <w:sz w:val="24"/>
          <w:szCs w:val="22"/>
          <w:highlight w:val="none"/>
        </w:rPr>
        <w:t>1.2.3测量仪器、测量时间、测量条件及数据采集</w:t>
      </w:r>
      <w:bookmarkEnd w:id="13"/>
    </w:p>
    <w:p>
      <w:pPr>
        <w:spacing w:line="480" w:lineRule="exact"/>
        <w:ind w:firstLine="480" w:firstLineChars="200"/>
        <w:jc w:val="left"/>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监测时间：2022年</w:t>
      </w:r>
      <w:r>
        <w:rPr>
          <w:rFonts w:hint="eastAsia" w:ascii="Times New Roman" w:hAnsi="Times New Roman" w:cs="Times New Roman"/>
          <w:color w:val="auto"/>
          <w:sz w:val="24"/>
          <w:szCs w:val="22"/>
          <w:highlight w:val="none"/>
          <w:lang w:val="en-US" w:eastAsia="zh-CN"/>
        </w:rPr>
        <w:t>11</w:t>
      </w:r>
      <w:r>
        <w:rPr>
          <w:rFonts w:hint="default" w:ascii="Times New Roman" w:hAnsi="Times New Roman" w:cs="Times New Roman"/>
          <w:color w:val="auto"/>
          <w:sz w:val="24"/>
          <w:szCs w:val="22"/>
          <w:highlight w:val="none"/>
        </w:rPr>
        <w:t>月</w:t>
      </w:r>
      <w:r>
        <w:rPr>
          <w:rFonts w:hint="eastAsia" w:ascii="Times New Roman" w:hAnsi="Times New Roman" w:cs="Times New Roman"/>
          <w:color w:val="auto"/>
          <w:sz w:val="24"/>
          <w:szCs w:val="22"/>
          <w:highlight w:val="none"/>
          <w:lang w:val="en-US" w:eastAsia="zh-CN"/>
        </w:rPr>
        <w:t>5</w:t>
      </w:r>
      <w:r>
        <w:rPr>
          <w:rFonts w:hint="default" w:ascii="Times New Roman" w:hAnsi="Times New Roman" w:cs="Times New Roman"/>
          <w:color w:val="auto"/>
          <w:sz w:val="24"/>
          <w:szCs w:val="22"/>
          <w:highlight w:val="none"/>
        </w:rPr>
        <w:t>日。</w:t>
      </w:r>
    </w:p>
    <w:p>
      <w:pPr>
        <w:spacing w:line="480" w:lineRule="exact"/>
        <w:ind w:firstLine="480" w:firstLineChars="200"/>
        <w:jc w:val="both"/>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测量时天气晴，风速小于5.0m/s，符合噪声监测环境条件要求。传声器均设在1.2m高处，同时距周围建筑物最少1m远，监测中尽量避免人群对测量的干扰。</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2"/>
          <w:highlight w:val="none"/>
        </w:rPr>
      </w:pPr>
      <w:r>
        <w:drawing>
          <wp:inline distT="0" distB="0" distL="114300" distR="114300">
            <wp:extent cx="5679440" cy="3776980"/>
            <wp:effectExtent l="0" t="0" r="16510" b="13970"/>
            <wp:docPr id="16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3"/>
                    <pic:cNvPicPr>
                      <a:picLocks noChangeAspect="1"/>
                    </pic:cNvPicPr>
                  </pic:nvPicPr>
                  <pic:blipFill>
                    <a:blip r:embed="rId18"/>
                    <a:stretch>
                      <a:fillRect/>
                    </a:stretch>
                  </pic:blipFill>
                  <pic:spPr>
                    <a:xfrm>
                      <a:off x="0" y="0"/>
                      <a:ext cx="5679440" cy="377698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imes New Roman" w:hAnsi="Times New Roman" w:eastAsia="宋体" w:cs="Times New Roman"/>
          <w:b/>
          <w:bCs/>
          <w:color w:val="auto"/>
          <w:sz w:val="24"/>
          <w:szCs w:val="24"/>
          <w:highlight w:val="none"/>
          <w:lang w:eastAsia="zh-CN"/>
        </w:rPr>
      </w:pPr>
      <w:r>
        <w:rPr>
          <w:rFonts w:hint="default" w:ascii="Times New Roman" w:hAnsi="Times New Roman" w:cs="Times New Roman"/>
          <w:b/>
          <w:bCs/>
          <w:color w:val="auto"/>
          <w:sz w:val="24"/>
          <w:szCs w:val="24"/>
          <w:highlight w:val="none"/>
        </w:rPr>
        <w:t>图1-1  噪声监测点位示意图</w:t>
      </w:r>
      <w:r>
        <w:rPr>
          <w:rFonts w:hint="eastAsia" w:ascii="Times New Roman" w:hAnsi="Times New Roman" w:cs="Times New Roman"/>
          <w:b/>
          <w:bCs/>
          <w:color w:val="auto"/>
          <w:sz w:val="24"/>
          <w:szCs w:val="24"/>
          <w:highlight w:val="none"/>
          <w:lang w:eastAsia="zh-CN"/>
        </w:rPr>
        <w:t>（</w:t>
      </w:r>
      <w:r>
        <w:rPr>
          <w:rFonts w:hint="eastAsia" w:ascii="Times New Roman" w:hAnsi="Times New Roman" w:cs="Times New Roman"/>
          <w:b/>
          <w:bCs/>
          <w:color w:val="auto"/>
          <w:sz w:val="24"/>
          <w:szCs w:val="24"/>
          <w:highlight w:val="none"/>
          <w:lang w:val="en-US" w:eastAsia="zh-CN"/>
        </w:rPr>
        <w:t>湖滨大街西延-文昌路</w:t>
      </w:r>
      <w:r>
        <w:rPr>
          <w:rFonts w:hint="eastAsia" w:ascii="Times New Roman" w:hAnsi="Times New Roman" w:cs="Times New Roman"/>
          <w:b/>
          <w:bCs/>
          <w:color w:val="auto"/>
          <w:sz w:val="24"/>
          <w:szCs w:val="24"/>
          <w:highlight w:val="none"/>
          <w:lang w:eastAsia="zh-CN"/>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auto"/>
          <w:sz w:val="24"/>
          <w:szCs w:val="22"/>
          <w:highlight w:val="none"/>
          <w:lang w:val="en-US" w:eastAsia="zh-CN"/>
        </w:rPr>
      </w:pPr>
      <w:r>
        <w:drawing>
          <wp:inline distT="0" distB="0" distL="114300" distR="114300">
            <wp:extent cx="5723255" cy="3756025"/>
            <wp:effectExtent l="0" t="0" r="10795" b="15875"/>
            <wp:docPr id="2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4"/>
                    <pic:cNvPicPr>
                      <a:picLocks noChangeAspect="1"/>
                    </pic:cNvPicPr>
                  </pic:nvPicPr>
                  <pic:blipFill>
                    <a:blip r:embed="rId19"/>
                    <a:srcRect l="2875"/>
                    <a:stretch>
                      <a:fillRect/>
                    </a:stretch>
                  </pic:blipFill>
                  <pic:spPr>
                    <a:xfrm>
                      <a:off x="0" y="0"/>
                      <a:ext cx="5723255" cy="375602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imes New Roman" w:hAnsi="Times New Roman" w:eastAsia="宋体" w:cs="Times New Roman"/>
          <w:b/>
          <w:bCs/>
          <w:color w:val="auto"/>
          <w:sz w:val="24"/>
          <w:szCs w:val="24"/>
          <w:highlight w:val="none"/>
          <w:lang w:eastAsia="zh-CN"/>
        </w:rPr>
      </w:pPr>
      <w:r>
        <w:rPr>
          <w:rFonts w:hint="default" w:ascii="Times New Roman" w:hAnsi="Times New Roman" w:cs="Times New Roman"/>
          <w:b/>
          <w:bCs/>
          <w:color w:val="auto"/>
          <w:sz w:val="24"/>
          <w:szCs w:val="24"/>
          <w:highlight w:val="none"/>
        </w:rPr>
        <w:t>图1-</w:t>
      </w:r>
      <w:r>
        <w:rPr>
          <w:rFonts w:hint="eastAsia" w:ascii="Times New Roman" w:hAnsi="Times New Roman" w:cs="Times New Roman"/>
          <w:b/>
          <w:bCs/>
          <w:color w:val="auto"/>
          <w:sz w:val="24"/>
          <w:szCs w:val="24"/>
          <w:highlight w:val="none"/>
          <w:lang w:val="en-US" w:eastAsia="zh-CN"/>
        </w:rPr>
        <w:t>2</w:t>
      </w:r>
      <w:r>
        <w:rPr>
          <w:rFonts w:hint="default" w:ascii="Times New Roman" w:hAnsi="Times New Roman" w:cs="Times New Roman"/>
          <w:b/>
          <w:bCs/>
          <w:color w:val="auto"/>
          <w:sz w:val="24"/>
          <w:szCs w:val="24"/>
          <w:highlight w:val="none"/>
        </w:rPr>
        <w:t xml:space="preserve">  噪声监测点位示意图</w:t>
      </w:r>
      <w:r>
        <w:rPr>
          <w:rFonts w:hint="eastAsia" w:ascii="Times New Roman" w:hAnsi="Times New Roman" w:cs="Times New Roman"/>
          <w:b/>
          <w:bCs/>
          <w:color w:val="auto"/>
          <w:sz w:val="24"/>
          <w:szCs w:val="24"/>
          <w:highlight w:val="none"/>
          <w:lang w:eastAsia="zh-CN"/>
        </w:rPr>
        <w:t>（</w:t>
      </w:r>
      <w:r>
        <w:rPr>
          <w:rFonts w:hint="eastAsia" w:ascii="Times New Roman" w:hAnsi="Times New Roman" w:cs="Times New Roman"/>
          <w:b/>
          <w:bCs/>
          <w:color w:val="auto"/>
          <w:sz w:val="24"/>
          <w:szCs w:val="24"/>
          <w:highlight w:val="none"/>
          <w:lang w:val="en-US" w:eastAsia="zh-CN"/>
        </w:rPr>
        <w:t>东外环路</w:t>
      </w:r>
      <w:r>
        <w:rPr>
          <w:rFonts w:hint="eastAsia" w:ascii="Times New Roman" w:hAnsi="Times New Roman" w:cs="Times New Roman"/>
          <w:b/>
          <w:bCs/>
          <w:color w:val="auto"/>
          <w:sz w:val="24"/>
          <w:szCs w:val="24"/>
          <w:highlight w:val="none"/>
          <w:lang w:eastAsia="zh-CN"/>
        </w:rPr>
        <w:t>）</w:t>
      </w:r>
    </w:p>
    <w:p>
      <w:pPr>
        <w:spacing w:before="60" w:after="60" w:line="480" w:lineRule="exact"/>
        <w:ind w:firstLine="482" w:firstLineChars="200"/>
        <w:jc w:val="left"/>
        <w:outlineLvl w:val="2"/>
        <w:rPr>
          <w:rFonts w:hint="default" w:ascii="Times New Roman" w:hAnsi="Times New Roman" w:eastAsia="黑体" w:cs="Times New Roman"/>
          <w:b/>
          <w:bCs/>
          <w:color w:val="auto"/>
          <w:sz w:val="24"/>
          <w:szCs w:val="22"/>
          <w:highlight w:val="none"/>
        </w:rPr>
      </w:pPr>
      <w:bookmarkStart w:id="14" w:name="_Toc58267078"/>
      <w:r>
        <w:rPr>
          <w:rFonts w:hint="default" w:ascii="Times New Roman" w:hAnsi="Times New Roman" w:eastAsia="黑体" w:cs="Times New Roman"/>
          <w:b/>
          <w:bCs/>
          <w:color w:val="auto"/>
          <w:sz w:val="24"/>
          <w:szCs w:val="22"/>
          <w:highlight w:val="none"/>
        </w:rPr>
        <w:t>1.2.4监测结果及现状评价</w:t>
      </w:r>
      <w:bookmarkEnd w:id="14"/>
    </w:p>
    <w:p>
      <w:pPr>
        <w:spacing w:line="480" w:lineRule="exact"/>
        <w:ind w:firstLine="480" w:firstLineChars="200"/>
        <w:jc w:val="left"/>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本项目监测结果见表1-3。</w:t>
      </w:r>
    </w:p>
    <w:p>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color w:val="auto"/>
          <w:spacing w:val="4"/>
          <w:sz w:val="21"/>
          <w:szCs w:val="21"/>
          <w:highlight w:val="none"/>
        </w:rPr>
      </w:pPr>
      <w:r>
        <w:rPr>
          <w:rFonts w:hint="default" w:ascii="Times New Roman" w:hAnsi="Times New Roman" w:eastAsia="宋体" w:cs="Times New Roman"/>
          <w:b/>
          <w:color w:val="auto"/>
          <w:spacing w:val="4"/>
          <w:sz w:val="21"/>
          <w:szCs w:val="21"/>
          <w:highlight w:val="none"/>
        </w:rPr>
        <w:t>表1-3  声环境质量现状监测结果表</w:t>
      </w: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0"/>
        <w:gridCol w:w="3081"/>
        <w:gridCol w:w="724"/>
        <w:gridCol w:w="704"/>
        <w:gridCol w:w="674"/>
        <w:gridCol w:w="720"/>
        <w:gridCol w:w="704"/>
        <w:gridCol w:w="672"/>
        <w:gridCol w:w="727"/>
        <w:gridCol w:w="6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6" w:hRule="atLeast"/>
          <w:jc w:val="center"/>
        </w:trPr>
        <w:tc>
          <w:tcPr>
            <w:tcW w:w="339" w:type="pct"/>
            <w:vMerge w:val="restart"/>
            <w:noWrap w:val="0"/>
            <w:vAlign w:val="center"/>
          </w:tcPr>
          <w:p>
            <w:pPr>
              <w:keepNext w:val="0"/>
              <w:keepLines w:val="0"/>
              <w:pageBreakBefore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eastAsia="宋体"/>
                <w:bCs/>
                <w:color w:val="auto"/>
                <w:sz w:val="21"/>
                <w:szCs w:val="21"/>
                <w:lang w:val="en-US" w:eastAsia="zh-CN"/>
              </w:rPr>
            </w:pPr>
            <w:r>
              <w:rPr>
                <w:rFonts w:hint="eastAsia"/>
                <w:bCs/>
                <w:color w:val="auto"/>
                <w:sz w:val="21"/>
                <w:szCs w:val="21"/>
                <w:lang w:val="en-US" w:eastAsia="zh-CN"/>
              </w:rPr>
              <w:t>监测点位</w:t>
            </w:r>
          </w:p>
        </w:tc>
        <w:tc>
          <w:tcPr>
            <w:tcW w:w="1658" w:type="pct"/>
            <w:vMerge w:val="restart"/>
            <w:noWrap w:val="0"/>
            <w:vAlign w:val="center"/>
          </w:tcPr>
          <w:p>
            <w:pPr>
              <w:keepNext w:val="0"/>
              <w:keepLines w:val="0"/>
              <w:pageBreakBefore w:val="0"/>
              <w:kinsoku/>
              <w:wordWrap/>
              <w:overflowPunct/>
              <w:topLinePunct w:val="0"/>
              <w:autoSpaceDE/>
              <w:autoSpaceDN/>
              <w:bidi w:val="0"/>
              <w:adjustRightInd/>
              <w:snapToGrid/>
              <w:spacing w:line="240" w:lineRule="auto"/>
              <w:ind w:left="-42" w:leftChars="-20" w:right="-42" w:rightChars="-20"/>
              <w:jc w:val="center"/>
              <w:textAlignment w:val="auto"/>
              <w:rPr>
                <w:rFonts w:ascii="Times New Roman" w:hAnsi="Times New Roman"/>
                <w:bCs/>
                <w:color w:val="auto"/>
                <w:sz w:val="21"/>
                <w:szCs w:val="21"/>
              </w:rPr>
            </w:pPr>
            <w:r>
              <w:rPr>
                <w:rFonts w:ascii="Times New Roman" w:hAnsi="Times New Roman"/>
                <w:bCs/>
                <w:color w:val="auto"/>
                <w:sz w:val="21"/>
                <w:szCs w:val="21"/>
              </w:rPr>
              <w:t>位置</w:t>
            </w:r>
          </w:p>
        </w:tc>
        <w:tc>
          <w:tcPr>
            <w:tcW w:w="1520" w:type="pct"/>
            <w:gridSpan w:val="4"/>
            <w:noWrap w:val="0"/>
            <w:vAlign w:val="center"/>
          </w:tcPr>
          <w:p>
            <w:pPr>
              <w:keepNext w:val="0"/>
              <w:keepLines w:val="0"/>
              <w:pageBreakBefore w:val="0"/>
              <w:kinsoku/>
              <w:wordWrap/>
              <w:overflowPunct/>
              <w:topLinePunct w:val="0"/>
              <w:autoSpaceDE/>
              <w:autoSpaceDN/>
              <w:bidi w:val="0"/>
              <w:adjustRightInd/>
              <w:snapToGrid/>
              <w:spacing w:line="240" w:lineRule="auto"/>
              <w:ind w:left="-42" w:leftChars="-20" w:right="-42" w:rightChars="-20"/>
              <w:jc w:val="center"/>
              <w:textAlignment w:val="auto"/>
              <w:rPr>
                <w:rFonts w:ascii="Times New Roman" w:hAnsi="Times New Roman"/>
                <w:bCs/>
                <w:color w:val="auto"/>
                <w:sz w:val="21"/>
                <w:szCs w:val="21"/>
              </w:rPr>
            </w:pPr>
            <w:r>
              <w:rPr>
                <w:rFonts w:ascii="Times New Roman" w:hAnsi="Times New Roman"/>
                <w:bCs/>
                <w:color w:val="auto"/>
                <w:sz w:val="21"/>
                <w:szCs w:val="21"/>
              </w:rPr>
              <w:t>昼   间</w:t>
            </w:r>
          </w:p>
        </w:tc>
        <w:tc>
          <w:tcPr>
            <w:tcW w:w="1480" w:type="pct"/>
            <w:gridSpan w:val="4"/>
            <w:noWrap w:val="0"/>
            <w:vAlign w:val="center"/>
          </w:tcPr>
          <w:p>
            <w:pPr>
              <w:keepNext w:val="0"/>
              <w:keepLines w:val="0"/>
              <w:pageBreakBefore w:val="0"/>
              <w:kinsoku/>
              <w:wordWrap/>
              <w:overflowPunct/>
              <w:topLinePunct w:val="0"/>
              <w:autoSpaceDE/>
              <w:autoSpaceDN/>
              <w:bidi w:val="0"/>
              <w:adjustRightInd/>
              <w:snapToGrid/>
              <w:spacing w:line="240" w:lineRule="auto"/>
              <w:ind w:left="-42" w:leftChars="-20" w:right="-42" w:rightChars="-20"/>
              <w:jc w:val="center"/>
              <w:textAlignment w:val="auto"/>
              <w:rPr>
                <w:rFonts w:ascii="Times New Roman" w:hAnsi="Times New Roman"/>
                <w:bCs/>
                <w:color w:val="auto"/>
                <w:sz w:val="21"/>
                <w:szCs w:val="21"/>
              </w:rPr>
            </w:pPr>
            <w:r>
              <w:rPr>
                <w:rFonts w:ascii="Times New Roman" w:hAnsi="Times New Roman"/>
                <w:bCs/>
                <w:color w:val="auto"/>
                <w:sz w:val="21"/>
                <w:szCs w:val="21"/>
              </w:rPr>
              <w:t>夜   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6" w:hRule="atLeast"/>
          <w:jc w:val="center"/>
        </w:trPr>
        <w:tc>
          <w:tcPr>
            <w:tcW w:w="339"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42" w:leftChars="-20" w:right="-42" w:rightChars="-20"/>
              <w:jc w:val="center"/>
              <w:textAlignment w:val="auto"/>
              <w:rPr>
                <w:rFonts w:ascii="Times New Roman" w:hAnsi="Times New Roman"/>
                <w:bCs/>
                <w:color w:val="auto"/>
                <w:sz w:val="21"/>
                <w:szCs w:val="21"/>
              </w:rPr>
            </w:pPr>
          </w:p>
        </w:tc>
        <w:tc>
          <w:tcPr>
            <w:tcW w:w="1658"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42" w:leftChars="-20" w:right="-42" w:rightChars="-20"/>
              <w:jc w:val="center"/>
              <w:textAlignment w:val="auto"/>
              <w:rPr>
                <w:rFonts w:ascii="Times New Roman" w:hAnsi="Times New Roman"/>
                <w:bCs/>
                <w:color w:val="auto"/>
                <w:sz w:val="21"/>
                <w:szCs w:val="21"/>
              </w:rPr>
            </w:pPr>
          </w:p>
        </w:tc>
        <w:tc>
          <w:tcPr>
            <w:tcW w:w="390" w:type="pct"/>
            <w:noWrap w:val="0"/>
            <w:vAlign w:val="center"/>
          </w:tcPr>
          <w:p>
            <w:pPr>
              <w:pStyle w:val="4"/>
              <w:keepNext w:val="0"/>
              <w:keepLines w:val="0"/>
              <w:pageBreakBefore w:val="0"/>
              <w:tabs>
                <w:tab w:val="left" w:pos="0"/>
              </w:tabs>
              <w:kinsoku/>
              <w:wordWrap/>
              <w:overflowPunct/>
              <w:topLinePunct w:val="0"/>
              <w:autoSpaceDE/>
              <w:autoSpaceDN/>
              <w:bidi w:val="0"/>
              <w:adjustRightInd/>
              <w:snapToGrid/>
              <w:spacing w:before="72" w:after="72" w:line="240" w:lineRule="auto"/>
              <w:ind w:left="-42" w:leftChars="-20" w:right="-42" w:rightChars="-20" w:firstLine="0" w:firstLineChars="0"/>
              <w:jc w:val="center"/>
              <w:textAlignment w:val="auto"/>
              <w:rPr>
                <w:rFonts w:ascii="Times New Roman" w:hAnsi="Times New Roman"/>
                <w:b w:val="0"/>
                <w:color w:val="auto"/>
                <w:sz w:val="21"/>
                <w:szCs w:val="21"/>
              </w:rPr>
            </w:pPr>
            <w:r>
              <w:rPr>
                <w:rFonts w:ascii="Times New Roman" w:hAnsi="Times New Roman"/>
                <w:b w:val="0"/>
                <w:color w:val="auto"/>
                <w:sz w:val="21"/>
                <w:szCs w:val="21"/>
              </w:rPr>
              <w:t>Leq</w:t>
            </w:r>
          </w:p>
        </w:tc>
        <w:tc>
          <w:tcPr>
            <w:tcW w:w="379" w:type="pct"/>
            <w:noWrap w:val="0"/>
            <w:vAlign w:val="center"/>
          </w:tcPr>
          <w:p>
            <w:pPr>
              <w:pStyle w:val="4"/>
              <w:keepNext w:val="0"/>
              <w:keepLines w:val="0"/>
              <w:pageBreakBefore w:val="0"/>
              <w:tabs>
                <w:tab w:val="left" w:pos="0"/>
              </w:tabs>
              <w:kinsoku/>
              <w:wordWrap/>
              <w:overflowPunct/>
              <w:topLinePunct w:val="0"/>
              <w:autoSpaceDE/>
              <w:autoSpaceDN/>
              <w:bidi w:val="0"/>
              <w:adjustRightInd/>
              <w:snapToGrid/>
              <w:spacing w:before="72" w:after="72" w:line="240" w:lineRule="auto"/>
              <w:ind w:left="-42" w:leftChars="-20" w:right="-42" w:rightChars="-20" w:firstLine="0" w:firstLineChars="0"/>
              <w:jc w:val="center"/>
              <w:textAlignment w:val="auto"/>
              <w:rPr>
                <w:rFonts w:hint="default" w:ascii="Times New Roman" w:hAnsi="Times New Roman" w:eastAsia="宋体"/>
                <w:b w:val="0"/>
                <w:color w:val="auto"/>
                <w:sz w:val="21"/>
                <w:szCs w:val="21"/>
                <w:lang w:val="en-US" w:eastAsia="zh-CN"/>
              </w:rPr>
            </w:pPr>
            <w:r>
              <w:rPr>
                <w:rFonts w:ascii="Times New Roman" w:hAnsi="Times New Roman"/>
                <w:b w:val="0"/>
                <w:color w:val="auto"/>
                <w:sz w:val="21"/>
                <w:szCs w:val="21"/>
              </w:rPr>
              <w:t>L</w:t>
            </w:r>
            <w:r>
              <w:rPr>
                <w:rFonts w:hint="eastAsia" w:ascii="Times New Roman" w:hAnsi="Times New Roman"/>
                <w:b w:val="0"/>
                <w:color w:val="auto"/>
                <w:sz w:val="21"/>
                <w:szCs w:val="21"/>
                <w:vertAlign w:val="subscript"/>
                <w:lang w:val="en-US" w:eastAsia="zh-CN"/>
              </w:rPr>
              <w:t>90</w:t>
            </w:r>
          </w:p>
        </w:tc>
        <w:tc>
          <w:tcPr>
            <w:tcW w:w="363" w:type="pct"/>
            <w:noWrap w:val="0"/>
            <w:vAlign w:val="center"/>
          </w:tcPr>
          <w:p>
            <w:pPr>
              <w:pStyle w:val="4"/>
              <w:keepNext w:val="0"/>
              <w:keepLines w:val="0"/>
              <w:pageBreakBefore w:val="0"/>
              <w:tabs>
                <w:tab w:val="left" w:pos="0"/>
              </w:tabs>
              <w:kinsoku/>
              <w:wordWrap/>
              <w:overflowPunct/>
              <w:topLinePunct w:val="0"/>
              <w:autoSpaceDE/>
              <w:autoSpaceDN/>
              <w:bidi w:val="0"/>
              <w:adjustRightInd/>
              <w:snapToGrid/>
              <w:spacing w:before="72" w:after="72" w:line="240" w:lineRule="auto"/>
              <w:ind w:left="-42" w:leftChars="-20" w:right="-42" w:rightChars="-20" w:firstLine="0" w:firstLineChars="0"/>
              <w:jc w:val="center"/>
              <w:textAlignment w:val="auto"/>
              <w:rPr>
                <w:rFonts w:ascii="Times New Roman" w:hAnsi="Times New Roman"/>
                <w:b w:val="0"/>
                <w:color w:val="auto"/>
                <w:sz w:val="21"/>
                <w:szCs w:val="21"/>
              </w:rPr>
            </w:pPr>
            <w:r>
              <w:rPr>
                <w:rFonts w:ascii="Times New Roman" w:hAnsi="Times New Roman"/>
                <w:b w:val="0"/>
                <w:color w:val="auto"/>
                <w:sz w:val="21"/>
                <w:szCs w:val="21"/>
              </w:rPr>
              <w:t>L</w:t>
            </w:r>
            <w:r>
              <w:rPr>
                <w:rFonts w:ascii="Times New Roman" w:hAnsi="Times New Roman"/>
                <w:b w:val="0"/>
                <w:color w:val="auto"/>
                <w:sz w:val="21"/>
                <w:szCs w:val="21"/>
                <w:vertAlign w:val="subscript"/>
              </w:rPr>
              <w:t>50</w:t>
            </w:r>
          </w:p>
        </w:tc>
        <w:tc>
          <w:tcPr>
            <w:tcW w:w="388" w:type="pct"/>
            <w:noWrap w:val="0"/>
            <w:vAlign w:val="center"/>
          </w:tcPr>
          <w:p>
            <w:pPr>
              <w:pStyle w:val="4"/>
              <w:keepNext w:val="0"/>
              <w:keepLines w:val="0"/>
              <w:pageBreakBefore w:val="0"/>
              <w:tabs>
                <w:tab w:val="left" w:pos="0"/>
              </w:tabs>
              <w:kinsoku/>
              <w:wordWrap/>
              <w:overflowPunct/>
              <w:topLinePunct w:val="0"/>
              <w:autoSpaceDE/>
              <w:autoSpaceDN/>
              <w:bidi w:val="0"/>
              <w:adjustRightInd/>
              <w:snapToGrid/>
              <w:spacing w:before="72" w:after="72" w:line="240" w:lineRule="auto"/>
              <w:ind w:left="-42" w:leftChars="-20" w:right="-42" w:rightChars="-20" w:firstLine="0" w:firstLineChars="0"/>
              <w:jc w:val="center"/>
              <w:textAlignment w:val="auto"/>
              <w:rPr>
                <w:rFonts w:hint="default" w:ascii="Times New Roman" w:hAnsi="Times New Roman" w:eastAsia="宋体"/>
                <w:b w:val="0"/>
                <w:color w:val="auto"/>
                <w:sz w:val="21"/>
                <w:szCs w:val="21"/>
                <w:lang w:val="en-US" w:eastAsia="zh-CN"/>
              </w:rPr>
            </w:pPr>
            <w:r>
              <w:rPr>
                <w:rFonts w:ascii="Times New Roman" w:hAnsi="Times New Roman"/>
                <w:b w:val="0"/>
                <w:color w:val="auto"/>
                <w:sz w:val="21"/>
                <w:szCs w:val="21"/>
              </w:rPr>
              <w:t>L</w:t>
            </w:r>
            <w:r>
              <w:rPr>
                <w:rFonts w:hint="eastAsia" w:ascii="Times New Roman" w:hAnsi="Times New Roman"/>
                <w:b w:val="0"/>
                <w:color w:val="auto"/>
                <w:sz w:val="21"/>
                <w:szCs w:val="21"/>
                <w:vertAlign w:val="subscript"/>
                <w:lang w:val="en-US" w:eastAsia="zh-CN"/>
              </w:rPr>
              <w:t>10</w:t>
            </w:r>
          </w:p>
        </w:tc>
        <w:tc>
          <w:tcPr>
            <w:tcW w:w="379" w:type="pct"/>
            <w:noWrap w:val="0"/>
            <w:vAlign w:val="center"/>
          </w:tcPr>
          <w:p>
            <w:pPr>
              <w:pStyle w:val="4"/>
              <w:keepNext w:val="0"/>
              <w:keepLines w:val="0"/>
              <w:pageBreakBefore w:val="0"/>
              <w:tabs>
                <w:tab w:val="left" w:pos="0"/>
              </w:tabs>
              <w:kinsoku/>
              <w:wordWrap/>
              <w:overflowPunct/>
              <w:topLinePunct w:val="0"/>
              <w:autoSpaceDE/>
              <w:autoSpaceDN/>
              <w:bidi w:val="0"/>
              <w:adjustRightInd/>
              <w:snapToGrid/>
              <w:spacing w:before="72" w:after="72" w:line="240" w:lineRule="auto"/>
              <w:ind w:left="-42" w:leftChars="-20" w:right="-42" w:rightChars="-20" w:firstLine="0" w:firstLineChars="0"/>
              <w:jc w:val="center"/>
              <w:textAlignment w:val="auto"/>
              <w:rPr>
                <w:rFonts w:ascii="Times New Roman" w:hAnsi="Times New Roman"/>
                <w:b w:val="0"/>
                <w:color w:val="auto"/>
                <w:sz w:val="21"/>
                <w:szCs w:val="21"/>
              </w:rPr>
            </w:pPr>
            <w:r>
              <w:rPr>
                <w:rFonts w:ascii="Times New Roman" w:hAnsi="Times New Roman"/>
                <w:b w:val="0"/>
                <w:color w:val="auto"/>
                <w:sz w:val="21"/>
                <w:szCs w:val="21"/>
              </w:rPr>
              <w:t>Leq</w:t>
            </w:r>
          </w:p>
        </w:tc>
        <w:tc>
          <w:tcPr>
            <w:tcW w:w="362" w:type="pct"/>
            <w:noWrap w:val="0"/>
            <w:vAlign w:val="center"/>
          </w:tcPr>
          <w:p>
            <w:pPr>
              <w:pStyle w:val="4"/>
              <w:keepNext w:val="0"/>
              <w:keepLines w:val="0"/>
              <w:pageBreakBefore w:val="0"/>
              <w:tabs>
                <w:tab w:val="left" w:pos="0"/>
              </w:tabs>
              <w:kinsoku/>
              <w:wordWrap/>
              <w:overflowPunct/>
              <w:topLinePunct w:val="0"/>
              <w:autoSpaceDE/>
              <w:autoSpaceDN/>
              <w:bidi w:val="0"/>
              <w:adjustRightInd/>
              <w:snapToGrid/>
              <w:spacing w:before="72" w:after="72" w:line="240" w:lineRule="auto"/>
              <w:ind w:left="-42" w:leftChars="-20" w:right="-42" w:rightChars="-20" w:firstLine="0" w:firstLineChars="0"/>
              <w:jc w:val="center"/>
              <w:textAlignment w:val="auto"/>
              <w:rPr>
                <w:rFonts w:hint="default" w:ascii="Times New Roman" w:hAnsi="Times New Roman" w:eastAsia="宋体"/>
                <w:b w:val="0"/>
                <w:color w:val="auto"/>
                <w:sz w:val="21"/>
                <w:szCs w:val="21"/>
                <w:lang w:val="en-US" w:eastAsia="zh-CN"/>
              </w:rPr>
            </w:pPr>
            <w:r>
              <w:rPr>
                <w:rFonts w:ascii="Times New Roman" w:hAnsi="Times New Roman"/>
                <w:b w:val="0"/>
                <w:color w:val="auto"/>
                <w:sz w:val="21"/>
                <w:szCs w:val="21"/>
              </w:rPr>
              <w:t>L</w:t>
            </w:r>
            <w:r>
              <w:rPr>
                <w:rFonts w:hint="eastAsia" w:ascii="Times New Roman" w:hAnsi="Times New Roman"/>
                <w:b w:val="0"/>
                <w:color w:val="auto"/>
                <w:sz w:val="21"/>
                <w:szCs w:val="21"/>
                <w:vertAlign w:val="subscript"/>
                <w:lang w:val="en-US" w:eastAsia="zh-CN"/>
              </w:rPr>
              <w:t>90</w:t>
            </w:r>
          </w:p>
        </w:tc>
        <w:tc>
          <w:tcPr>
            <w:tcW w:w="391" w:type="pct"/>
            <w:noWrap w:val="0"/>
            <w:vAlign w:val="center"/>
          </w:tcPr>
          <w:p>
            <w:pPr>
              <w:pStyle w:val="4"/>
              <w:keepNext w:val="0"/>
              <w:keepLines w:val="0"/>
              <w:pageBreakBefore w:val="0"/>
              <w:tabs>
                <w:tab w:val="left" w:pos="0"/>
              </w:tabs>
              <w:kinsoku/>
              <w:wordWrap/>
              <w:overflowPunct/>
              <w:topLinePunct w:val="0"/>
              <w:autoSpaceDE/>
              <w:autoSpaceDN/>
              <w:bidi w:val="0"/>
              <w:adjustRightInd/>
              <w:snapToGrid/>
              <w:spacing w:before="72" w:after="72" w:line="240" w:lineRule="auto"/>
              <w:ind w:left="-42" w:leftChars="-20" w:right="-42" w:rightChars="-20" w:firstLine="0" w:firstLineChars="0"/>
              <w:jc w:val="center"/>
              <w:textAlignment w:val="auto"/>
              <w:rPr>
                <w:rFonts w:ascii="Times New Roman" w:hAnsi="Times New Roman"/>
                <w:b w:val="0"/>
                <w:color w:val="auto"/>
                <w:sz w:val="21"/>
                <w:szCs w:val="21"/>
              </w:rPr>
            </w:pPr>
            <w:r>
              <w:rPr>
                <w:rFonts w:ascii="Times New Roman" w:hAnsi="Times New Roman"/>
                <w:b w:val="0"/>
                <w:color w:val="auto"/>
                <w:sz w:val="21"/>
                <w:szCs w:val="21"/>
              </w:rPr>
              <w:t>L</w:t>
            </w:r>
            <w:r>
              <w:rPr>
                <w:rFonts w:ascii="Times New Roman" w:hAnsi="Times New Roman"/>
                <w:b w:val="0"/>
                <w:color w:val="auto"/>
                <w:sz w:val="21"/>
                <w:szCs w:val="21"/>
                <w:vertAlign w:val="subscript"/>
              </w:rPr>
              <w:t>50</w:t>
            </w:r>
          </w:p>
        </w:tc>
        <w:tc>
          <w:tcPr>
            <w:tcW w:w="348" w:type="pct"/>
            <w:noWrap w:val="0"/>
            <w:vAlign w:val="center"/>
          </w:tcPr>
          <w:p>
            <w:pPr>
              <w:pStyle w:val="4"/>
              <w:keepNext w:val="0"/>
              <w:keepLines w:val="0"/>
              <w:pageBreakBefore w:val="0"/>
              <w:tabs>
                <w:tab w:val="left" w:pos="0"/>
              </w:tabs>
              <w:kinsoku/>
              <w:wordWrap/>
              <w:overflowPunct/>
              <w:topLinePunct w:val="0"/>
              <w:autoSpaceDE/>
              <w:autoSpaceDN/>
              <w:bidi w:val="0"/>
              <w:adjustRightInd/>
              <w:snapToGrid/>
              <w:spacing w:before="72" w:after="72" w:line="240" w:lineRule="auto"/>
              <w:ind w:left="-42" w:leftChars="-20" w:right="-42" w:rightChars="-20" w:firstLine="0" w:firstLineChars="0"/>
              <w:jc w:val="center"/>
              <w:textAlignment w:val="auto"/>
              <w:rPr>
                <w:rFonts w:hint="default" w:ascii="Times New Roman" w:hAnsi="Times New Roman" w:eastAsia="宋体"/>
                <w:b w:val="0"/>
                <w:color w:val="auto"/>
                <w:sz w:val="21"/>
                <w:szCs w:val="21"/>
                <w:lang w:val="en-US" w:eastAsia="zh-CN"/>
              </w:rPr>
            </w:pPr>
            <w:r>
              <w:rPr>
                <w:rFonts w:ascii="Times New Roman" w:hAnsi="Times New Roman"/>
                <w:b w:val="0"/>
                <w:color w:val="auto"/>
                <w:sz w:val="21"/>
                <w:szCs w:val="21"/>
              </w:rPr>
              <w:t>L</w:t>
            </w:r>
            <w:r>
              <w:rPr>
                <w:rFonts w:hint="eastAsia" w:ascii="Times New Roman" w:hAnsi="Times New Roman"/>
                <w:b w:val="0"/>
                <w:color w:val="auto"/>
                <w:sz w:val="21"/>
                <w:szCs w:val="21"/>
                <w:vertAlign w:val="subscript"/>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6" w:hRule="atLeast"/>
          <w:jc w:val="center"/>
        </w:trPr>
        <w:tc>
          <w:tcPr>
            <w:tcW w:w="339" w:type="pct"/>
            <w:noWrap w:val="0"/>
            <w:vAlign w:val="center"/>
          </w:tcPr>
          <w:p>
            <w:pPr>
              <w:keepNext w:val="0"/>
              <w:keepLines w:val="0"/>
              <w:pageBreakBefore w:val="0"/>
              <w:kinsoku/>
              <w:wordWrap/>
              <w:overflowPunct/>
              <w:topLinePunct w:val="0"/>
              <w:autoSpaceDE/>
              <w:autoSpaceDN/>
              <w:bidi w:val="0"/>
              <w:adjustRightInd/>
              <w:snapToGrid/>
              <w:spacing w:line="240" w:lineRule="auto"/>
              <w:ind w:left="-42" w:leftChars="-20" w:right="-42" w:rightChars="-20"/>
              <w:jc w:val="center"/>
              <w:textAlignment w:val="auto"/>
              <w:rPr>
                <w:rFonts w:ascii="Times New Roman" w:hAnsi="Times New Roman"/>
                <w:bCs/>
                <w:color w:val="auto"/>
                <w:sz w:val="21"/>
                <w:szCs w:val="21"/>
              </w:rPr>
            </w:pPr>
            <w:r>
              <w:rPr>
                <w:rFonts w:ascii="Times New Roman" w:hAnsi="Times New Roman"/>
                <w:bCs/>
                <w:color w:val="auto"/>
                <w:sz w:val="21"/>
                <w:szCs w:val="21"/>
              </w:rPr>
              <w:t>1#</w:t>
            </w:r>
          </w:p>
        </w:tc>
        <w:tc>
          <w:tcPr>
            <w:tcW w:w="1658" w:type="pct"/>
            <w:noWrap w:val="0"/>
            <w:vAlign w:val="center"/>
          </w:tcPr>
          <w:p>
            <w:pPr>
              <w:keepNext w:val="0"/>
              <w:keepLines w:val="0"/>
              <w:pageBreakBefore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eastAsia="宋体"/>
                <w:snapToGrid w:val="0"/>
                <w:color w:val="auto"/>
                <w:sz w:val="21"/>
                <w:szCs w:val="21"/>
                <w:lang w:val="en-US" w:eastAsia="zh-CN"/>
              </w:rPr>
            </w:pPr>
            <w:r>
              <w:rPr>
                <w:rFonts w:hint="default" w:ascii="Times New Roman" w:hAnsi="Times New Roman" w:eastAsia="宋体"/>
                <w:snapToGrid w:val="0"/>
                <w:color w:val="auto"/>
                <w:sz w:val="21"/>
                <w:szCs w:val="21"/>
                <w:lang w:val="en-US" w:eastAsia="zh-CN"/>
              </w:rPr>
              <w:t>碧海花园E区1号楼西侧1</w:t>
            </w:r>
            <w:r>
              <w:rPr>
                <w:rFonts w:hint="eastAsia" w:ascii="Times New Roman" w:hAnsi="Times New Roman"/>
                <w:snapToGrid w:val="0"/>
                <w:color w:val="auto"/>
                <w:sz w:val="21"/>
                <w:szCs w:val="21"/>
                <w:lang w:val="en-US" w:eastAsia="zh-CN"/>
              </w:rPr>
              <w:t>层</w:t>
            </w:r>
          </w:p>
        </w:tc>
        <w:tc>
          <w:tcPr>
            <w:tcW w:w="390"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56.7</w:t>
            </w:r>
          </w:p>
        </w:tc>
        <w:tc>
          <w:tcPr>
            <w:tcW w:w="379"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54.7</w:t>
            </w:r>
          </w:p>
        </w:tc>
        <w:tc>
          <w:tcPr>
            <w:tcW w:w="363"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55.9</w:t>
            </w:r>
          </w:p>
        </w:tc>
        <w:tc>
          <w:tcPr>
            <w:tcW w:w="388"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57.8</w:t>
            </w:r>
          </w:p>
        </w:tc>
        <w:tc>
          <w:tcPr>
            <w:tcW w:w="379"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48.4</w:t>
            </w:r>
          </w:p>
        </w:tc>
        <w:tc>
          <w:tcPr>
            <w:tcW w:w="362"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46.3</w:t>
            </w:r>
          </w:p>
        </w:tc>
        <w:tc>
          <w:tcPr>
            <w:tcW w:w="391"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47.4</w:t>
            </w:r>
          </w:p>
        </w:tc>
        <w:tc>
          <w:tcPr>
            <w:tcW w:w="348"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6" w:hRule="atLeast"/>
          <w:jc w:val="center"/>
        </w:trPr>
        <w:tc>
          <w:tcPr>
            <w:tcW w:w="339" w:type="pct"/>
            <w:noWrap w:val="0"/>
            <w:vAlign w:val="center"/>
          </w:tcPr>
          <w:p>
            <w:pPr>
              <w:keepNext w:val="0"/>
              <w:keepLines w:val="0"/>
              <w:pageBreakBefore w:val="0"/>
              <w:kinsoku/>
              <w:wordWrap/>
              <w:overflowPunct/>
              <w:topLinePunct w:val="0"/>
              <w:autoSpaceDE/>
              <w:autoSpaceDN/>
              <w:bidi w:val="0"/>
              <w:adjustRightInd/>
              <w:snapToGrid/>
              <w:spacing w:line="240" w:lineRule="auto"/>
              <w:ind w:left="-42" w:leftChars="-20" w:right="-42" w:rightChars="-20"/>
              <w:jc w:val="center"/>
              <w:textAlignment w:val="auto"/>
              <w:rPr>
                <w:rFonts w:ascii="Times New Roman" w:hAnsi="Times New Roman"/>
                <w:bCs/>
                <w:color w:val="auto"/>
                <w:sz w:val="21"/>
                <w:szCs w:val="21"/>
              </w:rPr>
            </w:pPr>
            <w:r>
              <w:rPr>
                <w:rFonts w:ascii="Times New Roman" w:hAnsi="Times New Roman"/>
                <w:bCs/>
                <w:color w:val="auto"/>
                <w:sz w:val="21"/>
                <w:szCs w:val="21"/>
              </w:rPr>
              <w:t>2#</w:t>
            </w:r>
          </w:p>
        </w:tc>
        <w:tc>
          <w:tcPr>
            <w:tcW w:w="1658" w:type="pct"/>
            <w:noWrap w:val="0"/>
            <w:vAlign w:val="center"/>
          </w:tcPr>
          <w:p>
            <w:pPr>
              <w:keepNext w:val="0"/>
              <w:keepLines w:val="0"/>
              <w:pageBreakBefore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eastAsia="宋体"/>
                <w:snapToGrid w:val="0"/>
                <w:color w:val="auto"/>
                <w:sz w:val="21"/>
                <w:szCs w:val="21"/>
                <w:lang w:val="en-US" w:eastAsia="zh-CN"/>
              </w:rPr>
            </w:pPr>
            <w:r>
              <w:rPr>
                <w:rFonts w:hint="default" w:ascii="Times New Roman" w:hAnsi="Times New Roman" w:eastAsia="宋体"/>
                <w:snapToGrid w:val="0"/>
                <w:color w:val="auto"/>
                <w:sz w:val="21"/>
                <w:szCs w:val="21"/>
                <w:lang w:val="en-US" w:eastAsia="zh-CN"/>
              </w:rPr>
              <w:t>碧海花园E区1号楼西侧</w:t>
            </w:r>
            <w:r>
              <w:rPr>
                <w:rFonts w:hint="eastAsia"/>
                <w:snapToGrid w:val="0"/>
                <w:color w:val="auto"/>
                <w:sz w:val="21"/>
                <w:szCs w:val="21"/>
                <w:lang w:val="en-US" w:eastAsia="zh-CN"/>
              </w:rPr>
              <w:t>3</w:t>
            </w:r>
            <w:r>
              <w:rPr>
                <w:rFonts w:hint="eastAsia" w:ascii="Times New Roman" w:hAnsi="Times New Roman"/>
                <w:snapToGrid w:val="0"/>
                <w:color w:val="auto"/>
                <w:sz w:val="21"/>
                <w:szCs w:val="21"/>
                <w:lang w:val="en-US" w:eastAsia="zh-CN"/>
              </w:rPr>
              <w:t>层</w:t>
            </w:r>
          </w:p>
        </w:tc>
        <w:tc>
          <w:tcPr>
            <w:tcW w:w="390"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56.5</w:t>
            </w:r>
          </w:p>
        </w:tc>
        <w:tc>
          <w:tcPr>
            <w:tcW w:w="379"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54.5</w:t>
            </w:r>
          </w:p>
        </w:tc>
        <w:tc>
          <w:tcPr>
            <w:tcW w:w="363"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55.5</w:t>
            </w:r>
          </w:p>
        </w:tc>
        <w:tc>
          <w:tcPr>
            <w:tcW w:w="388"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57.4</w:t>
            </w:r>
          </w:p>
        </w:tc>
        <w:tc>
          <w:tcPr>
            <w:tcW w:w="379"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48.8</w:t>
            </w:r>
          </w:p>
        </w:tc>
        <w:tc>
          <w:tcPr>
            <w:tcW w:w="362"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46.7</w:t>
            </w:r>
          </w:p>
        </w:tc>
        <w:tc>
          <w:tcPr>
            <w:tcW w:w="391"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48.4</w:t>
            </w:r>
          </w:p>
        </w:tc>
        <w:tc>
          <w:tcPr>
            <w:tcW w:w="348"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6" w:hRule="atLeast"/>
          <w:jc w:val="center"/>
        </w:trPr>
        <w:tc>
          <w:tcPr>
            <w:tcW w:w="339" w:type="pct"/>
            <w:noWrap w:val="0"/>
            <w:vAlign w:val="center"/>
          </w:tcPr>
          <w:p>
            <w:pPr>
              <w:keepNext w:val="0"/>
              <w:keepLines w:val="0"/>
              <w:pageBreakBefore w:val="0"/>
              <w:kinsoku/>
              <w:wordWrap/>
              <w:overflowPunct/>
              <w:topLinePunct w:val="0"/>
              <w:autoSpaceDE/>
              <w:autoSpaceDN/>
              <w:bidi w:val="0"/>
              <w:adjustRightInd/>
              <w:snapToGrid/>
              <w:spacing w:line="240" w:lineRule="auto"/>
              <w:ind w:left="-42" w:leftChars="-20" w:right="-42" w:rightChars="-20"/>
              <w:jc w:val="center"/>
              <w:textAlignment w:val="auto"/>
              <w:rPr>
                <w:rFonts w:ascii="Times New Roman" w:hAnsi="Times New Roman"/>
                <w:bCs/>
                <w:color w:val="auto"/>
                <w:sz w:val="21"/>
                <w:szCs w:val="21"/>
              </w:rPr>
            </w:pPr>
            <w:r>
              <w:rPr>
                <w:rFonts w:ascii="Times New Roman" w:hAnsi="Times New Roman"/>
                <w:bCs/>
                <w:color w:val="auto"/>
                <w:sz w:val="21"/>
                <w:szCs w:val="21"/>
              </w:rPr>
              <w:t>3#</w:t>
            </w:r>
          </w:p>
        </w:tc>
        <w:tc>
          <w:tcPr>
            <w:tcW w:w="1658" w:type="pct"/>
            <w:noWrap w:val="0"/>
            <w:vAlign w:val="center"/>
          </w:tcPr>
          <w:p>
            <w:pPr>
              <w:keepNext w:val="0"/>
              <w:keepLines w:val="0"/>
              <w:pageBreakBefore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eastAsia="宋体"/>
                <w:snapToGrid w:val="0"/>
                <w:color w:val="auto"/>
                <w:sz w:val="21"/>
                <w:szCs w:val="21"/>
                <w:lang w:val="en-US" w:eastAsia="zh-CN"/>
              </w:rPr>
            </w:pPr>
            <w:r>
              <w:rPr>
                <w:rFonts w:hint="default" w:ascii="Times New Roman" w:hAnsi="Times New Roman" w:eastAsia="宋体"/>
                <w:snapToGrid w:val="0"/>
                <w:color w:val="auto"/>
                <w:sz w:val="21"/>
                <w:szCs w:val="21"/>
                <w:lang w:val="en-US" w:eastAsia="zh-CN"/>
              </w:rPr>
              <w:t>碧海花园E区1号楼西侧</w:t>
            </w:r>
            <w:r>
              <w:rPr>
                <w:rFonts w:hint="eastAsia"/>
                <w:snapToGrid w:val="0"/>
                <w:color w:val="auto"/>
                <w:sz w:val="21"/>
                <w:szCs w:val="21"/>
                <w:lang w:val="en-US" w:eastAsia="zh-CN"/>
              </w:rPr>
              <w:t>5</w:t>
            </w:r>
            <w:r>
              <w:rPr>
                <w:rFonts w:hint="eastAsia" w:ascii="Times New Roman" w:hAnsi="Times New Roman"/>
                <w:snapToGrid w:val="0"/>
                <w:color w:val="auto"/>
                <w:sz w:val="21"/>
                <w:szCs w:val="21"/>
                <w:lang w:val="en-US" w:eastAsia="zh-CN"/>
              </w:rPr>
              <w:t>层</w:t>
            </w:r>
          </w:p>
        </w:tc>
        <w:tc>
          <w:tcPr>
            <w:tcW w:w="390"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54.9</w:t>
            </w:r>
          </w:p>
        </w:tc>
        <w:tc>
          <w:tcPr>
            <w:tcW w:w="379"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52.9</w:t>
            </w:r>
          </w:p>
        </w:tc>
        <w:tc>
          <w:tcPr>
            <w:tcW w:w="363"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53.9</w:t>
            </w:r>
          </w:p>
        </w:tc>
        <w:tc>
          <w:tcPr>
            <w:tcW w:w="388"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56.1</w:t>
            </w:r>
          </w:p>
        </w:tc>
        <w:tc>
          <w:tcPr>
            <w:tcW w:w="379"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47.6</w:t>
            </w:r>
          </w:p>
        </w:tc>
        <w:tc>
          <w:tcPr>
            <w:tcW w:w="362"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45.4</w:t>
            </w:r>
          </w:p>
        </w:tc>
        <w:tc>
          <w:tcPr>
            <w:tcW w:w="391"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46.2</w:t>
            </w:r>
          </w:p>
        </w:tc>
        <w:tc>
          <w:tcPr>
            <w:tcW w:w="348"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6" w:hRule="atLeast"/>
          <w:jc w:val="center"/>
        </w:trPr>
        <w:tc>
          <w:tcPr>
            <w:tcW w:w="339" w:type="pct"/>
            <w:noWrap w:val="0"/>
            <w:vAlign w:val="center"/>
          </w:tcPr>
          <w:p>
            <w:pPr>
              <w:keepNext w:val="0"/>
              <w:keepLines w:val="0"/>
              <w:pageBreakBefore w:val="0"/>
              <w:kinsoku/>
              <w:wordWrap/>
              <w:overflowPunct/>
              <w:topLinePunct w:val="0"/>
              <w:autoSpaceDE/>
              <w:autoSpaceDN/>
              <w:bidi w:val="0"/>
              <w:adjustRightInd/>
              <w:snapToGrid/>
              <w:spacing w:line="240" w:lineRule="auto"/>
              <w:ind w:left="-42" w:leftChars="-20" w:right="-42" w:rightChars="-20"/>
              <w:jc w:val="center"/>
              <w:textAlignment w:val="auto"/>
              <w:rPr>
                <w:rFonts w:ascii="Times New Roman" w:hAnsi="Times New Roman"/>
                <w:bCs/>
                <w:color w:val="auto"/>
                <w:sz w:val="21"/>
                <w:szCs w:val="21"/>
              </w:rPr>
            </w:pPr>
            <w:r>
              <w:rPr>
                <w:rFonts w:ascii="Times New Roman" w:hAnsi="Times New Roman"/>
                <w:bCs/>
                <w:color w:val="auto"/>
                <w:sz w:val="21"/>
                <w:szCs w:val="21"/>
              </w:rPr>
              <w:t>4#</w:t>
            </w:r>
          </w:p>
        </w:tc>
        <w:tc>
          <w:tcPr>
            <w:tcW w:w="1658" w:type="pct"/>
            <w:noWrap w:val="0"/>
            <w:vAlign w:val="center"/>
          </w:tcPr>
          <w:p>
            <w:pPr>
              <w:keepNext w:val="0"/>
              <w:keepLines w:val="0"/>
              <w:pageBreakBefore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eastAsia="宋体"/>
                <w:snapToGrid w:val="0"/>
                <w:color w:val="auto"/>
                <w:sz w:val="21"/>
                <w:szCs w:val="21"/>
                <w:lang w:val="en-US" w:eastAsia="zh-CN"/>
              </w:rPr>
            </w:pPr>
            <w:r>
              <w:rPr>
                <w:rFonts w:hint="default" w:ascii="Times New Roman" w:hAnsi="Times New Roman" w:eastAsia="宋体"/>
                <w:snapToGrid w:val="0"/>
                <w:color w:val="auto"/>
                <w:sz w:val="21"/>
                <w:szCs w:val="21"/>
                <w:lang w:val="en-US" w:eastAsia="zh-CN"/>
              </w:rPr>
              <w:t>唐家湾村</w:t>
            </w:r>
          </w:p>
        </w:tc>
        <w:tc>
          <w:tcPr>
            <w:tcW w:w="390"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51.3</w:t>
            </w:r>
          </w:p>
        </w:tc>
        <w:tc>
          <w:tcPr>
            <w:tcW w:w="379"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49.3</w:t>
            </w:r>
          </w:p>
        </w:tc>
        <w:tc>
          <w:tcPr>
            <w:tcW w:w="363"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50.3</w:t>
            </w:r>
          </w:p>
        </w:tc>
        <w:tc>
          <w:tcPr>
            <w:tcW w:w="388"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52.5</w:t>
            </w:r>
          </w:p>
        </w:tc>
        <w:tc>
          <w:tcPr>
            <w:tcW w:w="379"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44.0</w:t>
            </w:r>
          </w:p>
        </w:tc>
        <w:tc>
          <w:tcPr>
            <w:tcW w:w="362"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41.8</w:t>
            </w:r>
          </w:p>
        </w:tc>
        <w:tc>
          <w:tcPr>
            <w:tcW w:w="391"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42.6</w:t>
            </w:r>
          </w:p>
        </w:tc>
        <w:tc>
          <w:tcPr>
            <w:tcW w:w="348"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6" w:hRule="atLeast"/>
          <w:jc w:val="center"/>
        </w:trPr>
        <w:tc>
          <w:tcPr>
            <w:tcW w:w="339" w:type="pct"/>
            <w:noWrap w:val="0"/>
            <w:vAlign w:val="center"/>
          </w:tcPr>
          <w:p>
            <w:pPr>
              <w:keepNext w:val="0"/>
              <w:keepLines w:val="0"/>
              <w:pageBreakBefore w:val="0"/>
              <w:kinsoku/>
              <w:wordWrap/>
              <w:overflowPunct/>
              <w:topLinePunct w:val="0"/>
              <w:autoSpaceDE/>
              <w:autoSpaceDN/>
              <w:bidi w:val="0"/>
              <w:adjustRightInd/>
              <w:snapToGrid/>
              <w:spacing w:line="240" w:lineRule="auto"/>
              <w:ind w:left="-42" w:leftChars="-20" w:right="-42" w:rightChars="-20"/>
              <w:jc w:val="center"/>
              <w:textAlignment w:val="auto"/>
              <w:rPr>
                <w:rFonts w:ascii="Times New Roman" w:hAnsi="Times New Roman"/>
                <w:bCs/>
                <w:color w:val="auto"/>
                <w:sz w:val="21"/>
                <w:szCs w:val="21"/>
              </w:rPr>
            </w:pPr>
            <w:r>
              <w:rPr>
                <w:rFonts w:ascii="Times New Roman" w:hAnsi="Times New Roman"/>
                <w:bCs/>
                <w:color w:val="auto"/>
                <w:sz w:val="21"/>
                <w:szCs w:val="21"/>
              </w:rPr>
              <w:t>5#</w:t>
            </w:r>
          </w:p>
        </w:tc>
        <w:tc>
          <w:tcPr>
            <w:tcW w:w="1658" w:type="pct"/>
            <w:noWrap w:val="0"/>
            <w:vAlign w:val="center"/>
          </w:tcPr>
          <w:p>
            <w:pPr>
              <w:keepNext w:val="0"/>
              <w:keepLines w:val="0"/>
              <w:pageBreakBefore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eastAsia="宋体"/>
                <w:snapToGrid w:val="0"/>
                <w:color w:val="auto"/>
                <w:sz w:val="21"/>
                <w:szCs w:val="21"/>
                <w:lang w:val="en-US" w:eastAsia="zh-CN"/>
              </w:rPr>
            </w:pPr>
            <w:r>
              <w:rPr>
                <w:rFonts w:hint="default" w:ascii="Times New Roman" w:hAnsi="Times New Roman" w:eastAsia="宋体"/>
                <w:snapToGrid w:val="0"/>
                <w:color w:val="auto"/>
                <w:sz w:val="21"/>
                <w:szCs w:val="21"/>
                <w:lang w:val="en-US" w:eastAsia="zh-CN"/>
              </w:rPr>
              <w:t>西富苑小区6号楼西侧1</w:t>
            </w:r>
            <w:r>
              <w:rPr>
                <w:rFonts w:hint="eastAsia" w:ascii="Times New Roman" w:hAnsi="Times New Roman"/>
                <w:snapToGrid w:val="0"/>
                <w:color w:val="auto"/>
                <w:sz w:val="21"/>
                <w:szCs w:val="21"/>
                <w:lang w:val="en-US" w:eastAsia="zh-CN"/>
              </w:rPr>
              <w:t>层</w:t>
            </w:r>
          </w:p>
        </w:tc>
        <w:tc>
          <w:tcPr>
            <w:tcW w:w="390"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56.1</w:t>
            </w:r>
          </w:p>
        </w:tc>
        <w:tc>
          <w:tcPr>
            <w:tcW w:w="379"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54.0</w:t>
            </w:r>
          </w:p>
        </w:tc>
        <w:tc>
          <w:tcPr>
            <w:tcW w:w="363"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55.1</w:t>
            </w:r>
          </w:p>
        </w:tc>
        <w:tc>
          <w:tcPr>
            <w:tcW w:w="388"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58.3</w:t>
            </w:r>
          </w:p>
        </w:tc>
        <w:tc>
          <w:tcPr>
            <w:tcW w:w="379"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49.4</w:t>
            </w:r>
          </w:p>
        </w:tc>
        <w:tc>
          <w:tcPr>
            <w:tcW w:w="362"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47.2</w:t>
            </w:r>
          </w:p>
        </w:tc>
        <w:tc>
          <w:tcPr>
            <w:tcW w:w="391"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48.7</w:t>
            </w:r>
          </w:p>
        </w:tc>
        <w:tc>
          <w:tcPr>
            <w:tcW w:w="348"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6" w:hRule="atLeast"/>
          <w:jc w:val="center"/>
        </w:trPr>
        <w:tc>
          <w:tcPr>
            <w:tcW w:w="339" w:type="pct"/>
            <w:noWrap w:val="0"/>
            <w:vAlign w:val="center"/>
          </w:tcPr>
          <w:p>
            <w:pPr>
              <w:keepNext w:val="0"/>
              <w:keepLines w:val="0"/>
              <w:pageBreakBefore w:val="0"/>
              <w:kinsoku/>
              <w:wordWrap/>
              <w:overflowPunct/>
              <w:topLinePunct w:val="0"/>
              <w:autoSpaceDE/>
              <w:autoSpaceDN/>
              <w:bidi w:val="0"/>
              <w:adjustRightInd/>
              <w:snapToGrid/>
              <w:spacing w:line="240" w:lineRule="auto"/>
              <w:ind w:left="-42" w:leftChars="-20" w:right="-42" w:rightChars="-20"/>
              <w:jc w:val="center"/>
              <w:textAlignment w:val="auto"/>
              <w:rPr>
                <w:rFonts w:ascii="Times New Roman" w:hAnsi="Times New Roman"/>
                <w:bCs/>
                <w:color w:val="auto"/>
                <w:sz w:val="21"/>
                <w:szCs w:val="21"/>
              </w:rPr>
            </w:pPr>
            <w:r>
              <w:rPr>
                <w:rFonts w:ascii="Times New Roman" w:hAnsi="Times New Roman"/>
                <w:bCs/>
                <w:color w:val="auto"/>
                <w:sz w:val="21"/>
                <w:szCs w:val="21"/>
              </w:rPr>
              <w:t>6#</w:t>
            </w:r>
          </w:p>
        </w:tc>
        <w:tc>
          <w:tcPr>
            <w:tcW w:w="1658" w:type="pct"/>
            <w:noWrap w:val="0"/>
            <w:vAlign w:val="center"/>
          </w:tcPr>
          <w:p>
            <w:pPr>
              <w:keepNext w:val="0"/>
              <w:keepLines w:val="0"/>
              <w:pageBreakBefore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eastAsia="宋体"/>
                <w:snapToGrid w:val="0"/>
                <w:color w:val="auto"/>
                <w:sz w:val="21"/>
                <w:szCs w:val="21"/>
                <w:lang w:val="en-US" w:eastAsia="zh-CN"/>
              </w:rPr>
            </w:pPr>
            <w:r>
              <w:rPr>
                <w:rFonts w:hint="default" w:ascii="Times New Roman" w:hAnsi="Times New Roman" w:eastAsia="宋体"/>
                <w:snapToGrid w:val="0"/>
                <w:color w:val="auto"/>
                <w:sz w:val="21"/>
                <w:szCs w:val="21"/>
                <w:lang w:val="en-US" w:eastAsia="zh-CN"/>
              </w:rPr>
              <w:t>西富苑小区6号楼西侧</w:t>
            </w:r>
            <w:r>
              <w:rPr>
                <w:rFonts w:hint="eastAsia" w:ascii="Times New Roman" w:hAnsi="Times New Roman" w:eastAsia="宋体"/>
                <w:snapToGrid w:val="0"/>
                <w:color w:val="auto"/>
                <w:sz w:val="21"/>
                <w:szCs w:val="21"/>
                <w:lang w:val="en-US" w:eastAsia="zh-CN"/>
              </w:rPr>
              <w:t>3</w:t>
            </w:r>
            <w:r>
              <w:rPr>
                <w:rFonts w:hint="eastAsia" w:ascii="Times New Roman" w:hAnsi="Times New Roman"/>
                <w:snapToGrid w:val="0"/>
                <w:color w:val="auto"/>
                <w:sz w:val="21"/>
                <w:szCs w:val="21"/>
                <w:lang w:val="en-US" w:eastAsia="zh-CN"/>
              </w:rPr>
              <w:t>层</w:t>
            </w:r>
          </w:p>
        </w:tc>
        <w:tc>
          <w:tcPr>
            <w:tcW w:w="390"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55.4</w:t>
            </w:r>
          </w:p>
        </w:tc>
        <w:tc>
          <w:tcPr>
            <w:tcW w:w="379"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53.4</w:t>
            </w:r>
          </w:p>
        </w:tc>
        <w:tc>
          <w:tcPr>
            <w:tcW w:w="363"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54.6</w:t>
            </w:r>
          </w:p>
        </w:tc>
        <w:tc>
          <w:tcPr>
            <w:tcW w:w="388"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56.5</w:t>
            </w:r>
          </w:p>
        </w:tc>
        <w:tc>
          <w:tcPr>
            <w:tcW w:w="379"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47.1</w:t>
            </w:r>
          </w:p>
        </w:tc>
        <w:tc>
          <w:tcPr>
            <w:tcW w:w="362"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45.0</w:t>
            </w:r>
          </w:p>
        </w:tc>
        <w:tc>
          <w:tcPr>
            <w:tcW w:w="391"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46.1</w:t>
            </w:r>
          </w:p>
        </w:tc>
        <w:tc>
          <w:tcPr>
            <w:tcW w:w="348"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339" w:type="pct"/>
            <w:noWrap w:val="0"/>
            <w:vAlign w:val="center"/>
          </w:tcPr>
          <w:p>
            <w:pPr>
              <w:keepNext w:val="0"/>
              <w:keepLines w:val="0"/>
              <w:pageBreakBefore w:val="0"/>
              <w:kinsoku/>
              <w:wordWrap/>
              <w:overflowPunct/>
              <w:topLinePunct w:val="0"/>
              <w:autoSpaceDE/>
              <w:autoSpaceDN/>
              <w:bidi w:val="0"/>
              <w:adjustRightInd/>
              <w:snapToGrid/>
              <w:spacing w:line="240" w:lineRule="auto"/>
              <w:ind w:left="-42" w:leftChars="-20" w:right="-42" w:rightChars="-20"/>
              <w:jc w:val="center"/>
              <w:textAlignment w:val="auto"/>
              <w:rPr>
                <w:rFonts w:ascii="Times New Roman" w:hAnsi="Times New Roman"/>
                <w:bCs/>
                <w:color w:val="auto"/>
                <w:sz w:val="21"/>
                <w:szCs w:val="21"/>
              </w:rPr>
            </w:pPr>
            <w:r>
              <w:rPr>
                <w:rFonts w:ascii="Times New Roman" w:hAnsi="Times New Roman"/>
                <w:bCs/>
                <w:color w:val="auto"/>
                <w:sz w:val="21"/>
                <w:szCs w:val="21"/>
              </w:rPr>
              <w:t>7#</w:t>
            </w:r>
          </w:p>
        </w:tc>
        <w:tc>
          <w:tcPr>
            <w:tcW w:w="1658" w:type="pct"/>
            <w:noWrap w:val="0"/>
            <w:vAlign w:val="center"/>
          </w:tcPr>
          <w:p>
            <w:pPr>
              <w:keepNext w:val="0"/>
              <w:keepLines w:val="0"/>
              <w:pageBreakBefore w:val="0"/>
              <w:kinsoku/>
              <w:wordWrap/>
              <w:overflowPunct/>
              <w:topLinePunct w:val="0"/>
              <w:autoSpaceDE/>
              <w:autoSpaceDN/>
              <w:bidi w:val="0"/>
              <w:adjustRightInd/>
              <w:snapToGrid/>
              <w:spacing w:line="240" w:lineRule="auto"/>
              <w:ind w:left="-42" w:leftChars="-20" w:right="-42" w:rightChars="-20"/>
              <w:jc w:val="center"/>
              <w:textAlignment w:val="auto"/>
              <w:rPr>
                <w:rFonts w:hint="eastAsia" w:ascii="Times New Roman" w:hAnsi="Times New Roman" w:eastAsia="宋体"/>
                <w:snapToGrid w:val="0"/>
                <w:color w:val="auto"/>
                <w:sz w:val="21"/>
                <w:szCs w:val="21"/>
                <w:lang w:val="en-US" w:eastAsia="zh-CN"/>
              </w:rPr>
            </w:pPr>
            <w:r>
              <w:rPr>
                <w:rFonts w:hint="default" w:ascii="Times New Roman" w:hAnsi="Times New Roman" w:eastAsia="宋体"/>
                <w:snapToGrid w:val="0"/>
                <w:color w:val="auto"/>
                <w:sz w:val="21"/>
                <w:szCs w:val="21"/>
                <w:lang w:val="en-US" w:eastAsia="zh-CN"/>
              </w:rPr>
              <w:t>西富苑小区6号楼西侧</w:t>
            </w:r>
            <w:r>
              <w:rPr>
                <w:rFonts w:hint="eastAsia" w:ascii="Times New Roman" w:hAnsi="Times New Roman" w:eastAsia="宋体"/>
                <w:snapToGrid w:val="0"/>
                <w:color w:val="auto"/>
                <w:sz w:val="21"/>
                <w:szCs w:val="21"/>
                <w:lang w:val="en-US" w:eastAsia="zh-CN"/>
              </w:rPr>
              <w:t>5</w:t>
            </w:r>
            <w:r>
              <w:rPr>
                <w:rFonts w:hint="eastAsia" w:ascii="Times New Roman" w:hAnsi="Times New Roman"/>
                <w:snapToGrid w:val="0"/>
                <w:color w:val="auto"/>
                <w:sz w:val="21"/>
                <w:szCs w:val="21"/>
                <w:lang w:val="en-US" w:eastAsia="zh-CN"/>
              </w:rPr>
              <w:t>层</w:t>
            </w:r>
          </w:p>
        </w:tc>
        <w:tc>
          <w:tcPr>
            <w:tcW w:w="390"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54.7</w:t>
            </w:r>
          </w:p>
        </w:tc>
        <w:tc>
          <w:tcPr>
            <w:tcW w:w="379"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52.7</w:t>
            </w:r>
          </w:p>
        </w:tc>
        <w:tc>
          <w:tcPr>
            <w:tcW w:w="363"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53.7</w:t>
            </w:r>
          </w:p>
        </w:tc>
        <w:tc>
          <w:tcPr>
            <w:tcW w:w="388"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55.6</w:t>
            </w:r>
          </w:p>
        </w:tc>
        <w:tc>
          <w:tcPr>
            <w:tcW w:w="379"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47.0</w:t>
            </w:r>
          </w:p>
        </w:tc>
        <w:tc>
          <w:tcPr>
            <w:tcW w:w="362"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44.9</w:t>
            </w:r>
          </w:p>
        </w:tc>
        <w:tc>
          <w:tcPr>
            <w:tcW w:w="391"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45.6</w:t>
            </w:r>
          </w:p>
        </w:tc>
        <w:tc>
          <w:tcPr>
            <w:tcW w:w="348"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339" w:type="pct"/>
            <w:noWrap w:val="0"/>
            <w:vAlign w:val="center"/>
          </w:tcPr>
          <w:p>
            <w:pPr>
              <w:keepNext w:val="0"/>
              <w:keepLines w:val="0"/>
              <w:pageBreakBefore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eastAsia="宋体"/>
                <w:bCs/>
                <w:color w:val="auto"/>
                <w:sz w:val="21"/>
                <w:szCs w:val="21"/>
                <w:lang w:val="en-US" w:eastAsia="zh-CN"/>
              </w:rPr>
            </w:pPr>
            <w:r>
              <w:rPr>
                <w:rFonts w:hint="eastAsia" w:ascii="Times New Roman" w:hAnsi="Times New Roman"/>
                <w:bCs/>
                <w:color w:val="auto"/>
                <w:sz w:val="21"/>
                <w:szCs w:val="21"/>
                <w:lang w:val="en-US" w:eastAsia="zh-CN"/>
              </w:rPr>
              <w:t>8#</w:t>
            </w:r>
          </w:p>
        </w:tc>
        <w:tc>
          <w:tcPr>
            <w:tcW w:w="1658" w:type="pct"/>
            <w:noWrap w:val="0"/>
            <w:vAlign w:val="center"/>
          </w:tcPr>
          <w:p>
            <w:pPr>
              <w:keepNext w:val="0"/>
              <w:keepLines w:val="0"/>
              <w:pageBreakBefore w:val="0"/>
              <w:kinsoku/>
              <w:wordWrap/>
              <w:overflowPunct/>
              <w:topLinePunct w:val="0"/>
              <w:autoSpaceDE/>
              <w:autoSpaceDN/>
              <w:bidi w:val="0"/>
              <w:adjustRightInd/>
              <w:snapToGrid/>
              <w:spacing w:line="240" w:lineRule="auto"/>
              <w:ind w:left="-42" w:leftChars="-20" w:right="-42" w:rightChars="-20"/>
              <w:jc w:val="center"/>
              <w:textAlignment w:val="auto"/>
              <w:rPr>
                <w:rFonts w:hint="eastAsia" w:ascii="Times New Roman" w:hAnsi="Times New Roman" w:eastAsia="宋体"/>
                <w:snapToGrid w:val="0"/>
                <w:color w:val="auto"/>
                <w:sz w:val="21"/>
                <w:szCs w:val="21"/>
                <w:lang w:val="en-US" w:eastAsia="zh-CN"/>
              </w:rPr>
            </w:pPr>
            <w:r>
              <w:rPr>
                <w:rFonts w:hint="eastAsia" w:ascii="Times New Roman" w:hAnsi="Times New Roman" w:eastAsia="宋体"/>
                <w:snapToGrid w:val="0"/>
                <w:color w:val="auto"/>
                <w:sz w:val="21"/>
                <w:szCs w:val="21"/>
                <w:lang w:val="en-US" w:eastAsia="zh-CN"/>
              </w:rPr>
              <w:t>王家沟村</w:t>
            </w:r>
          </w:p>
        </w:tc>
        <w:tc>
          <w:tcPr>
            <w:tcW w:w="390"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52.1</w:t>
            </w:r>
          </w:p>
        </w:tc>
        <w:tc>
          <w:tcPr>
            <w:tcW w:w="379"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50.0</w:t>
            </w:r>
          </w:p>
        </w:tc>
        <w:tc>
          <w:tcPr>
            <w:tcW w:w="363"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51.1</w:t>
            </w:r>
          </w:p>
        </w:tc>
        <w:tc>
          <w:tcPr>
            <w:tcW w:w="388"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54.3</w:t>
            </w:r>
          </w:p>
        </w:tc>
        <w:tc>
          <w:tcPr>
            <w:tcW w:w="379"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45.4</w:t>
            </w:r>
          </w:p>
        </w:tc>
        <w:tc>
          <w:tcPr>
            <w:tcW w:w="362"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43.2</w:t>
            </w:r>
          </w:p>
        </w:tc>
        <w:tc>
          <w:tcPr>
            <w:tcW w:w="391"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44.7</w:t>
            </w:r>
          </w:p>
        </w:tc>
        <w:tc>
          <w:tcPr>
            <w:tcW w:w="348"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339" w:type="pct"/>
            <w:noWrap w:val="0"/>
            <w:vAlign w:val="center"/>
          </w:tcPr>
          <w:p>
            <w:pPr>
              <w:keepNext w:val="0"/>
              <w:keepLines w:val="0"/>
              <w:pageBreakBefore w:val="0"/>
              <w:kinsoku/>
              <w:wordWrap/>
              <w:overflowPunct/>
              <w:topLinePunct w:val="0"/>
              <w:autoSpaceDE/>
              <w:autoSpaceDN/>
              <w:bidi w:val="0"/>
              <w:adjustRightInd/>
              <w:snapToGrid/>
              <w:spacing w:line="240" w:lineRule="auto"/>
              <w:ind w:left="-42" w:leftChars="-20" w:right="-42" w:rightChars="-20"/>
              <w:jc w:val="center"/>
              <w:textAlignment w:val="auto"/>
              <w:rPr>
                <w:rFonts w:hint="default" w:ascii="Times New Roman" w:hAnsi="Times New Roman" w:eastAsia="宋体"/>
                <w:bCs/>
                <w:color w:val="auto"/>
                <w:sz w:val="21"/>
                <w:szCs w:val="21"/>
                <w:lang w:val="en-US" w:eastAsia="zh-CN"/>
              </w:rPr>
            </w:pPr>
            <w:r>
              <w:rPr>
                <w:rFonts w:hint="eastAsia" w:ascii="Times New Roman" w:hAnsi="Times New Roman"/>
                <w:bCs/>
                <w:color w:val="auto"/>
                <w:sz w:val="21"/>
                <w:szCs w:val="21"/>
                <w:lang w:val="en-US" w:eastAsia="zh-CN"/>
              </w:rPr>
              <w:t>9#</w:t>
            </w:r>
          </w:p>
        </w:tc>
        <w:tc>
          <w:tcPr>
            <w:tcW w:w="1658" w:type="pct"/>
            <w:noWrap w:val="0"/>
            <w:vAlign w:val="center"/>
          </w:tcPr>
          <w:p>
            <w:pPr>
              <w:keepNext w:val="0"/>
              <w:keepLines w:val="0"/>
              <w:pageBreakBefore w:val="0"/>
              <w:kinsoku/>
              <w:wordWrap/>
              <w:overflowPunct/>
              <w:topLinePunct w:val="0"/>
              <w:autoSpaceDE/>
              <w:autoSpaceDN/>
              <w:bidi w:val="0"/>
              <w:adjustRightInd/>
              <w:snapToGrid/>
              <w:spacing w:line="240" w:lineRule="auto"/>
              <w:ind w:left="-42" w:leftChars="-20" w:right="-42" w:rightChars="-20"/>
              <w:jc w:val="center"/>
              <w:textAlignment w:val="auto"/>
              <w:rPr>
                <w:rFonts w:hint="eastAsia" w:ascii="Times New Roman" w:hAnsi="Times New Roman" w:eastAsia="宋体"/>
                <w:snapToGrid w:val="0"/>
                <w:color w:val="auto"/>
                <w:sz w:val="21"/>
                <w:szCs w:val="21"/>
                <w:lang w:val="en-US" w:eastAsia="zh-CN"/>
              </w:rPr>
            </w:pPr>
            <w:r>
              <w:rPr>
                <w:rFonts w:hint="eastAsia" w:ascii="Times New Roman" w:hAnsi="Times New Roman" w:eastAsia="宋体"/>
                <w:snapToGrid w:val="0"/>
                <w:color w:val="auto"/>
                <w:sz w:val="21"/>
                <w:szCs w:val="21"/>
                <w:lang w:val="en-US" w:eastAsia="zh-CN"/>
              </w:rPr>
              <w:t>王庄村</w:t>
            </w:r>
          </w:p>
        </w:tc>
        <w:tc>
          <w:tcPr>
            <w:tcW w:w="390"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49.6</w:t>
            </w:r>
          </w:p>
        </w:tc>
        <w:tc>
          <w:tcPr>
            <w:tcW w:w="379"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47.5</w:t>
            </w:r>
          </w:p>
        </w:tc>
        <w:tc>
          <w:tcPr>
            <w:tcW w:w="363"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48.6</w:t>
            </w:r>
          </w:p>
        </w:tc>
        <w:tc>
          <w:tcPr>
            <w:tcW w:w="388"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51.8</w:t>
            </w:r>
          </w:p>
        </w:tc>
        <w:tc>
          <w:tcPr>
            <w:tcW w:w="379"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42.9</w:t>
            </w:r>
          </w:p>
        </w:tc>
        <w:tc>
          <w:tcPr>
            <w:tcW w:w="362"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40.7</w:t>
            </w:r>
          </w:p>
        </w:tc>
        <w:tc>
          <w:tcPr>
            <w:tcW w:w="391"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42.2</w:t>
            </w:r>
          </w:p>
        </w:tc>
        <w:tc>
          <w:tcPr>
            <w:tcW w:w="348" w:type="pct"/>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43.6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6" w:hRule="atLeast"/>
          <w:jc w:val="center"/>
        </w:trPr>
        <w:tc>
          <w:tcPr>
            <w:tcW w:w="1998" w:type="pct"/>
            <w:gridSpan w:val="2"/>
            <w:noWrap w:val="0"/>
            <w:vAlign w:val="center"/>
          </w:tcPr>
          <w:p>
            <w:pPr>
              <w:keepNext w:val="0"/>
              <w:keepLines w:val="0"/>
              <w:pageBreakBefore w:val="0"/>
              <w:kinsoku/>
              <w:wordWrap/>
              <w:overflowPunct/>
              <w:topLinePunct w:val="0"/>
              <w:autoSpaceDE/>
              <w:autoSpaceDN/>
              <w:bidi w:val="0"/>
              <w:adjustRightInd/>
              <w:snapToGrid/>
              <w:spacing w:line="240" w:lineRule="auto"/>
              <w:ind w:left="-42" w:leftChars="-20" w:right="-42" w:rightChars="-20"/>
              <w:jc w:val="center"/>
              <w:textAlignment w:val="auto"/>
              <w:rPr>
                <w:rFonts w:ascii="Times New Roman" w:hAnsi="Times New Roman"/>
                <w:snapToGrid w:val="0"/>
                <w:color w:val="auto"/>
                <w:sz w:val="21"/>
                <w:szCs w:val="21"/>
              </w:rPr>
            </w:pPr>
            <w:r>
              <w:rPr>
                <w:rFonts w:ascii="Times New Roman" w:hAnsi="Times New Roman"/>
                <w:bCs/>
                <w:color w:val="auto"/>
                <w:sz w:val="21"/>
                <w:szCs w:val="21"/>
              </w:rPr>
              <w:t>标准</w:t>
            </w:r>
          </w:p>
        </w:tc>
        <w:tc>
          <w:tcPr>
            <w:tcW w:w="1520" w:type="pct"/>
            <w:gridSpan w:val="4"/>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60</w:t>
            </w:r>
          </w:p>
        </w:tc>
        <w:tc>
          <w:tcPr>
            <w:tcW w:w="1480" w:type="pct"/>
            <w:gridSpan w:val="4"/>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hint="default" w:ascii="Times New Roman" w:hAnsi="Times New Roman" w:eastAsia="宋体"/>
                <w:snapToGrid w:val="0"/>
                <w:color w:val="auto"/>
                <w:kern w:val="0"/>
                <w:sz w:val="21"/>
                <w:szCs w:val="21"/>
                <w:lang w:val="en-US" w:eastAsia="zh-CN"/>
              </w:rPr>
            </w:pPr>
            <w:r>
              <w:rPr>
                <w:rFonts w:hint="eastAsia" w:ascii="Times New Roman" w:hAnsi="Times New Roman"/>
                <w:snapToGrid w:val="0"/>
                <w:color w:val="auto"/>
                <w:kern w:val="0"/>
                <w:sz w:val="21"/>
                <w:szCs w:val="21"/>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6" w:hRule="atLeast"/>
          <w:jc w:val="center"/>
        </w:trPr>
        <w:tc>
          <w:tcPr>
            <w:tcW w:w="1998" w:type="pct"/>
            <w:gridSpan w:val="2"/>
            <w:noWrap w:val="0"/>
            <w:vAlign w:val="center"/>
          </w:tcPr>
          <w:p>
            <w:pPr>
              <w:keepNext w:val="0"/>
              <w:keepLines w:val="0"/>
              <w:pageBreakBefore w:val="0"/>
              <w:kinsoku/>
              <w:wordWrap/>
              <w:overflowPunct/>
              <w:topLinePunct w:val="0"/>
              <w:autoSpaceDE/>
              <w:autoSpaceDN/>
              <w:bidi w:val="0"/>
              <w:adjustRightInd/>
              <w:snapToGrid/>
              <w:spacing w:line="240" w:lineRule="auto"/>
              <w:ind w:left="-42" w:leftChars="-20" w:right="-42" w:rightChars="-20"/>
              <w:jc w:val="center"/>
              <w:textAlignment w:val="auto"/>
              <w:rPr>
                <w:rFonts w:ascii="Times New Roman" w:hAnsi="Times New Roman"/>
                <w:bCs/>
                <w:color w:val="auto"/>
                <w:sz w:val="21"/>
                <w:szCs w:val="21"/>
              </w:rPr>
            </w:pPr>
            <w:r>
              <w:rPr>
                <w:rFonts w:ascii="Times New Roman" w:hAnsi="Times New Roman"/>
                <w:bCs/>
                <w:color w:val="auto"/>
                <w:sz w:val="21"/>
                <w:szCs w:val="21"/>
              </w:rPr>
              <w:t>达标分析</w:t>
            </w:r>
          </w:p>
        </w:tc>
        <w:tc>
          <w:tcPr>
            <w:tcW w:w="1520" w:type="pct"/>
            <w:gridSpan w:val="4"/>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ascii="Times New Roman" w:hAnsi="Times New Roman"/>
                <w:snapToGrid w:val="0"/>
                <w:color w:val="auto"/>
                <w:kern w:val="0"/>
                <w:sz w:val="21"/>
                <w:szCs w:val="21"/>
              </w:rPr>
            </w:pPr>
            <w:r>
              <w:rPr>
                <w:rFonts w:ascii="Times New Roman" w:hAnsi="Times New Roman"/>
                <w:snapToGrid w:val="0"/>
                <w:color w:val="auto"/>
                <w:kern w:val="0"/>
                <w:sz w:val="21"/>
                <w:szCs w:val="21"/>
              </w:rPr>
              <w:t>达标</w:t>
            </w:r>
          </w:p>
        </w:tc>
        <w:tc>
          <w:tcPr>
            <w:tcW w:w="1480" w:type="pct"/>
            <w:gridSpan w:val="4"/>
            <w:noWrap w:val="0"/>
            <w:vAlign w:val="center"/>
          </w:tcPr>
          <w:p>
            <w:pPr>
              <w:pStyle w:val="47"/>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textAlignment w:val="auto"/>
              <w:rPr>
                <w:rFonts w:ascii="Times New Roman" w:hAnsi="Times New Roman"/>
                <w:snapToGrid w:val="0"/>
                <w:color w:val="auto"/>
                <w:kern w:val="0"/>
                <w:sz w:val="21"/>
                <w:szCs w:val="21"/>
              </w:rPr>
            </w:pPr>
            <w:r>
              <w:rPr>
                <w:rFonts w:ascii="Times New Roman" w:hAnsi="Times New Roman"/>
                <w:snapToGrid w:val="0"/>
                <w:color w:val="auto"/>
                <w:kern w:val="0"/>
                <w:sz w:val="21"/>
                <w:szCs w:val="21"/>
              </w:rPr>
              <w:t>达标</w:t>
            </w:r>
          </w:p>
        </w:tc>
      </w:tr>
    </w:tbl>
    <w:p>
      <w:pPr>
        <w:spacing w:line="480" w:lineRule="exact"/>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rPr>
        <w:t>检测结果表明：</w:t>
      </w:r>
      <w:r>
        <w:rPr>
          <w:rFonts w:hint="default" w:ascii="Times New Roman" w:hAnsi="Times New Roman" w:cs="Times New Roman"/>
          <w:color w:val="auto"/>
          <w:sz w:val="24"/>
          <w:highlight w:val="none"/>
          <w:lang w:val="en-US" w:eastAsia="zh-CN"/>
        </w:rPr>
        <w:t>1#-</w:t>
      </w:r>
      <w:r>
        <w:rPr>
          <w:rFonts w:hint="eastAsia" w:ascii="Times New Roman" w:hAnsi="Times New Roman" w:cs="Times New Roman"/>
          <w:color w:val="auto"/>
          <w:sz w:val="24"/>
          <w:highlight w:val="none"/>
          <w:lang w:val="en-US" w:eastAsia="zh-CN"/>
        </w:rPr>
        <w:t>9</w:t>
      </w:r>
      <w:r>
        <w:rPr>
          <w:rFonts w:hint="default" w:ascii="Times New Roman" w:hAnsi="Times New Roman" w:cs="Times New Roman"/>
          <w:color w:val="auto"/>
          <w:sz w:val="24"/>
          <w:highlight w:val="none"/>
          <w:lang w:val="en-US" w:eastAsia="zh-CN"/>
        </w:rPr>
        <w:t>#</w:t>
      </w:r>
      <w:r>
        <w:rPr>
          <w:rFonts w:hint="eastAsia" w:ascii="Times New Roman" w:hAnsi="Times New Roman" w:cs="Times New Roman"/>
          <w:color w:val="auto"/>
          <w:sz w:val="24"/>
          <w:highlight w:val="none"/>
          <w:lang w:val="en-US" w:eastAsia="zh-CN"/>
        </w:rPr>
        <w:t>监测</w:t>
      </w:r>
      <w:r>
        <w:rPr>
          <w:rFonts w:hint="default" w:ascii="Times New Roman" w:hAnsi="Times New Roman" w:cs="Times New Roman"/>
          <w:color w:val="auto"/>
          <w:sz w:val="24"/>
          <w:highlight w:val="none"/>
          <w:lang w:val="en-US" w:eastAsia="zh-CN"/>
        </w:rPr>
        <w:t>点</w:t>
      </w:r>
      <w:r>
        <w:rPr>
          <w:rFonts w:hint="default" w:ascii="Times New Roman" w:hAnsi="Times New Roman" w:cs="Times New Roman"/>
          <w:color w:val="auto"/>
          <w:sz w:val="24"/>
          <w:highlight w:val="none"/>
        </w:rPr>
        <w:t>昼间等效声级值范围在</w:t>
      </w:r>
      <w:r>
        <w:rPr>
          <w:rFonts w:hint="eastAsia" w:ascii="Times New Roman" w:hAnsi="Times New Roman" w:cs="Times New Roman"/>
          <w:color w:val="auto"/>
          <w:sz w:val="24"/>
          <w:highlight w:val="none"/>
          <w:lang w:val="en-US" w:eastAsia="zh-CN"/>
        </w:rPr>
        <w:t>49.6-56.7</w:t>
      </w:r>
      <w:r>
        <w:rPr>
          <w:rFonts w:hint="default" w:ascii="Times New Roman" w:hAnsi="Times New Roman" w:cs="Times New Roman"/>
          <w:color w:val="auto"/>
          <w:sz w:val="24"/>
          <w:highlight w:val="none"/>
        </w:rPr>
        <w:t>dB(A)之间，夜间等效声级值范围在4</w:t>
      </w:r>
      <w:r>
        <w:rPr>
          <w:rFonts w:hint="eastAsia" w:ascii="Times New Roman" w:hAnsi="Times New Roman" w:cs="Times New Roman"/>
          <w:color w:val="auto"/>
          <w:sz w:val="24"/>
          <w:highlight w:val="none"/>
          <w:lang w:val="en-US" w:eastAsia="zh-CN"/>
        </w:rPr>
        <w:t>2.9</w:t>
      </w:r>
      <w:r>
        <w:rPr>
          <w:rFonts w:hint="default" w:ascii="Times New Roman" w:hAnsi="Times New Roman" w:cs="Times New Roman"/>
          <w:color w:val="auto"/>
          <w:sz w:val="24"/>
          <w:highlight w:val="none"/>
        </w:rPr>
        <w:t>-</w:t>
      </w:r>
      <w:r>
        <w:rPr>
          <w:rFonts w:hint="eastAsia" w:ascii="Times New Roman" w:hAnsi="Times New Roman" w:cs="Times New Roman"/>
          <w:color w:val="auto"/>
          <w:sz w:val="24"/>
          <w:highlight w:val="none"/>
          <w:lang w:val="en-US" w:eastAsia="zh-CN"/>
        </w:rPr>
        <w:t>49.4</w:t>
      </w:r>
      <w:r>
        <w:rPr>
          <w:rFonts w:hint="default" w:ascii="Times New Roman" w:hAnsi="Times New Roman" w:cs="Times New Roman"/>
          <w:color w:val="auto"/>
          <w:sz w:val="24"/>
          <w:highlight w:val="none"/>
        </w:rPr>
        <w:t>dB(A)之间，昼夜噪声均能达到《声环境质量标准》（GB3096-2008）中</w:t>
      </w:r>
      <w:r>
        <w:rPr>
          <w:rFonts w:hint="eastAsia" w:ascii="Times New Roman" w:hAnsi="Times New Roman" w:cs="Times New Roman"/>
          <w:color w:val="auto"/>
          <w:sz w:val="24"/>
          <w:highlight w:val="none"/>
          <w:lang w:val="en-US" w:eastAsia="zh-CN"/>
        </w:rPr>
        <w:t>2</w:t>
      </w:r>
      <w:r>
        <w:rPr>
          <w:rFonts w:hint="default" w:ascii="Times New Roman" w:hAnsi="Times New Roman" w:cs="Times New Roman"/>
          <w:color w:val="auto"/>
          <w:sz w:val="24"/>
          <w:highlight w:val="none"/>
        </w:rPr>
        <w:t>类标准限值的要求。所在区域声环境质量现状良好。</w:t>
      </w:r>
    </w:p>
    <w:p>
      <w:pPr>
        <w:spacing w:before="60" w:after="60" w:line="480" w:lineRule="exact"/>
        <w:ind w:firstLine="643" w:firstLineChars="200"/>
        <w:jc w:val="left"/>
        <w:outlineLvl w:val="1"/>
        <w:rPr>
          <w:rFonts w:hint="default" w:ascii="Times New Roman" w:hAnsi="Times New Roman" w:eastAsia="黑体" w:cs="Times New Roman"/>
          <w:b/>
          <w:bCs/>
          <w:color w:val="auto"/>
          <w:sz w:val="32"/>
          <w:szCs w:val="28"/>
          <w:highlight w:val="none"/>
        </w:rPr>
      </w:pPr>
      <w:bookmarkStart w:id="15" w:name="_Toc58267079"/>
      <w:r>
        <w:rPr>
          <w:rFonts w:hint="default" w:ascii="Times New Roman" w:hAnsi="Times New Roman" w:eastAsia="黑体" w:cs="Times New Roman"/>
          <w:b/>
          <w:bCs/>
          <w:color w:val="auto"/>
          <w:sz w:val="32"/>
          <w:szCs w:val="28"/>
          <w:highlight w:val="none"/>
        </w:rPr>
        <w:t>1.3声环境影响预测与评价</w:t>
      </w:r>
      <w:bookmarkEnd w:id="15"/>
    </w:p>
    <w:p>
      <w:pPr>
        <w:spacing w:before="60" w:after="60" w:line="480" w:lineRule="exact"/>
        <w:ind w:firstLine="482" w:firstLineChars="200"/>
        <w:jc w:val="left"/>
        <w:outlineLvl w:val="2"/>
        <w:rPr>
          <w:rFonts w:hint="default" w:ascii="Times New Roman" w:hAnsi="Times New Roman" w:eastAsia="黑体" w:cs="Times New Roman"/>
          <w:b/>
          <w:bCs/>
          <w:color w:val="auto"/>
          <w:sz w:val="24"/>
          <w:szCs w:val="22"/>
          <w:highlight w:val="none"/>
        </w:rPr>
      </w:pPr>
      <w:bookmarkStart w:id="16" w:name="_Toc58267080"/>
      <w:r>
        <w:rPr>
          <w:rFonts w:hint="default" w:ascii="Times New Roman" w:hAnsi="Times New Roman" w:eastAsia="黑体" w:cs="Times New Roman"/>
          <w:b/>
          <w:bCs/>
          <w:color w:val="auto"/>
          <w:sz w:val="24"/>
          <w:szCs w:val="22"/>
          <w:highlight w:val="none"/>
        </w:rPr>
        <w:t>1.3.1施工期声环境影响预测与评价</w:t>
      </w:r>
      <w:bookmarkEnd w:id="16"/>
    </w:p>
    <w:p>
      <w:pPr>
        <w:keepNext w:val="0"/>
        <w:keepLines w:val="0"/>
        <w:pageBreakBefore w:val="0"/>
        <w:widowControl w:val="0"/>
        <w:tabs>
          <w:tab w:val="left" w:pos="2760"/>
        </w:tabs>
        <w:kinsoku/>
        <w:wordWrap/>
        <w:overflowPunct/>
        <w:topLinePunct w:val="0"/>
        <w:autoSpaceDE/>
        <w:autoSpaceDN/>
        <w:bidi w:val="0"/>
        <w:adjustRightInd/>
        <w:snapToGrid w:val="0"/>
        <w:spacing w:line="480" w:lineRule="exact"/>
        <w:ind w:firstLine="480" w:firstLineChars="200"/>
        <w:textAlignment w:val="auto"/>
        <w:rPr>
          <w:rFonts w:hint="default" w:ascii="Times New Roman" w:hAnsi="Times New Roman" w:cs="Times New Roman"/>
          <w:color w:val="auto"/>
          <w:sz w:val="24"/>
          <w:szCs w:val="21"/>
          <w:highlight w:val="none"/>
        </w:rPr>
      </w:pPr>
      <w:r>
        <w:rPr>
          <w:rFonts w:hint="default" w:ascii="Times New Roman" w:hAnsi="Times New Roman" w:cs="Times New Roman"/>
          <w:color w:val="auto"/>
          <w:sz w:val="24"/>
          <w:szCs w:val="21"/>
          <w:highlight w:val="none"/>
        </w:rPr>
        <w:t>（1）施工期噪声来源及特点</w:t>
      </w:r>
    </w:p>
    <w:p>
      <w:pPr>
        <w:keepNext w:val="0"/>
        <w:keepLines w:val="0"/>
        <w:pageBreakBefore w:val="0"/>
        <w:widowControl w:val="0"/>
        <w:tabs>
          <w:tab w:val="left" w:pos="2760"/>
        </w:tabs>
        <w:kinsoku/>
        <w:wordWrap/>
        <w:overflowPunct/>
        <w:topLinePunct w:val="0"/>
        <w:autoSpaceDE/>
        <w:autoSpaceDN/>
        <w:bidi w:val="0"/>
        <w:adjustRightInd/>
        <w:snapToGrid w:val="0"/>
        <w:spacing w:line="480" w:lineRule="exact"/>
        <w:ind w:firstLine="480" w:firstLineChars="200"/>
        <w:textAlignment w:val="auto"/>
        <w:rPr>
          <w:rFonts w:hint="default" w:ascii="Times New Roman" w:hAnsi="Times New Roman" w:cs="Times New Roman"/>
          <w:color w:val="auto"/>
          <w:sz w:val="24"/>
          <w:szCs w:val="21"/>
          <w:highlight w:val="none"/>
        </w:rPr>
      </w:pPr>
      <w:r>
        <w:rPr>
          <w:rFonts w:hint="default" w:ascii="Times New Roman" w:hAnsi="Times New Roman" w:cs="Times New Roman"/>
          <w:color w:val="auto"/>
          <w:sz w:val="24"/>
          <w:szCs w:val="21"/>
          <w:highlight w:val="none"/>
        </w:rPr>
        <w:t>拟建</w:t>
      </w:r>
      <w:r>
        <w:rPr>
          <w:rFonts w:hint="default" w:ascii="Times New Roman" w:hAnsi="Times New Roman" w:cs="Times New Roman"/>
          <w:color w:val="auto"/>
          <w:sz w:val="24"/>
          <w:szCs w:val="21"/>
          <w:highlight w:val="none"/>
          <w:lang w:val="en-US" w:eastAsia="zh-CN"/>
        </w:rPr>
        <w:t>道路</w:t>
      </w:r>
      <w:r>
        <w:rPr>
          <w:rFonts w:hint="default" w:ascii="Times New Roman" w:hAnsi="Times New Roman" w:cs="Times New Roman"/>
          <w:color w:val="auto"/>
          <w:sz w:val="24"/>
          <w:szCs w:val="21"/>
          <w:highlight w:val="none"/>
        </w:rPr>
        <w:t>建设工期为</w:t>
      </w:r>
      <w:r>
        <w:rPr>
          <w:rFonts w:hint="eastAsia" w:ascii="Times New Roman" w:hAnsi="Times New Roman" w:cs="Times New Roman"/>
          <w:color w:val="auto"/>
          <w:sz w:val="24"/>
          <w:szCs w:val="21"/>
          <w:highlight w:val="none"/>
          <w:lang w:val="en-US" w:eastAsia="zh-CN"/>
        </w:rPr>
        <w:t>18</w:t>
      </w:r>
      <w:r>
        <w:rPr>
          <w:rFonts w:hint="default" w:ascii="Times New Roman" w:hAnsi="Times New Roman" w:cs="Times New Roman"/>
          <w:color w:val="auto"/>
          <w:sz w:val="24"/>
          <w:szCs w:val="21"/>
          <w:highlight w:val="none"/>
        </w:rPr>
        <w:t>个月，施工期将使用多种大中型设备进行机械化施工作业。</w:t>
      </w:r>
      <w:r>
        <w:rPr>
          <w:rFonts w:hint="default" w:ascii="Times New Roman" w:hAnsi="Times New Roman" w:cs="Times New Roman"/>
          <w:color w:val="auto"/>
          <w:sz w:val="24"/>
          <w:szCs w:val="21"/>
          <w:highlight w:val="none"/>
          <w:lang w:val="en-US" w:eastAsia="zh-CN"/>
        </w:rPr>
        <w:t>道路</w:t>
      </w:r>
      <w:r>
        <w:rPr>
          <w:rFonts w:hint="default" w:ascii="Times New Roman" w:hAnsi="Times New Roman" w:cs="Times New Roman"/>
          <w:color w:val="auto"/>
          <w:sz w:val="24"/>
          <w:szCs w:val="21"/>
          <w:highlight w:val="none"/>
        </w:rPr>
        <w:t>施工机械噪声具有噪声值高、无规则的特点，会对施工区附近的村镇等声环境敏感点产生较大的影响。因此，拟建</w:t>
      </w:r>
      <w:r>
        <w:rPr>
          <w:rFonts w:hint="default" w:ascii="Times New Roman" w:hAnsi="Times New Roman" w:cs="Times New Roman"/>
          <w:color w:val="auto"/>
          <w:sz w:val="24"/>
          <w:szCs w:val="21"/>
          <w:highlight w:val="none"/>
          <w:lang w:val="en-US" w:eastAsia="zh-CN"/>
        </w:rPr>
        <w:t>道路</w:t>
      </w:r>
      <w:r>
        <w:rPr>
          <w:rFonts w:hint="default" w:ascii="Times New Roman" w:hAnsi="Times New Roman" w:cs="Times New Roman"/>
          <w:color w:val="auto"/>
          <w:sz w:val="24"/>
          <w:szCs w:val="21"/>
          <w:highlight w:val="none"/>
        </w:rPr>
        <w:t>施工所产生的施工机械噪声必须十分重视。</w:t>
      </w:r>
    </w:p>
    <w:p>
      <w:pPr>
        <w:keepNext w:val="0"/>
        <w:keepLines w:val="0"/>
        <w:pageBreakBefore w:val="0"/>
        <w:widowControl w:val="0"/>
        <w:tabs>
          <w:tab w:val="left" w:pos="2760"/>
        </w:tabs>
        <w:kinsoku/>
        <w:wordWrap/>
        <w:overflowPunct/>
        <w:topLinePunct w:val="0"/>
        <w:autoSpaceDE/>
        <w:autoSpaceDN/>
        <w:bidi w:val="0"/>
        <w:adjustRightInd/>
        <w:snapToGrid w:val="0"/>
        <w:spacing w:line="480" w:lineRule="exact"/>
        <w:ind w:firstLine="480" w:firstLineChars="200"/>
        <w:textAlignment w:val="auto"/>
        <w:rPr>
          <w:rFonts w:hint="default" w:ascii="Times New Roman" w:hAnsi="Times New Roman" w:cs="Times New Roman"/>
          <w:color w:val="auto"/>
          <w:sz w:val="24"/>
          <w:szCs w:val="21"/>
          <w:highlight w:val="none"/>
        </w:rPr>
      </w:pPr>
      <w:r>
        <w:rPr>
          <w:rFonts w:hint="default" w:ascii="Times New Roman" w:hAnsi="Times New Roman" w:cs="Times New Roman"/>
          <w:color w:val="auto"/>
          <w:sz w:val="24"/>
          <w:szCs w:val="21"/>
          <w:highlight w:val="none"/>
        </w:rPr>
        <w:t>施工期声环境影响预测主要根据有关资料进行类比分析。</w:t>
      </w:r>
      <w:r>
        <w:rPr>
          <w:rFonts w:hint="default" w:ascii="Times New Roman" w:hAnsi="Times New Roman" w:cs="Times New Roman"/>
          <w:color w:val="auto"/>
          <w:sz w:val="24"/>
          <w:szCs w:val="21"/>
          <w:highlight w:val="none"/>
          <w:lang w:val="en-US" w:eastAsia="zh-CN"/>
        </w:rPr>
        <w:t>道路</w:t>
      </w:r>
      <w:r>
        <w:rPr>
          <w:rFonts w:hint="default" w:ascii="Times New Roman" w:hAnsi="Times New Roman" w:cs="Times New Roman"/>
          <w:color w:val="auto"/>
          <w:sz w:val="24"/>
          <w:szCs w:val="21"/>
          <w:highlight w:val="none"/>
        </w:rPr>
        <w:t>施工经常使用的机械有运输车辆、筑路机、大型搅拌机等，其他施工机械如空压机、汽锤等均为短期使用。</w:t>
      </w:r>
    </w:p>
    <w:p>
      <w:pPr>
        <w:keepNext w:val="0"/>
        <w:keepLines w:val="0"/>
        <w:pageBreakBefore w:val="0"/>
        <w:widowControl w:val="0"/>
        <w:tabs>
          <w:tab w:val="left" w:pos="2760"/>
        </w:tabs>
        <w:kinsoku/>
        <w:wordWrap/>
        <w:overflowPunct/>
        <w:topLinePunct w:val="0"/>
        <w:autoSpaceDE/>
        <w:autoSpaceDN/>
        <w:bidi w:val="0"/>
        <w:adjustRightInd/>
        <w:snapToGrid w:val="0"/>
        <w:spacing w:line="480" w:lineRule="exact"/>
        <w:ind w:firstLine="480" w:firstLineChars="200"/>
        <w:textAlignment w:val="auto"/>
        <w:rPr>
          <w:rFonts w:hint="default" w:ascii="Times New Roman" w:hAnsi="Times New Roman" w:cs="Times New Roman"/>
          <w:color w:val="auto"/>
          <w:sz w:val="24"/>
          <w:szCs w:val="21"/>
          <w:highlight w:val="none"/>
        </w:rPr>
      </w:pPr>
      <w:r>
        <w:rPr>
          <w:rFonts w:hint="default" w:ascii="Times New Roman" w:hAnsi="Times New Roman" w:cs="Times New Roman"/>
          <w:color w:val="auto"/>
          <w:sz w:val="24"/>
          <w:szCs w:val="21"/>
          <w:highlight w:val="none"/>
          <w:lang w:val="en-US" w:eastAsia="zh-CN"/>
        </w:rPr>
        <w:t>道路</w:t>
      </w:r>
      <w:r>
        <w:rPr>
          <w:rFonts w:hint="default" w:ascii="Times New Roman" w:hAnsi="Times New Roman" w:cs="Times New Roman"/>
          <w:color w:val="auto"/>
          <w:sz w:val="24"/>
          <w:szCs w:val="21"/>
          <w:highlight w:val="none"/>
        </w:rPr>
        <w:t>施工噪声有其自身的特点，主要表现为：</w:t>
      </w:r>
    </w:p>
    <w:p>
      <w:pPr>
        <w:keepNext w:val="0"/>
        <w:keepLines w:val="0"/>
        <w:pageBreakBefore w:val="0"/>
        <w:widowControl w:val="0"/>
        <w:tabs>
          <w:tab w:val="left" w:pos="2760"/>
        </w:tabs>
        <w:kinsoku/>
        <w:wordWrap/>
        <w:overflowPunct/>
        <w:topLinePunct w:val="0"/>
        <w:autoSpaceDE/>
        <w:autoSpaceDN/>
        <w:bidi w:val="0"/>
        <w:adjustRightInd/>
        <w:snapToGrid w:val="0"/>
        <w:spacing w:line="480" w:lineRule="exact"/>
        <w:ind w:firstLine="480" w:firstLineChars="200"/>
        <w:textAlignment w:val="auto"/>
        <w:rPr>
          <w:rFonts w:hint="default" w:ascii="Times New Roman" w:hAnsi="Times New Roman" w:cs="Times New Roman"/>
          <w:color w:val="auto"/>
          <w:sz w:val="24"/>
          <w:szCs w:val="21"/>
          <w:highlight w:val="none"/>
        </w:rPr>
      </w:pPr>
      <w:r>
        <w:rPr>
          <w:rFonts w:hint="default" w:ascii="Times New Roman" w:hAnsi="Times New Roman" w:cs="Times New Roman"/>
          <w:color w:val="auto"/>
          <w:sz w:val="24"/>
          <w:szCs w:val="21"/>
          <w:highlight w:val="none"/>
        </w:rPr>
        <w:t>①施工机械种类繁多，不同的施工阶段有不同的施工机械，同一施工阶段投入的施工机械也有多有少，导致了施工噪声的随意性和无规律性。</w:t>
      </w:r>
    </w:p>
    <w:p>
      <w:pPr>
        <w:keepNext w:val="0"/>
        <w:keepLines w:val="0"/>
        <w:pageBreakBefore w:val="0"/>
        <w:widowControl w:val="0"/>
        <w:tabs>
          <w:tab w:val="left" w:pos="2760"/>
        </w:tabs>
        <w:kinsoku/>
        <w:wordWrap/>
        <w:overflowPunct/>
        <w:topLinePunct w:val="0"/>
        <w:autoSpaceDE/>
        <w:autoSpaceDN/>
        <w:bidi w:val="0"/>
        <w:adjustRightInd/>
        <w:snapToGrid w:val="0"/>
        <w:spacing w:line="480" w:lineRule="exact"/>
        <w:ind w:firstLine="480" w:firstLineChars="200"/>
        <w:textAlignment w:val="auto"/>
        <w:rPr>
          <w:rFonts w:hint="default" w:ascii="Times New Roman" w:hAnsi="Times New Roman" w:cs="Times New Roman"/>
          <w:color w:val="auto"/>
          <w:sz w:val="24"/>
          <w:szCs w:val="21"/>
          <w:highlight w:val="none"/>
        </w:rPr>
      </w:pPr>
      <w:r>
        <w:rPr>
          <w:rFonts w:hint="default" w:ascii="Times New Roman" w:hAnsi="Times New Roman" w:cs="Times New Roman"/>
          <w:color w:val="auto"/>
          <w:sz w:val="24"/>
          <w:szCs w:val="21"/>
          <w:highlight w:val="none"/>
        </w:rPr>
        <w:t>②不同设备的噪声源特性不同，其中有些设备噪声呈振动式的、突发的及脉冲特性的，对人的影响较大；有些设备频率低沉，不易衰减，易使人感觉烦躁；施工机械的噪声均较大，但它们之间声级相差仍很大，有些设备的运行噪声可高达90dB（A）左右。</w:t>
      </w:r>
    </w:p>
    <w:p>
      <w:pPr>
        <w:keepNext w:val="0"/>
        <w:keepLines w:val="0"/>
        <w:pageBreakBefore w:val="0"/>
        <w:widowControl w:val="0"/>
        <w:tabs>
          <w:tab w:val="left" w:pos="2760"/>
        </w:tabs>
        <w:kinsoku/>
        <w:wordWrap/>
        <w:overflowPunct/>
        <w:topLinePunct w:val="0"/>
        <w:autoSpaceDE/>
        <w:autoSpaceDN/>
        <w:bidi w:val="0"/>
        <w:adjustRightInd/>
        <w:snapToGrid w:val="0"/>
        <w:spacing w:line="480" w:lineRule="exact"/>
        <w:ind w:firstLine="480" w:firstLineChars="200"/>
        <w:textAlignment w:val="auto"/>
        <w:rPr>
          <w:rFonts w:hint="default" w:ascii="Times New Roman" w:hAnsi="Times New Roman" w:cs="Times New Roman"/>
          <w:color w:val="auto"/>
          <w:sz w:val="24"/>
          <w:szCs w:val="21"/>
          <w:highlight w:val="none"/>
        </w:rPr>
      </w:pPr>
      <w:r>
        <w:rPr>
          <w:rFonts w:hint="default" w:ascii="Times New Roman" w:hAnsi="Times New Roman" w:cs="Times New Roman"/>
          <w:color w:val="auto"/>
          <w:sz w:val="24"/>
          <w:szCs w:val="21"/>
          <w:highlight w:val="none"/>
        </w:rPr>
        <w:t>③施工噪声源与一般的固定噪声源及流动噪声源有所不同，施工机械往往都是暴露在室外的，而且它们会在某段时间内在一定的小范围内移动，这与固定噪声源相比增加了这段时间内的噪声污染范围，但与流动噪声源相比施工噪声污染还是在局部范围内的。施工机械噪声可视为点声源。</w:t>
      </w:r>
    </w:p>
    <w:p>
      <w:pPr>
        <w:keepNext w:val="0"/>
        <w:keepLines w:val="0"/>
        <w:pageBreakBefore w:val="0"/>
        <w:widowControl w:val="0"/>
        <w:tabs>
          <w:tab w:val="left" w:pos="2760"/>
        </w:tabs>
        <w:kinsoku/>
        <w:wordWrap/>
        <w:overflowPunct/>
        <w:topLinePunct w:val="0"/>
        <w:autoSpaceDE/>
        <w:autoSpaceDN/>
        <w:bidi w:val="0"/>
        <w:adjustRightInd/>
        <w:snapToGrid w:val="0"/>
        <w:spacing w:line="480" w:lineRule="exact"/>
        <w:ind w:firstLine="480" w:firstLineChars="200"/>
        <w:textAlignment w:val="auto"/>
        <w:rPr>
          <w:rFonts w:hint="default" w:ascii="Times New Roman" w:hAnsi="Times New Roman" w:cs="Times New Roman"/>
          <w:color w:val="auto"/>
          <w:sz w:val="24"/>
          <w:szCs w:val="21"/>
          <w:highlight w:val="none"/>
        </w:rPr>
      </w:pPr>
      <w:r>
        <w:rPr>
          <w:rFonts w:hint="default" w:ascii="Times New Roman" w:hAnsi="Times New Roman" w:cs="Times New Roman"/>
          <w:color w:val="auto"/>
          <w:sz w:val="24"/>
          <w:szCs w:val="21"/>
          <w:highlight w:val="none"/>
        </w:rPr>
        <w:t>（2）施工噪声预测方法和预测模式</w:t>
      </w:r>
    </w:p>
    <w:p>
      <w:pPr>
        <w:keepNext w:val="0"/>
        <w:keepLines w:val="0"/>
        <w:pageBreakBefore w:val="0"/>
        <w:widowControl w:val="0"/>
        <w:tabs>
          <w:tab w:val="left" w:pos="2760"/>
        </w:tabs>
        <w:kinsoku/>
        <w:wordWrap/>
        <w:overflowPunct/>
        <w:topLinePunct w:val="0"/>
        <w:autoSpaceDE/>
        <w:autoSpaceDN/>
        <w:bidi w:val="0"/>
        <w:adjustRightInd/>
        <w:snapToGrid w:val="0"/>
        <w:spacing w:line="480" w:lineRule="exact"/>
        <w:ind w:firstLine="480" w:firstLineChars="200"/>
        <w:textAlignment w:val="auto"/>
        <w:rPr>
          <w:rFonts w:hint="default" w:ascii="Times New Roman" w:hAnsi="Times New Roman" w:cs="Times New Roman"/>
          <w:color w:val="auto"/>
          <w:sz w:val="24"/>
          <w:szCs w:val="21"/>
          <w:highlight w:val="none"/>
        </w:rPr>
      </w:pPr>
      <w:r>
        <w:rPr>
          <w:rFonts w:hint="default" w:ascii="Times New Roman" w:hAnsi="Times New Roman" w:cs="Times New Roman"/>
          <w:color w:val="auto"/>
          <w:sz w:val="24"/>
          <w:szCs w:val="21"/>
          <w:highlight w:val="none"/>
        </w:rPr>
        <w:t>鉴于施工噪声的复杂性及其影响的区域性和阶段性，根据《建筑施工场界环境噪声限值》（GB12523-2011），针对不同施工阶段计算出不同施工设备的噪声影响范围，以便施工单位在施工时结合实际情况采取适当的噪声污染防治措施。</w:t>
      </w:r>
    </w:p>
    <w:p>
      <w:pPr>
        <w:keepNext w:val="0"/>
        <w:keepLines w:val="0"/>
        <w:pageBreakBefore w:val="0"/>
        <w:widowControl w:val="0"/>
        <w:tabs>
          <w:tab w:val="left" w:pos="2760"/>
        </w:tabs>
        <w:kinsoku/>
        <w:wordWrap/>
        <w:overflowPunct/>
        <w:topLinePunct w:val="0"/>
        <w:autoSpaceDE/>
        <w:autoSpaceDN/>
        <w:bidi w:val="0"/>
        <w:adjustRightInd/>
        <w:snapToGrid w:val="0"/>
        <w:spacing w:line="480" w:lineRule="exact"/>
        <w:ind w:firstLine="480" w:firstLineChars="200"/>
        <w:textAlignment w:val="auto"/>
        <w:rPr>
          <w:rFonts w:hint="default" w:ascii="Times New Roman" w:hAnsi="Times New Roman" w:cs="Times New Roman"/>
          <w:color w:val="auto"/>
          <w:sz w:val="24"/>
          <w:szCs w:val="21"/>
          <w:highlight w:val="none"/>
        </w:rPr>
      </w:pPr>
      <w:r>
        <w:rPr>
          <w:rFonts w:hint="default" w:ascii="Times New Roman" w:hAnsi="Times New Roman" w:cs="Times New Roman"/>
          <w:color w:val="auto"/>
          <w:sz w:val="24"/>
          <w:szCs w:val="21"/>
          <w:highlight w:val="none"/>
        </w:rPr>
        <w:t>施工噪声可近似视为点声源处理，根据点声源噪声衰减模式，估算出离声源不同距离处的噪声值，预测模式如下：</w:t>
      </w:r>
    </w:p>
    <w:p>
      <w:pPr>
        <w:tabs>
          <w:tab w:val="left" w:pos="2760"/>
        </w:tabs>
        <w:snapToGrid w:val="0"/>
        <w:jc w:val="center"/>
        <w:rPr>
          <w:rFonts w:hint="default" w:ascii="Times New Roman" w:hAnsi="Times New Roman" w:cs="Times New Roman"/>
          <w:i/>
          <w:color w:val="auto"/>
          <w:sz w:val="24"/>
          <w:szCs w:val="21"/>
          <w:highlight w:val="none"/>
        </w:rPr>
      </w:pPr>
      <w:r>
        <w:rPr>
          <w:rFonts w:hint="default" w:ascii="Times New Roman" w:hAnsi="Times New Roman" w:cs="Times New Roman"/>
          <w:i/>
          <w:color w:val="auto"/>
          <w:position w:val="-30"/>
          <w:sz w:val="24"/>
          <w:szCs w:val="21"/>
          <w:highlight w:val="none"/>
        </w:rPr>
        <w:object>
          <v:shape id="_x0000_i1027" o:spt="75" type="#_x0000_t75" style="height:30.7pt;width:116.45pt;" o:ole="t" filled="f" o:preferrelative="t" stroked="f" coordsize="21600,21600">
            <v:path/>
            <v:fill on="f" focussize="0,0"/>
            <v:stroke on="f"/>
            <v:imagedata r:id="rId21" o:title=""/>
            <o:lock v:ext="edit" aspectratio="t"/>
            <w10:wrap type="none"/>
            <w10:anchorlock/>
          </v:shape>
          <o:OLEObject Type="Embed" ProgID="Equation.3" ShapeID="_x0000_i1027" DrawAspect="Content" ObjectID="_1468075727" r:id="rId24">
            <o:LockedField>false</o:LockedField>
          </o:OLEObject>
        </w:object>
      </w:r>
    </w:p>
    <w:p>
      <w:pPr>
        <w:tabs>
          <w:tab w:val="left" w:pos="2760"/>
        </w:tabs>
        <w:snapToGrid w:val="0"/>
        <w:spacing w:line="480" w:lineRule="exact"/>
        <w:ind w:firstLine="480" w:firstLineChars="200"/>
        <w:rPr>
          <w:rFonts w:hint="default" w:ascii="Times New Roman" w:hAnsi="Times New Roman" w:cs="Times New Roman"/>
          <w:color w:val="auto"/>
          <w:sz w:val="24"/>
          <w:szCs w:val="21"/>
          <w:highlight w:val="none"/>
        </w:rPr>
      </w:pPr>
      <w:r>
        <w:rPr>
          <w:rFonts w:hint="default" w:ascii="Times New Roman" w:hAnsi="Times New Roman" w:cs="Times New Roman"/>
          <w:color w:val="auto"/>
          <w:sz w:val="24"/>
          <w:szCs w:val="21"/>
          <w:highlight w:val="none"/>
        </w:rPr>
        <w:t>式中：L</w:t>
      </w:r>
      <w:r>
        <w:rPr>
          <w:rFonts w:hint="default" w:ascii="Times New Roman" w:hAnsi="Times New Roman" w:cs="Times New Roman"/>
          <w:color w:val="auto"/>
          <w:sz w:val="24"/>
          <w:szCs w:val="21"/>
          <w:highlight w:val="none"/>
          <w:vertAlign w:val="subscript"/>
        </w:rPr>
        <w:t>i</w:t>
      </w:r>
      <w:r>
        <w:rPr>
          <w:rFonts w:hint="default" w:ascii="Times New Roman" w:hAnsi="Times New Roman" w:cs="Times New Roman"/>
          <w:color w:val="auto"/>
          <w:sz w:val="24"/>
          <w:szCs w:val="21"/>
          <w:highlight w:val="none"/>
        </w:rPr>
        <w:t>——距声源R</w:t>
      </w:r>
      <w:r>
        <w:rPr>
          <w:rFonts w:hint="default" w:ascii="Times New Roman" w:hAnsi="Times New Roman" w:cs="Times New Roman"/>
          <w:color w:val="auto"/>
          <w:sz w:val="24"/>
          <w:szCs w:val="21"/>
          <w:highlight w:val="none"/>
          <w:vertAlign w:val="subscript"/>
        </w:rPr>
        <w:t>i</w:t>
      </w:r>
      <w:r>
        <w:rPr>
          <w:rFonts w:hint="default" w:ascii="Times New Roman" w:hAnsi="Times New Roman" w:cs="Times New Roman"/>
          <w:color w:val="auto"/>
          <w:sz w:val="24"/>
          <w:szCs w:val="21"/>
          <w:highlight w:val="none"/>
        </w:rPr>
        <w:t>米处的施工噪声预测值，dB（A）；L</w:t>
      </w:r>
      <w:r>
        <w:rPr>
          <w:rFonts w:hint="default" w:ascii="Times New Roman" w:hAnsi="Times New Roman" w:cs="Times New Roman"/>
          <w:color w:val="auto"/>
          <w:sz w:val="24"/>
          <w:szCs w:val="21"/>
          <w:highlight w:val="none"/>
          <w:vertAlign w:val="subscript"/>
        </w:rPr>
        <w:t>0</w:t>
      </w:r>
      <w:r>
        <w:rPr>
          <w:rFonts w:hint="default" w:ascii="Times New Roman" w:hAnsi="Times New Roman" w:cs="Times New Roman"/>
          <w:color w:val="auto"/>
          <w:sz w:val="24"/>
          <w:szCs w:val="21"/>
          <w:highlight w:val="none"/>
        </w:rPr>
        <w:t>——距声源R</w:t>
      </w:r>
      <w:r>
        <w:rPr>
          <w:rFonts w:hint="default" w:ascii="Times New Roman" w:hAnsi="Times New Roman" w:cs="Times New Roman"/>
          <w:color w:val="auto"/>
          <w:sz w:val="24"/>
          <w:szCs w:val="21"/>
          <w:highlight w:val="none"/>
          <w:vertAlign w:val="subscript"/>
        </w:rPr>
        <w:t>0</w:t>
      </w:r>
      <w:r>
        <w:rPr>
          <w:rFonts w:hint="default" w:ascii="Times New Roman" w:hAnsi="Times New Roman" w:cs="Times New Roman"/>
          <w:color w:val="auto"/>
          <w:sz w:val="24"/>
          <w:szCs w:val="21"/>
          <w:highlight w:val="none"/>
        </w:rPr>
        <w:t>米处的施工噪声级，dB（A）；ΔL——障碍物、植被、空气等产生的附加衰减量。</w:t>
      </w:r>
    </w:p>
    <w:p>
      <w:pPr>
        <w:tabs>
          <w:tab w:val="left" w:pos="2760"/>
        </w:tabs>
        <w:snapToGrid w:val="0"/>
        <w:spacing w:line="480" w:lineRule="exact"/>
        <w:ind w:firstLine="480" w:firstLineChars="200"/>
        <w:rPr>
          <w:rFonts w:hint="default" w:ascii="Times New Roman" w:hAnsi="Times New Roman" w:cs="Times New Roman"/>
          <w:color w:val="auto"/>
          <w:sz w:val="24"/>
          <w:szCs w:val="21"/>
          <w:highlight w:val="none"/>
        </w:rPr>
      </w:pPr>
      <w:r>
        <w:rPr>
          <w:rFonts w:hint="default" w:ascii="Times New Roman" w:hAnsi="Times New Roman" w:cs="Times New Roman"/>
          <w:color w:val="auto"/>
          <w:sz w:val="24"/>
          <w:szCs w:val="21"/>
          <w:highlight w:val="none"/>
        </w:rPr>
        <w:t>对于多台施工机械同时作业时对某个预测点的影响，按下式进行声级叠加：</w:t>
      </w:r>
    </w:p>
    <w:p>
      <w:pPr>
        <w:tabs>
          <w:tab w:val="left" w:pos="2760"/>
        </w:tabs>
        <w:snapToGrid w:val="0"/>
        <w:spacing w:line="300" w:lineRule="auto"/>
        <w:jc w:val="center"/>
        <w:rPr>
          <w:rFonts w:hint="default" w:ascii="Times New Roman" w:hAnsi="Times New Roman" w:cs="Times New Roman"/>
          <w:i/>
          <w:color w:val="auto"/>
          <w:sz w:val="24"/>
          <w:szCs w:val="21"/>
          <w:highlight w:val="none"/>
        </w:rPr>
      </w:pPr>
      <w:r>
        <w:rPr>
          <w:rFonts w:hint="default" w:ascii="Times New Roman" w:hAnsi="Times New Roman" w:cs="Times New Roman"/>
          <w:i/>
          <w:color w:val="auto"/>
          <w:position w:val="-28"/>
          <w:sz w:val="24"/>
          <w:szCs w:val="21"/>
          <w:highlight w:val="none"/>
        </w:rPr>
        <w:object>
          <v:shape id="_x0000_i1028" o:spt="75" type="#_x0000_t75" style="height:33.8pt;width:93.3pt;" o:ole="t" filled="f" o:preferrelative="t" stroked="f" coordsize="21600,21600">
            <v:path/>
            <v:fill on="f" focussize="0,0"/>
            <v:stroke on="f"/>
            <v:imagedata r:id="rId23" o:title=""/>
            <o:lock v:ext="edit" aspectratio="t"/>
            <w10:wrap type="none"/>
            <w10:anchorlock/>
          </v:shape>
          <o:OLEObject Type="Embed" ProgID="Equation.3" ShapeID="_x0000_i1028" DrawAspect="Content" ObjectID="_1468075728" r:id="rId25">
            <o:LockedField>false</o:LockedField>
          </o:OLEObject>
        </w:object>
      </w:r>
    </w:p>
    <w:p>
      <w:pPr>
        <w:tabs>
          <w:tab w:val="left" w:pos="2760"/>
        </w:tabs>
        <w:snapToGrid w:val="0"/>
        <w:spacing w:line="480" w:lineRule="exact"/>
        <w:ind w:firstLine="480" w:firstLineChars="200"/>
        <w:rPr>
          <w:rFonts w:hint="default" w:ascii="Times New Roman" w:hAnsi="Times New Roman" w:cs="Times New Roman"/>
          <w:color w:val="auto"/>
          <w:sz w:val="24"/>
          <w:szCs w:val="21"/>
          <w:highlight w:val="none"/>
        </w:rPr>
      </w:pPr>
      <w:r>
        <w:rPr>
          <w:rFonts w:hint="default" w:ascii="Times New Roman" w:hAnsi="Times New Roman" w:cs="Times New Roman"/>
          <w:color w:val="auto"/>
          <w:sz w:val="24"/>
          <w:szCs w:val="21"/>
          <w:highlight w:val="none"/>
        </w:rPr>
        <w:t>（3）施工噪声影响范围计算</w:t>
      </w:r>
    </w:p>
    <w:p>
      <w:pPr>
        <w:tabs>
          <w:tab w:val="left" w:pos="2760"/>
        </w:tabs>
        <w:snapToGrid w:val="0"/>
        <w:spacing w:line="480" w:lineRule="exact"/>
        <w:ind w:firstLine="480" w:firstLineChars="200"/>
        <w:rPr>
          <w:rFonts w:hint="default" w:ascii="Times New Roman" w:hAnsi="Times New Roman" w:cs="Times New Roman"/>
          <w:color w:val="auto"/>
          <w:sz w:val="24"/>
          <w:szCs w:val="21"/>
          <w:highlight w:val="none"/>
        </w:rPr>
      </w:pPr>
      <w:r>
        <w:rPr>
          <w:rFonts w:hint="default" w:ascii="Times New Roman" w:hAnsi="Times New Roman" w:cs="Times New Roman"/>
          <w:color w:val="auto"/>
          <w:sz w:val="24"/>
          <w:szCs w:val="21"/>
          <w:highlight w:val="none"/>
        </w:rPr>
        <w:t>根据前述的预测方法和预测模式，对施工过程中各种设备噪声厂界达标距离进行预测，预测结果见表1-4。</w:t>
      </w:r>
    </w:p>
    <w:p>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color w:val="auto"/>
          <w:spacing w:val="4"/>
          <w:sz w:val="21"/>
          <w:szCs w:val="21"/>
          <w:highlight w:val="none"/>
        </w:rPr>
      </w:pPr>
      <w:r>
        <w:rPr>
          <w:rFonts w:hint="default" w:ascii="Times New Roman" w:hAnsi="Times New Roman" w:eastAsia="宋体" w:cs="Times New Roman"/>
          <w:b/>
          <w:color w:val="auto"/>
          <w:spacing w:val="4"/>
          <w:sz w:val="21"/>
          <w:szCs w:val="21"/>
          <w:highlight w:val="none"/>
        </w:rPr>
        <w:t>表1-4  施工机械设备噪声场界达标距离预测结果一览表</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303"/>
        <w:gridCol w:w="1239"/>
        <w:gridCol w:w="1216"/>
        <w:gridCol w:w="1369"/>
        <w:gridCol w:w="914"/>
        <w:gridCol w:w="1064"/>
        <w:gridCol w:w="1003"/>
        <w:gridCol w:w="10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303" w:type="dxa"/>
            <w:vMerge w:val="restart"/>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施工阶段</w:t>
            </w:r>
          </w:p>
        </w:tc>
        <w:tc>
          <w:tcPr>
            <w:tcW w:w="1239" w:type="dxa"/>
            <w:vMerge w:val="restart"/>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施工机械</w:t>
            </w:r>
          </w:p>
        </w:tc>
        <w:tc>
          <w:tcPr>
            <w:tcW w:w="2585" w:type="dxa"/>
            <w:gridSpan w:val="2"/>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源强声级</w:t>
            </w:r>
          </w:p>
        </w:tc>
        <w:tc>
          <w:tcPr>
            <w:tcW w:w="1978" w:type="dxa"/>
            <w:gridSpan w:val="2"/>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影响范围（m）</w:t>
            </w:r>
          </w:p>
        </w:tc>
        <w:tc>
          <w:tcPr>
            <w:tcW w:w="2021" w:type="dxa"/>
            <w:gridSpan w:val="2"/>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标准限值（dB）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303" w:type="dxa"/>
            <w:vMerge w:val="continue"/>
            <w:noWrap w:val="0"/>
            <w:vAlign w:val="center"/>
          </w:tcPr>
          <w:p>
            <w:pPr>
              <w:spacing w:line="400" w:lineRule="exact"/>
              <w:jc w:val="center"/>
              <w:rPr>
                <w:rFonts w:hint="default" w:ascii="Times New Roman" w:hAnsi="Times New Roman" w:cs="Times New Roman"/>
                <w:bCs/>
                <w:color w:val="auto"/>
                <w:szCs w:val="21"/>
                <w:highlight w:val="none"/>
              </w:rPr>
            </w:pPr>
          </w:p>
        </w:tc>
        <w:tc>
          <w:tcPr>
            <w:tcW w:w="1239" w:type="dxa"/>
            <w:vMerge w:val="continue"/>
            <w:noWrap w:val="0"/>
            <w:vAlign w:val="center"/>
          </w:tcPr>
          <w:p>
            <w:pPr>
              <w:spacing w:line="400" w:lineRule="exact"/>
              <w:jc w:val="center"/>
              <w:rPr>
                <w:rFonts w:hint="default" w:ascii="Times New Roman" w:hAnsi="Times New Roman" w:cs="Times New Roman"/>
                <w:bCs/>
                <w:color w:val="auto"/>
                <w:szCs w:val="21"/>
                <w:highlight w:val="none"/>
              </w:rPr>
            </w:pPr>
          </w:p>
        </w:tc>
        <w:tc>
          <w:tcPr>
            <w:tcW w:w="1216"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测距（m）</w:t>
            </w:r>
          </w:p>
        </w:tc>
        <w:tc>
          <w:tcPr>
            <w:tcW w:w="1369"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声级（dB）</w:t>
            </w:r>
          </w:p>
        </w:tc>
        <w:tc>
          <w:tcPr>
            <w:tcW w:w="914"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昼间</w:t>
            </w:r>
          </w:p>
        </w:tc>
        <w:tc>
          <w:tcPr>
            <w:tcW w:w="1064"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夜间</w:t>
            </w:r>
          </w:p>
        </w:tc>
        <w:tc>
          <w:tcPr>
            <w:tcW w:w="1003"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昼间</w:t>
            </w:r>
          </w:p>
        </w:tc>
        <w:tc>
          <w:tcPr>
            <w:tcW w:w="1018"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303" w:type="dxa"/>
            <w:vMerge w:val="restart"/>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土石方</w:t>
            </w:r>
          </w:p>
        </w:tc>
        <w:tc>
          <w:tcPr>
            <w:tcW w:w="1239"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挖掘机</w:t>
            </w:r>
          </w:p>
        </w:tc>
        <w:tc>
          <w:tcPr>
            <w:tcW w:w="1216"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5</w:t>
            </w:r>
          </w:p>
        </w:tc>
        <w:tc>
          <w:tcPr>
            <w:tcW w:w="1369"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84</w:t>
            </w:r>
          </w:p>
        </w:tc>
        <w:tc>
          <w:tcPr>
            <w:tcW w:w="914"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14.6</w:t>
            </w:r>
          </w:p>
        </w:tc>
        <w:tc>
          <w:tcPr>
            <w:tcW w:w="1064"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46.3</w:t>
            </w:r>
          </w:p>
        </w:tc>
        <w:tc>
          <w:tcPr>
            <w:tcW w:w="1003" w:type="dxa"/>
            <w:vMerge w:val="restart"/>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70</w:t>
            </w:r>
          </w:p>
        </w:tc>
        <w:tc>
          <w:tcPr>
            <w:tcW w:w="1018" w:type="dxa"/>
            <w:vMerge w:val="restart"/>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303" w:type="dxa"/>
            <w:vMerge w:val="continue"/>
            <w:noWrap w:val="0"/>
            <w:vAlign w:val="center"/>
          </w:tcPr>
          <w:p>
            <w:pPr>
              <w:spacing w:line="400" w:lineRule="exact"/>
              <w:jc w:val="center"/>
              <w:rPr>
                <w:rFonts w:hint="default" w:ascii="Times New Roman" w:hAnsi="Times New Roman" w:cs="Times New Roman"/>
                <w:bCs/>
                <w:color w:val="auto"/>
                <w:szCs w:val="21"/>
                <w:highlight w:val="none"/>
              </w:rPr>
            </w:pPr>
          </w:p>
        </w:tc>
        <w:tc>
          <w:tcPr>
            <w:tcW w:w="1239"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推土机</w:t>
            </w:r>
          </w:p>
        </w:tc>
        <w:tc>
          <w:tcPr>
            <w:tcW w:w="1216"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5</w:t>
            </w:r>
          </w:p>
        </w:tc>
        <w:tc>
          <w:tcPr>
            <w:tcW w:w="1369"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86</w:t>
            </w:r>
          </w:p>
        </w:tc>
        <w:tc>
          <w:tcPr>
            <w:tcW w:w="914"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17.1</w:t>
            </w:r>
          </w:p>
        </w:tc>
        <w:tc>
          <w:tcPr>
            <w:tcW w:w="1064"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54.0</w:t>
            </w:r>
          </w:p>
        </w:tc>
        <w:tc>
          <w:tcPr>
            <w:tcW w:w="1003" w:type="dxa"/>
            <w:vMerge w:val="continue"/>
            <w:noWrap w:val="0"/>
            <w:vAlign w:val="center"/>
          </w:tcPr>
          <w:p>
            <w:pPr>
              <w:spacing w:line="400" w:lineRule="exact"/>
              <w:jc w:val="center"/>
              <w:rPr>
                <w:rFonts w:hint="default" w:ascii="Times New Roman" w:hAnsi="Times New Roman" w:cs="Times New Roman"/>
                <w:bCs/>
                <w:color w:val="auto"/>
                <w:szCs w:val="21"/>
                <w:highlight w:val="none"/>
              </w:rPr>
            </w:pPr>
          </w:p>
        </w:tc>
        <w:tc>
          <w:tcPr>
            <w:tcW w:w="1018" w:type="dxa"/>
            <w:vMerge w:val="continue"/>
            <w:noWrap w:val="0"/>
            <w:vAlign w:val="center"/>
          </w:tcPr>
          <w:p>
            <w:pPr>
              <w:spacing w:line="400" w:lineRule="exact"/>
              <w:jc w:val="center"/>
              <w:rPr>
                <w:rFonts w:hint="default" w:ascii="Times New Roman" w:hAnsi="Times New Roman" w:cs="Times New Roman"/>
                <w:bCs/>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303" w:type="dxa"/>
            <w:vMerge w:val="continue"/>
            <w:noWrap w:val="0"/>
            <w:vAlign w:val="center"/>
          </w:tcPr>
          <w:p>
            <w:pPr>
              <w:spacing w:line="400" w:lineRule="exact"/>
              <w:jc w:val="center"/>
              <w:rPr>
                <w:rFonts w:hint="default" w:ascii="Times New Roman" w:hAnsi="Times New Roman" w:cs="Times New Roman"/>
                <w:bCs/>
                <w:color w:val="auto"/>
                <w:szCs w:val="21"/>
                <w:highlight w:val="none"/>
              </w:rPr>
            </w:pPr>
          </w:p>
        </w:tc>
        <w:tc>
          <w:tcPr>
            <w:tcW w:w="1239"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装载机</w:t>
            </w:r>
          </w:p>
        </w:tc>
        <w:tc>
          <w:tcPr>
            <w:tcW w:w="1216"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5</w:t>
            </w:r>
          </w:p>
        </w:tc>
        <w:tc>
          <w:tcPr>
            <w:tcW w:w="1369"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90</w:t>
            </w:r>
          </w:p>
        </w:tc>
        <w:tc>
          <w:tcPr>
            <w:tcW w:w="914"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23.2</w:t>
            </w:r>
          </w:p>
        </w:tc>
        <w:tc>
          <w:tcPr>
            <w:tcW w:w="1064"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73.4</w:t>
            </w:r>
          </w:p>
        </w:tc>
        <w:tc>
          <w:tcPr>
            <w:tcW w:w="1003" w:type="dxa"/>
            <w:vMerge w:val="continue"/>
            <w:noWrap w:val="0"/>
            <w:vAlign w:val="center"/>
          </w:tcPr>
          <w:p>
            <w:pPr>
              <w:spacing w:line="400" w:lineRule="exact"/>
              <w:jc w:val="center"/>
              <w:rPr>
                <w:rFonts w:hint="default" w:ascii="Times New Roman" w:hAnsi="Times New Roman" w:cs="Times New Roman"/>
                <w:bCs/>
                <w:color w:val="auto"/>
                <w:szCs w:val="21"/>
                <w:highlight w:val="none"/>
              </w:rPr>
            </w:pPr>
          </w:p>
        </w:tc>
        <w:tc>
          <w:tcPr>
            <w:tcW w:w="1018" w:type="dxa"/>
            <w:vMerge w:val="continue"/>
            <w:noWrap w:val="0"/>
            <w:vAlign w:val="center"/>
          </w:tcPr>
          <w:p>
            <w:pPr>
              <w:spacing w:line="400" w:lineRule="exact"/>
              <w:jc w:val="center"/>
              <w:rPr>
                <w:rFonts w:hint="default" w:ascii="Times New Roman" w:hAnsi="Times New Roman" w:cs="Times New Roman"/>
                <w:bCs/>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303" w:type="dxa"/>
            <w:vMerge w:val="continue"/>
            <w:noWrap w:val="0"/>
            <w:vAlign w:val="center"/>
          </w:tcPr>
          <w:p>
            <w:pPr>
              <w:spacing w:line="400" w:lineRule="exact"/>
              <w:jc w:val="center"/>
              <w:rPr>
                <w:rFonts w:hint="default" w:ascii="Times New Roman" w:hAnsi="Times New Roman" w:cs="Times New Roman"/>
                <w:bCs/>
                <w:color w:val="auto"/>
                <w:szCs w:val="21"/>
                <w:highlight w:val="none"/>
              </w:rPr>
            </w:pPr>
          </w:p>
        </w:tc>
        <w:tc>
          <w:tcPr>
            <w:tcW w:w="1239"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铲土车</w:t>
            </w:r>
          </w:p>
        </w:tc>
        <w:tc>
          <w:tcPr>
            <w:tcW w:w="1216"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5</w:t>
            </w:r>
          </w:p>
        </w:tc>
        <w:tc>
          <w:tcPr>
            <w:tcW w:w="1369"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93</w:t>
            </w:r>
          </w:p>
        </w:tc>
        <w:tc>
          <w:tcPr>
            <w:tcW w:w="914"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29.2</w:t>
            </w:r>
          </w:p>
        </w:tc>
        <w:tc>
          <w:tcPr>
            <w:tcW w:w="1064"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92.4</w:t>
            </w:r>
          </w:p>
        </w:tc>
        <w:tc>
          <w:tcPr>
            <w:tcW w:w="1003" w:type="dxa"/>
            <w:vMerge w:val="continue"/>
            <w:noWrap w:val="0"/>
            <w:vAlign w:val="center"/>
          </w:tcPr>
          <w:p>
            <w:pPr>
              <w:spacing w:line="400" w:lineRule="exact"/>
              <w:jc w:val="center"/>
              <w:rPr>
                <w:rFonts w:hint="default" w:ascii="Times New Roman" w:hAnsi="Times New Roman" w:cs="Times New Roman"/>
                <w:bCs/>
                <w:color w:val="auto"/>
                <w:szCs w:val="21"/>
                <w:highlight w:val="none"/>
              </w:rPr>
            </w:pPr>
          </w:p>
        </w:tc>
        <w:tc>
          <w:tcPr>
            <w:tcW w:w="1018" w:type="dxa"/>
            <w:vMerge w:val="continue"/>
            <w:noWrap w:val="0"/>
            <w:vAlign w:val="center"/>
          </w:tcPr>
          <w:p>
            <w:pPr>
              <w:spacing w:line="400" w:lineRule="exact"/>
              <w:jc w:val="center"/>
              <w:rPr>
                <w:rFonts w:hint="default" w:ascii="Times New Roman" w:hAnsi="Times New Roman" w:cs="Times New Roman"/>
                <w:bCs/>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303" w:type="dxa"/>
            <w:vMerge w:val="continue"/>
            <w:noWrap w:val="0"/>
            <w:vAlign w:val="center"/>
          </w:tcPr>
          <w:p>
            <w:pPr>
              <w:spacing w:line="400" w:lineRule="exact"/>
              <w:jc w:val="center"/>
              <w:rPr>
                <w:rFonts w:hint="default" w:ascii="Times New Roman" w:hAnsi="Times New Roman" w:cs="Times New Roman"/>
                <w:bCs/>
                <w:color w:val="auto"/>
                <w:szCs w:val="21"/>
                <w:highlight w:val="none"/>
              </w:rPr>
            </w:pPr>
          </w:p>
        </w:tc>
        <w:tc>
          <w:tcPr>
            <w:tcW w:w="1239"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平地机</w:t>
            </w:r>
          </w:p>
        </w:tc>
        <w:tc>
          <w:tcPr>
            <w:tcW w:w="1216"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5</w:t>
            </w:r>
          </w:p>
        </w:tc>
        <w:tc>
          <w:tcPr>
            <w:tcW w:w="1369"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90</w:t>
            </w:r>
          </w:p>
        </w:tc>
        <w:tc>
          <w:tcPr>
            <w:tcW w:w="914"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23.2</w:t>
            </w:r>
          </w:p>
        </w:tc>
        <w:tc>
          <w:tcPr>
            <w:tcW w:w="1064"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73.4</w:t>
            </w:r>
          </w:p>
        </w:tc>
        <w:tc>
          <w:tcPr>
            <w:tcW w:w="1003" w:type="dxa"/>
            <w:vMerge w:val="continue"/>
            <w:noWrap w:val="0"/>
            <w:vAlign w:val="center"/>
          </w:tcPr>
          <w:p>
            <w:pPr>
              <w:spacing w:line="400" w:lineRule="exact"/>
              <w:jc w:val="center"/>
              <w:rPr>
                <w:rFonts w:hint="default" w:ascii="Times New Roman" w:hAnsi="Times New Roman" w:cs="Times New Roman"/>
                <w:bCs/>
                <w:color w:val="auto"/>
                <w:szCs w:val="21"/>
                <w:highlight w:val="none"/>
              </w:rPr>
            </w:pPr>
          </w:p>
        </w:tc>
        <w:tc>
          <w:tcPr>
            <w:tcW w:w="1018" w:type="dxa"/>
            <w:vMerge w:val="continue"/>
            <w:noWrap w:val="0"/>
            <w:vAlign w:val="center"/>
          </w:tcPr>
          <w:p>
            <w:pPr>
              <w:spacing w:line="400" w:lineRule="exact"/>
              <w:jc w:val="center"/>
              <w:rPr>
                <w:rFonts w:hint="default" w:ascii="Times New Roman" w:hAnsi="Times New Roman" w:cs="Times New Roman"/>
                <w:bCs/>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303" w:type="dxa"/>
            <w:vMerge w:val="continue"/>
            <w:noWrap w:val="0"/>
            <w:vAlign w:val="center"/>
          </w:tcPr>
          <w:p>
            <w:pPr>
              <w:spacing w:line="400" w:lineRule="exact"/>
              <w:jc w:val="center"/>
              <w:rPr>
                <w:rFonts w:hint="default" w:ascii="Times New Roman" w:hAnsi="Times New Roman" w:cs="Times New Roman"/>
                <w:bCs/>
                <w:color w:val="auto"/>
                <w:szCs w:val="21"/>
                <w:highlight w:val="none"/>
              </w:rPr>
            </w:pPr>
          </w:p>
        </w:tc>
        <w:tc>
          <w:tcPr>
            <w:tcW w:w="1239"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夯土机</w:t>
            </w:r>
          </w:p>
        </w:tc>
        <w:tc>
          <w:tcPr>
            <w:tcW w:w="1216"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15</w:t>
            </w:r>
          </w:p>
        </w:tc>
        <w:tc>
          <w:tcPr>
            <w:tcW w:w="1369"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90</w:t>
            </w:r>
          </w:p>
        </w:tc>
        <w:tc>
          <w:tcPr>
            <w:tcW w:w="914"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69.6</w:t>
            </w:r>
          </w:p>
        </w:tc>
        <w:tc>
          <w:tcPr>
            <w:tcW w:w="1064"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220.1</w:t>
            </w:r>
          </w:p>
        </w:tc>
        <w:tc>
          <w:tcPr>
            <w:tcW w:w="1003" w:type="dxa"/>
            <w:vMerge w:val="continue"/>
            <w:noWrap w:val="0"/>
            <w:vAlign w:val="center"/>
          </w:tcPr>
          <w:p>
            <w:pPr>
              <w:spacing w:line="400" w:lineRule="exact"/>
              <w:jc w:val="center"/>
              <w:rPr>
                <w:rFonts w:hint="default" w:ascii="Times New Roman" w:hAnsi="Times New Roman" w:cs="Times New Roman"/>
                <w:bCs/>
                <w:color w:val="auto"/>
                <w:szCs w:val="21"/>
                <w:highlight w:val="none"/>
              </w:rPr>
            </w:pPr>
          </w:p>
        </w:tc>
        <w:tc>
          <w:tcPr>
            <w:tcW w:w="1018" w:type="dxa"/>
            <w:vMerge w:val="continue"/>
            <w:noWrap w:val="0"/>
            <w:vAlign w:val="center"/>
          </w:tcPr>
          <w:p>
            <w:pPr>
              <w:spacing w:line="400" w:lineRule="exact"/>
              <w:jc w:val="center"/>
              <w:rPr>
                <w:rFonts w:hint="default" w:ascii="Times New Roman" w:hAnsi="Times New Roman" w:cs="Times New Roman"/>
                <w:bCs/>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303" w:type="dxa"/>
            <w:vMerge w:val="restart"/>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结构</w:t>
            </w:r>
          </w:p>
        </w:tc>
        <w:tc>
          <w:tcPr>
            <w:tcW w:w="1239"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压路机</w:t>
            </w:r>
          </w:p>
        </w:tc>
        <w:tc>
          <w:tcPr>
            <w:tcW w:w="1216"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5</w:t>
            </w:r>
          </w:p>
        </w:tc>
        <w:tc>
          <w:tcPr>
            <w:tcW w:w="1369"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86</w:t>
            </w:r>
          </w:p>
        </w:tc>
        <w:tc>
          <w:tcPr>
            <w:tcW w:w="914"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17.1</w:t>
            </w:r>
          </w:p>
        </w:tc>
        <w:tc>
          <w:tcPr>
            <w:tcW w:w="1064"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54.0</w:t>
            </w:r>
          </w:p>
        </w:tc>
        <w:tc>
          <w:tcPr>
            <w:tcW w:w="1003" w:type="dxa"/>
            <w:vMerge w:val="restart"/>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70</w:t>
            </w:r>
          </w:p>
        </w:tc>
        <w:tc>
          <w:tcPr>
            <w:tcW w:w="1018" w:type="dxa"/>
            <w:vMerge w:val="restart"/>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303" w:type="dxa"/>
            <w:vMerge w:val="continue"/>
            <w:noWrap w:val="0"/>
            <w:vAlign w:val="center"/>
          </w:tcPr>
          <w:p>
            <w:pPr>
              <w:spacing w:line="400" w:lineRule="exact"/>
              <w:jc w:val="center"/>
              <w:rPr>
                <w:rFonts w:hint="default" w:ascii="Times New Roman" w:hAnsi="Times New Roman" w:cs="Times New Roman"/>
                <w:bCs/>
                <w:color w:val="auto"/>
                <w:szCs w:val="21"/>
                <w:highlight w:val="none"/>
              </w:rPr>
            </w:pPr>
          </w:p>
        </w:tc>
        <w:tc>
          <w:tcPr>
            <w:tcW w:w="1239"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卡车</w:t>
            </w:r>
          </w:p>
        </w:tc>
        <w:tc>
          <w:tcPr>
            <w:tcW w:w="1216"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7.5</w:t>
            </w:r>
          </w:p>
        </w:tc>
        <w:tc>
          <w:tcPr>
            <w:tcW w:w="1369"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89</w:t>
            </w:r>
          </w:p>
        </w:tc>
        <w:tc>
          <w:tcPr>
            <w:tcW w:w="914"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32.2</w:t>
            </w:r>
          </w:p>
        </w:tc>
        <w:tc>
          <w:tcPr>
            <w:tcW w:w="1064"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102.0</w:t>
            </w:r>
          </w:p>
        </w:tc>
        <w:tc>
          <w:tcPr>
            <w:tcW w:w="1003" w:type="dxa"/>
            <w:vMerge w:val="continue"/>
            <w:noWrap w:val="0"/>
            <w:vAlign w:val="center"/>
          </w:tcPr>
          <w:p>
            <w:pPr>
              <w:spacing w:line="400" w:lineRule="exact"/>
              <w:jc w:val="center"/>
              <w:rPr>
                <w:rFonts w:hint="default" w:ascii="Times New Roman" w:hAnsi="Times New Roman" w:cs="Times New Roman"/>
                <w:bCs/>
                <w:color w:val="auto"/>
                <w:szCs w:val="21"/>
                <w:highlight w:val="none"/>
              </w:rPr>
            </w:pPr>
          </w:p>
        </w:tc>
        <w:tc>
          <w:tcPr>
            <w:tcW w:w="1018" w:type="dxa"/>
            <w:vMerge w:val="continue"/>
            <w:noWrap w:val="0"/>
            <w:vAlign w:val="center"/>
          </w:tcPr>
          <w:p>
            <w:pPr>
              <w:spacing w:line="400" w:lineRule="exact"/>
              <w:jc w:val="center"/>
              <w:rPr>
                <w:rFonts w:hint="default" w:ascii="Times New Roman" w:hAnsi="Times New Roman" w:cs="Times New Roman"/>
                <w:bCs/>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303" w:type="dxa"/>
            <w:vMerge w:val="continue"/>
            <w:noWrap w:val="0"/>
            <w:vAlign w:val="center"/>
          </w:tcPr>
          <w:p>
            <w:pPr>
              <w:spacing w:line="400" w:lineRule="exact"/>
              <w:jc w:val="center"/>
              <w:rPr>
                <w:rFonts w:hint="default" w:ascii="Times New Roman" w:hAnsi="Times New Roman" w:cs="Times New Roman"/>
                <w:bCs/>
                <w:color w:val="auto"/>
                <w:szCs w:val="21"/>
                <w:highlight w:val="none"/>
              </w:rPr>
            </w:pPr>
          </w:p>
        </w:tc>
        <w:tc>
          <w:tcPr>
            <w:tcW w:w="1239"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振捣机</w:t>
            </w:r>
          </w:p>
        </w:tc>
        <w:tc>
          <w:tcPr>
            <w:tcW w:w="1216"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15</w:t>
            </w:r>
          </w:p>
        </w:tc>
        <w:tc>
          <w:tcPr>
            <w:tcW w:w="1369"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81</w:t>
            </w:r>
          </w:p>
        </w:tc>
        <w:tc>
          <w:tcPr>
            <w:tcW w:w="914"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34.9</w:t>
            </w:r>
          </w:p>
        </w:tc>
        <w:tc>
          <w:tcPr>
            <w:tcW w:w="1064"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110.3</w:t>
            </w:r>
          </w:p>
        </w:tc>
        <w:tc>
          <w:tcPr>
            <w:tcW w:w="1003" w:type="dxa"/>
            <w:vMerge w:val="continue"/>
            <w:noWrap w:val="0"/>
            <w:vAlign w:val="center"/>
          </w:tcPr>
          <w:p>
            <w:pPr>
              <w:spacing w:line="400" w:lineRule="exact"/>
              <w:jc w:val="center"/>
              <w:rPr>
                <w:rFonts w:hint="default" w:ascii="Times New Roman" w:hAnsi="Times New Roman" w:cs="Times New Roman"/>
                <w:bCs/>
                <w:color w:val="auto"/>
                <w:szCs w:val="21"/>
                <w:highlight w:val="none"/>
              </w:rPr>
            </w:pPr>
          </w:p>
        </w:tc>
        <w:tc>
          <w:tcPr>
            <w:tcW w:w="1018" w:type="dxa"/>
            <w:vMerge w:val="continue"/>
            <w:noWrap w:val="0"/>
            <w:vAlign w:val="center"/>
          </w:tcPr>
          <w:p>
            <w:pPr>
              <w:spacing w:line="400" w:lineRule="exact"/>
              <w:jc w:val="center"/>
              <w:rPr>
                <w:rFonts w:hint="default" w:ascii="Times New Roman" w:hAnsi="Times New Roman" w:cs="Times New Roman"/>
                <w:bCs/>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303" w:type="dxa"/>
            <w:vMerge w:val="continue"/>
            <w:noWrap w:val="0"/>
            <w:vAlign w:val="center"/>
          </w:tcPr>
          <w:p>
            <w:pPr>
              <w:spacing w:line="400" w:lineRule="exact"/>
              <w:jc w:val="center"/>
              <w:rPr>
                <w:rFonts w:hint="default" w:ascii="Times New Roman" w:hAnsi="Times New Roman" w:cs="Times New Roman"/>
                <w:bCs/>
                <w:color w:val="auto"/>
                <w:szCs w:val="21"/>
                <w:highlight w:val="none"/>
              </w:rPr>
            </w:pPr>
          </w:p>
        </w:tc>
        <w:tc>
          <w:tcPr>
            <w:tcW w:w="1239"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自卸车</w:t>
            </w:r>
          </w:p>
        </w:tc>
        <w:tc>
          <w:tcPr>
            <w:tcW w:w="1216"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5</w:t>
            </w:r>
          </w:p>
        </w:tc>
        <w:tc>
          <w:tcPr>
            <w:tcW w:w="1369"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82</w:t>
            </w:r>
          </w:p>
        </w:tc>
        <w:tc>
          <w:tcPr>
            <w:tcW w:w="914"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12.6</w:t>
            </w:r>
          </w:p>
        </w:tc>
        <w:tc>
          <w:tcPr>
            <w:tcW w:w="1064"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39.7</w:t>
            </w:r>
          </w:p>
        </w:tc>
        <w:tc>
          <w:tcPr>
            <w:tcW w:w="1003" w:type="dxa"/>
            <w:vMerge w:val="continue"/>
            <w:noWrap w:val="0"/>
            <w:vAlign w:val="center"/>
          </w:tcPr>
          <w:p>
            <w:pPr>
              <w:spacing w:line="400" w:lineRule="exact"/>
              <w:jc w:val="center"/>
              <w:rPr>
                <w:rFonts w:hint="default" w:ascii="Times New Roman" w:hAnsi="Times New Roman" w:cs="Times New Roman"/>
                <w:bCs/>
                <w:color w:val="auto"/>
                <w:szCs w:val="21"/>
                <w:highlight w:val="none"/>
              </w:rPr>
            </w:pPr>
          </w:p>
        </w:tc>
        <w:tc>
          <w:tcPr>
            <w:tcW w:w="1018" w:type="dxa"/>
            <w:vMerge w:val="continue"/>
            <w:noWrap w:val="0"/>
            <w:vAlign w:val="center"/>
          </w:tcPr>
          <w:p>
            <w:pPr>
              <w:spacing w:line="400" w:lineRule="exact"/>
              <w:jc w:val="center"/>
              <w:rPr>
                <w:rFonts w:hint="default" w:ascii="Times New Roman" w:hAnsi="Times New Roman" w:cs="Times New Roman"/>
                <w:bCs/>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303" w:type="dxa"/>
            <w:vMerge w:val="continue"/>
            <w:noWrap w:val="0"/>
            <w:vAlign w:val="center"/>
          </w:tcPr>
          <w:p>
            <w:pPr>
              <w:spacing w:line="400" w:lineRule="exact"/>
              <w:jc w:val="center"/>
              <w:rPr>
                <w:rFonts w:hint="default" w:ascii="Times New Roman" w:hAnsi="Times New Roman" w:cs="Times New Roman"/>
                <w:bCs/>
                <w:color w:val="auto"/>
                <w:szCs w:val="21"/>
                <w:highlight w:val="none"/>
              </w:rPr>
            </w:pPr>
          </w:p>
        </w:tc>
        <w:tc>
          <w:tcPr>
            <w:tcW w:w="1239"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搅拌机</w:t>
            </w:r>
          </w:p>
        </w:tc>
        <w:tc>
          <w:tcPr>
            <w:tcW w:w="1216"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1</w:t>
            </w:r>
          </w:p>
        </w:tc>
        <w:tc>
          <w:tcPr>
            <w:tcW w:w="1369"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79</w:t>
            </w:r>
          </w:p>
        </w:tc>
        <w:tc>
          <w:tcPr>
            <w:tcW w:w="914"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9.3</w:t>
            </w:r>
          </w:p>
        </w:tc>
        <w:tc>
          <w:tcPr>
            <w:tcW w:w="1064"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29.4</w:t>
            </w:r>
          </w:p>
        </w:tc>
        <w:tc>
          <w:tcPr>
            <w:tcW w:w="1003" w:type="dxa"/>
            <w:vMerge w:val="continue"/>
            <w:noWrap w:val="0"/>
            <w:vAlign w:val="center"/>
          </w:tcPr>
          <w:p>
            <w:pPr>
              <w:spacing w:line="400" w:lineRule="exact"/>
              <w:jc w:val="center"/>
              <w:rPr>
                <w:rFonts w:hint="default" w:ascii="Times New Roman" w:hAnsi="Times New Roman" w:cs="Times New Roman"/>
                <w:bCs/>
                <w:color w:val="auto"/>
                <w:szCs w:val="21"/>
                <w:highlight w:val="none"/>
              </w:rPr>
            </w:pPr>
          </w:p>
        </w:tc>
        <w:tc>
          <w:tcPr>
            <w:tcW w:w="1018" w:type="dxa"/>
            <w:vMerge w:val="continue"/>
            <w:noWrap w:val="0"/>
            <w:vAlign w:val="center"/>
          </w:tcPr>
          <w:p>
            <w:pPr>
              <w:spacing w:line="400" w:lineRule="exact"/>
              <w:jc w:val="center"/>
              <w:rPr>
                <w:rFonts w:hint="default" w:ascii="Times New Roman" w:hAnsi="Times New Roman" w:cs="Times New Roman"/>
                <w:bCs/>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303" w:type="dxa"/>
            <w:vMerge w:val="continue"/>
            <w:noWrap w:val="0"/>
            <w:vAlign w:val="center"/>
          </w:tcPr>
          <w:p>
            <w:pPr>
              <w:spacing w:line="400" w:lineRule="exact"/>
              <w:jc w:val="center"/>
              <w:rPr>
                <w:rFonts w:hint="default" w:ascii="Times New Roman" w:hAnsi="Times New Roman" w:cs="Times New Roman"/>
                <w:bCs/>
                <w:color w:val="auto"/>
                <w:szCs w:val="21"/>
                <w:highlight w:val="none"/>
              </w:rPr>
            </w:pPr>
          </w:p>
        </w:tc>
        <w:tc>
          <w:tcPr>
            <w:tcW w:w="1239"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推铺机</w:t>
            </w:r>
          </w:p>
        </w:tc>
        <w:tc>
          <w:tcPr>
            <w:tcW w:w="1216"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5</w:t>
            </w:r>
          </w:p>
        </w:tc>
        <w:tc>
          <w:tcPr>
            <w:tcW w:w="1369"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87</w:t>
            </w:r>
          </w:p>
        </w:tc>
        <w:tc>
          <w:tcPr>
            <w:tcW w:w="914"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18.4</w:t>
            </w:r>
          </w:p>
        </w:tc>
        <w:tc>
          <w:tcPr>
            <w:tcW w:w="1064" w:type="dxa"/>
            <w:noWrap w:val="0"/>
            <w:vAlign w:val="center"/>
          </w:tcPr>
          <w:p>
            <w:pPr>
              <w:spacing w:line="4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58.3</w:t>
            </w:r>
          </w:p>
        </w:tc>
        <w:tc>
          <w:tcPr>
            <w:tcW w:w="1003" w:type="dxa"/>
            <w:vMerge w:val="continue"/>
            <w:noWrap w:val="0"/>
            <w:vAlign w:val="center"/>
          </w:tcPr>
          <w:p>
            <w:pPr>
              <w:spacing w:line="400" w:lineRule="exact"/>
              <w:jc w:val="center"/>
              <w:rPr>
                <w:rFonts w:hint="default" w:ascii="Times New Roman" w:hAnsi="Times New Roman" w:cs="Times New Roman"/>
                <w:bCs/>
                <w:color w:val="auto"/>
                <w:szCs w:val="21"/>
                <w:highlight w:val="none"/>
              </w:rPr>
            </w:pPr>
          </w:p>
        </w:tc>
        <w:tc>
          <w:tcPr>
            <w:tcW w:w="1018" w:type="dxa"/>
            <w:vMerge w:val="continue"/>
            <w:noWrap w:val="0"/>
            <w:vAlign w:val="center"/>
          </w:tcPr>
          <w:p>
            <w:pPr>
              <w:spacing w:line="400" w:lineRule="exact"/>
              <w:jc w:val="center"/>
              <w:rPr>
                <w:rFonts w:hint="default" w:ascii="Times New Roman" w:hAnsi="Times New Roman" w:cs="Times New Roman"/>
                <w:bCs/>
                <w:color w:val="auto"/>
                <w:szCs w:val="21"/>
                <w:highlight w:val="none"/>
              </w:rPr>
            </w:pPr>
          </w:p>
        </w:tc>
      </w:tr>
    </w:tbl>
    <w:p>
      <w:pPr>
        <w:tabs>
          <w:tab w:val="left" w:pos="2760"/>
        </w:tabs>
        <w:snapToGrid w:val="0"/>
        <w:spacing w:line="480" w:lineRule="exact"/>
        <w:ind w:firstLine="480" w:firstLineChars="200"/>
        <w:rPr>
          <w:rFonts w:hint="default" w:ascii="Times New Roman" w:hAnsi="Times New Roman" w:cs="Times New Roman"/>
          <w:color w:val="auto"/>
          <w:sz w:val="24"/>
          <w:szCs w:val="21"/>
          <w:highlight w:val="none"/>
        </w:rPr>
      </w:pPr>
      <w:r>
        <w:rPr>
          <w:rFonts w:hint="default" w:ascii="Times New Roman" w:hAnsi="Times New Roman" w:cs="Times New Roman"/>
          <w:color w:val="auto"/>
          <w:sz w:val="24"/>
          <w:szCs w:val="21"/>
          <w:highlight w:val="none"/>
        </w:rPr>
        <w:t>（4）施工机械噪声影响分析</w:t>
      </w:r>
    </w:p>
    <w:p>
      <w:pPr>
        <w:tabs>
          <w:tab w:val="left" w:pos="2760"/>
        </w:tabs>
        <w:snapToGrid w:val="0"/>
        <w:spacing w:line="480" w:lineRule="exact"/>
        <w:ind w:firstLine="480" w:firstLineChars="200"/>
        <w:rPr>
          <w:rFonts w:hint="default" w:ascii="Times New Roman" w:hAnsi="Times New Roman" w:cs="Times New Roman"/>
          <w:color w:val="auto"/>
          <w:sz w:val="24"/>
          <w:szCs w:val="21"/>
          <w:highlight w:val="none"/>
        </w:rPr>
      </w:pPr>
      <w:r>
        <w:rPr>
          <w:rFonts w:hint="default" w:ascii="Times New Roman" w:hAnsi="Times New Roman" w:cs="Times New Roman"/>
          <w:color w:val="auto"/>
          <w:sz w:val="24"/>
          <w:szCs w:val="21"/>
          <w:highlight w:val="none"/>
        </w:rPr>
        <w:t>通过以上预测计算结果可见：</w:t>
      </w:r>
    </w:p>
    <w:p>
      <w:pPr>
        <w:tabs>
          <w:tab w:val="left" w:pos="2760"/>
        </w:tabs>
        <w:snapToGrid w:val="0"/>
        <w:spacing w:line="480" w:lineRule="exact"/>
        <w:ind w:firstLine="480" w:firstLineChars="200"/>
        <w:rPr>
          <w:rFonts w:hint="default" w:ascii="Times New Roman" w:hAnsi="Times New Roman" w:cs="Times New Roman"/>
          <w:color w:val="auto"/>
          <w:sz w:val="24"/>
          <w:szCs w:val="21"/>
          <w:highlight w:val="none"/>
        </w:rPr>
      </w:pPr>
      <w:r>
        <w:rPr>
          <w:rFonts w:hint="default" w:ascii="Times New Roman" w:hAnsi="Times New Roman" w:cs="Times New Roman"/>
          <w:color w:val="auto"/>
          <w:sz w:val="24"/>
          <w:szCs w:val="21"/>
          <w:highlight w:val="none"/>
        </w:rPr>
        <w:t>① 在实际施工过程中可能出现多台机械同时在一处作业，此时施工噪声影响范围比预测值还要大，鉴于实际情况较为复杂，很难用声级叠加公式进行计算。</w:t>
      </w:r>
    </w:p>
    <w:p>
      <w:pPr>
        <w:tabs>
          <w:tab w:val="left" w:pos="2760"/>
        </w:tabs>
        <w:snapToGrid w:val="0"/>
        <w:spacing w:line="480" w:lineRule="exact"/>
        <w:ind w:firstLine="480" w:firstLineChars="200"/>
        <w:rPr>
          <w:rFonts w:hint="default" w:ascii="Times New Roman" w:hAnsi="Times New Roman" w:cs="Times New Roman"/>
          <w:color w:val="auto"/>
          <w:sz w:val="24"/>
          <w:szCs w:val="21"/>
          <w:highlight w:val="none"/>
        </w:rPr>
      </w:pPr>
      <w:r>
        <w:rPr>
          <w:rFonts w:hint="default" w:ascii="Times New Roman" w:hAnsi="Times New Roman" w:cs="Times New Roman"/>
          <w:color w:val="auto"/>
          <w:sz w:val="24"/>
          <w:szCs w:val="21"/>
          <w:highlight w:val="none"/>
        </w:rPr>
        <w:t>②施工噪声将对沿线声环境质量产生一定的影响，这种噪声影响白天将主要出现在距施工场地70m范围内，夜间将主要出现在距施工场地220m范围内。从推算的结果看，噪声污染最严重的施工机械是夯土机，一般情况下，在路基施工中将使用到，其他施工机械噪声较低。</w:t>
      </w:r>
    </w:p>
    <w:p>
      <w:pPr>
        <w:tabs>
          <w:tab w:val="left" w:pos="2760"/>
        </w:tabs>
        <w:snapToGrid w:val="0"/>
        <w:spacing w:line="480" w:lineRule="exact"/>
        <w:ind w:firstLine="480" w:firstLineChars="200"/>
        <w:rPr>
          <w:rFonts w:hint="default" w:ascii="Times New Roman" w:hAnsi="Times New Roman" w:cs="Times New Roman"/>
          <w:color w:val="auto"/>
          <w:sz w:val="24"/>
          <w:szCs w:val="21"/>
          <w:highlight w:val="none"/>
        </w:rPr>
      </w:pPr>
      <w:r>
        <w:rPr>
          <w:rFonts w:hint="default" w:ascii="Times New Roman" w:hAnsi="Times New Roman" w:cs="Times New Roman"/>
          <w:color w:val="auto"/>
          <w:sz w:val="24"/>
          <w:szCs w:val="21"/>
          <w:highlight w:val="none"/>
        </w:rPr>
        <w:t>③施工噪声主要发生在路基施工和路面施工阶段，因此，做好上述时期施工期的噪声防护和治理工作十分重要。</w:t>
      </w:r>
    </w:p>
    <w:p>
      <w:pPr>
        <w:tabs>
          <w:tab w:val="left" w:pos="2760"/>
        </w:tabs>
        <w:snapToGrid w:val="0"/>
        <w:spacing w:line="480" w:lineRule="exact"/>
        <w:ind w:firstLine="480" w:firstLineChars="200"/>
        <w:rPr>
          <w:rFonts w:hint="default" w:ascii="Times New Roman" w:hAnsi="Times New Roman" w:cs="Times New Roman"/>
          <w:color w:val="auto"/>
          <w:sz w:val="24"/>
          <w:szCs w:val="21"/>
          <w:highlight w:val="none"/>
        </w:rPr>
      </w:pPr>
      <w:r>
        <w:rPr>
          <w:rFonts w:hint="default" w:ascii="Times New Roman" w:hAnsi="Times New Roman" w:cs="Times New Roman"/>
          <w:color w:val="auto"/>
          <w:sz w:val="24"/>
          <w:szCs w:val="21"/>
          <w:highlight w:val="none"/>
        </w:rPr>
        <w:t>④根据现状调查，拟建</w:t>
      </w:r>
      <w:r>
        <w:rPr>
          <w:rFonts w:hint="default" w:ascii="Times New Roman" w:hAnsi="Times New Roman" w:cs="Times New Roman"/>
          <w:color w:val="auto"/>
          <w:sz w:val="24"/>
          <w:szCs w:val="21"/>
          <w:highlight w:val="none"/>
          <w:lang w:val="en-US" w:eastAsia="zh-CN"/>
        </w:rPr>
        <w:t>道路</w:t>
      </w:r>
      <w:r>
        <w:rPr>
          <w:rFonts w:hint="default" w:ascii="Times New Roman" w:hAnsi="Times New Roman" w:cs="Times New Roman"/>
          <w:color w:val="auto"/>
          <w:sz w:val="24"/>
          <w:szCs w:val="21"/>
          <w:highlight w:val="none"/>
        </w:rPr>
        <w:t>评价范围内的敏感目标有</w:t>
      </w:r>
      <w:r>
        <w:rPr>
          <w:rFonts w:hint="eastAsia" w:ascii="Times New Roman" w:hAnsi="Times New Roman" w:cs="Times New Roman"/>
          <w:color w:val="auto"/>
          <w:sz w:val="24"/>
          <w:szCs w:val="21"/>
          <w:highlight w:val="none"/>
          <w:lang w:val="en-US" w:eastAsia="zh-CN"/>
        </w:rPr>
        <w:t>5</w:t>
      </w:r>
      <w:r>
        <w:rPr>
          <w:rFonts w:hint="default" w:ascii="Times New Roman" w:hAnsi="Times New Roman" w:cs="Times New Roman"/>
          <w:color w:val="auto"/>
          <w:sz w:val="24"/>
          <w:szCs w:val="21"/>
          <w:highlight w:val="none"/>
        </w:rPr>
        <w:t>处，施工昼夜机械噪声对该敏感点造成有不同程度的影响。</w:t>
      </w:r>
    </w:p>
    <w:p>
      <w:pPr>
        <w:spacing w:before="60" w:after="60" w:line="480" w:lineRule="exact"/>
        <w:ind w:firstLine="482" w:firstLineChars="200"/>
        <w:jc w:val="left"/>
        <w:outlineLvl w:val="2"/>
        <w:rPr>
          <w:rFonts w:hint="default" w:ascii="Times New Roman" w:hAnsi="Times New Roman" w:eastAsia="黑体" w:cs="Times New Roman"/>
          <w:b/>
          <w:bCs/>
          <w:color w:val="auto"/>
          <w:sz w:val="24"/>
          <w:szCs w:val="22"/>
          <w:highlight w:val="none"/>
        </w:rPr>
      </w:pPr>
      <w:bookmarkStart w:id="17" w:name="_Toc58267081"/>
      <w:r>
        <w:rPr>
          <w:rFonts w:hint="default" w:ascii="Times New Roman" w:hAnsi="Times New Roman" w:eastAsia="黑体" w:cs="Times New Roman"/>
          <w:b/>
          <w:bCs/>
          <w:color w:val="auto"/>
          <w:sz w:val="24"/>
          <w:szCs w:val="22"/>
          <w:highlight w:val="none"/>
        </w:rPr>
        <w:t>1.3.2营运期声环境影响预测与评价</w:t>
      </w:r>
      <w:bookmarkEnd w:id="17"/>
    </w:p>
    <w:p>
      <w:pPr>
        <w:tabs>
          <w:tab w:val="left" w:pos="2760"/>
        </w:tabs>
        <w:snapToGrid w:val="0"/>
        <w:spacing w:line="480" w:lineRule="exact"/>
        <w:ind w:firstLine="480" w:firstLineChars="200"/>
        <w:rPr>
          <w:rFonts w:hint="default" w:ascii="Times New Roman" w:hAnsi="Times New Roman" w:cs="Times New Roman"/>
          <w:color w:val="auto"/>
          <w:sz w:val="24"/>
          <w:szCs w:val="21"/>
          <w:highlight w:val="none"/>
        </w:rPr>
      </w:pPr>
      <w:r>
        <w:rPr>
          <w:rFonts w:hint="default" w:ascii="Times New Roman" w:hAnsi="Times New Roman" w:cs="Times New Roman"/>
          <w:color w:val="auto"/>
          <w:sz w:val="24"/>
          <w:szCs w:val="21"/>
          <w:highlight w:val="none"/>
        </w:rPr>
        <w:t>（1）交通噪声预测模式</w:t>
      </w:r>
    </w:p>
    <w:p>
      <w:pPr>
        <w:tabs>
          <w:tab w:val="left" w:pos="2760"/>
        </w:tabs>
        <w:snapToGrid w:val="0"/>
        <w:spacing w:line="480" w:lineRule="exact"/>
        <w:ind w:firstLine="480" w:firstLineChars="200"/>
        <w:rPr>
          <w:rFonts w:hint="default" w:ascii="Times New Roman" w:hAnsi="Times New Roman" w:cs="Times New Roman"/>
          <w:color w:val="auto"/>
          <w:sz w:val="24"/>
          <w:szCs w:val="21"/>
          <w:highlight w:val="none"/>
        </w:rPr>
      </w:pPr>
      <w:r>
        <w:rPr>
          <w:rFonts w:hint="default" w:ascii="Times New Roman" w:hAnsi="Times New Roman" w:cs="Times New Roman"/>
          <w:color w:val="auto"/>
          <w:sz w:val="24"/>
          <w:szCs w:val="21"/>
          <w:highlight w:val="none"/>
        </w:rPr>
        <w:t>本评价采用《环境影响评价技术导则 声环境》（HJ2.4-20</w:t>
      </w:r>
      <w:r>
        <w:rPr>
          <w:rFonts w:hint="default" w:ascii="Times New Roman" w:hAnsi="Times New Roman" w:cs="Times New Roman"/>
          <w:color w:val="auto"/>
          <w:sz w:val="24"/>
          <w:szCs w:val="21"/>
          <w:highlight w:val="none"/>
          <w:lang w:val="en-US" w:eastAsia="zh-CN"/>
        </w:rPr>
        <w:t>22</w:t>
      </w:r>
      <w:r>
        <w:rPr>
          <w:rFonts w:hint="default" w:ascii="Times New Roman" w:hAnsi="Times New Roman" w:cs="Times New Roman"/>
          <w:color w:val="auto"/>
          <w:sz w:val="24"/>
          <w:szCs w:val="21"/>
          <w:highlight w:val="none"/>
        </w:rPr>
        <w:t>）中“道路（道路）交通运输噪声预测模式”进行预测。</w:t>
      </w:r>
    </w:p>
    <w:p>
      <w:pPr>
        <w:tabs>
          <w:tab w:val="left" w:pos="2760"/>
        </w:tabs>
        <w:snapToGrid w:val="0"/>
        <w:spacing w:line="480" w:lineRule="exact"/>
        <w:ind w:firstLine="480" w:firstLineChars="200"/>
        <w:rPr>
          <w:rFonts w:hint="default" w:ascii="Times New Roman" w:hAnsi="Times New Roman" w:cs="Times New Roman"/>
          <w:color w:val="auto"/>
          <w:sz w:val="24"/>
          <w:szCs w:val="21"/>
          <w:highlight w:val="none"/>
        </w:rPr>
      </w:pPr>
      <w:r>
        <w:rPr>
          <w:rFonts w:hint="default" w:ascii="Times New Roman" w:hAnsi="Times New Roman" w:cs="Times New Roman"/>
          <w:color w:val="auto"/>
          <w:sz w:val="24"/>
          <w:szCs w:val="21"/>
          <w:highlight w:val="none"/>
        </w:rPr>
        <w:t>①道路交通噪声预测基本模式</w:t>
      </w:r>
    </w:p>
    <w:p>
      <w:pPr>
        <w:tabs>
          <w:tab w:val="left" w:pos="2760"/>
        </w:tabs>
        <w:snapToGrid w:val="0"/>
        <w:spacing w:line="480" w:lineRule="exact"/>
        <w:ind w:firstLine="480" w:firstLineChars="200"/>
        <w:rPr>
          <w:rFonts w:hint="default" w:ascii="Times New Roman" w:hAnsi="Times New Roman" w:cs="Times New Roman"/>
          <w:color w:val="auto"/>
          <w:sz w:val="24"/>
          <w:szCs w:val="21"/>
          <w:highlight w:val="none"/>
        </w:rPr>
      </w:pPr>
      <w:r>
        <w:rPr>
          <w:rFonts w:hint="default" w:ascii="Times New Roman" w:hAnsi="Times New Roman" w:cs="Times New Roman"/>
          <w:color w:val="auto"/>
          <w:sz w:val="24"/>
          <w:szCs w:val="21"/>
          <w:highlight w:val="none"/>
        </w:rPr>
        <w:t>i型车辆行驶于昼间或夜间，预测点接收到的小时交通噪声值预测模式：</w:t>
      </w:r>
    </w:p>
    <w:p>
      <w:pPr>
        <w:tabs>
          <w:tab w:val="left" w:pos="2760"/>
        </w:tabs>
        <w:snapToGrid w:val="0"/>
        <w:spacing w:line="276" w:lineRule="auto"/>
        <w:jc w:val="center"/>
        <w:rPr>
          <w:rFonts w:hint="default" w:ascii="Times New Roman" w:hAnsi="Times New Roman" w:cs="Times New Roman"/>
          <w:i/>
          <w:color w:val="auto"/>
          <w:sz w:val="24"/>
          <w:szCs w:val="21"/>
          <w:highlight w:val="none"/>
        </w:rPr>
      </w:pPr>
      <w:r>
        <w:rPr>
          <w:rFonts w:hint="default" w:ascii="Times New Roman" w:hAnsi="Times New Roman" w:cs="Times New Roman"/>
          <w:i/>
          <w:color w:val="auto"/>
          <w:position w:val="-32"/>
          <w:sz w:val="24"/>
          <w:szCs w:val="21"/>
          <w:highlight w:val="none"/>
        </w:rPr>
        <w:object>
          <v:shape id="_x0000_i1029" o:spt="75" type="#_x0000_t75" style="height:38.2pt;width:327.35pt;" o:ole="t" filled="f" o:preferrelative="t" stroked="f" coordsize="21600,21600">
            <v:path/>
            <v:fill on="f" focussize="0,0"/>
            <v:stroke on="f"/>
            <v:imagedata r:id="rId27" o:title=""/>
            <o:lock v:ext="edit" aspectratio="t"/>
            <w10:wrap type="none"/>
            <w10:anchorlock/>
          </v:shape>
          <o:OLEObject Type="Embed" ProgID="Equation.3" ShapeID="_x0000_i1029" DrawAspect="Content" ObjectID="_1468075729" r:id="rId26">
            <o:LockedField>false</o:LockedField>
          </o:OLEObject>
        </w:object>
      </w:r>
    </w:p>
    <w:p>
      <w:pPr>
        <w:tabs>
          <w:tab w:val="left" w:pos="2760"/>
        </w:tabs>
        <w:snapToGrid w:val="0"/>
        <w:spacing w:line="480" w:lineRule="exact"/>
        <w:ind w:firstLine="480" w:firstLineChars="200"/>
        <w:rPr>
          <w:rFonts w:hint="default" w:ascii="Times New Roman" w:hAnsi="Times New Roman" w:cs="Times New Roman"/>
          <w:color w:val="auto"/>
          <w:sz w:val="24"/>
          <w:szCs w:val="21"/>
          <w:highlight w:val="none"/>
        </w:rPr>
      </w:pPr>
      <w:r>
        <w:rPr>
          <w:rFonts w:hint="default" w:ascii="Times New Roman" w:hAnsi="Times New Roman" w:cs="Times New Roman"/>
          <w:color w:val="auto"/>
          <w:sz w:val="24"/>
          <w:szCs w:val="21"/>
          <w:highlight w:val="none"/>
        </w:rPr>
        <w:t>式中：Leq(h)</w:t>
      </w:r>
      <w:r>
        <w:rPr>
          <w:rFonts w:hint="default" w:ascii="Times New Roman" w:hAnsi="Times New Roman" w:cs="Times New Roman"/>
          <w:color w:val="auto"/>
          <w:sz w:val="24"/>
          <w:szCs w:val="21"/>
          <w:highlight w:val="none"/>
          <w:vertAlign w:val="subscript"/>
        </w:rPr>
        <w:t>i</w:t>
      </w:r>
      <w:r>
        <w:rPr>
          <w:rFonts w:hint="default" w:ascii="Times New Roman" w:hAnsi="Times New Roman" w:cs="Times New Roman"/>
          <w:color w:val="auto"/>
          <w:sz w:val="24"/>
          <w:szCs w:val="21"/>
          <w:highlight w:val="none"/>
        </w:rPr>
        <w:t>——第i类车的小时等效声级，dB(A)；</w:t>
      </w:r>
    </w:p>
    <w:p>
      <w:pPr>
        <w:tabs>
          <w:tab w:val="left" w:pos="2760"/>
        </w:tabs>
        <w:snapToGrid w:val="0"/>
        <w:spacing w:line="480" w:lineRule="exact"/>
        <w:ind w:firstLine="480" w:firstLineChars="200"/>
        <w:rPr>
          <w:rFonts w:hint="default" w:ascii="Times New Roman" w:hAnsi="Times New Roman" w:cs="Times New Roman"/>
          <w:color w:val="auto"/>
          <w:sz w:val="24"/>
          <w:szCs w:val="21"/>
          <w:highlight w:val="none"/>
        </w:rPr>
      </w:pPr>
      <w:r>
        <w:rPr>
          <w:rFonts w:hint="default" w:ascii="Times New Roman" w:hAnsi="Times New Roman" w:cs="Times New Roman"/>
          <w:iCs/>
          <w:color w:val="auto"/>
          <w:position w:val="-12"/>
          <w:sz w:val="24"/>
          <w:szCs w:val="21"/>
          <w:highlight w:val="none"/>
        </w:rPr>
        <w:object>
          <v:shape id="_x0000_i1030" o:spt="75" type="#_x0000_t75" style="height:20.05pt;width:31.3pt;" o:ole="t" filled="f" o:preferrelative="t" stroked="f" coordsize="21600,21600">
            <v:path/>
            <v:fill on="f" focussize="0,0"/>
            <v:stroke on="f"/>
            <v:imagedata r:id="rId29" o:title=""/>
            <o:lock v:ext="edit" aspectratio="t"/>
            <w10:wrap type="none"/>
            <w10:anchorlock/>
          </v:shape>
          <o:OLEObject Type="Embed" ProgID="Equation.3" ShapeID="_x0000_i1030" DrawAspect="Content" ObjectID="_1468075730" r:id="rId28">
            <o:LockedField>false</o:LockedField>
          </o:OLEObject>
        </w:object>
      </w:r>
      <w:r>
        <w:rPr>
          <w:rFonts w:hint="default" w:ascii="Times New Roman" w:hAnsi="Times New Roman" w:cs="Times New Roman"/>
          <w:color w:val="auto"/>
          <w:sz w:val="24"/>
          <w:szCs w:val="21"/>
          <w:highlight w:val="none"/>
        </w:rPr>
        <w:t>——第i类车速度为V</w:t>
      </w:r>
      <w:r>
        <w:rPr>
          <w:rFonts w:hint="default" w:ascii="Times New Roman" w:hAnsi="Times New Roman" w:cs="Times New Roman"/>
          <w:color w:val="auto"/>
          <w:sz w:val="24"/>
          <w:szCs w:val="21"/>
          <w:highlight w:val="none"/>
          <w:vertAlign w:val="subscript"/>
        </w:rPr>
        <w:t>i</w:t>
      </w:r>
      <w:r>
        <w:rPr>
          <w:rFonts w:hint="default" w:ascii="Times New Roman" w:hAnsi="Times New Roman" w:cs="Times New Roman"/>
          <w:color w:val="auto"/>
          <w:sz w:val="24"/>
          <w:szCs w:val="21"/>
          <w:highlight w:val="none"/>
        </w:rPr>
        <w:t>，水平距离为7.5m处的能量平均A声级，dB(A)；</w:t>
      </w:r>
    </w:p>
    <w:p>
      <w:pPr>
        <w:tabs>
          <w:tab w:val="left" w:pos="2760"/>
        </w:tabs>
        <w:snapToGrid w:val="0"/>
        <w:spacing w:line="480" w:lineRule="exact"/>
        <w:ind w:firstLine="480" w:firstLineChars="200"/>
        <w:rPr>
          <w:rFonts w:hint="default" w:ascii="Times New Roman" w:hAnsi="Times New Roman" w:cs="Times New Roman"/>
          <w:color w:val="auto"/>
          <w:sz w:val="24"/>
          <w:szCs w:val="21"/>
          <w:highlight w:val="none"/>
        </w:rPr>
      </w:pPr>
      <w:r>
        <w:rPr>
          <w:rFonts w:hint="default" w:ascii="Times New Roman" w:hAnsi="Times New Roman" w:cs="Times New Roman"/>
          <w:color w:val="auto"/>
          <w:sz w:val="24"/>
          <w:szCs w:val="21"/>
          <w:highlight w:val="none"/>
        </w:rPr>
        <w:t>N</w:t>
      </w:r>
      <w:r>
        <w:rPr>
          <w:rFonts w:hint="default" w:ascii="Times New Roman" w:hAnsi="Times New Roman" w:cs="Times New Roman"/>
          <w:color w:val="auto"/>
          <w:sz w:val="24"/>
          <w:szCs w:val="21"/>
          <w:highlight w:val="none"/>
          <w:vertAlign w:val="subscript"/>
        </w:rPr>
        <w:t>i</w:t>
      </w:r>
      <w:r>
        <w:rPr>
          <w:rFonts w:hint="default" w:ascii="Times New Roman" w:hAnsi="Times New Roman" w:cs="Times New Roman"/>
          <w:color w:val="auto"/>
          <w:sz w:val="24"/>
          <w:szCs w:val="21"/>
          <w:highlight w:val="none"/>
        </w:rPr>
        <w:t>——昼间，夜间通过某个预测点的第i类车平均小时车流量，辆/h；</w:t>
      </w:r>
    </w:p>
    <w:p>
      <w:pPr>
        <w:tabs>
          <w:tab w:val="left" w:pos="2760"/>
        </w:tabs>
        <w:snapToGrid w:val="0"/>
        <w:spacing w:line="480" w:lineRule="exact"/>
        <w:ind w:firstLine="480" w:firstLineChars="200"/>
        <w:rPr>
          <w:rFonts w:hint="default" w:ascii="Times New Roman" w:hAnsi="Times New Roman" w:cs="Times New Roman"/>
          <w:color w:val="auto"/>
          <w:sz w:val="24"/>
          <w:szCs w:val="21"/>
          <w:highlight w:val="none"/>
        </w:rPr>
      </w:pPr>
      <w:r>
        <w:rPr>
          <w:rFonts w:hint="default" w:ascii="Times New Roman" w:hAnsi="Times New Roman" w:cs="Times New Roman"/>
          <w:color w:val="auto"/>
          <w:sz w:val="24"/>
          <w:szCs w:val="21"/>
          <w:highlight w:val="none"/>
        </w:rPr>
        <w:t>r ——从车道中心线到预测点的距离，m；适用于r＞7.5m预测点的噪声预测；</w:t>
      </w:r>
    </w:p>
    <w:p>
      <w:pPr>
        <w:tabs>
          <w:tab w:val="left" w:pos="2760"/>
        </w:tabs>
        <w:snapToGrid w:val="0"/>
        <w:spacing w:line="480" w:lineRule="exact"/>
        <w:ind w:firstLine="480" w:firstLineChars="200"/>
        <w:rPr>
          <w:rFonts w:hint="default" w:ascii="Times New Roman" w:hAnsi="Times New Roman" w:cs="Times New Roman"/>
          <w:color w:val="auto"/>
          <w:sz w:val="24"/>
          <w:szCs w:val="21"/>
          <w:highlight w:val="none"/>
        </w:rPr>
      </w:pPr>
      <w:r>
        <w:rPr>
          <w:rFonts w:hint="default" w:ascii="Times New Roman" w:hAnsi="Times New Roman" w:cs="Times New Roman"/>
          <w:color w:val="auto"/>
          <w:sz w:val="24"/>
          <w:szCs w:val="21"/>
          <w:highlight w:val="none"/>
        </w:rPr>
        <w:t>V</w:t>
      </w:r>
      <w:r>
        <w:rPr>
          <w:rFonts w:hint="default" w:ascii="Times New Roman" w:hAnsi="Times New Roman" w:cs="Times New Roman"/>
          <w:color w:val="auto"/>
          <w:sz w:val="24"/>
          <w:szCs w:val="21"/>
          <w:highlight w:val="none"/>
          <w:vertAlign w:val="subscript"/>
        </w:rPr>
        <w:t>i</w:t>
      </w:r>
      <w:r>
        <w:rPr>
          <w:rFonts w:hint="default" w:ascii="Times New Roman" w:hAnsi="Times New Roman" w:cs="Times New Roman"/>
          <w:color w:val="auto"/>
          <w:sz w:val="24"/>
          <w:szCs w:val="21"/>
          <w:highlight w:val="none"/>
        </w:rPr>
        <w:t>——第i类车的平均车速，km/h；T ——计算等效声级的时间，1h；</w:t>
      </w:r>
    </w:p>
    <w:p>
      <w:pPr>
        <w:tabs>
          <w:tab w:val="left" w:pos="2760"/>
        </w:tabs>
        <w:snapToGrid w:val="0"/>
        <w:spacing w:line="480" w:lineRule="exact"/>
        <w:ind w:firstLine="480" w:firstLineChars="200"/>
        <w:rPr>
          <w:rFonts w:hint="default" w:ascii="Times New Roman" w:hAnsi="Times New Roman" w:cs="Times New Roman"/>
          <w:color w:val="auto"/>
          <w:sz w:val="24"/>
          <w:szCs w:val="21"/>
          <w:highlight w:val="none"/>
        </w:rPr>
      </w:pPr>
      <w:r>
        <w:rPr>
          <w:rFonts w:hint="default" w:ascii="Times New Roman" w:hAnsi="Times New Roman" w:cs="Times New Roman"/>
          <w:color w:val="auto"/>
          <w:position w:val="-10"/>
          <w:sz w:val="24"/>
          <w:szCs w:val="21"/>
          <w:highlight w:val="none"/>
        </w:rPr>
        <w:object>
          <v:shape id="_x0000_i1031" o:spt="75" type="#_x0000_t75" style="height:17.55pt;width:15.05pt;" o:ole="t" filled="f" o:preferrelative="t" stroked="f" coordsize="21600,21600">
            <v:path/>
            <v:fill on="f" focussize="0,0"/>
            <v:stroke on="f"/>
            <v:imagedata r:id="rId31" o:title=""/>
            <o:lock v:ext="edit" aspectratio="t"/>
            <w10:wrap type="none"/>
            <w10:anchorlock/>
          </v:shape>
          <o:OLEObject Type="Embed" ProgID="Equation.3" ShapeID="_x0000_i1031" DrawAspect="Content" ObjectID="_1468075731" r:id="rId30">
            <o:LockedField>false</o:LockedField>
          </o:OLEObject>
        </w:object>
      </w:r>
      <w:r>
        <w:rPr>
          <w:rFonts w:hint="default" w:ascii="Times New Roman" w:hAnsi="Times New Roman" w:cs="Times New Roman"/>
          <w:color w:val="auto"/>
          <w:sz w:val="24"/>
          <w:szCs w:val="21"/>
          <w:highlight w:val="none"/>
        </w:rPr>
        <w:t>、</w:t>
      </w:r>
      <w:r>
        <w:rPr>
          <w:rFonts w:hint="default" w:ascii="Times New Roman" w:hAnsi="Times New Roman" w:cs="Times New Roman"/>
          <w:color w:val="auto"/>
          <w:position w:val="-10"/>
          <w:sz w:val="24"/>
          <w:szCs w:val="21"/>
          <w:highlight w:val="none"/>
        </w:rPr>
        <w:object>
          <v:shape id="_x0000_i1032" o:spt="75" type="#_x0000_t75" style="height:17.55pt;width:16.3pt;" o:ole="t" filled="f" o:preferrelative="t" stroked="f" coordsize="21600,21600">
            <v:path/>
            <v:fill on="f" focussize="0,0"/>
            <v:stroke on="f"/>
            <v:imagedata r:id="rId33" o:title=""/>
            <o:lock v:ext="edit" aspectratio="t"/>
            <w10:wrap type="none"/>
            <w10:anchorlock/>
          </v:shape>
          <o:OLEObject Type="Embed" ProgID="Equation.3" ShapeID="_x0000_i1032" DrawAspect="Content" ObjectID="_1468075732" r:id="rId32">
            <o:LockedField>false</o:LockedField>
          </o:OLEObject>
        </w:object>
      </w:r>
      <w:r>
        <w:rPr>
          <w:rFonts w:hint="default" w:ascii="Times New Roman" w:hAnsi="Times New Roman" w:cs="Times New Roman"/>
          <w:color w:val="auto"/>
          <w:sz w:val="24"/>
          <w:szCs w:val="21"/>
          <w:highlight w:val="none"/>
        </w:rPr>
        <w:t>——预测点到有限长路段两端的张角，弧度，如图1-</w:t>
      </w:r>
      <w:r>
        <w:rPr>
          <w:rFonts w:hint="eastAsia" w:ascii="Times New Roman" w:hAnsi="Times New Roman" w:cs="Times New Roman"/>
          <w:color w:val="auto"/>
          <w:sz w:val="24"/>
          <w:szCs w:val="21"/>
          <w:highlight w:val="none"/>
          <w:lang w:val="en-US" w:eastAsia="zh-CN"/>
        </w:rPr>
        <w:t>3</w:t>
      </w:r>
      <w:r>
        <w:rPr>
          <w:rFonts w:hint="default" w:ascii="Times New Roman" w:hAnsi="Times New Roman" w:cs="Times New Roman"/>
          <w:color w:val="auto"/>
          <w:sz w:val="24"/>
          <w:szCs w:val="21"/>
          <w:highlight w:val="none"/>
        </w:rPr>
        <w:t>所示：</w:t>
      </w:r>
    </w:p>
    <w:p>
      <w:pPr>
        <w:tabs>
          <w:tab w:val="left" w:pos="2760"/>
        </w:tabs>
        <w:snapToGrid w:val="0"/>
        <w:spacing w:line="300" w:lineRule="auto"/>
        <w:jc w:val="center"/>
        <w:rPr>
          <w:rFonts w:hint="default" w:ascii="Times New Roman" w:hAnsi="Times New Roman" w:cs="Times New Roman"/>
          <w:i/>
          <w:color w:val="auto"/>
          <w:sz w:val="24"/>
          <w:szCs w:val="21"/>
          <w:highlight w:val="none"/>
        </w:rPr>
      </w:pPr>
      <w:r>
        <w:rPr>
          <w:rFonts w:hint="default" w:ascii="Times New Roman" w:hAnsi="Times New Roman" w:cs="Times New Roman"/>
          <w:i/>
          <w:color w:val="auto"/>
          <w:sz w:val="24"/>
          <w:szCs w:val="21"/>
          <w:highlight w:val="none"/>
        </w:rPr>
        <w:drawing>
          <wp:inline distT="0" distB="0" distL="114300" distR="114300">
            <wp:extent cx="3241675" cy="1675765"/>
            <wp:effectExtent l="0" t="0" r="15875" b="635"/>
            <wp:docPr id="16" name="图片 11"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1" descr="44"/>
                    <pic:cNvPicPr>
                      <a:picLocks noChangeAspect="1"/>
                    </pic:cNvPicPr>
                  </pic:nvPicPr>
                  <pic:blipFill>
                    <a:blip r:embed="rId34"/>
                    <a:stretch>
                      <a:fillRect/>
                    </a:stretch>
                  </pic:blipFill>
                  <pic:spPr>
                    <a:xfrm>
                      <a:off x="0" y="0"/>
                      <a:ext cx="3241675" cy="1675765"/>
                    </a:xfrm>
                    <a:prstGeom prst="rect">
                      <a:avLst/>
                    </a:prstGeom>
                    <a:noFill/>
                    <a:ln>
                      <a:noFill/>
                    </a:ln>
                  </pic:spPr>
                </pic:pic>
              </a:graphicData>
            </a:graphic>
          </wp:inline>
        </w:drawing>
      </w:r>
    </w:p>
    <w:p>
      <w:pPr>
        <w:tabs>
          <w:tab w:val="left" w:pos="2760"/>
        </w:tabs>
        <w:snapToGrid w:val="0"/>
        <w:spacing w:line="480" w:lineRule="exact"/>
        <w:jc w:val="center"/>
        <w:rPr>
          <w:rFonts w:hint="default" w:ascii="Times New Roman" w:hAnsi="Times New Roman" w:cs="Times New Roman"/>
          <w:b/>
          <w:color w:val="auto"/>
          <w:highlight w:val="none"/>
        </w:rPr>
      </w:pPr>
      <w:r>
        <w:rPr>
          <w:rFonts w:hint="default" w:ascii="Times New Roman" w:hAnsi="Times New Roman" w:cs="Times New Roman"/>
          <w:b/>
          <w:color w:val="auto"/>
          <w:highlight w:val="none"/>
        </w:rPr>
        <w:t>图1-</w:t>
      </w:r>
      <w:r>
        <w:rPr>
          <w:rFonts w:hint="eastAsia" w:ascii="Times New Roman" w:hAnsi="Times New Roman" w:cs="Times New Roman"/>
          <w:b/>
          <w:color w:val="auto"/>
          <w:highlight w:val="none"/>
          <w:lang w:val="en-US" w:eastAsia="zh-CN"/>
        </w:rPr>
        <w:t>3</w:t>
      </w:r>
      <w:r>
        <w:rPr>
          <w:rFonts w:hint="default" w:ascii="Times New Roman" w:hAnsi="Times New Roman" w:cs="Times New Roman"/>
          <w:b/>
          <w:color w:val="auto"/>
          <w:highlight w:val="none"/>
        </w:rPr>
        <w:t xml:space="preserve">  有限路段的修正函数，A—B 为路段，P 为预测点</w:t>
      </w:r>
    </w:p>
    <w:p>
      <w:pPr>
        <w:tabs>
          <w:tab w:val="left" w:pos="2760"/>
        </w:tabs>
        <w:snapToGrid w:val="0"/>
        <w:spacing w:line="480" w:lineRule="exact"/>
        <w:ind w:firstLine="480" w:firstLineChars="200"/>
        <w:rPr>
          <w:rFonts w:hint="default" w:ascii="Times New Roman" w:hAnsi="Times New Roman" w:cs="Times New Roman"/>
          <w:color w:val="auto"/>
          <w:sz w:val="24"/>
          <w:szCs w:val="21"/>
          <w:highlight w:val="none"/>
        </w:rPr>
      </w:pPr>
      <w:r>
        <w:rPr>
          <w:rFonts w:hint="default" w:ascii="Times New Roman" w:hAnsi="Times New Roman" w:cs="Times New Roman"/>
          <w:color w:val="auto"/>
          <w:position w:val="-4"/>
          <w:sz w:val="24"/>
          <w:szCs w:val="21"/>
          <w:highlight w:val="none"/>
        </w:rPr>
        <w:object>
          <v:shape id="_x0000_i1033" o:spt="75" type="#_x0000_t75" style="height:13.75pt;width:18.8pt;" o:ole="t" filled="f" o:preferrelative="t" stroked="f" coordsize="21600,21600">
            <v:path/>
            <v:fill on="f" focussize="0,0"/>
            <v:stroke on="f"/>
            <v:imagedata r:id="rId36" o:title=""/>
            <o:lock v:ext="edit" aspectratio="t"/>
            <w10:wrap type="none"/>
            <w10:anchorlock/>
          </v:shape>
          <o:OLEObject Type="Embed" ProgID="Equation.3" ShapeID="_x0000_i1033" DrawAspect="Content" ObjectID="_1468075733" r:id="rId35">
            <o:LockedField>false</o:LockedField>
          </o:OLEObject>
        </w:object>
      </w:r>
      <w:r>
        <w:rPr>
          <w:rFonts w:hint="default" w:ascii="Times New Roman" w:hAnsi="Times New Roman" w:cs="Times New Roman"/>
          <w:color w:val="auto"/>
          <w:sz w:val="24"/>
          <w:szCs w:val="21"/>
          <w:highlight w:val="none"/>
        </w:rPr>
        <w:t>—由其他因素引起的修正量，dB(A)，可按下式计算：</w:t>
      </w:r>
    </w:p>
    <w:p>
      <w:pPr>
        <w:tabs>
          <w:tab w:val="left" w:pos="2760"/>
        </w:tabs>
        <w:snapToGrid w:val="0"/>
        <w:jc w:val="center"/>
        <w:rPr>
          <w:rFonts w:hint="default" w:ascii="Times New Roman" w:hAnsi="Times New Roman" w:cs="Times New Roman"/>
          <w:i/>
          <w:color w:val="auto"/>
          <w:sz w:val="24"/>
          <w:szCs w:val="21"/>
          <w:highlight w:val="none"/>
        </w:rPr>
      </w:pPr>
      <w:r>
        <w:rPr>
          <w:rFonts w:hint="default" w:ascii="Times New Roman" w:hAnsi="Times New Roman" w:cs="Times New Roman"/>
          <w:i/>
          <w:color w:val="auto"/>
          <w:sz w:val="24"/>
          <w:szCs w:val="21"/>
          <w:highlight w:val="none"/>
        </w:rPr>
        <w:drawing>
          <wp:inline distT="0" distB="0" distL="114300" distR="114300">
            <wp:extent cx="1357630" cy="221615"/>
            <wp:effectExtent l="0" t="0" r="13970" b="5715"/>
            <wp:docPr id="5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3"/>
                    <pic:cNvPicPr>
                      <a:picLocks noChangeAspect="1"/>
                    </pic:cNvPicPr>
                  </pic:nvPicPr>
                  <pic:blipFill>
                    <a:blip r:embed="rId37"/>
                    <a:stretch>
                      <a:fillRect/>
                    </a:stretch>
                  </pic:blipFill>
                  <pic:spPr>
                    <a:xfrm>
                      <a:off x="0" y="0"/>
                      <a:ext cx="1357630" cy="221615"/>
                    </a:xfrm>
                    <a:prstGeom prst="rect">
                      <a:avLst/>
                    </a:prstGeom>
                    <a:noFill/>
                    <a:ln>
                      <a:noFill/>
                    </a:ln>
                  </pic:spPr>
                </pic:pic>
              </a:graphicData>
            </a:graphic>
          </wp:inline>
        </w:drawing>
      </w:r>
      <w:r>
        <w:rPr>
          <w:rFonts w:hint="default" w:ascii="Times New Roman" w:hAnsi="Times New Roman" w:cs="Times New Roman"/>
          <w:i/>
          <w:color w:val="auto"/>
          <w:sz w:val="24"/>
          <w:szCs w:val="21"/>
          <w:highlight w:val="none"/>
        </w:rPr>
        <w:t>；</w:t>
      </w:r>
      <w:r>
        <w:rPr>
          <w:rFonts w:hint="default" w:ascii="Times New Roman" w:hAnsi="Times New Roman" w:cs="Times New Roman"/>
          <w:i/>
          <w:color w:val="auto"/>
          <w:sz w:val="24"/>
          <w:szCs w:val="21"/>
          <w:highlight w:val="none"/>
        </w:rPr>
        <w:drawing>
          <wp:inline distT="0" distB="0" distL="114300" distR="114300">
            <wp:extent cx="1288415" cy="235585"/>
            <wp:effectExtent l="0" t="0" r="0" b="13335"/>
            <wp:docPr id="17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4"/>
                    <pic:cNvPicPr>
                      <a:picLocks noChangeAspect="1"/>
                    </pic:cNvPicPr>
                  </pic:nvPicPr>
                  <pic:blipFill>
                    <a:blip r:embed="rId38"/>
                    <a:stretch>
                      <a:fillRect/>
                    </a:stretch>
                  </pic:blipFill>
                  <pic:spPr>
                    <a:xfrm>
                      <a:off x="0" y="0"/>
                      <a:ext cx="1288415" cy="235585"/>
                    </a:xfrm>
                    <a:prstGeom prst="rect">
                      <a:avLst/>
                    </a:prstGeom>
                    <a:noFill/>
                    <a:ln>
                      <a:noFill/>
                    </a:ln>
                  </pic:spPr>
                </pic:pic>
              </a:graphicData>
            </a:graphic>
          </wp:inline>
        </w:drawing>
      </w:r>
      <w:r>
        <w:rPr>
          <w:rFonts w:hint="default" w:ascii="Times New Roman" w:hAnsi="Times New Roman" w:cs="Times New Roman"/>
          <w:i/>
          <w:color w:val="auto"/>
          <w:sz w:val="24"/>
          <w:szCs w:val="21"/>
          <w:highlight w:val="none"/>
        </w:rPr>
        <w:t>；</w:t>
      </w:r>
    </w:p>
    <w:p>
      <w:pPr>
        <w:tabs>
          <w:tab w:val="left" w:pos="2760"/>
        </w:tabs>
        <w:snapToGrid w:val="0"/>
        <w:jc w:val="center"/>
        <w:rPr>
          <w:rFonts w:hint="default" w:ascii="Times New Roman" w:hAnsi="Times New Roman" w:cs="Times New Roman"/>
          <w:i/>
          <w:color w:val="auto"/>
          <w:sz w:val="24"/>
          <w:szCs w:val="21"/>
          <w:highlight w:val="none"/>
        </w:rPr>
      </w:pPr>
      <w:r>
        <w:rPr>
          <w:rFonts w:hint="default" w:ascii="Times New Roman" w:hAnsi="Times New Roman" w:cs="Times New Roman"/>
          <w:i/>
          <w:color w:val="auto"/>
          <w:sz w:val="24"/>
          <w:szCs w:val="21"/>
          <w:highlight w:val="none"/>
        </w:rPr>
        <w:drawing>
          <wp:inline distT="0" distB="0" distL="114300" distR="114300">
            <wp:extent cx="1911350" cy="235585"/>
            <wp:effectExtent l="0" t="0" r="12700" b="13335"/>
            <wp:docPr id="17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5"/>
                    <pic:cNvPicPr>
                      <a:picLocks noChangeAspect="1"/>
                    </pic:cNvPicPr>
                  </pic:nvPicPr>
                  <pic:blipFill>
                    <a:blip r:embed="rId39"/>
                    <a:stretch>
                      <a:fillRect/>
                    </a:stretch>
                  </pic:blipFill>
                  <pic:spPr>
                    <a:xfrm>
                      <a:off x="0" y="0"/>
                      <a:ext cx="1911350" cy="235585"/>
                    </a:xfrm>
                    <a:prstGeom prst="rect">
                      <a:avLst/>
                    </a:prstGeom>
                    <a:noFill/>
                    <a:ln>
                      <a:noFill/>
                    </a:ln>
                  </pic:spPr>
                </pic:pic>
              </a:graphicData>
            </a:graphic>
          </wp:inline>
        </w:drawing>
      </w:r>
    </w:p>
    <w:p>
      <w:pPr>
        <w:tabs>
          <w:tab w:val="left" w:pos="2760"/>
        </w:tabs>
        <w:snapToGrid w:val="0"/>
        <w:spacing w:line="480" w:lineRule="exact"/>
        <w:ind w:firstLine="480" w:firstLineChars="200"/>
        <w:rPr>
          <w:rFonts w:hint="default" w:ascii="Times New Roman" w:hAnsi="Times New Roman" w:cs="Times New Roman"/>
          <w:color w:val="auto"/>
          <w:sz w:val="24"/>
          <w:szCs w:val="21"/>
          <w:highlight w:val="none"/>
        </w:rPr>
      </w:pPr>
      <w:r>
        <w:rPr>
          <w:rFonts w:hint="default" w:ascii="Times New Roman" w:hAnsi="Times New Roman" w:cs="Times New Roman"/>
          <w:color w:val="auto"/>
          <w:sz w:val="24"/>
          <w:szCs w:val="21"/>
          <w:highlight w:val="none"/>
        </w:rPr>
        <w:t>式中</w:t>
      </w:r>
      <w:r>
        <w:rPr>
          <w:rFonts w:hint="default" w:ascii="Times New Roman" w:hAnsi="Times New Roman" w:cs="Times New Roman"/>
          <w:color w:val="auto"/>
          <w:position w:val="-10"/>
          <w:sz w:val="24"/>
          <w:szCs w:val="21"/>
          <w:highlight w:val="none"/>
        </w:rPr>
        <w:object>
          <v:shape id="_x0000_i1034" o:spt="75" type="#_x0000_t75" style="height:17.55pt;width:21.3pt;" o:ole="t" filled="f" o:preferrelative="t" stroked="f" coordsize="21600,21600">
            <v:path/>
            <v:fill on="f" focussize="0,0"/>
            <v:stroke on="f"/>
            <v:imagedata r:id="rId41" o:title=""/>
            <o:lock v:ext="edit" aspectratio="t"/>
            <w10:wrap type="none"/>
            <w10:anchorlock/>
          </v:shape>
          <o:OLEObject Type="Embed" ProgID="Equation.3" ShapeID="_x0000_i1034" DrawAspect="Content" ObjectID="_1468075734" r:id="rId40">
            <o:LockedField>false</o:LockedField>
          </o:OLEObject>
        </w:object>
      </w:r>
      <w:r>
        <w:rPr>
          <w:rFonts w:hint="default" w:ascii="Times New Roman" w:hAnsi="Times New Roman" w:cs="Times New Roman"/>
          <w:color w:val="auto"/>
          <w:sz w:val="24"/>
          <w:szCs w:val="21"/>
          <w:highlight w:val="none"/>
        </w:rPr>
        <w:t>——线路因素引起的修正量，dB(A)；</w:t>
      </w:r>
    </w:p>
    <w:p>
      <w:pPr>
        <w:tabs>
          <w:tab w:val="left" w:pos="2760"/>
        </w:tabs>
        <w:snapToGrid w:val="0"/>
        <w:spacing w:line="480" w:lineRule="exact"/>
        <w:ind w:firstLine="480" w:firstLineChars="200"/>
        <w:rPr>
          <w:rFonts w:hint="default" w:ascii="Times New Roman" w:hAnsi="Times New Roman" w:cs="Times New Roman"/>
          <w:color w:val="auto"/>
          <w:sz w:val="24"/>
          <w:szCs w:val="21"/>
          <w:highlight w:val="none"/>
        </w:rPr>
      </w:pPr>
      <w:r>
        <w:rPr>
          <w:rFonts w:hint="default" w:ascii="Times New Roman" w:hAnsi="Times New Roman" w:cs="Times New Roman"/>
          <w:color w:val="auto"/>
          <w:position w:val="-14"/>
          <w:sz w:val="24"/>
          <w:szCs w:val="21"/>
          <w:highlight w:val="none"/>
        </w:rPr>
        <w:object>
          <v:shape id="_x0000_i1035" o:spt="75" type="#_x0000_t75" style="height:18.8pt;width:33.2pt;" o:ole="t" filled="f" o:preferrelative="t" stroked="f" coordsize="21600,21600">
            <v:path/>
            <v:fill on="f" focussize="0,0"/>
            <v:stroke on="f"/>
            <v:imagedata r:id="rId43" o:title=""/>
            <o:lock v:ext="edit" aspectratio="t"/>
            <w10:wrap type="none"/>
            <w10:anchorlock/>
          </v:shape>
          <o:OLEObject Type="Embed" ProgID="Equation.3" ShapeID="_x0000_i1035" DrawAspect="Content" ObjectID="_1468075735" r:id="rId42">
            <o:LockedField>false</o:LockedField>
          </o:OLEObject>
        </w:object>
      </w:r>
      <w:r>
        <w:rPr>
          <w:rFonts w:hint="default" w:ascii="Times New Roman" w:hAnsi="Times New Roman" w:cs="Times New Roman"/>
          <w:color w:val="auto"/>
          <w:sz w:val="24"/>
          <w:szCs w:val="21"/>
          <w:highlight w:val="none"/>
        </w:rPr>
        <w:t xml:space="preserve"> ——公路纵坡修正量，dB(A)；</w:t>
      </w:r>
    </w:p>
    <w:p>
      <w:pPr>
        <w:tabs>
          <w:tab w:val="left" w:pos="2760"/>
        </w:tabs>
        <w:snapToGrid w:val="0"/>
        <w:spacing w:line="480" w:lineRule="exact"/>
        <w:ind w:firstLine="480" w:firstLineChars="200"/>
        <w:rPr>
          <w:rFonts w:hint="default" w:ascii="Times New Roman" w:hAnsi="Times New Roman" w:cs="Times New Roman"/>
          <w:color w:val="auto"/>
          <w:sz w:val="24"/>
          <w:szCs w:val="21"/>
          <w:highlight w:val="none"/>
        </w:rPr>
      </w:pPr>
      <w:r>
        <w:rPr>
          <w:rFonts w:hint="default" w:ascii="Times New Roman" w:hAnsi="Times New Roman" w:cs="Times New Roman"/>
          <w:color w:val="auto"/>
          <w:position w:val="-12"/>
          <w:sz w:val="24"/>
          <w:szCs w:val="21"/>
          <w:highlight w:val="none"/>
        </w:rPr>
        <w:object>
          <v:shape id="_x0000_i1036" o:spt="75" type="#_x0000_t75" style="height:18.15pt;width:33.2pt;" o:ole="t" filled="f" o:preferrelative="t" stroked="f" coordsize="21600,21600">
            <v:path/>
            <v:fill on="f" focussize="0,0"/>
            <v:stroke on="f"/>
            <v:imagedata r:id="rId45" o:title=""/>
            <o:lock v:ext="edit" aspectratio="t"/>
            <w10:wrap type="none"/>
            <w10:anchorlock/>
          </v:shape>
          <o:OLEObject Type="Embed" ProgID="Equation.3" ShapeID="_x0000_i1036" DrawAspect="Content" ObjectID="_1468075736" r:id="rId44">
            <o:LockedField>false</o:LockedField>
          </o:OLEObject>
        </w:object>
      </w:r>
      <w:r>
        <w:rPr>
          <w:rFonts w:hint="default" w:ascii="Times New Roman" w:hAnsi="Times New Roman" w:cs="Times New Roman"/>
          <w:color w:val="auto"/>
          <w:sz w:val="24"/>
          <w:szCs w:val="21"/>
          <w:highlight w:val="none"/>
        </w:rPr>
        <w:t xml:space="preserve"> ——公路路面材料引起的修正量，dB(A)；</w:t>
      </w:r>
    </w:p>
    <w:p>
      <w:pPr>
        <w:tabs>
          <w:tab w:val="left" w:pos="2760"/>
        </w:tabs>
        <w:snapToGrid w:val="0"/>
        <w:spacing w:line="480" w:lineRule="exact"/>
        <w:ind w:firstLine="480" w:firstLineChars="200"/>
        <w:rPr>
          <w:rFonts w:hint="default" w:ascii="Times New Roman" w:hAnsi="Times New Roman" w:cs="Times New Roman"/>
          <w:color w:val="auto"/>
          <w:sz w:val="24"/>
          <w:szCs w:val="21"/>
          <w:highlight w:val="none"/>
        </w:rPr>
      </w:pPr>
      <w:r>
        <w:rPr>
          <w:rFonts w:hint="default" w:ascii="Times New Roman" w:hAnsi="Times New Roman" w:cs="Times New Roman"/>
          <w:color w:val="auto"/>
          <w:position w:val="-10"/>
          <w:sz w:val="24"/>
          <w:szCs w:val="21"/>
          <w:highlight w:val="none"/>
        </w:rPr>
        <w:object>
          <v:shape id="_x0000_i1037" o:spt="75" type="#_x0000_t75" style="height:17.55pt;width:23.15pt;" o:ole="t" filled="f" o:preferrelative="t" stroked="f" coordsize="21600,21600">
            <v:path/>
            <v:fill on="f" focussize="0,0"/>
            <v:stroke on="f"/>
            <v:imagedata r:id="rId47" o:title=""/>
            <o:lock v:ext="edit" aspectratio="t"/>
            <w10:wrap type="none"/>
            <w10:anchorlock/>
          </v:shape>
          <o:OLEObject Type="Embed" ProgID="Equation.3" ShapeID="_x0000_i1037" DrawAspect="Content" ObjectID="_1468075737" r:id="rId46">
            <o:LockedField>false</o:LockedField>
          </o:OLEObject>
        </w:object>
      </w:r>
      <w:r>
        <w:rPr>
          <w:rFonts w:hint="default" w:ascii="Times New Roman" w:hAnsi="Times New Roman" w:cs="Times New Roman"/>
          <w:color w:val="auto"/>
          <w:sz w:val="24"/>
          <w:szCs w:val="21"/>
          <w:highlight w:val="none"/>
        </w:rPr>
        <w:t xml:space="preserve"> ——声波传播途径中引起的衰减量，dB(A)；</w:t>
      </w:r>
    </w:p>
    <w:p>
      <w:pPr>
        <w:tabs>
          <w:tab w:val="left" w:pos="2760"/>
        </w:tabs>
        <w:snapToGrid w:val="0"/>
        <w:spacing w:line="480" w:lineRule="exact"/>
        <w:ind w:firstLine="480" w:firstLineChars="200"/>
        <w:rPr>
          <w:rFonts w:hint="default" w:ascii="Times New Roman" w:hAnsi="Times New Roman" w:cs="Times New Roman"/>
          <w:color w:val="auto"/>
          <w:sz w:val="24"/>
          <w:szCs w:val="21"/>
          <w:highlight w:val="none"/>
        </w:rPr>
      </w:pPr>
      <w:r>
        <w:rPr>
          <w:rFonts w:hint="default" w:ascii="Times New Roman" w:hAnsi="Times New Roman" w:cs="Times New Roman"/>
          <w:color w:val="auto"/>
          <w:position w:val="-12"/>
          <w:sz w:val="24"/>
          <w:szCs w:val="21"/>
          <w:highlight w:val="none"/>
        </w:rPr>
        <w:object>
          <v:shape id="_x0000_i1038" o:spt="75" type="#_x0000_t75" style="height:18.15pt;width:21.9pt;" o:ole="t" filled="f" o:preferrelative="t" stroked="f" coordsize="21600,21600">
            <v:path/>
            <v:fill on="f" focussize="0,0"/>
            <v:stroke on="f"/>
            <v:imagedata r:id="rId49" o:title=""/>
            <o:lock v:ext="edit" aspectratio="t"/>
            <w10:wrap type="none"/>
            <w10:anchorlock/>
          </v:shape>
          <o:OLEObject Type="Embed" ProgID="Equation.3" ShapeID="_x0000_i1038" DrawAspect="Content" ObjectID="_1468075738" r:id="rId48">
            <o:LockedField>false</o:LockedField>
          </o:OLEObject>
        </w:object>
      </w:r>
      <w:r>
        <w:rPr>
          <w:rFonts w:hint="default" w:ascii="Times New Roman" w:hAnsi="Times New Roman" w:cs="Times New Roman"/>
          <w:color w:val="auto"/>
          <w:sz w:val="24"/>
          <w:szCs w:val="21"/>
          <w:highlight w:val="none"/>
        </w:rPr>
        <w:t xml:space="preserve"> ——由反射等引起的修正量，dB(A)。</w:t>
      </w:r>
    </w:p>
    <w:p>
      <w:pPr>
        <w:tabs>
          <w:tab w:val="left" w:pos="2760"/>
        </w:tabs>
        <w:snapToGrid w:val="0"/>
        <w:spacing w:line="480" w:lineRule="exact"/>
        <w:ind w:firstLine="480" w:firstLineChars="200"/>
        <w:rPr>
          <w:rFonts w:hint="default" w:ascii="Times New Roman" w:hAnsi="Times New Roman" w:cs="Times New Roman"/>
          <w:color w:val="auto"/>
          <w:sz w:val="24"/>
          <w:szCs w:val="21"/>
          <w:highlight w:val="none"/>
        </w:rPr>
      </w:pPr>
      <w:r>
        <w:rPr>
          <w:rFonts w:hint="default" w:ascii="Times New Roman" w:hAnsi="Times New Roman" w:cs="Times New Roman"/>
          <w:color w:val="auto"/>
          <w:sz w:val="24"/>
          <w:szCs w:val="21"/>
          <w:highlight w:val="none"/>
        </w:rPr>
        <w:t>总车流等效声级为：</w:t>
      </w:r>
    </w:p>
    <w:p>
      <w:pPr>
        <w:tabs>
          <w:tab w:val="left" w:pos="2760"/>
        </w:tabs>
        <w:snapToGrid w:val="0"/>
        <w:spacing w:line="480" w:lineRule="exact"/>
        <w:jc w:val="center"/>
        <w:rPr>
          <w:rFonts w:hint="default" w:ascii="Times New Roman" w:hAnsi="Times New Roman" w:cs="Times New Roman"/>
          <w:i/>
          <w:color w:val="auto"/>
          <w:sz w:val="24"/>
          <w:szCs w:val="21"/>
          <w:highlight w:val="none"/>
        </w:rPr>
      </w:pPr>
      <w:r>
        <w:rPr>
          <w:rFonts w:hint="default" w:ascii="Times New Roman" w:hAnsi="Times New Roman" w:cs="Times New Roman"/>
          <w:i/>
          <w:color w:val="auto"/>
          <w:position w:val="-24"/>
          <w:sz w:val="24"/>
          <w:szCs w:val="21"/>
          <w:highlight w:val="none"/>
        </w:rPr>
        <w:object>
          <v:shape id="_x0000_i1039" o:spt="75" type="#_x0000_t75" style="height:30.05pt;width:262.4pt;" o:ole="t" filled="f" o:preferrelative="t" stroked="f" coordsize="21600,21600">
            <v:path/>
            <v:fill on="f" focussize="0,0"/>
            <v:stroke on="f"/>
            <v:imagedata r:id="rId51" o:title=""/>
            <o:lock v:ext="edit" aspectratio="t"/>
            <w10:wrap type="none"/>
            <w10:anchorlock/>
          </v:shape>
          <o:OLEObject Type="Embed" ProgID="Equation.3" ShapeID="_x0000_i1039" DrawAspect="Content" ObjectID="_1468075739" r:id="rId50">
            <o:LockedField>false</o:LockedField>
          </o:OLEObject>
        </w:object>
      </w:r>
    </w:p>
    <w:p>
      <w:pPr>
        <w:tabs>
          <w:tab w:val="left" w:pos="2760"/>
        </w:tabs>
        <w:snapToGrid w:val="0"/>
        <w:spacing w:line="480" w:lineRule="exact"/>
        <w:ind w:firstLine="480" w:firstLineChars="200"/>
        <w:rPr>
          <w:rFonts w:hint="default" w:ascii="Times New Roman" w:hAnsi="Times New Roman" w:cs="Times New Roman"/>
          <w:color w:val="auto"/>
          <w:sz w:val="24"/>
          <w:szCs w:val="21"/>
          <w:highlight w:val="none"/>
        </w:rPr>
      </w:pPr>
      <w:r>
        <w:rPr>
          <w:rFonts w:hint="default" w:ascii="Times New Roman" w:hAnsi="Times New Roman" w:cs="Times New Roman"/>
          <w:color w:val="auto"/>
          <w:sz w:val="24"/>
          <w:szCs w:val="21"/>
          <w:highlight w:val="none"/>
        </w:rPr>
        <w:t>如某个预测点受多条线路交通噪声影响，应分别计算每条车道对该预测点的声级后，经叠加后得到贡献值。</w:t>
      </w:r>
    </w:p>
    <w:p>
      <w:pPr>
        <w:pStyle w:val="49"/>
        <w:spacing w:line="480" w:lineRule="exact"/>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②修正量和衰减量的计算</w:t>
      </w:r>
    </w:p>
    <w:p>
      <w:pPr>
        <w:spacing w:line="46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a) 线路因素引起的修正量（ΔL1）</w:t>
      </w:r>
    </w:p>
    <w:p>
      <w:pPr>
        <w:numPr>
          <w:ilvl w:val="0"/>
          <w:numId w:val="3"/>
        </w:numPr>
        <w:adjustRightInd w:val="0"/>
        <w:spacing w:line="460" w:lineRule="exact"/>
        <w:textAlignment w:val="baseline"/>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纵坡修正量（ΔL坡度）</w:t>
      </w:r>
    </w:p>
    <w:p>
      <w:pPr>
        <w:spacing w:line="460" w:lineRule="exac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 xml:space="preserve">    公路纵坡修正量ΔL坡度可按下式计算：</w:t>
      </w:r>
    </w:p>
    <w:p>
      <w:pPr>
        <w:spacing w:line="460" w:lineRule="exac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 xml:space="preserve">    大型车：ΔL坡度=98×β     dB(A)</w:t>
      </w:r>
    </w:p>
    <w:p>
      <w:pPr>
        <w:spacing w:line="46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中型车：ΔL坡度=73×β     dB(A)</w:t>
      </w:r>
    </w:p>
    <w:p>
      <w:pPr>
        <w:spacing w:line="460" w:lineRule="exact"/>
        <w:ind w:left="315" w:leftChars="150" w:firstLine="120" w:firstLineChars="5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小型车：ΔL坡度=50×β     dB(A)</w:t>
      </w:r>
    </w:p>
    <w:p>
      <w:pPr>
        <w:spacing w:line="460" w:lineRule="exact"/>
        <w:ind w:left="315" w:leftChars="150" w:firstLine="120" w:firstLineChars="5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式中：β—公路纵坡坡度，%。</w:t>
      </w:r>
    </w:p>
    <w:p>
      <w:pPr>
        <w:numPr>
          <w:ilvl w:val="0"/>
          <w:numId w:val="4"/>
        </w:numPr>
        <w:adjustRightInd w:val="0"/>
        <w:spacing w:line="460" w:lineRule="exact"/>
        <w:textAlignment w:val="baseline"/>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路面修正量（ΔL路面）</w:t>
      </w:r>
    </w:p>
    <w:p>
      <w:pPr>
        <w:spacing w:line="46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不同路面的噪声修正量见表1-5。</w:t>
      </w:r>
    </w:p>
    <w:p>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color w:val="auto"/>
          <w:spacing w:val="4"/>
          <w:sz w:val="21"/>
          <w:szCs w:val="21"/>
          <w:highlight w:val="none"/>
        </w:rPr>
      </w:pPr>
      <w:r>
        <w:rPr>
          <w:rFonts w:hint="default" w:ascii="Times New Roman" w:hAnsi="Times New Roman" w:eastAsia="宋体" w:cs="Times New Roman"/>
          <w:b/>
          <w:color w:val="auto"/>
          <w:spacing w:val="4"/>
          <w:sz w:val="21"/>
          <w:szCs w:val="21"/>
          <w:highlight w:val="none"/>
        </w:rPr>
        <w:t>表1-5  常见路面噪声修正量    单位：dB(A)</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21"/>
        <w:gridCol w:w="2321"/>
        <w:gridCol w:w="2322"/>
        <w:gridCol w:w="23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50" w:type="pct"/>
            <w:vMerge w:val="restart"/>
            <w:noWrap w:val="0"/>
            <w:vAlign w:val="center"/>
          </w:tcPr>
          <w:p>
            <w:pPr>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路面类型</w:t>
            </w:r>
          </w:p>
        </w:tc>
        <w:tc>
          <w:tcPr>
            <w:tcW w:w="3750" w:type="pct"/>
            <w:gridSpan w:val="3"/>
            <w:noWrap w:val="0"/>
            <w:vAlign w:val="center"/>
          </w:tcPr>
          <w:p>
            <w:pPr>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不同行驶速度修正量 km/h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50" w:type="pct"/>
            <w:vMerge w:val="continue"/>
            <w:noWrap w:val="0"/>
            <w:vAlign w:val="center"/>
          </w:tcPr>
          <w:p>
            <w:pPr>
              <w:spacing w:line="320" w:lineRule="exact"/>
              <w:jc w:val="center"/>
              <w:rPr>
                <w:rFonts w:hint="default" w:ascii="Times New Roman" w:hAnsi="Times New Roman" w:cs="Times New Roman"/>
                <w:color w:val="auto"/>
                <w:szCs w:val="21"/>
                <w:highlight w:val="none"/>
              </w:rPr>
            </w:pPr>
          </w:p>
        </w:tc>
        <w:tc>
          <w:tcPr>
            <w:tcW w:w="1250" w:type="pct"/>
            <w:noWrap w:val="0"/>
            <w:vAlign w:val="center"/>
          </w:tcPr>
          <w:p>
            <w:pPr>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30</w:t>
            </w:r>
          </w:p>
        </w:tc>
        <w:tc>
          <w:tcPr>
            <w:tcW w:w="1250" w:type="pct"/>
            <w:noWrap w:val="0"/>
            <w:vAlign w:val="center"/>
          </w:tcPr>
          <w:p>
            <w:pPr>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40</w:t>
            </w:r>
          </w:p>
        </w:tc>
        <w:tc>
          <w:tcPr>
            <w:tcW w:w="1250" w:type="pct"/>
            <w:noWrap w:val="0"/>
            <w:vAlign w:val="center"/>
          </w:tcPr>
          <w:p>
            <w:pPr>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50" w:type="pct"/>
            <w:noWrap w:val="0"/>
            <w:vAlign w:val="center"/>
          </w:tcPr>
          <w:p>
            <w:pPr>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沥青混凝土</w:t>
            </w:r>
          </w:p>
        </w:tc>
        <w:tc>
          <w:tcPr>
            <w:tcW w:w="1250" w:type="pct"/>
            <w:noWrap w:val="0"/>
            <w:vAlign w:val="center"/>
          </w:tcPr>
          <w:p>
            <w:pPr>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w:t>
            </w:r>
          </w:p>
        </w:tc>
        <w:tc>
          <w:tcPr>
            <w:tcW w:w="1250" w:type="pct"/>
            <w:noWrap w:val="0"/>
            <w:vAlign w:val="center"/>
          </w:tcPr>
          <w:p>
            <w:pPr>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w:t>
            </w:r>
          </w:p>
        </w:tc>
        <w:tc>
          <w:tcPr>
            <w:tcW w:w="1250" w:type="pct"/>
            <w:noWrap w:val="0"/>
            <w:vAlign w:val="center"/>
          </w:tcPr>
          <w:p>
            <w:pPr>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50" w:type="pct"/>
            <w:noWrap w:val="0"/>
            <w:vAlign w:val="center"/>
          </w:tcPr>
          <w:p>
            <w:pPr>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水泥混凝土</w:t>
            </w:r>
          </w:p>
        </w:tc>
        <w:tc>
          <w:tcPr>
            <w:tcW w:w="1250" w:type="pct"/>
            <w:noWrap w:val="0"/>
            <w:vAlign w:val="center"/>
          </w:tcPr>
          <w:p>
            <w:pPr>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1.0</w:t>
            </w:r>
          </w:p>
        </w:tc>
        <w:tc>
          <w:tcPr>
            <w:tcW w:w="1250" w:type="pct"/>
            <w:noWrap w:val="0"/>
            <w:vAlign w:val="center"/>
          </w:tcPr>
          <w:p>
            <w:pPr>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1.5</w:t>
            </w:r>
          </w:p>
        </w:tc>
        <w:tc>
          <w:tcPr>
            <w:tcW w:w="1250" w:type="pct"/>
            <w:noWrap w:val="0"/>
            <w:vAlign w:val="center"/>
          </w:tcPr>
          <w:p>
            <w:pPr>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2.0</w:t>
            </w:r>
          </w:p>
        </w:tc>
      </w:tr>
    </w:tbl>
    <w:p>
      <w:pPr>
        <w:spacing w:line="460" w:lineRule="exact"/>
        <w:rPr>
          <w:rFonts w:hint="default" w:ascii="Times New Roman" w:hAnsi="Times New Roman" w:cs="Times New Roman"/>
          <w:color w:val="auto"/>
          <w:szCs w:val="16"/>
          <w:highlight w:val="none"/>
        </w:rPr>
      </w:pPr>
      <w:r>
        <w:rPr>
          <w:rFonts w:hint="default" w:ascii="Times New Roman" w:hAnsi="Times New Roman" w:cs="Times New Roman"/>
          <w:color w:val="auto"/>
          <w:szCs w:val="16"/>
          <w:highlight w:val="none"/>
        </w:rPr>
        <w:t>注：表中修正量为</w:t>
      </w:r>
      <w:r>
        <w:rPr>
          <w:rFonts w:hint="default" w:ascii="Times New Roman" w:hAnsi="Times New Roman" w:cs="Times New Roman"/>
          <w:color w:val="auto"/>
          <w:szCs w:val="16"/>
          <w:highlight w:val="none"/>
        </w:rPr>
        <w:drawing>
          <wp:inline distT="0" distB="0" distL="114300" distR="114300">
            <wp:extent cx="429260" cy="221615"/>
            <wp:effectExtent l="0" t="0" r="8255" b="5715"/>
            <wp:docPr id="8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2"/>
                    <pic:cNvPicPr>
                      <a:picLocks noChangeAspect="1"/>
                    </pic:cNvPicPr>
                  </pic:nvPicPr>
                  <pic:blipFill>
                    <a:blip r:embed="rId52"/>
                    <a:stretch>
                      <a:fillRect/>
                    </a:stretch>
                  </pic:blipFill>
                  <pic:spPr>
                    <a:xfrm>
                      <a:off x="0" y="0"/>
                      <a:ext cx="429260" cy="221615"/>
                    </a:xfrm>
                    <a:prstGeom prst="rect">
                      <a:avLst/>
                    </a:prstGeom>
                    <a:noFill/>
                    <a:ln>
                      <a:noFill/>
                    </a:ln>
                  </pic:spPr>
                </pic:pic>
              </a:graphicData>
            </a:graphic>
          </wp:inline>
        </w:drawing>
      </w:r>
      <w:r>
        <w:rPr>
          <w:rFonts w:hint="default" w:ascii="Times New Roman" w:hAnsi="Times New Roman" w:cs="Times New Roman"/>
          <w:color w:val="auto"/>
          <w:szCs w:val="16"/>
          <w:highlight w:val="none"/>
        </w:rPr>
        <w:t>在沥青混凝土路面测得结果的修正。</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b) 声波传播途径中引起的衰减量(ΔL2)</w:t>
      </w:r>
    </w:p>
    <w:p>
      <w:pPr>
        <w:numPr>
          <w:ilvl w:val="0"/>
          <w:numId w:val="5"/>
        </w:numPr>
        <w:adjustRightInd w:val="0"/>
        <w:spacing w:line="460" w:lineRule="exact"/>
        <w:textAlignment w:val="baseline"/>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障碍物衰减量（Abar）</w:t>
      </w:r>
    </w:p>
    <w:p>
      <w:pPr>
        <w:spacing w:line="460" w:lineRule="exac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 xml:space="preserve">    声屏障衰减量（Abar）计算：</w:t>
      </w:r>
    </w:p>
    <w:p>
      <w:pPr>
        <w:spacing w:line="460" w:lineRule="exact"/>
        <w:ind w:firstLine="480" w:firstLineChars="200"/>
        <w:rPr>
          <w:rFonts w:hint="default" w:ascii="Times New Roman" w:hAnsi="Times New Roman" w:cs="Times New Roman"/>
          <w:color w:val="auto"/>
          <w:position w:val="-68"/>
          <w:sz w:val="24"/>
          <w:highlight w:val="none"/>
        </w:rPr>
      </w:pPr>
      <w:r>
        <w:rPr>
          <w:rFonts w:hint="default" w:ascii="Times New Roman" w:hAnsi="Times New Roman" w:cs="Times New Roman"/>
          <w:color w:val="auto"/>
          <w:sz w:val="24"/>
          <w:highlight w:val="none"/>
        </w:rPr>
        <w:t>无限长声屏障可按下式计算</w:t>
      </w:r>
      <w:r>
        <w:rPr>
          <w:rFonts w:hint="default" w:ascii="Times New Roman" w:hAnsi="Times New Roman" w:cs="Times New Roman"/>
          <w:color w:val="auto"/>
          <w:position w:val="-68"/>
          <w:sz w:val="24"/>
          <w:highlight w:val="none"/>
        </w:rPr>
        <w:t>：</w:t>
      </w:r>
    </w:p>
    <w:p>
      <w:pPr>
        <w:spacing w:line="960" w:lineRule="auto"/>
        <w:ind w:firstLine="420" w:firstLineChars="200"/>
        <w:rPr>
          <w:rFonts w:hint="default" w:ascii="Times New Roman" w:hAnsi="Times New Roman" w:cs="Times New Roman"/>
          <w:color w:val="auto"/>
          <w:position w:val="-144"/>
          <w:highlight w:val="none"/>
        </w:rPr>
      </w:pPr>
      <w:r>
        <w:rPr>
          <w:rFonts w:hint="default" w:ascii="Times New Roman" w:hAnsi="Times New Roman" w:cs="Times New Roman"/>
          <w:color w:val="auto"/>
          <w:position w:val="-144"/>
          <w:highlight w:val="none"/>
        </w:rPr>
        <w:drawing>
          <wp:inline distT="0" distB="0" distL="114300" distR="114300">
            <wp:extent cx="2798445" cy="1718310"/>
            <wp:effectExtent l="0" t="0" r="1905" b="0"/>
            <wp:docPr id="16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23"/>
                    <pic:cNvPicPr>
                      <a:picLocks noChangeAspect="1"/>
                    </pic:cNvPicPr>
                  </pic:nvPicPr>
                  <pic:blipFill>
                    <a:blip r:embed="rId53"/>
                    <a:stretch>
                      <a:fillRect/>
                    </a:stretch>
                  </pic:blipFill>
                  <pic:spPr>
                    <a:xfrm>
                      <a:off x="0" y="0"/>
                      <a:ext cx="2798445" cy="1718310"/>
                    </a:xfrm>
                    <a:prstGeom prst="rect">
                      <a:avLst/>
                    </a:prstGeom>
                    <a:noFill/>
                    <a:ln>
                      <a:noFill/>
                    </a:ln>
                  </pic:spPr>
                </pic:pic>
              </a:graphicData>
            </a:graphic>
          </wp:inline>
        </w:drawing>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式中：</w:t>
      </w:r>
    </w:p>
    <w:p>
      <w:pPr>
        <w:spacing w:line="360" w:lineRule="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 xml:space="preserve">    f— 声波频率，Hz；</w:t>
      </w:r>
    </w:p>
    <w:p>
      <w:pPr>
        <w:spacing w:line="360" w:lineRule="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 xml:space="preserve">    δ—声程差，m；</w:t>
      </w:r>
    </w:p>
    <w:p>
      <w:pPr>
        <w:spacing w:line="360" w:lineRule="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 xml:space="preserve">    c—声速，m/s。</w:t>
      </w:r>
    </w:p>
    <w:p>
      <w:pPr>
        <w:spacing w:line="360" w:lineRule="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 xml:space="preserve">    在公路建设项目评价中可采用500Hz频率的声波计算得到的屏障衰减量近似作为A声级的衰减量。</w:t>
      </w:r>
    </w:p>
    <w:p>
      <w:pPr>
        <w:spacing w:line="360" w:lineRule="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 xml:space="preserve">    有限长声屏障计算：</w:t>
      </w:r>
    </w:p>
    <w:p>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Abar仍由公式（A.18）计算。然后根据图1-3进行修正。修正后的Abar取决于遮蔽角β/θ。声屏障的透射、反射修正可参照HJ/T90 计算。</w:t>
      </w:r>
    </w:p>
    <w:p>
      <w:pPr>
        <w:pStyle w:val="49"/>
        <w:spacing w:line="240" w:lineRule="auto"/>
        <w:ind w:firstLine="0" w:firstLineChars="0"/>
        <w:jc w:val="center"/>
        <w:rPr>
          <w:rFonts w:hint="default" w:ascii="Times New Roman" w:hAnsi="Times New Roman" w:cs="Times New Roman"/>
          <w:color w:val="auto"/>
          <w:highlight w:val="none"/>
          <w:lang w:val="en-US"/>
        </w:rPr>
      </w:pPr>
      <w:r>
        <w:rPr>
          <w:rFonts w:hint="default" w:ascii="Times New Roman" w:hAnsi="Times New Roman" w:cs="Times New Roman"/>
          <w:color w:val="auto"/>
          <w:szCs w:val="28"/>
          <w:highlight w:val="none"/>
        </w:rPr>
        <w:drawing>
          <wp:inline distT="0" distB="0" distL="114300" distR="114300">
            <wp:extent cx="4198620" cy="2659380"/>
            <wp:effectExtent l="0" t="0" r="11430" b="7620"/>
            <wp:docPr id="172" name="图片 24" descr="55"/>
            <wp:cNvGraphicFramePr/>
            <a:graphic xmlns:a="http://schemas.openxmlformats.org/drawingml/2006/main">
              <a:graphicData uri="http://schemas.openxmlformats.org/drawingml/2006/picture">
                <pic:pic xmlns:pic="http://schemas.openxmlformats.org/drawingml/2006/picture">
                  <pic:nvPicPr>
                    <pic:cNvPr id="172" name="图片 24" descr="55"/>
                    <pic:cNvPicPr/>
                  </pic:nvPicPr>
                  <pic:blipFill>
                    <a:blip r:embed="rId54"/>
                    <a:stretch>
                      <a:fillRect/>
                    </a:stretch>
                  </pic:blipFill>
                  <pic:spPr>
                    <a:xfrm>
                      <a:off x="0" y="0"/>
                      <a:ext cx="4198620" cy="265938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color w:val="auto"/>
          <w:spacing w:val="4"/>
          <w:sz w:val="21"/>
          <w:szCs w:val="21"/>
          <w:highlight w:val="none"/>
        </w:rPr>
      </w:pPr>
      <w:r>
        <w:rPr>
          <w:rFonts w:hint="default" w:ascii="Times New Roman" w:hAnsi="Times New Roman" w:eastAsia="宋体" w:cs="Times New Roman"/>
          <w:b/>
          <w:color w:val="auto"/>
          <w:spacing w:val="4"/>
          <w:sz w:val="21"/>
          <w:szCs w:val="21"/>
          <w:highlight w:val="none"/>
        </w:rPr>
        <w:t>图1-</w:t>
      </w:r>
      <w:r>
        <w:rPr>
          <w:rFonts w:hint="eastAsia" w:ascii="Times New Roman" w:hAnsi="Times New Roman" w:eastAsia="宋体" w:cs="Times New Roman"/>
          <w:b/>
          <w:color w:val="auto"/>
          <w:spacing w:val="4"/>
          <w:sz w:val="21"/>
          <w:szCs w:val="21"/>
          <w:highlight w:val="none"/>
          <w:lang w:val="en-US" w:eastAsia="zh-CN"/>
        </w:rPr>
        <w:t xml:space="preserve">4  </w:t>
      </w:r>
      <w:r>
        <w:rPr>
          <w:rFonts w:hint="default" w:ascii="Times New Roman" w:hAnsi="Times New Roman" w:eastAsia="宋体" w:cs="Times New Roman"/>
          <w:b/>
          <w:color w:val="auto"/>
          <w:spacing w:val="4"/>
          <w:sz w:val="21"/>
          <w:szCs w:val="21"/>
          <w:highlight w:val="none"/>
        </w:rPr>
        <w:t>有限长度的声屏障及线声源的修正图</w:t>
      </w:r>
    </w:p>
    <w:p>
      <w:pPr>
        <w:spacing w:line="480" w:lineRule="exact"/>
        <w:ind w:firstLine="480" w:firstLineChars="200"/>
        <w:jc w:val="left"/>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（2）预测参数</w:t>
      </w:r>
    </w:p>
    <w:p>
      <w:pPr>
        <w:tabs>
          <w:tab w:val="left" w:pos="1065"/>
        </w:tabs>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（1）交通量、7.5m处平均辐射声级的确定</w:t>
      </w:r>
    </w:p>
    <w:p>
      <w:pPr>
        <w:tabs>
          <w:tab w:val="left" w:pos="1065"/>
        </w:tabs>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①交通量</w:t>
      </w:r>
    </w:p>
    <w:p>
      <w:pPr>
        <w:tabs>
          <w:tab w:val="left" w:pos="1065"/>
        </w:tabs>
        <w:spacing w:line="500" w:lineRule="exact"/>
        <w:ind w:firstLine="504" w:firstLineChars="200"/>
        <w:rPr>
          <w:rFonts w:hint="default" w:ascii="Times New Roman" w:hAnsi="Times New Roman" w:cs="Times New Roman"/>
          <w:color w:val="auto"/>
          <w:sz w:val="24"/>
          <w:highlight w:val="none"/>
        </w:rPr>
      </w:pPr>
      <w:r>
        <w:rPr>
          <w:rFonts w:hint="default" w:ascii="Times New Roman" w:hAnsi="Times New Roman" w:cs="Times New Roman"/>
          <w:snapToGrid w:val="0"/>
          <w:color w:val="auto"/>
          <w:spacing w:val="6"/>
          <w:sz w:val="24"/>
          <w:highlight w:val="none"/>
        </w:rPr>
        <w:t>本次评价以20</w:t>
      </w:r>
      <w:r>
        <w:rPr>
          <w:rFonts w:hint="default" w:ascii="Times New Roman" w:hAnsi="Times New Roman" w:cs="Times New Roman"/>
          <w:snapToGrid w:val="0"/>
          <w:color w:val="auto"/>
          <w:spacing w:val="6"/>
          <w:sz w:val="24"/>
          <w:highlight w:val="none"/>
          <w:lang w:val="en-US" w:eastAsia="zh-CN"/>
        </w:rPr>
        <w:t>2</w:t>
      </w:r>
      <w:r>
        <w:rPr>
          <w:rFonts w:hint="eastAsia" w:ascii="Times New Roman" w:hAnsi="Times New Roman" w:cs="Times New Roman"/>
          <w:snapToGrid w:val="0"/>
          <w:color w:val="auto"/>
          <w:spacing w:val="6"/>
          <w:sz w:val="24"/>
          <w:highlight w:val="none"/>
          <w:lang w:val="en-US" w:eastAsia="zh-CN"/>
        </w:rPr>
        <w:t>4</w:t>
      </w:r>
      <w:r>
        <w:rPr>
          <w:rFonts w:hint="default" w:ascii="Times New Roman" w:hAnsi="Times New Roman" w:cs="Times New Roman"/>
          <w:snapToGrid w:val="0"/>
          <w:color w:val="auto"/>
          <w:spacing w:val="6"/>
          <w:sz w:val="24"/>
          <w:highlight w:val="none"/>
        </w:rPr>
        <w:t>年为近期、203</w:t>
      </w:r>
      <w:r>
        <w:rPr>
          <w:rFonts w:hint="eastAsia" w:ascii="Times New Roman" w:hAnsi="Times New Roman" w:cs="Times New Roman"/>
          <w:snapToGrid w:val="0"/>
          <w:color w:val="auto"/>
          <w:spacing w:val="6"/>
          <w:sz w:val="24"/>
          <w:highlight w:val="none"/>
          <w:lang w:val="en-US" w:eastAsia="zh-CN"/>
        </w:rPr>
        <w:t>3</w:t>
      </w:r>
      <w:r>
        <w:rPr>
          <w:rFonts w:hint="default" w:ascii="Times New Roman" w:hAnsi="Times New Roman" w:cs="Times New Roman"/>
          <w:snapToGrid w:val="0"/>
          <w:color w:val="auto"/>
          <w:spacing w:val="6"/>
          <w:sz w:val="24"/>
          <w:highlight w:val="none"/>
        </w:rPr>
        <w:t>年为中期、20</w:t>
      </w:r>
      <w:r>
        <w:rPr>
          <w:rFonts w:hint="eastAsia" w:ascii="Times New Roman" w:hAnsi="Times New Roman" w:cs="Times New Roman"/>
          <w:snapToGrid w:val="0"/>
          <w:color w:val="auto"/>
          <w:spacing w:val="6"/>
          <w:sz w:val="24"/>
          <w:highlight w:val="none"/>
          <w:lang w:val="en-US" w:eastAsia="zh-CN"/>
        </w:rPr>
        <w:t>43</w:t>
      </w:r>
      <w:r>
        <w:rPr>
          <w:rFonts w:hint="default" w:ascii="Times New Roman" w:hAnsi="Times New Roman" w:cs="Times New Roman"/>
          <w:snapToGrid w:val="0"/>
          <w:color w:val="auto"/>
          <w:spacing w:val="6"/>
          <w:sz w:val="24"/>
          <w:highlight w:val="none"/>
        </w:rPr>
        <w:t>年为远期进行噪声预测。</w:t>
      </w:r>
      <w:r>
        <w:rPr>
          <w:rFonts w:hint="default" w:ascii="Times New Roman" w:hAnsi="Times New Roman" w:cs="Times New Roman"/>
          <w:color w:val="auto"/>
          <w:sz w:val="24"/>
          <w:highlight w:val="none"/>
        </w:rPr>
        <w:t>根据可研提供的资料，道路通车运营的近期、中期和远期平均交通量见下表。</w:t>
      </w:r>
    </w:p>
    <w:p>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color w:val="auto"/>
          <w:spacing w:val="4"/>
          <w:sz w:val="21"/>
          <w:szCs w:val="21"/>
          <w:highlight w:val="none"/>
        </w:rPr>
      </w:pPr>
      <w:r>
        <w:rPr>
          <w:rFonts w:hint="default" w:ascii="Times New Roman" w:hAnsi="Times New Roman" w:eastAsia="宋体" w:cs="Times New Roman"/>
          <w:b/>
          <w:color w:val="auto"/>
          <w:spacing w:val="4"/>
          <w:sz w:val="21"/>
          <w:szCs w:val="21"/>
          <w:highlight w:val="none"/>
        </w:rPr>
        <w:t>表1-6  特征年交通量预测值统计表</w:t>
      </w:r>
    </w:p>
    <w:tbl>
      <w:tblPr>
        <w:tblStyle w:val="2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18"/>
        <w:gridCol w:w="953"/>
        <w:gridCol w:w="1159"/>
        <w:gridCol w:w="1241"/>
        <w:gridCol w:w="1200"/>
        <w:gridCol w:w="27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86" w:type="pct"/>
            <w:vMerge w:val="restart"/>
            <w:noWrap w:val="0"/>
            <w:vAlign w:val="center"/>
          </w:tcPr>
          <w:p>
            <w:pPr>
              <w:spacing w:line="32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名称</w:t>
            </w:r>
          </w:p>
        </w:tc>
        <w:tc>
          <w:tcPr>
            <w:tcW w:w="513" w:type="pct"/>
            <w:vMerge w:val="restart"/>
            <w:noWrap w:val="0"/>
            <w:vAlign w:val="center"/>
          </w:tcPr>
          <w:p>
            <w:pPr>
              <w:spacing w:line="32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单位</w:t>
            </w:r>
          </w:p>
        </w:tc>
        <w:tc>
          <w:tcPr>
            <w:tcW w:w="1938" w:type="pct"/>
            <w:gridSpan w:val="3"/>
            <w:noWrap w:val="0"/>
            <w:vAlign w:val="center"/>
          </w:tcPr>
          <w:p>
            <w:pPr>
              <w:spacing w:line="32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特征年</w:t>
            </w:r>
          </w:p>
        </w:tc>
        <w:tc>
          <w:tcPr>
            <w:tcW w:w="1461" w:type="pct"/>
            <w:vMerge w:val="restart"/>
            <w:noWrap w:val="0"/>
            <w:vAlign w:val="center"/>
          </w:tcPr>
          <w:p>
            <w:pPr>
              <w:spacing w:line="32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86"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513"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624" w:type="pct"/>
            <w:noWrap w:val="0"/>
            <w:vAlign w:val="center"/>
          </w:tcPr>
          <w:p>
            <w:pPr>
              <w:spacing w:line="320" w:lineRule="exact"/>
              <w:jc w:val="center"/>
              <w:rPr>
                <w:rFonts w:hint="default" w:ascii="Times New Roman" w:hAnsi="Times New Roman" w:eastAsia="宋体" w:cs="Times New Roman"/>
                <w:bCs/>
                <w:color w:val="auto"/>
                <w:szCs w:val="21"/>
                <w:highlight w:val="none"/>
                <w:lang w:eastAsia="zh-CN"/>
              </w:rPr>
            </w:pPr>
            <w:r>
              <w:rPr>
                <w:rFonts w:hint="default" w:ascii="Times New Roman" w:hAnsi="Times New Roman" w:cs="Times New Roman"/>
                <w:bCs/>
                <w:color w:val="auto"/>
                <w:szCs w:val="21"/>
                <w:highlight w:val="none"/>
              </w:rPr>
              <w:t>202</w:t>
            </w:r>
            <w:r>
              <w:rPr>
                <w:rFonts w:hint="eastAsia" w:ascii="Times New Roman" w:hAnsi="Times New Roman" w:cs="Times New Roman"/>
                <w:bCs/>
                <w:color w:val="auto"/>
                <w:szCs w:val="21"/>
                <w:highlight w:val="none"/>
                <w:lang w:val="en-US" w:eastAsia="zh-CN"/>
              </w:rPr>
              <w:t>4</w:t>
            </w:r>
          </w:p>
        </w:tc>
        <w:tc>
          <w:tcPr>
            <w:tcW w:w="668" w:type="pct"/>
            <w:noWrap w:val="0"/>
            <w:vAlign w:val="center"/>
          </w:tcPr>
          <w:p>
            <w:pPr>
              <w:spacing w:line="32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2030</w:t>
            </w:r>
          </w:p>
        </w:tc>
        <w:tc>
          <w:tcPr>
            <w:tcW w:w="646" w:type="pct"/>
            <w:noWrap w:val="0"/>
            <w:vAlign w:val="center"/>
          </w:tcPr>
          <w:p>
            <w:pPr>
              <w:spacing w:line="32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2035</w:t>
            </w:r>
          </w:p>
        </w:tc>
        <w:tc>
          <w:tcPr>
            <w:tcW w:w="1461"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86" w:type="pct"/>
            <w:noWrap w:val="0"/>
            <w:vAlign w:val="center"/>
          </w:tcPr>
          <w:p>
            <w:pPr>
              <w:spacing w:line="320" w:lineRule="exact"/>
              <w:jc w:val="center"/>
              <w:rPr>
                <w:rFonts w:hint="default" w:ascii="Times New Roman" w:hAnsi="Times New Roman" w:cs="Times New Roman"/>
                <w:bCs/>
                <w:color w:val="auto"/>
                <w:szCs w:val="21"/>
                <w:highlight w:val="none"/>
              </w:rPr>
            </w:pPr>
            <w:r>
              <w:rPr>
                <w:rFonts w:hint="eastAsia" w:ascii="Times New Roman" w:hAnsi="Times New Roman" w:cs="Times New Roman"/>
                <w:bCs/>
                <w:color w:val="auto"/>
                <w:szCs w:val="21"/>
                <w:highlight w:val="none"/>
                <w:lang w:val="en-US" w:eastAsia="zh-CN"/>
              </w:rPr>
              <w:t>东外环路</w:t>
            </w:r>
            <w:r>
              <w:rPr>
                <w:rFonts w:hint="default" w:ascii="Times New Roman" w:hAnsi="Times New Roman" w:cs="Times New Roman"/>
                <w:bCs/>
                <w:color w:val="auto"/>
                <w:szCs w:val="21"/>
                <w:highlight w:val="none"/>
              </w:rPr>
              <w:t>全线路段平均交通量</w:t>
            </w:r>
          </w:p>
        </w:tc>
        <w:tc>
          <w:tcPr>
            <w:tcW w:w="513" w:type="pct"/>
            <w:noWrap w:val="0"/>
            <w:vAlign w:val="center"/>
          </w:tcPr>
          <w:p>
            <w:pPr>
              <w:spacing w:line="32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标准小客车/日</w:t>
            </w:r>
          </w:p>
        </w:tc>
        <w:tc>
          <w:tcPr>
            <w:tcW w:w="624" w:type="pct"/>
            <w:noWrap w:val="0"/>
            <w:vAlign w:val="center"/>
          </w:tcPr>
          <w:p>
            <w:pPr>
              <w:widowControl/>
              <w:spacing w:line="320" w:lineRule="exact"/>
              <w:jc w:val="center"/>
              <w:rPr>
                <w:rFonts w:hint="default" w:ascii="Times New Roman" w:hAnsi="Times New Roman" w:eastAsia="等线" w:cs="Times New Roman"/>
                <w:color w:val="auto"/>
                <w:kern w:val="0"/>
                <w:szCs w:val="21"/>
                <w:highlight w:val="none"/>
                <w:lang w:val="en-US" w:eastAsia="zh-CN"/>
              </w:rPr>
            </w:pPr>
            <w:r>
              <w:rPr>
                <w:rFonts w:hint="eastAsia" w:ascii="Times New Roman" w:hAnsi="Times New Roman" w:eastAsia="等线" w:cs="Times New Roman"/>
                <w:color w:val="auto"/>
                <w:kern w:val="0"/>
                <w:szCs w:val="21"/>
                <w:highlight w:val="none"/>
                <w:lang w:val="en-US" w:eastAsia="zh-CN"/>
              </w:rPr>
              <w:t>20250</w:t>
            </w:r>
          </w:p>
        </w:tc>
        <w:tc>
          <w:tcPr>
            <w:tcW w:w="668"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39150</w:t>
            </w:r>
          </w:p>
        </w:tc>
        <w:tc>
          <w:tcPr>
            <w:tcW w:w="646"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56700</w:t>
            </w:r>
          </w:p>
        </w:tc>
        <w:tc>
          <w:tcPr>
            <w:tcW w:w="1461" w:type="pct"/>
            <w:vMerge w:val="restar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Cs/>
                <w:color w:val="auto"/>
                <w:szCs w:val="21"/>
                <w:highlight w:val="none"/>
              </w:rPr>
              <w:t>工程可行性研究报告</w:t>
            </w:r>
            <w:r>
              <w:rPr>
                <w:rFonts w:hint="eastAsia" w:ascii="Times New Roman" w:hAnsi="Times New Roman" w:cs="Times New Roman"/>
                <w:bCs/>
                <w:color w:val="auto"/>
                <w:szCs w:val="21"/>
                <w:highlight w:val="none"/>
                <w:lang w:eastAsia="zh-CN"/>
              </w:rPr>
              <w:t>、</w:t>
            </w:r>
            <w:r>
              <w:rPr>
                <w:rFonts w:hint="eastAsia" w:ascii="Times New Roman" w:hAnsi="Times New Roman" w:cs="Times New Roman"/>
                <w:bCs/>
                <w:color w:val="auto"/>
                <w:szCs w:val="21"/>
                <w:highlight w:val="none"/>
                <w:lang w:val="en-US" w:eastAsia="zh-CN"/>
              </w:rPr>
              <w:t>初步设计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86" w:type="pct"/>
            <w:noWrap w:val="0"/>
            <w:vAlign w:val="center"/>
          </w:tcPr>
          <w:p>
            <w:pPr>
              <w:spacing w:line="320" w:lineRule="exact"/>
              <w:jc w:val="center"/>
              <w:rPr>
                <w:rFonts w:hint="default" w:ascii="Times New Roman" w:hAnsi="Times New Roman" w:cs="Times New Roman"/>
                <w:bCs/>
                <w:color w:val="auto"/>
                <w:szCs w:val="21"/>
                <w:highlight w:val="none"/>
              </w:rPr>
            </w:pPr>
            <w:r>
              <w:rPr>
                <w:rFonts w:hint="eastAsia" w:ascii="Times New Roman" w:hAnsi="Times New Roman" w:cs="Times New Roman"/>
                <w:bCs/>
                <w:color w:val="auto"/>
                <w:szCs w:val="21"/>
                <w:highlight w:val="none"/>
                <w:lang w:val="en-US" w:eastAsia="zh-CN"/>
              </w:rPr>
              <w:t>湖滨大街西延</w:t>
            </w:r>
            <w:r>
              <w:rPr>
                <w:rFonts w:hint="default" w:ascii="Times New Roman" w:hAnsi="Times New Roman" w:cs="Times New Roman"/>
                <w:bCs/>
                <w:color w:val="auto"/>
                <w:szCs w:val="21"/>
                <w:highlight w:val="none"/>
              </w:rPr>
              <w:t>全线路段平均交通量</w:t>
            </w:r>
          </w:p>
        </w:tc>
        <w:tc>
          <w:tcPr>
            <w:tcW w:w="513" w:type="pct"/>
            <w:noWrap w:val="0"/>
            <w:vAlign w:val="center"/>
          </w:tcPr>
          <w:p>
            <w:pPr>
              <w:spacing w:line="320" w:lineRule="exact"/>
              <w:jc w:val="center"/>
              <w:rPr>
                <w:rFonts w:hint="default" w:ascii="Times New Roman" w:hAnsi="Times New Roman" w:cs="Times New Roman"/>
                <w:bCs/>
                <w:color w:val="auto"/>
                <w:kern w:val="2"/>
                <w:sz w:val="21"/>
                <w:szCs w:val="21"/>
                <w:highlight w:val="none"/>
                <w:lang w:val="en-US" w:eastAsia="zh-CN" w:bidi="ar-SA"/>
              </w:rPr>
            </w:pPr>
            <w:r>
              <w:rPr>
                <w:rFonts w:hint="default" w:ascii="Times New Roman" w:hAnsi="Times New Roman" w:cs="Times New Roman"/>
                <w:bCs/>
                <w:color w:val="auto"/>
                <w:szCs w:val="21"/>
                <w:highlight w:val="none"/>
              </w:rPr>
              <w:t>标准小客车/日</w:t>
            </w:r>
          </w:p>
        </w:tc>
        <w:tc>
          <w:tcPr>
            <w:tcW w:w="624" w:type="pct"/>
            <w:noWrap w:val="0"/>
            <w:vAlign w:val="center"/>
          </w:tcPr>
          <w:p>
            <w:pPr>
              <w:widowControl/>
              <w:spacing w:line="320" w:lineRule="exact"/>
              <w:jc w:val="center"/>
              <w:rPr>
                <w:rFonts w:hint="default" w:ascii="Times New Roman" w:hAnsi="Times New Roman" w:eastAsia="等线" w:cs="Times New Roman"/>
                <w:color w:val="auto"/>
                <w:kern w:val="0"/>
                <w:sz w:val="21"/>
                <w:szCs w:val="21"/>
                <w:highlight w:val="none"/>
                <w:lang w:val="en-US" w:eastAsia="zh-CN" w:bidi="ar-SA"/>
              </w:rPr>
            </w:pPr>
            <w:r>
              <w:rPr>
                <w:rFonts w:hint="eastAsia" w:ascii="Times New Roman" w:hAnsi="Times New Roman" w:eastAsia="等线" w:cs="Times New Roman"/>
                <w:color w:val="auto"/>
                <w:kern w:val="0"/>
                <w:sz w:val="21"/>
                <w:szCs w:val="21"/>
                <w:highlight w:val="none"/>
                <w:lang w:val="en-US" w:eastAsia="zh-CN" w:bidi="ar-SA"/>
              </w:rPr>
              <w:t>18900</w:t>
            </w:r>
          </w:p>
        </w:tc>
        <w:tc>
          <w:tcPr>
            <w:tcW w:w="668"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30105</w:t>
            </w:r>
          </w:p>
        </w:tc>
        <w:tc>
          <w:tcPr>
            <w:tcW w:w="646"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54054</w:t>
            </w:r>
          </w:p>
        </w:tc>
        <w:tc>
          <w:tcPr>
            <w:tcW w:w="1461"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86" w:type="pct"/>
            <w:noWrap w:val="0"/>
            <w:vAlign w:val="center"/>
          </w:tcPr>
          <w:p>
            <w:pPr>
              <w:spacing w:line="320" w:lineRule="exact"/>
              <w:jc w:val="center"/>
              <w:rPr>
                <w:rFonts w:hint="default" w:ascii="Times New Roman" w:hAnsi="Times New Roman" w:cs="Times New Roman"/>
                <w:bCs/>
                <w:color w:val="auto"/>
                <w:szCs w:val="21"/>
                <w:highlight w:val="none"/>
              </w:rPr>
            </w:pPr>
            <w:r>
              <w:rPr>
                <w:rFonts w:hint="eastAsia" w:ascii="Times New Roman" w:hAnsi="Times New Roman" w:cs="Times New Roman"/>
                <w:bCs/>
                <w:color w:val="auto"/>
                <w:szCs w:val="21"/>
                <w:highlight w:val="none"/>
                <w:lang w:val="en-US" w:eastAsia="zh-CN"/>
              </w:rPr>
              <w:t>文昌路</w:t>
            </w:r>
            <w:r>
              <w:rPr>
                <w:rFonts w:hint="default" w:ascii="Times New Roman" w:hAnsi="Times New Roman" w:cs="Times New Roman"/>
                <w:bCs/>
                <w:color w:val="auto"/>
                <w:szCs w:val="21"/>
                <w:highlight w:val="none"/>
              </w:rPr>
              <w:t>全线路段平均交通量</w:t>
            </w:r>
          </w:p>
        </w:tc>
        <w:tc>
          <w:tcPr>
            <w:tcW w:w="513" w:type="pct"/>
            <w:noWrap w:val="0"/>
            <w:vAlign w:val="center"/>
          </w:tcPr>
          <w:p>
            <w:pPr>
              <w:spacing w:line="320" w:lineRule="exact"/>
              <w:jc w:val="center"/>
              <w:rPr>
                <w:rFonts w:hint="default" w:ascii="Times New Roman" w:hAnsi="Times New Roman" w:cs="Times New Roman"/>
                <w:bCs/>
                <w:color w:val="auto"/>
                <w:kern w:val="2"/>
                <w:sz w:val="21"/>
                <w:szCs w:val="21"/>
                <w:highlight w:val="none"/>
                <w:lang w:val="en-US" w:eastAsia="zh-CN" w:bidi="ar-SA"/>
              </w:rPr>
            </w:pPr>
            <w:r>
              <w:rPr>
                <w:rFonts w:hint="default" w:ascii="Times New Roman" w:hAnsi="Times New Roman" w:cs="Times New Roman"/>
                <w:bCs/>
                <w:color w:val="auto"/>
                <w:szCs w:val="21"/>
                <w:highlight w:val="none"/>
              </w:rPr>
              <w:t>标准小客车/日</w:t>
            </w:r>
          </w:p>
        </w:tc>
        <w:tc>
          <w:tcPr>
            <w:tcW w:w="624" w:type="pct"/>
            <w:noWrap w:val="0"/>
            <w:vAlign w:val="center"/>
          </w:tcPr>
          <w:p>
            <w:pPr>
              <w:widowControl/>
              <w:spacing w:line="320" w:lineRule="exact"/>
              <w:jc w:val="center"/>
              <w:rPr>
                <w:rFonts w:hint="default" w:ascii="Times New Roman" w:hAnsi="Times New Roman" w:eastAsia="等线" w:cs="Times New Roman"/>
                <w:color w:val="auto"/>
                <w:kern w:val="0"/>
                <w:sz w:val="21"/>
                <w:szCs w:val="21"/>
                <w:highlight w:val="none"/>
                <w:lang w:val="en-US" w:eastAsia="zh-CN" w:bidi="ar-SA"/>
              </w:rPr>
            </w:pPr>
            <w:r>
              <w:rPr>
                <w:rFonts w:hint="eastAsia" w:ascii="Times New Roman" w:hAnsi="Times New Roman" w:eastAsia="等线" w:cs="Times New Roman"/>
                <w:color w:val="auto"/>
                <w:kern w:val="0"/>
                <w:sz w:val="21"/>
                <w:szCs w:val="21"/>
                <w:highlight w:val="none"/>
                <w:lang w:val="en-US" w:eastAsia="zh-CN" w:bidi="ar-SA"/>
              </w:rPr>
              <w:t>13200</w:t>
            </w:r>
          </w:p>
        </w:tc>
        <w:tc>
          <w:tcPr>
            <w:tcW w:w="668"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15620</w:t>
            </w:r>
          </w:p>
        </w:tc>
        <w:tc>
          <w:tcPr>
            <w:tcW w:w="646"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17600</w:t>
            </w:r>
          </w:p>
        </w:tc>
        <w:tc>
          <w:tcPr>
            <w:tcW w:w="1461"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r>
    </w:tbl>
    <w:p>
      <w:pPr>
        <w:tabs>
          <w:tab w:val="left" w:pos="1065"/>
        </w:tabs>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②车型比及交通量昼夜分配</w:t>
      </w:r>
    </w:p>
    <w:p>
      <w:pPr>
        <w:tabs>
          <w:tab w:val="left" w:pos="1065"/>
        </w:tabs>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根据可研报告得到大、中、小三种车型的车型比和交通量分配见表1-7。</w:t>
      </w:r>
    </w:p>
    <w:p>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color w:val="auto"/>
          <w:spacing w:val="4"/>
          <w:sz w:val="21"/>
          <w:szCs w:val="21"/>
          <w:highlight w:val="none"/>
        </w:rPr>
      </w:pPr>
      <w:r>
        <w:rPr>
          <w:rFonts w:hint="default" w:ascii="Times New Roman" w:hAnsi="Times New Roman" w:eastAsia="宋体" w:cs="Times New Roman"/>
          <w:b/>
          <w:color w:val="auto"/>
          <w:spacing w:val="4"/>
          <w:sz w:val="21"/>
          <w:szCs w:val="21"/>
          <w:highlight w:val="none"/>
        </w:rPr>
        <w:t>表1-7  车型比及交通路分配</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75"/>
        <w:gridCol w:w="2177"/>
        <w:gridCol w:w="2030"/>
        <w:gridCol w:w="22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8" w:type="pct"/>
            <w:noWrap w:val="0"/>
            <w:vAlign w:val="center"/>
          </w:tcPr>
          <w:p>
            <w:pPr>
              <w:pStyle w:val="5"/>
              <w:ind w:firstLine="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车型</w:t>
            </w:r>
          </w:p>
        </w:tc>
        <w:tc>
          <w:tcPr>
            <w:tcW w:w="1172" w:type="pct"/>
            <w:noWrap w:val="0"/>
            <w:vAlign w:val="center"/>
          </w:tcPr>
          <w:p>
            <w:pPr>
              <w:pStyle w:val="5"/>
              <w:tabs>
                <w:tab w:val="left" w:pos="1095"/>
              </w:tabs>
              <w:ind w:firstLine="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小型车</w:t>
            </w:r>
          </w:p>
        </w:tc>
        <w:tc>
          <w:tcPr>
            <w:tcW w:w="1093" w:type="pct"/>
            <w:noWrap w:val="0"/>
            <w:vAlign w:val="center"/>
          </w:tcPr>
          <w:p>
            <w:pPr>
              <w:pStyle w:val="5"/>
              <w:ind w:firstLine="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中型车</w:t>
            </w:r>
          </w:p>
        </w:tc>
        <w:tc>
          <w:tcPr>
            <w:tcW w:w="1187" w:type="pct"/>
            <w:noWrap w:val="0"/>
            <w:vAlign w:val="center"/>
          </w:tcPr>
          <w:p>
            <w:pPr>
              <w:pStyle w:val="5"/>
              <w:ind w:firstLine="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大型车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8" w:type="pct"/>
            <w:noWrap w:val="0"/>
            <w:vAlign w:val="center"/>
          </w:tcPr>
          <w:p>
            <w:pPr>
              <w:pStyle w:val="5"/>
              <w:ind w:firstLine="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车型比</w:t>
            </w:r>
          </w:p>
        </w:tc>
        <w:tc>
          <w:tcPr>
            <w:tcW w:w="1172" w:type="pct"/>
            <w:noWrap w:val="0"/>
            <w:vAlign w:val="center"/>
          </w:tcPr>
          <w:p>
            <w:pPr>
              <w:pStyle w:val="5"/>
              <w:ind w:firstLine="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60%</w:t>
            </w:r>
          </w:p>
        </w:tc>
        <w:tc>
          <w:tcPr>
            <w:tcW w:w="1093" w:type="pct"/>
            <w:noWrap w:val="0"/>
            <w:vAlign w:val="center"/>
          </w:tcPr>
          <w:p>
            <w:pPr>
              <w:pStyle w:val="5"/>
              <w:ind w:firstLine="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1187" w:type="pct"/>
            <w:noWrap w:val="0"/>
            <w:vAlign w:val="center"/>
          </w:tcPr>
          <w:p>
            <w:pPr>
              <w:pStyle w:val="5"/>
              <w:ind w:firstLine="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8" w:type="pct"/>
            <w:noWrap w:val="0"/>
            <w:vAlign w:val="center"/>
          </w:tcPr>
          <w:p>
            <w:pPr>
              <w:pStyle w:val="5"/>
              <w:ind w:firstLine="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昼间占交通量百分比</w:t>
            </w:r>
          </w:p>
        </w:tc>
        <w:tc>
          <w:tcPr>
            <w:tcW w:w="3452" w:type="pct"/>
            <w:gridSpan w:val="3"/>
            <w:noWrap w:val="0"/>
            <w:vAlign w:val="center"/>
          </w:tcPr>
          <w:p>
            <w:pPr>
              <w:pStyle w:val="5"/>
              <w:ind w:firstLine="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8" w:type="pct"/>
            <w:noWrap w:val="0"/>
            <w:vAlign w:val="center"/>
          </w:tcPr>
          <w:p>
            <w:pPr>
              <w:pStyle w:val="5"/>
              <w:ind w:firstLine="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夜间占交通量百分比</w:t>
            </w:r>
          </w:p>
        </w:tc>
        <w:tc>
          <w:tcPr>
            <w:tcW w:w="3452" w:type="pct"/>
            <w:gridSpan w:val="3"/>
            <w:noWrap w:val="0"/>
            <w:vAlign w:val="center"/>
          </w:tcPr>
          <w:p>
            <w:pPr>
              <w:pStyle w:val="5"/>
              <w:ind w:firstLine="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8" w:type="pct"/>
            <w:noWrap w:val="0"/>
            <w:vAlign w:val="center"/>
          </w:tcPr>
          <w:p>
            <w:pPr>
              <w:pStyle w:val="5"/>
              <w:ind w:firstLine="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备注</w:t>
            </w:r>
          </w:p>
        </w:tc>
        <w:tc>
          <w:tcPr>
            <w:tcW w:w="3452" w:type="pct"/>
            <w:gridSpan w:val="3"/>
            <w:noWrap w:val="0"/>
            <w:vAlign w:val="center"/>
          </w:tcPr>
          <w:p>
            <w:pPr>
              <w:pStyle w:val="5"/>
              <w:ind w:firstLine="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昼间：6：00～22：00     夜间：22：00～6：00</w:t>
            </w:r>
          </w:p>
        </w:tc>
      </w:tr>
    </w:tbl>
    <w:p>
      <w:pPr>
        <w:tabs>
          <w:tab w:val="left" w:pos="1065"/>
        </w:tabs>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③特征年噪声预测昼夜车流量</w:t>
      </w:r>
    </w:p>
    <w:p>
      <w:pPr>
        <w:spacing w:line="480" w:lineRule="exact"/>
        <w:ind w:firstLine="480" w:firstLineChars="200"/>
        <w:jc w:val="left"/>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highlight w:val="none"/>
        </w:rPr>
        <w:t>本项目特征年噪声预测昼夜车流量见表1-8，营运期小、中、大型车单车平均辐射声级预测结果见表1-9。</w:t>
      </w:r>
    </w:p>
    <w:p>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color w:val="auto"/>
          <w:spacing w:val="4"/>
          <w:sz w:val="21"/>
          <w:szCs w:val="21"/>
          <w:highlight w:val="none"/>
        </w:rPr>
      </w:pPr>
      <w:r>
        <w:rPr>
          <w:rFonts w:hint="default" w:ascii="Times New Roman" w:hAnsi="Times New Roman" w:eastAsia="宋体" w:cs="Times New Roman"/>
          <w:b/>
          <w:color w:val="auto"/>
          <w:spacing w:val="4"/>
          <w:sz w:val="21"/>
          <w:szCs w:val="21"/>
          <w:highlight w:val="none"/>
        </w:rPr>
        <w:t>表1-8</w:t>
      </w:r>
      <w:r>
        <w:rPr>
          <w:rFonts w:hint="eastAsia" w:ascii="Times New Roman" w:hAnsi="Times New Roman" w:eastAsia="宋体" w:cs="Times New Roman"/>
          <w:b/>
          <w:color w:val="auto"/>
          <w:spacing w:val="4"/>
          <w:sz w:val="21"/>
          <w:szCs w:val="21"/>
          <w:highlight w:val="none"/>
          <w:lang w:val="en-US" w:eastAsia="zh-CN"/>
        </w:rPr>
        <w:t>a  东外环路</w:t>
      </w:r>
      <w:r>
        <w:rPr>
          <w:rFonts w:hint="default" w:ascii="Times New Roman" w:hAnsi="Times New Roman" w:eastAsia="宋体" w:cs="Times New Roman"/>
          <w:b/>
          <w:color w:val="auto"/>
          <w:spacing w:val="4"/>
          <w:sz w:val="21"/>
          <w:szCs w:val="21"/>
          <w:highlight w:val="none"/>
        </w:rPr>
        <w:t>特征年噪声预测昼夜车流量表</w:t>
      </w:r>
    </w:p>
    <w:tbl>
      <w:tblPr>
        <w:tblStyle w:val="2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12"/>
        <w:gridCol w:w="1751"/>
        <w:gridCol w:w="2268"/>
        <w:gridCol w:w="23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9" w:hRule="atLeast"/>
        </w:trPr>
        <w:tc>
          <w:tcPr>
            <w:tcW w:w="1568" w:type="pct"/>
            <w:tcBorders>
              <w:tl2br w:val="single" w:color="000000" w:sz="4" w:space="0"/>
            </w:tcBorders>
            <w:noWrap w:val="0"/>
            <w:vAlign w:val="top"/>
          </w:tcPr>
          <w:p>
            <w:pPr>
              <w:spacing w:line="320" w:lineRule="exact"/>
              <w:ind w:firstLine="1260" w:firstLineChars="6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高峰小时pcu/h</w:t>
            </w:r>
          </w:p>
          <w:p>
            <w:pPr>
              <w:spacing w:line="320" w:lineRule="exact"/>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特征年</w:t>
            </w:r>
          </w:p>
        </w:tc>
        <w:tc>
          <w:tcPr>
            <w:tcW w:w="943" w:type="pct"/>
            <w:noWrap w:val="0"/>
            <w:vAlign w:val="center"/>
          </w:tcPr>
          <w:p>
            <w:pPr>
              <w:snapToGrid w:val="0"/>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车型</w:t>
            </w:r>
          </w:p>
        </w:tc>
        <w:tc>
          <w:tcPr>
            <w:tcW w:w="1221" w:type="pct"/>
            <w:noWrap w:val="0"/>
            <w:vAlign w:val="center"/>
          </w:tcPr>
          <w:p>
            <w:pPr>
              <w:snapToGrid w:val="0"/>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昼间</w:t>
            </w:r>
          </w:p>
        </w:tc>
        <w:tc>
          <w:tcPr>
            <w:tcW w:w="1268" w:type="pct"/>
            <w:noWrap w:val="0"/>
            <w:vAlign w:val="center"/>
          </w:tcPr>
          <w:p>
            <w:pPr>
              <w:snapToGrid w:val="0"/>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8" w:type="pct"/>
            <w:vMerge w:val="restart"/>
            <w:noWrap w:val="0"/>
            <w:vAlign w:val="center"/>
          </w:tcPr>
          <w:p>
            <w:pPr>
              <w:spacing w:line="32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202</w:t>
            </w:r>
            <w:r>
              <w:rPr>
                <w:rFonts w:hint="eastAsia" w:ascii="Times New Roman" w:hAnsi="Times New Roman" w:cs="Times New Roman"/>
                <w:bCs/>
                <w:color w:val="auto"/>
                <w:szCs w:val="21"/>
                <w:highlight w:val="none"/>
                <w:lang w:val="en-US" w:eastAsia="zh-CN"/>
              </w:rPr>
              <w:t>4</w:t>
            </w:r>
            <w:r>
              <w:rPr>
                <w:rFonts w:hint="default" w:ascii="Times New Roman" w:hAnsi="Times New Roman" w:cs="Times New Roman"/>
                <w:bCs/>
                <w:color w:val="auto"/>
                <w:szCs w:val="21"/>
                <w:highlight w:val="none"/>
              </w:rPr>
              <w:t>年</w:t>
            </w:r>
          </w:p>
        </w:tc>
        <w:tc>
          <w:tcPr>
            <w:tcW w:w="943" w:type="pct"/>
            <w:noWrap w:val="0"/>
            <w:vAlign w:val="center"/>
          </w:tcPr>
          <w:p>
            <w:pPr>
              <w:widowControl/>
              <w:spacing w:line="320" w:lineRule="exact"/>
              <w:jc w:val="center"/>
              <w:rPr>
                <w:rFonts w:hint="default" w:ascii="Times New Roman" w:hAnsi="Times New Roman" w:eastAsia="等线" w:cs="Times New Roman"/>
                <w:color w:val="auto"/>
                <w:kern w:val="0"/>
                <w:szCs w:val="21"/>
                <w:highlight w:val="none"/>
              </w:rPr>
            </w:pPr>
            <w:r>
              <w:rPr>
                <w:rFonts w:hint="default" w:ascii="Times New Roman" w:hAnsi="Times New Roman" w:cs="Times New Roman"/>
                <w:color w:val="auto"/>
                <w:szCs w:val="21"/>
                <w:highlight w:val="none"/>
              </w:rPr>
              <w:t>小型车</w:t>
            </w:r>
          </w:p>
        </w:tc>
        <w:tc>
          <w:tcPr>
            <w:tcW w:w="1221"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608</w:t>
            </w:r>
          </w:p>
        </w:tc>
        <w:tc>
          <w:tcPr>
            <w:tcW w:w="1268"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304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8"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943"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cs="Times New Roman"/>
                <w:color w:val="auto"/>
                <w:szCs w:val="21"/>
                <w:highlight w:val="none"/>
              </w:rPr>
              <w:t>中型车</w:t>
            </w:r>
          </w:p>
        </w:tc>
        <w:tc>
          <w:tcPr>
            <w:tcW w:w="1221"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202</w:t>
            </w:r>
          </w:p>
        </w:tc>
        <w:tc>
          <w:tcPr>
            <w:tcW w:w="1268"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101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8"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943"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cs="Times New Roman"/>
                <w:color w:val="auto"/>
                <w:szCs w:val="21"/>
                <w:highlight w:val="none"/>
              </w:rPr>
              <w:t>大型车</w:t>
            </w:r>
          </w:p>
        </w:tc>
        <w:tc>
          <w:tcPr>
            <w:tcW w:w="1221"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202</w:t>
            </w:r>
          </w:p>
        </w:tc>
        <w:tc>
          <w:tcPr>
            <w:tcW w:w="1268"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101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8" w:type="pct"/>
            <w:vMerge w:val="restart"/>
            <w:noWrap w:val="0"/>
            <w:vAlign w:val="center"/>
          </w:tcPr>
          <w:p>
            <w:pPr>
              <w:spacing w:line="32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203</w:t>
            </w:r>
            <w:r>
              <w:rPr>
                <w:rFonts w:hint="eastAsia" w:ascii="Times New Roman" w:hAnsi="Times New Roman" w:cs="Times New Roman"/>
                <w:bCs/>
                <w:color w:val="auto"/>
                <w:szCs w:val="21"/>
                <w:highlight w:val="none"/>
                <w:lang w:val="en-US" w:eastAsia="zh-CN"/>
              </w:rPr>
              <w:t>3</w:t>
            </w:r>
            <w:r>
              <w:rPr>
                <w:rFonts w:hint="default" w:ascii="Times New Roman" w:hAnsi="Times New Roman" w:cs="Times New Roman"/>
                <w:bCs/>
                <w:color w:val="auto"/>
                <w:szCs w:val="21"/>
                <w:highlight w:val="none"/>
              </w:rPr>
              <w:t>年</w:t>
            </w:r>
          </w:p>
        </w:tc>
        <w:tc>
          <w:tcPr>
            <w:tcW w:w="943"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cs="Times New Roman"/>
                <w:color w:val="auto"/>
                <w:szCs w:val="21"/>
                <w:highlight w:val="none"/>
              </w:rPr>
              <w:t>小型车</w:t>
            </w:r>
          </w:p>
        </w:tc>
        <w:tc>
          <w:tcPr>
            <w:tcW w:w="1221"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1174</w:t>
            </w:r>
          </w:p>
        </w:tc>
        <w:tc>
          <w:tcPr>
            <w:tcW w:w="1268"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587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8"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943"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cs="Times New Roman"/>
                <w:color w:val="auto"/>
                <w:szCs w:val="21"/>
                <w:highlight w:val="none"/>
              </w:rPr>
              <w:t>中型车</w:t>
            </w:r>
          </w:p>
        </w:tc>
        <w:tc>
          <w:tcPr>
            <w:tcW w:w="1221"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392</w:t>
            </w:r>
          </w:p>
        </w:tc>
        <w:tc>
          <w:tcPr>
            <w:tcW w:w="1268"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196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8"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943"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cs="Times New Roman"/>
                <w:color w:val="auto"/>
                <w:szCs w:val="21"/>
                <w:highlight w:val="none"/>
              </w:rPr>
              <w:t>大型车</w:t>
            </w:r>
          </w:p>
        </w:tc>
        <w:tc>
          <w:tcPr>
            <w:tcW w:w="1221"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392</w:t>
            </w:r>
          </w:p>
        </w:tc>
        <w:tc>
          <w:tcPr>
            <w:tcW w:w="1268"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196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8" w:type="pct"/>
            <w:vMerge w:val="restart"/>
            <w:noWrap w:val="0"/>
            <w:vAlign w:val="center"/>
          </w:tcPr>
          <w:p>
            <w:pPr>
              <w:spacing w:line="32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20</w:t>
            </w:r>
            <w:r>
              <w:rPr>
                <w:rFonts w:hint="eastAsia" w:ascii="Times New Roman" w:hAnsi="Times New Roman" w:cs="Times New Roman"/>
                <w:bCs/>
                <w:color w:val="auto"/>
                <w:szCs w:val="21"/>
                <w:highlight w:val="none"/>
                <w:lang w:val="en-US" w:eastAsia="zh-CN"/>
              </w:rPr>
              <w:t>43</w:t>
            </w:r>
            <w:r>
              <w:rPr>
                <w:rFonts w:hint="default" w:ascii="Times New Roman" w:hAnsi="Times New Roman" w:cs="Times New Roman"/>
                <w:bCs/>
                <w:color w:val="auto"/>
                <w:szCs w:val="21"/>
                <w:highlight w:val="none"/>
              </w:rPr>
              <w:t>年</w:t>
            </w:r>
          </w:p>
        </w:tc>
        <w:tc>
          <w:tcPr>
            <w:tcW w:w="943"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cs="Times New Roman"/>
                <w:color w:val="auto"/>
                <w:szCs w:val="21"/>
                <w:highlight w:val="none"/>
              </w:rPr>
              <w:t>小型车</w:t>
            </w:r>
          </w:p>
        </w:tc>
        <w:tc>
          <w:tcPr>
            <w:tcW w:w="1221"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1701</w:t>
            </w:r>
          </w:p>
        </w:tc>
        <w:tc>
          <w:tcPr>
            <w:tcW w:w="1268"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850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8"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943"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cs="Times New Roman"/>
                <w:color w:val="auto"/>
                <w:szCs w:val="21"/>
                <w:highlight w:val="none"/>
              </w:rPr>
              <w:t>中型车</w:t>
            </w:r>
          </w:p>
        </w:tc>
        <w:tc>
          <w:tcPr>
            <w:tcW w:w="1221"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567</w:t>
            </w:r>
          </w:p>
        </w:tc>
        <w:tc>
          <w:tcPr>
            <w:tcW w:w="1268"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284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8"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943"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cs="Times New Roman"/>
                <w:color w:val="auto"/>
                <w:szCs w:val="21"/>
                <w:highlight w:val="none"/>
              </w:rPr>
              <w:t>大型车</w:t>
            </w:r>
          </w:p>
        </w:tc>
        <w:tc>
          <w:tcPr>
            <w:tcW w:w="1221"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567</w:t>
            </w:r>
          </w:p>
        </w:tc>
        <w:tc>
          <w:tcPr>
            <w:tcW w:w="1268"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284</w:t>
            </w:r>
          </w:p>
        </w:tc>
      </w:tr>
    </w:tbl>
    <w:p>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color w:val="auto"/>
          <w:spacing w:val="4"/>
          <w:sz w:val="21"/>
          <w:szCs w:val="21"/>
          <w:highlight w:val="none"/>
        </w:rPr>
      </w:pPr>
      <w:r>
        <w:rPr>
          <w:rFonts w:hint="default" w:ascii="Times New Roman" w:hAnsi="Times New Roman" w:eastAsia="宋体" w:cs="Times New Roman"/>
          <w:b/>
          <w:color w:val="auto"/>
          <w:spacing w:val="4"/>
          <w:sz w:val="21"/>
          <w:szCs w:val="21"/>
          <w:highlight w:val="none"/>
        </w:rPr>
        <w:t>表1-8</w:t>
      </w:r>
      <w:r>
        <w:rPr>
          <w:rFonts w:hint="eastAsia" w:ascii="Times New Roman" w:hAnsi="Times New Roman" w:eastAsia="宋体" w:cs="Times New Roman"/>
          <w:b/>
          <w:color w:val="auto"/>
          <w:spacing w:val="4"/>
          <w:sz w:val="21"/>
          <w:szCs w:val="21"/>
          <w:highlight w:val="none"/>
          <w:lang w:val="en-US" w:eastAsia="zh-CN"/>
        </w:rPr>
        <w:t>b  湖滨大街西延</w:t>
      </w:r>
      <w:r>
        <w:rPr>
          <w:rFonts w:hint="default" w:ascii="Times New Roman" w:hAnsi="Times New Roman" w:eastAsia="宋体" w:cs="Times New Roman"/>
          <w:b/>
          <w:color w:val="auto"/>
          <w:spacing w:val="4"/>
          <w:sz w:val="21"/>
          <w:szCs w:val="21"/>
          <w:highlight w:val="none"/>
        </w:rPr>
        <w:t>特征年噪声预测昼夜车流量表</w:t>
      </w:r>
    </w:p>
    <w:tbl>
      <w:tblPr>
        <w:tblStyle w:val="2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12"/>
        <w:gridCol w:w="1751"/>
        <w:gridCol w:w="2268"/>
        <w:gridCol w:w="23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9" w:hRule="atLeast"/>
        </w:trPr>
        <w:tc>
          <w:tcPr>
            <w:tcW w:w="1568" w:type="pct"/>
            <w:tcBorders>
              <w:tl2br w:val="single" w:color="000000" w:sz="4" w:space="0"/>
            </w:tcBorders>
            <w:noWrap w:val="0"/>
            <w:vAlign w:val="top"/>
          </w:tcPr>
          <w:p>
            <w:pPr>
              <w:spacing w:line="320" w:lineRule="exact"/>
              <w:ind w:firstLine="1260" w:firstLineChars="6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高峰小时pcu/h</w:t>
            </w:r>
          </w:p>
          <w:p>
            <w:pPr>
              <w:spacing w:line="320" w:lineRule="exact"/>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特征年</w:t>
            </w:r>
          </w:p>
        </w:tc>
        <w:tc>
          <w:tcPr>
            <w:tcW w:w="943" w:type="pct"/>
            <w:noWrap w:val="0"/>
            <w:vAlign w:val="center"/>
          </w:tcPr>
          <w:p>
            <w:pPr>
              <w:snapToGrid w:val="0"/>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车型</w:t>
            </w:r>
          </w:p>
        </w:tc>
        <w:tc>
          <w:tcPr>
            <w:tcW w:w="1221" w:type="pct"/>
            <w:noWrap w:val="0"/>
            <w:vAlign w:val="center"/>
          </w:tcPr>
          <w:p>
            <w:pPr>
              <w:snapToGrid w:val="0"/>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昼间</w:t>
            </w:r>
          </w:p>
        </w:tc>
        <w:tc>
          <w:tcPr>
            <w:tcW w:w="1268" w:type="pct"/>
            <w:noWrap w:val="0"/>
            <w:vAlign w:val="center"/>
          </w:tcPr>
          <w:p>
            <w:pPr>
              <w:snapToGrid w:val="0"/>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8" w:type="pct"/>
            <w:vMerge w:val="restart"/>
            <w:noWrap w:val="0"/>
            <w:vAlign w:val="center"/>
          </w:tcPr>
          <w:p>
            <w:pPr>
              <w:spacing w:line="32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202</w:t>
            </w:r>
            <w:r>
              <w:rPr>
                <w:rFonts w:hint="eastAsia" w:ascii="Times New Roman" w:hAnsi="Times New Roman" w:cs="Times New Roman"/>
                <w:bCs/>
                <w:color w:val="auto"/>
                <w:szCs w:val="21"/>
                <w:highlight w:val="none"/>
                <w:lang w:val="en-US" w:eastAsia="zh-CN"/>
              </w:rPr>
              <w:t>4</w:t>
            </w:r>
            <w:r>
              <w:rPr>
                <w:rFonts w:hint="default" w:ascii="Times New Roman" w:hAnsi="Times New Roman" w:cs="Times New Roman"/>
                <w:bCs/>
                <w:color w:val="auto"/>
                <w:szCs w:val="21"/>
                <w:highlight w:val="none"/>
              </w:rPr>
              <w:t>年</w:t>
            </w:r>
          </w:p>
        </w:tc>
        <w:tc>
          <w:tcPr>
            <w:tcW w:w="943" w:type="pct"/>
            <w:noWrap w:val="0"/>
            <w:vAlign w:val="center"/>
          </w:tcPr>
          <w:p>
            <w:pPr>
              <w:widowControl/>
              <w:spacing w:line="320" w:lineRule="exact"/>
              <w:jc w:val="center"/>
              <w:rPr>
                <w:rFonts w:hint="default" w:ascii="Times New Roman" w:hAnsi="Times New Roman" w:eastAsia="等线" w:cs="Times New Roman"/>
                <w:color w:val="auto"/>
                <w:kern w:val="0"/>
                <w:szCs w:val="21"/>
                <w:highlight w:val="none"/>
              </w:rPr>
            </w:pPr>
            <w:r>
              <w:rPr>
                <w:rFonts w:hint="default" w:ascii="Times New Roman" w:hAnsi="Times New Roman" w:cs="Times New Roman"/>
                <w:color w:val="auto"/>
                <w:szCs w:val="21"/>
                <w:highlight w:val="none"/>
              </w:rPr>
              <w:t>小型车</w:t>
            </w:r>
          </w:p>
        </w:tc>
        <w:tc>
          <w:tcPr>
            <w:tcW w:w="1221"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567</w:t>
            </w:r>
          </w:p>
        </w:tc>
        <w:tc>
          <w:tcPr>
            <w:tcW w:w="1268"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284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8"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943"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cs="Times New Roman"/>
                <w:color w:val="auto"/>
                <w:szCs w:val="21"/>
                <w:highlight w:val="none"/>
              </w:rPr>
              <w:t>中型车</w:t>
            </w:r>
          </w:p>
        </w:tc>
        <w:tc>
          <w:tcPr>
            <w:tcW w:w="1221"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189</w:t>
            </w:r>
          </w:p>
        </w:tc>
        <w:tc>
          <w:tcPr>
            <w:tcW w:w="1268"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8"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943"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cs="Times New Roman"/>
                <w:color w:val="auto"/>
                <w:szCs w:val="21"/>
                <w:highlight w:val="none"/>
              </w:rPr>
              <w:t>大型车</w:t>
            </w:r>
          </w:p>
        </w:tc>
        <w:tc>
          <w:tcPr>
            <w:tcW w:w="1221"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189</w:t>
            </w:r>
          </w:p>
        </w:tc>
        <w:tc>
          <w:tcPr>
            <w:tcW w:w="1268"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8" w:type="pct"/>
            <w:vMerge w:val="restart"/>
            <w:noWrap w:val="0"/>
            <w:vAlign w:val="center"/>
          </w:tcPr>
          <w:p>
            <w:pPr>
              <w:spacing w:line="32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203</w:t>
            </w:r>
            <w:r>
              <w:rPr>
                <w:rFonts w:hint="eastAsia" w:ascii="Times New Roman" w:hAnsi="Times New Roman" w:cs="Times New Roman"/>
                <w:bCs/>
                <w:color w:val="auto"/>
                <w:szCs w:val="21"/>
                <w:highlight w:val="none"/>
                <w:lang w:val="en-US" w:eastAsia="zh-CN"/>
              </w:rPr>
              <w:t>3</w:t>
            </w:r>
            <w:r>
              <w:rPr>
                <w:rFonts w:hint="default" w:ascii="Times New Roman" w:hAnsi="Times New Roman" w:cs="Times New Roman"/>
                <w:bCs/>
                <w:color w:val="auto"/>
                <w:szCs w:val="21"/>
                <w:highlight w:val="none"/>
              </w:rPr>
              <w:t>年</w:t>
            </w:r>
          </w:p>
        </w:tc>
        <w:tc>
          <w:tcPr>
            <w:tcW w:w="943"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cs="Times New Roman"/>
                <w:color w:val="auto"/>
                <w:szCs w:val="21"/>
                <w:highlight w:val="none"/>
              </w:rPr>
              <w:t>小型车</w:t>
            </w:r>
          </w:p>
        </w:tc>
        <w:tc>
          <w:tcPr>
            <w:tcW w:w="1221"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903</w:t>
            </w:r>
          </w:p>
        </w:tc>
        <w:tc>
          <w:tcPr>
            <w:tcW w:w="1268"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452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8"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943"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cs="Times New Roman"/>
                <w:color w:val="auto"/>
                <w:szCs w:val="21"/>
                <w:highlight w:val="none"/>
              </w:rPr>
              <w:t>中型车</w:t>
            </w:r>
          </w:p>
        </w:tc>
        <w:tc>
          <w:tcPr>
            <w:tcW w:w="1221"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301</w:t>
            </w:r>
          </w:p>
        </w:tc>
        <w:tc>
          <w:tcPr>
            <w:tcW w:w="1268"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8"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943"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cs="Times New Roman"/>
                <w:color w:val="auto"/>
                <w:szCs w:val="21"/>
                <w:highlight w:val="none"/>
              </w:rPr>
              <w:t>大型车</w:t>
            </w:r>
          </w:p>
        </w:tc>
        <w:tc>
          <w:tcPr>
            <w:tcW w:w="1221"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301</w:t>
            </w:r>
          </w:p>
        </w:tc>
        <w:tc>
          <w:tcPr>
            <w:tcW w:w="1268"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8" w:type="pct"/>
            <w:vMerge w:val="restart"/>
            <w:noWrap w:val="0"/>
            <w:vAlign w:val="center"/>
          </w:tcPr>
          <w:p>
            <w:pPr>
              <w:spacing w:line="32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20</w:t>
            </w:r>
            <w:r>
              <w:rPr>
                <w:rFonts w:hint="eastAsia" w:ascii="Times New Roman" w:hAnsi="Times New Roman" w:cs="Times New Roman"/>
                <w:bCs/>
                <w:color w:val="auto"/>
                <w:szCs w:val="21"/>
                <w:highlight w:val="none"/>
                <w:lang w:val="en-US" w:eastAsia="zh-CN"/>
              </w:rPr>
              <w:t>43</w:t>
            </w:r>
            <w:r>
              <w:rPr>
                <w:rFonts w:hint="default" w:ascii="Times New Roman" w:hAnsi="Times New Roman" w:cs="Times New Roman"/>
                <w:bCs/>
                <w:color w:val="auto"/>
                <w:szCs w:val="21"/>
                <w:highlight w:val="none"/>
              </w:rPr>
              <w:t>年</w:t>
            </w:r>
          </w:p>
        </w:tc>
        <w:tc>
          <w:tcPr>
            <w:tcW w:w="943"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cs="Times New Roman"/>
                <w:color w:val="auto"/>
                <w:szCs w:val="21"/>
                <w:highlight w:val="none"/>
              </w:rPr>
              <w:t>小型车</w:t>
            </w:r>
          </w:p>
        </w:tc>
        <w:tc>
          <w:tcPr>
            <w:tcW w:w="1221"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1622</w:t>
            </w:r>
          </w:p>
        </w:tc>
        <w:tc>
          <w:tcPr>
            <w:tcW w:w="1268"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811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8"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943"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cs="Times New Roman"/>
                <w:color w:val="auto"/>
                <w:szCs w:val="21"/>
                <w:highlight w:val="none"/>
              </w:rPr>
              <w:t>中型车</w:t>
            </w:r>
          </w:p>
        </w:tc>
        <w:tc>
          <w:tcPr>
            <w:tcW w:w="1221"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540</w:t>
            </w:r>
          </w:p>
        </w:tc>
        <w:tc>
          <w:tcPr>
            <w:tcW w:w="1268"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270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8"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943"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cs="Times New Roman"/>
                <w:color w:val="auto"/>
                <w:szCs w:val="21"/>
                <w:highlight w:val="none"/>
              </w:rPr>
              <w:t>大型车</w:t>
            </w:r>
          </w:p>
        </w:tc>
        <w:tc>
          <w:tcPr>
            <w:tcW w:w="1221"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540</w:t>
            </w:r>
          </w:p>
        </w:tc>
        <w:tc>
          <w:tcPr>
            <w:tcW w:w="1268"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270</w:t>
            </w:r>
          </w:p>
        </w:tc>
      </w:tr>
    </w:tbl>
    <w:p>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color w:val="auto"/>
          <w:spacing w:val="4"/>
          <w:sz w:val="21"/>
          <w:szCs w:val="21"/>
          <w:highlight w:val="none"/>
        </w:rPr>
      </w:pPr>
      <w:r>
        <w:rPr>
          <w:rFonts w:hint="default" w:ascii="Times New Roman" w:hAnsi="Times New Roman" w:eastAsia="宋体" w:cs="Times New Roman"/>
          <w:b/>
          <w:color w:val="auto"/>
          <w:spacing w:val="4"/>
          <w:sz w:val="21"/>
          <w:szCs w:val="21"/>
          <w:highlight w:val="none"/>
        </w:rPr>
        <w:t>表1-8</w:t>
      </w:r>
      <w:r>
        <w:rPr>
          <w:rFonts w:hint="eastAsia" w:ascii="Times New Roman" w:hAnsi="Times New Roman" w:eastAsia="宋体" w:cs="Times New Roman"/>
          <w:b/>
          <w:color w:val="auto"/>
          <w:spacing w:val="4"/>
          <w:sz w:val="21"/>
          <w:szCs w:val="21"/>
          <w:highlight w:val="none"/>
          <w:lang w:val="en-US" w:eastAsia="zh-CN"/>
        </w:rPr>
        <w:t>c  文昌路</w:t>
      </w:r>
      <w:r>
        <w:rPr>
          <w:rFonts w:hint="default" w:ascii="Times New Roman" w:hAnsi="Times New Roman" w:eastAsia="宋体" w:cs="Times New Roman"/>
          <w:b/>
          <w:color w:val="auto"/>
          <w:spacing w:val="4"/>
          <w:sz w:val="21"/>
          <w:szCs w:val="21"/>
          <w:highlight w:val="none"/>
        </w:rPr>
        <w:t>特征年噪声预测昼夜车流量表</w:t>
      </w:r>
    </w:p>
    <w:tbl>
      <w:tblPr>
        <w:tblStyle w:val="2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12"/>
        <w:gridCol w:w="1751"/>
        <w:gridCol w:w="2268"/>
        <w:gridCol w:w="23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9" w:hRule="atLeast"/>
        </w:trPr>
        <w:tc>
          <w:tcPr>
            <w:tcW w:w="1568" w:type="pct"/>
            <w:tcBorders>
              <w:tl2br w:val="single" w:color="000000" w:sz="4" w:space="0"/>
            </w:tcBorders>
            <w:noWrap w:val="0"/>
            <w:vAlign w:val="top"/>
          </w:tcPr>
          <w:p>
            <w:pPr>
              <w:spacing w:line="320" w:lineRule="exact"/>
              <w:ind w:firstLine="1260" w:firstLineChars="6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高峰小时pcu/h</w:t>
            </w:r>
          </w:p>
          <w:p>
            <w:pPr>
              <w:spacing w:line="320" w:lineRule="exact"/>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特征年</w:t>
            </w:r>
          </w:p>
        </w:tc>
        <w:tc>
          <w:tcPr>
            <w:tcW w:w="943" w:type="pct"/>
            <w:noWrap w:val="0"/>
            <w:vAlign w:val="center"/>
          </w:tcPr>
          <w:p>
            <w:pPr>
              <w:snapToGrid w:val="0"/>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车型</w:t>
            </w:r>
          </w:p>
        </w:tc>
        <w:tc>
          <w:tcPr>
            <w:tcW w:w="1221" w:type="pct"/>
            <w:noWrap w:val="0"/>
            <w:vAlign w:val="center"/>
          </w:tcPr>
          <w:p>
            <w:pPr>
              <w:snapToGrid w:val="0"/>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昼间</w:t>
            </w:r>
          </w:p>
        </w:tc>
        <w:tc>
          <w:tcPr>
            <w:tcW w:w="1268" w:type="pct"/>
            <w:noWrap w:val="0"/>
            <w:vAlign w:val="center"/>
          </w:tcPr>
          <w:p>
            <w:pPr>
              <w:snapToGrid w:val="0"/>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8" w:type="pct"/>
            <w:vMerge w:val="restart"/>
            <w:noWrap w:val="0"/>
            <w:vAlign w:val="center"/>
          </w:tcPr>
          <w:p>
            <w:pPr>
              <w:spacing w:line="32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202</w:t>
            </w:r>
            <w:r>
              <w:rPr>
                <w:rFonts w:hint="eastAsia" w:ascii="Times New Roman" w:hAnsi="Times New Roman" w:cs="Times New Roman"/>
                <w:bCs/>
                <w:color w:val="auto"/>
                <w:szCs w:val="21"/>
                <w:highlight w:val="none"/>
                <w:lang w:val="en-US" w:eastAsia="zh-CN"/>
              </w:rPr>
              <w:t>4</w:t>
            </w:r>
            <w:r>
              <w:rPr>
                <w:rFonts w:hint="default" w:ascii="Times New Roman" w:hAnsi="Times New Roman" w:cs="Times New Roman"/>
                <w:bCs/>
                <w:color w:val="auto"/>
                <w:szCs w:val="21"/>
                <w:highlight w:val="none"/>
              </w:rPr>
              <w:t>年</w:t>
            </w:r>
          </w:p>
        </w:tc>
        <w:tc>
          <w:tcPr>
            <w:tcW w:w="943" w:type="pct"/>
            <w:noWrap w:val="0"/>
            <w:vAlign w:val="center"/>
          </w:tcPr>
          <w:p>
            <w:pPr>
              <w:widowControl/>
              <w:spacing w:line="320" w:lineRule="exact"/>
              <w:jc w:val="center"/>
              <w:rPr>
                <w:rFonts w:hint="default" w:ascii="Times New Roman" w:hAnsi="Times New Roman" w:eastAsia="等线" w:cs="Times New Roman"/>
                <w:color w:val="auto"/>
                <w:kern w:val="0"/>
                <w:szCs w:val="21"/>
                <w:highlight w:val="none"/>
              </w:rPr>
            </w:pPr>
            <w:r>
              <w:rPr>
                <w:rFonts w:hint="default" w:ascii="Times New Roman" w:hAnsi="Times New Roman" w:cs="Times New Roman"/>
                <w:color w:val="auto"/>
                <w:szCs w:val="21"/>
                <w:highlight w:val="none"/>
              </w:rPr>
              <w:t>小型车</w:t>
            </w:r>
          </w:p>
        </w:tc>
        <w:tc>
          <w:tcPr>
            <w:tcW w:w="1221"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396</w:t>
            </w:r>
          </w:p>
        </w:tc>
        <w:tc>
          <w:tcPr>
            <w:tcW w:w="1268"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198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8"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943"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cs="Times New Roman"/>
                <w:color w:val="auto"/>
                <w:szCs w:val="21"/>
                <w:highlight w:val="none"/>
              </w:rPr>
              <w:t>中型车</w:t>
            </w:r>
          </w:p>
        </w:tc>
        <w:tc>
          <w:tcPr>
            <w:tcW w:w="1221"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132</w:t>
            </w:r>
          </w:p>
        </w:tc>
        <w:tc>
          <w:tcPr>
            <w:tcW w:w="1268"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8"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943"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cs="Times New Roman"/>
                <w:color w:val="auto"/>
                <w:szCs w:val="21"/>
                <w:highlight w:val="none"/>
              </w:rPr>
              <w:t>大型车</w:t>
            </w:r>
          </w:p>
        </w:tc>
        <w:tc>
          <w:tcPr>
            <w:tcW w:w="1221"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132</w:t>
            </w:r>
          </w:p>
        </w:tc>
        <w:tc>
          <w:tcPr>
            <w:tcW w:w="1268"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8" w:type="pct"/>
            <w:vMerge w:val="restart"/>
            <w:noWrap w:val="0"/>
            <w:vAlign w:val="center"/>
          </w:tcPr>
          <w:p>
            <w:pPr>
              <w:spacing w:line="32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203</w:t>
            </w:r>
            <w:r>
              <w:rPr>
                <w:rFonts w:hint="eastAsia" w:ascii="Times New Roman" w:hAnsi="Times New Roman" w:cs="Times New Roman"/>
                <w:bCs/>
                <w:color w:val="auto"/>
                <w:szCs w:val="21"/>
                <w:highlight w:val="none"/>
                <w:lang w:val="en-US" w:eastAsia="zh-CN"/>
              </w:rPr>
              <w:t>3</w:t>
            </w:r>
            <w:r>
              <w:rPr>
                <w:rFonts w:hint="default" w:ascii="Times New Roman" w:hAnsi="Times New Roman" w:cs="Times New Roman"/>
                <w:bCs/>
                <w:color w:val="auto"/>
                <w:szCs w:val="21"/>
                <w:highlight w:val="none"/>
              </w:rPr>
              <w:t>年</w:t>
            </w:r>
          </w:p>
        </w:tc>
        <w:tc>
          <w:tcPr>
            <w:tcW w:w="943"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cs="Times New Roman"/>
                <w:color w:val="auto"/>
                <w:szCs w:val="21"/>
                <w:highlight w:val="none"/>
              </w:rPr>
              <w:t>小型车</w:t>
            </w:r>
          </w:p>
        </w:tc>
        <w:tc>
          <w:tcPr>
            <w:tcW w:w="1221"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469</w:t>
            </w:r>
          </w:p>
        </w:tc>
        <w:tc>
          <w:tcPr>
            <w:tcW w:w="1268"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234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8"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943"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cs="Times New Roman"/>
                <w:color w:val="auto"/>
                <w:szCs w:val="21"/>
                <w:highlight w:val="none"/>
              </w:rPr>
              <w:t>中型车</w:t>
            </w:r>
          </w:p>
        </w:tc>
        <w:tc>
          <w:tcPr>
            <w:tcW w:w="1221"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156</w:t>
            </w:r>
          </w:p>
        </w:tc>
        <w:tc>
          <w:tcPr>
            <w:tcW w:w="1268"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8"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943"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cs="Times New Roman"/>
                <w:color w:val="auto"/>
                <w:szCs w:val="21"/>
                <w:highlight w:val="none"/>
              </w:rPr>
              <w:t>大型车</w:t>
            </w:r>
          </w:p>
        </w:tc>
        <w:tc>
          <w:tcPr>
            <w:tcW w:w="1221"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156</w:t>
            </w:r>
          </w:p>
        </w:tc>
        <w:tc>
          <w:tcPr>
            <w:tcW w:w="1268"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8" w:type="pct"/>
            <w:vMerge w:val="restart"/>
            <w:noWrap w:val="0"/>
            <w:vAlign w:val="center"/>
          </w:tcPr>
          <w:p>
            <w:pPr>
              <w:spacing w:line="32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20</w:t>
            </w:r>
            <w:r>
              <w:rPr>
                <w:rFonts w:hint="eastAsia" w:ascii="Times New Roman" w:hAnsi="Times New Roman" w:cs="Times New Roman"/>
                <w:bCs/>
                <w:color w:val="auto"/>
                <w:szCs w:val="21"/>
                <w:highlight w:val="none"/>
                <w:lang w:val="en-US" w:eastAsia="zh-CN"/>
              </w:rPr>
              <w:t>43</w:t>
            </w:r>
            <w:r>
              <w:rPr>
                <w:rFonts w:hint="default" w:ascii="Times New Roman" w:hAnsi="Times New Roman" w:cs="Times New Roman"/>
                <w:bCs/>
                <w:color w:val="auto"/>
                <w:szCs w:val="21"/>
                <w:highlight w:val="none"/>
              </w:rPr>
              <w:t>年</w:t>
            </w:r>
          </w:p>
        </w:tc>
        <w:tc>
          <w:tcPr>
            <w:tcW w:w="943"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cs="Times New Roman"/>
                <w:color w:val="auto"/>
                <w:szCs w:val="21"/>
                <w:highlight w:val="none"/>
              </w:rPr>
              <w:t>小型车</w:t>
            </w:r>
          </w:p>
        </w:tc>
        <w:tc>
          <w:tcPr>
            <w:tcW w:w="1221"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528</w:t>
            </w:r>
          </w:p>
        </w:tc>
        <w:tc>
          <w:tcPr>
            <w:tcW w:w="1268"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264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8"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943"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cs="Times New Roman"/>
                <w:color w:val="auto"/>
                <w:szCs w:val="21"/>
                <w:highlight w:val="none"/>
              </w:rPr>
              <w:t>中型车</w:t>
            </w:r>
          </w:p>
        </w:tc>
        <w:tc>
          <w:tcPr>
            <w:tcW w:w="1221"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176</w:t>
            </w:r>
          </w:p>
        </w:tc>
        <w:tc>
          <w:tcPr>
            <w:tcW w:w="1268"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8"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943"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cs="Times New Roman"/>
                <w:color w:val="auto"/>
                <w:szCs w:val="21"/>
                <w:highlight w:val="none"/>
              </w:rPr>
              <w:t>大型车</w:t>
            </w:r>
          </w:p>
        </w:tc>
        <w:tc>
          <w:tcPr>
            <w:tcW w:w="1221"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176</w:t>
            </w:r>
          </w:p>
        </w:tc>
        <w:tc>
          <w:tcPr>
            <w:tcW w:w="1268" w:type="pct"/>
            <w:noWrap w:val="0"/>
            <w:vAlign w:val="center"/>
          </w:tcPr>
          <w:p>
            <w:pPr>
              <w:spacing w:line="320" w:lineRule="exact"/>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88</w:t>
            </w:r>
          </w:p>
        </w:tc>
      </w:tr>
    </w:tbl>
    <w:p>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color w:val="auto"/>
          <w:spacing w:val="4"/>
          <w:sz w:val="21"/>
          <w:szCs w:val="21"/>
          <w:highlight w:val="none"/>
        </w:rPr>
      </w:pPr>
      <w:r>
        <w:rPr>
          <w:rFonts w:hint="default" w:ascii="Times New Roman" w:hAnsi="Times New Roman" w:eastAsia="宋体" w:cs="Times New Roman"/>
          <w:b/>
          <w:color w:val="auto"/>
          <w:spacing w:val="4"/>
          <w:sz w:val="21"/>
          <w:szCs w:val="21"/>
          <w:highlight w:val="none"/>
        </w:rPr>
        <w:t>表1-9</w:t>
      </w:r>
      <w:r>
        <w:rPr>
          <w:rFonts w:hint="eastAsia" w:ascii="Times New Roman" w:hAnsi="Times New Roman" w:eastAsia="宋体" w:cs="Times New Roman"/>
          <w:b/>
          <w:color w:val="auto"/>
          <w:spacing w:val="4"/>
          <w:sz w:val="21"/>
          <w:szCs w:val="21"/>
          <w:highlight w:val="none"/>
          <w:lang w:val="en-US" w:eastAsia="zh-CN"/>
        </w:rPr>
        <w:t>a</w:t>
      </w:r>
      <w:r>
        <w:rPr>
          <w:rFonts w:hint="default" w:ascii="Times New Roman" w:hAnsi="Times New Roman" w:eastAsia="宋体" w:cs="Times New Roman"/>
          <w:b/>
          <w:color w:val="auto"/>
          <w:spacing w:val="4"/>
          <w:sz w:val="21"/>
          <w:szCs w:val="21"/>
          <w:highlight w:val="none"/>
        </w:rPr>
        <w:t xml:space="preserve">  </w:t>
      </w:r>
      <w:r>
        <w:rPr>
          <w:rFonts w:hint="eastAsia" w:ascii="Times New Roman" w:hAnsi="Times New Roman" w:eastAsia="宋体" w:cs="Times New Roman"/>
          <w:b/>
          <w:color w:val="auto"/>
          <w:spacing w:val="4"/>
          <w:sz w:val="21"/>
          <w:szCs w:val="21"/>
          <w:highlight w:val="none"/>
          <w:lang w:val="en-US" w:eastAsia="zh-CN"/>
        </w:rPr>
        <w:t>东外环路</w:t>
      </w:r>
      <w:r>
        <w:rPr>
          <w:rFonts w:hint="default" w:ascii="Times New Roman" w:hAnsi="Times New Roman" w:eastAsia="宋体" w:cs="Times New Roman"/>
          <w:b/>
          <w:color w:val="auto"/>
          <w:spacing w:val="4"/>
          <w:sz w:val="21"/>
          <w:szCs w:val="21"/>
          <w:highlight w:val="none"/>
        </w:rPr>
        <w:t>特征年各类车平均辐射声级(7.5m 处 )        单位：dB（A）</w:t>
      </w:r>
    </w:p>
    <w:tbl>
      <w:tblPr>
        <w:tblStyle w:val="21"/>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93"/>
        <w:gridCol w:w="1314"/>
        <w:gridCol w:w="2031"/>
        <w:gridCol w:w="20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9" w:hRule="atLeast"/>
        </w:trPr>
        <w:tc>
          <w:tcPr>
            <w:tcW w:w="2097" w:type="pct"/>
            <w:tcBorders>
              <w:tl2br w:val="single" w:color="000000" w:sz="4" w:space="0"/>
            </w:tcBorders>
            <w:noWrap w:val="0"/>
            <w:vAlign w:val="center"/>
          </w:tcPr>
          <w:p>
            <w:pPr>
              <w:spacing w:line="320" w:lineRule="exact"/>
              <w:ind w:firstLine="210" w:firstLineChars="10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 xml:space="preserve">                 高峰小时pcu/h</w:t>
            </w:r>
          </w:p>
          <w:p>
            <w:pPr>
              <w:spacing w:line="320" w:lineRule="exact"/>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特征年</w:t>
            </w:r>
          </w:p>
        </w:tc>
        <w:tc>
          <w:tcPr>
            <w:tcW w:w="708" w:type="pct"/>
            <w:noWrap w:val="0"/>
            <w:vAlign w:val="center"/>
          </w:tcPr>
          <w:p>
            <w:pPr>
              <w:snapToGrid w:val="0"/>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车型</w:t>
            </w:r>
          </w:p>
        </w:tc>
        <w:tc>
          <w:tcPr>
            <w:tcW w:w="1094" w:type="pct"/>
            <w:noWrap w:val="0"/>
            <w:vAlign w:val="center"/>
          </w:tcPr>
          <w:p>
            <w:pPr>
              <w:snapToGrid w:val="0"/>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昼间</w:t>
            </w:r>
          </w:p>
        </w:tc>
        <w:tc>
          <w:tcPr>
            <w:tcW w:w="1099" w:type="pct"/>
            <w:noWrap w:val="0"/>
            <w:vAlign w:val="center"/>
          </w:tcPr>
          <w:p>
            <w:pPr>
              <w:snapToGrid w:val="0"/>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2097" w:type="pct"/>
            <w:vMerge w:val="restart"/>
            <w:noWrap w:val="0"/>
            <w:vAlign w:val="center"/>
          </w:tcPr>
          <w:p>
            <w:pPr>
              <w:spacing w:line="32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20</w:t>
            </w:r>
            <w:r>
              <w:rPr>
                <w:rFonts w:hint="default" w:ascii="Times New Roman" w:hAnsi="Times New Roman" w:cs="Times New Roman"/>
                <w:bCs/>
                <w:color w:val="auto"/>
                <w:szCs w:val="21"/>
                <w:highlight w:val="none"/>
                <w:lang w:val="en-US" w:eastAsia="zh-CN"/>
              </w:rPr>
              <w:t>2</w:t>
            </w:r>
            <w:r>
              <w:rPr>
                <w:rFonts w:hint="eastAsia" w:ascii="Times New Roman" w:hAnsi="Times New Roman" w:cs="Times New Roman"/>
                <w:bCs/>
                <w:color w:val="auto"/>
                <w:szCs w:val="21"/>
                <w:highlight w:val="none"/>
                <w:lang w:val="en-US" w:eastAsia="zh-CN"/>
              </w:rPr>
              <w:t>4</w:t>
            </w:r>
            <w:r>
              <w:rPr>
                <w:rFonts w:hint="default" w:ascii="Times New Roman" w:hAnsi="Times New Roman" w:cs="Times New Roman"/>
                <w:bCs/>
                <w:color w:val="auto"/>
                <w:szCs w:val="21"/>
                <w:highlight w:val="none"/>
              </w:rPr>
              <w:t>年</w:t>
            </w:r>
          </w:p>
        </w:tc>
        <w:tc>
          <w:tcPr>
            <w:tcW w:w="708" w:type="pct"/>
            <w:noWrap w:val="0"/>
            <w:vAlign w:val="center"/>
          </w:tcPr>
          <w:p>
            <w:pPr>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小型车</w:t>
            </w:r>
          </w:p>
        </w:tc>
        <w:tc>
          <w:tcPr>
            <w:tcW w:w="1094"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68.93</w:t>
            </w:r>
          </w:p>
        </w:tc>
        <w:tc>
          <w:tcPr>
            <w:tcW w:w="1099"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69.06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209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708" w:type="pct"/>
            <w:noWrap w:val="0"/>
            <w:vAlign w:val="center"/>
          </w:tcPr>
          <w:p>
            <w:pPr>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中型车</w:t>
            </w:r>
          </w:p>
        </w:tc>
        <w:tc>
          <w:tcPr>
            <w:tcW w:w="1094"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68.66</w:t>
            </w:r>
          </w:p>
        </w:tc>
        <w:tc>
          <w:tcPr>
            <w:tcW w:w="1099"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68.32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209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708" w:type="pct"/>
            <w:noWrap w:val="0"/>
            <w:vAlign w:val="center"/>
          </w:tcPr>
          <w:p>
            <w:pPr>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大型车</w:t>
            </w:r>
          </w:p>
        </w:tc>
        <w:tc>
          <w:tcPr>
            <w:tcW w:w="1094"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75.66</w:t>
            </w:r>
          </w:p>
        </w:tc>
        <w:tc>
          <w:tcPr>
            <w:tcW w:w="1099"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75.43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2097" w:type="pct"/>
            <w:vMerge w:val="restart"/>
            <w:noWrap w:val="0"/>
            <w:vAlign w:val="center"/>
          </w:tcPr>
          <w:p>
            <w:pPr>
              <w:spacing w:line="32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203</w:t>
            </w:r>
            <w:r>
              <w:rPr>
                <w:rFonts w:hint="eastAsia" w:ascii="Times New Roman" w:hAnsi="Times New Roman" w:cs="Times New Roman"/>
                <w:bCs/>
                <w:color w:val="auto"/>
                <w:szCs w:val="21"/>
                <w:highlight w:val="none"/>
                <w:lang w:val="en-US" w:eastAsia="zh-CN"/>
              </w:rPr>
              <w:t>3</w:t>
            </w:r>
            <w:r>
              <w:rPr>
                <w:rFonts w:hint="default" w:ascii="Times New Roman" w:hAnsi="Times New Roman" w:cs="Times New Roman"/>
                <w:bCs/>
                <w:color w:val="auto"/>
                <w:szCs w:val="21"/>
                <w:highlight w:val="none"/>
              </w:rPr>
              <w:t>年</w:t>
            </w:r>
          </w:p>
        </w:tc>
        <w:tc>
          <w:tcPr>
            <w:tcW w:w="708"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cs="Times New Roman"/>
                <w:color w:val="auto"/>
                <w:szCs w:val="21"/>
                <w:highlight w:val="none"/>
              </w:rPr>
              <w:t>小型车</w:t>
            </w:r>
          </w:p>
        </w:tc>
        <w:tc>
          <w:tcPr>
            <w:tcW w:w="1094"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68.57</w:t>
            </w:r>
          </w:p>
        </w:tc>
        <w:tc>
          <w:tcPr>
            <w:tcW w:w="1099"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68.94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209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708"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cs="Times New Roman"/>
                <w:color w:val="auto"/>
                <w:szCs w:val="21"/>
                <w:highlight w:val="none"/>
              </w:rPr>
              <w:t>中型车</w:t>
            </w:r>
          </w:p>
        </w:tc>
        <w:tc>
          <w:tcPr>
            <w:tcW w:w="1094"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69.05</w:t>
            </w:r>
          </w:p>
        </w:tc>
        <w:tc>
          <w:tcPr>
            <w:tcW w:w="1099"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68.64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209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708" w:type="pct"/>
            <w:noWrap w:val="0"/>
            <w:vAlign w:val="center"/>
          </w:tcPr>
          <w:p>
            <w:pPr>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大型车</w:t>
            </w:r>
          </w:p>
        </w:tc>
        <w:tc>
          <w:tcPr>
            <w:tcW w:w="1094"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75.96</w:t>
            </w:r>
          </w:p>
        </w:tc>
        <w:tc>
          <w:tcPr>
            <w:tcW w:w="1099"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75.65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2097" w:type="pct"/>
            <w:vMerge w:val="restart"/>
            <w:noWrap w:val="0"/>
            <w:vAlign w:val="center"/>
          </w:tcPr>
          <w:p>
            <w:pPr>
              <w:spacing w:line="32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20</w:t>
            </w:r>
            <w:r>
              <w:rPr>
                <w:rFonts w:hint="eastAsia" w:ascii="Times New Roman" w:hAnsi="Times New Roman" w:cs="Times New Roman"/>
                <w:bCs/>
                <w:color w:val="auto"/>
                <w:szCs w:val="21"/>
                <w:highlight w:val="none"/>
                <w:lang w:val="en-US" w:eastAsia="zh-CN"/>
              </w:rPr>
              <w:t>43</w:t>
            </w:r>
            <w:r>
              <w:rPr>
                <w:rFonts w:hint="default" w:ascii="Times New Roman" w:hAnsi="Times New Roman" w:cs="Times New Roman"/>
                <w:bCs/>
                <w:color w:val="auto"/>
                <w:szCs w:val="21"/>
                <w:highlight w:val="none"/>
              </w:rPr>
              <w:t>年</w:t>
            </w:r>
          </w:p>
        </w:tc>
        <w:tc>
          <w:tcPr>
            <w:tcW w:w="708"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cs="Times New Roman"/>
                <w:color w:val="auto"/>
                <w:szCs w:val="21"/>
                <w:highlight w:val="none"/>
              </w:rPr>
              <w:t>小型车</w:t>
            </w:r>
          </w:p>
        </w:tc>
        <w:tc>
          <w:tcPr>
            <w:tcW w:w="1094"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68.13</w:t>
            </w:r>
          </w:p>
        </w:tc>
        <w:tc>
          <w:tcPr>
            <w:tcW w:w="1099"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68.79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209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708"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cs="Times New Roman"/>
                <w:color w:val="auto"/>
                <w:szCs w:val="21"/>
                <w:highlight w:val="none"/>
              </w:rPr>
              <w:t>中型车</w:t>
            </w:r>
          </w:p>
        </w:tc>
        <w:tc>
          <w:tcPr>
            <w:tcW w:w="1094"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69.20</w:t>
            </w:r>
          </w:p>
        </w:tc>
        <w:tc>
          <w:tcPr>
            <w:tcW w:w="1099"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68.86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209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708" w:type="pct"/>
            <w:noWrap w:val="0"/>
            <w:vAlign w:val="center"/>
          </w:tcPr>
          <w:p>
            <w:pPr>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大型车</w:t>
            </w:r>
          </w:p>
        </w:tc>
        <w:tc>
          <w:tcPr>
            <w:tcW w:w="1094"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76.11</w:t>
            </w:r>
          </w:p>
        </w:tc>
        <w:tc>
          <w:tcPr>
            <w:tcW w:w="1099"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75.81</w:t>
            </w:r>
          </w:p>
        </w:tc>
      </w:tr>
    </w:tbl>
    <w:p>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color w:val="auto"/>
          <w:spacing w:val="4"/>
          <w:sz w:val="21"/>
          <w:szCs w:val="21"/>
          <w:highlight w:val="none"/>
        </w:rPr>
      </w:pPr>
      <w:r>
        <w:rPr>
          <w:rFonts w:hint="default" w:ascii="Times New Roman" w:hAnsi="Times New Roman" w:eastAsia="宋体" w:cs="Times New Roman"/>
          <w:b/>
          <w:color w:val="auto"/>
          <w:spacing w:val="4"/>
          <w:sz w:val="21"/>
          <w:szCs w:val="21"/>
          <w:highlight w:val="none"/>
        </w:rPr>
        <w:t>表1-9</w:t>
      </w:r>
      <w:r>
        <w:rPr>
          <w:rFonts w:hint="eastAsia" w:ascii="Times New Roman" w:hAnsi="Times New Roman" w:eastAsia="宋体" w:cs="Times New Roman"/>
          <w:b/>
          <w:color w:val="auto"/>
          <w:spacing w:val="4"/>
          <w:sz w:val="21"/>
          <w:szCs w:val="21"/>
          <w:highlight w:val="none"/>
          <w:lang w:val="en-US" w:eastAsia="zh-CN"/>
        </w:rPr>
        <w:t>b</w:t>
      </w:r>
      <w:r>
        <w:rPr>
          <w:rFonts w:hint="default" w:ascii="Times New Roman" w:hAnsi="Times New Roman" w:eastAsia="宋体" w:cs="Times New Roman"/>
          <w:b/>
          <w:color w:val="auto"/>
          <w:spacing w:val="4"/>
          <w:sz w:val="21"/>
          <w:szCs w:val="21"/>
          <w:highlight w:val="none"/>
        </w:rPr>
        <w:t xml:space="preserve">  </w:t>
      </w:r>
      <w:r>
        <w:rPr>
          <w:rFonts w:hint="eastAsia" w:ascii="Times New Roman" w:hAnsi="Times New Roman" w:eastAsia="宋体" w:cs="Times New Roman"/>
          <w:b/>
          <w:color w:val="auto"/>
          <w:spacing w:val="4"/>
          <w:sz w:val="21"/>
          <w:szCs w:val="21"/>
          <w:highlight w:val="none"/>
          <w:lang w:val="en-US" w:eastAsia="zh-CN"/>
        </w:rPr>
        <w:t>湖滨大街西延</w:t>
      </w:r>
      <w:r>
        <w:rPr>
          <w:rFonts w:hint="default" w:ascii="Times New Roman" w:hAnsi="Times New Roman" w:eastAsia="宋体" w:cs="Times New Roman"/>
          <w:b/>
          <w:color w:val="auto"/>
          <w:spacing w:val="4"/>
          <w:sz w:val="21"/>
          <w:szCs w:val="21"/>
          <w:highlight w:val="none"/>
        </w:rPr>
        <w:t>特征年各类车平均辐射声级(7.5m 处 )        单位：dB（A）</w:t>
      </w:r>
    </w:p>
    <w:tbl>
      <w:tblPr>
        <w:tblStyle w:val="21"/>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93"/>
        <w:gridCol w:w="1314"/>
        <w:gridCol w:w="2031"/>
        <w:gridCol w:w="20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9" w:hRule="atLeast"/>
        </w:trPr>
        <w:tc>
          <w:tcPr>
            <w:tcW w:w="2097" w:type="pct"/>
            <w:tcBorders>
              <w:tl2br w:val="single" w:color="000000" w:sz="4" w:space="0"/>
            </w:tcBorders>
            <w:noWrap w:val="0"/>
            <w:vAlign w:val="center"/>
          </w:tcPr>
          <w:p>
            <w:pPr>
              <w:spacing w:line="320" w:lineRule="exact"/>
              <w:ind w:firstLine="210" w:firstLineChars="10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 xml:space="preserve">                  高峰小时pcu/h</w:t>
            </w:r>
          </w:p>
          <w:p>
            <w:pPr>
              <w:spacing w:line="320" w:lineRule="exact"/>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特征年</w:t>
            </w:r>
          </w:p>
        </w:tc>
        <w:tc>
          <w:tcPr>
            <w:tcW w:w="708" w:type="pct"/>
            <w:noWrap w:val="0"/>
            <w:vAlign w:val="center"/>
          </w:tcPr>
          <w:p>
            <w:pPr>
              <w:snapToGrid w:val="0"/>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车型</w:t>
            </w:r>
          </w:p>
        </w:tc>
        <w:tc>
          <w:tcPr>
            <w:tcW w:w="1094" w:type="pct"/>
            <w:noWrap w:val="0"/>
            <w:vAlign w:val="center"/>
          </w:tcPr>
          <w:p>
            <w:pPr>
              <w:snapToGrid w:val="0"/>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昼间</w:t>
            </w:r>
          </w:p>
        </w:tc>
        <w:tc>
          <w:tcPr>
            <w:tcW w:w="1099" w:type="pct"/>
            <w:noWrap w:val="0"/>
            <w:vAlign w:val="center"/>
          </w:tcPr>
          <w:p>
            <w:pPr>
              <w:snapToGrid w:val="0"/>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2097" w:type="pct"/>
            <w:vMerge w:val="restart"/>
            <w:noWrap w:val="0"/>
            <w:vAlign w:val="center"/>
          </w:tcPr>
          <w:p>
            <w:pPr>
              <w:spacing w:line="32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20</w:t>
            </w:r>
            <w:r>
              <w:rPr>
                <w:rFonts w:hint="default" w:ascii="Times New Roman" w:hAnsi="Times New Roman" w:cs="Times New Roman"/>
                <w:bCs/>
                <w:color w:val="auto"/>
                <w:szCs w:val="21"/>
                <w:highlight w:val="none"/>
                <w:lang w:val="en-US" w:eastAsia="zh-CN"/>
              </w:rPr>
              <w:t>2</w:t>
            </w:r>
            <w:r>
              <w:rPr>
                <w:rFonts w:hint="eastAsia" w:ascii="Times New Roman" w:hAnsi="Times New Roman" w:cs="Times New Roman"/>
                <w:bCs/>
                <w:color w:val="auto"/>
                <w:szCs w:val="21"/>
                <w:highlight w:val="none"/>
                <w:lang w:val="en-US" w:eastAsia="zh-CN"/>
              </w:rPr>
              <w:t>4</w:t>
            </w:r>
            <w:r>
              <w:rPr>
                <w:rFonts w:hint="default" w:ascii="Times New Roman" w:hAnsi="Times New Roman" w:cs="Times New Roman"/>
                <w:bCs/>
                <w:color w:val="auto"/>
                <w:szCs w:val="21"/>
                <w:highlight w:val="none"/>
              </w:rPr>
              <w:t>年</w:t>
            </w:r>
          </w:p>
        </w:tc>
        <w:tc>
          <w:tcPr>
            <w:tcW w:w="708" w:type="pct"/>
            <w:noWrap w:val="0"/>
            <w:vAlign w:val="center"/>
          </w:tcPr>
          <w:p>
            <w:pPr>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小型车</w:t>
            </w:r>
          </w:p>
        </w:tc>
        <w:tc>
          <w:tcPr>
            <w:tcW w:w="1094"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68.95</w:t>
            </w:r>
          </w:p>
        </w:tc>
        <w:tc>
          <w:tcPr>
            <w:tcW w:w="1099"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69.07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209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708" w:type="pct"/>
            <w:noWrap w:val="0"/>
            <w:vAlign w:val="center"/>
          </w:tcPr>
          <w:p>
            <w:pPr>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中型车</w:t>
            </w:r>
          </w:p>
        </w:tc>
        <w:tc>
          <w:tcPr>
            <w:tcW w:w="1094"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68.62</w:t>
            </w:r>
          </w:p>
        </w:tc>
        <w:tc>
          <w:tcPr>
            <w:tcW w:w="1099"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68.29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209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708" w:type="pct"/>
            <w:noWrap w:val="0"/>
            <w:vAlign w:val="center"/>
          </w:tcPr>
          <w:p>
            <w:pPr>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大型车</w:t>
            </w:r>
          </w:p>
        </w:tc>
        <w:tc>
          <w:tcPr>
            <w:tcW w:w="1094"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75.63</w:t>
            </w:r>
          </w:p>
        </w:tc>
        <w:tc>
          <w:tcPr>
            <w:tcW w:w="1099"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75.41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2097" w:type="pct"/>
            <w:vMerge w:val="restart"/>
            <w:noWrap w:val="0"/>
            <w:vAlign w:val="center"/>
          </w:tcPr>
          <w:p>
            <w:pPr>
              <w:spacing w:line="32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203</w:t>
            </w:r>
            <w:r>
              <w:rPr>
                <w:rFonts w:hint="eastAsia" w:ascii="Times New Roman" w:hAnsi="Times New Roman" w:cs="Times New Roman"/>
                <w:bCs/>
                <w:color w:val="auto"/>
                <w:szCs w:val="21"/>
                <w:highlight w:val="none"/>
                <w:lang w:val="en-US" w:eastAsia="zh-CN"/>
              </w:rPr>
              <w:t>3</w:t>
            </w:r>
            <w:r>
              <w:rPr>
                <w:rFonts w:hint="default" w:ascii="Times New Roman" w:hAnsi="Times New Roman" w:cs="Times New Roman"/>
                <w:bCs/>
                <w:color w:val="auto"/>
                <w:szCs w:val="21"/>
                <w:highlight w:val="none"/>
              </w:rPr>
              <w:t>年</w:t>
            </w:r>
          </w:p>
        </w:tc>
        <w:tc>
          <w:tcPr>
            <w:tcW w:w="708"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cs="Times New Roman"/>
                <w:color w:val="auto"/>
                <w:szCs w:val="21"/>
                <w:highlight w:val="none"/>
              </w:rPr>
              <w:t>小型车</w:t>
            </w:r>
          </w:p>
        </w:tc>
        <w:tc>
          <w:tcPr>
            <w:tcW w:w="1094"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68.75</w:t>
            </w:r>
          </w:p>
        </w:tc>
        <w:tc>
          <w:tcPr>
            <w:tcW w:w="1099"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209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708"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cs="Times New Roman"/>
                <w:color w:val="auto"/>
                <w:szCs w:val="21"/>
                <w:highlight w:val="none"/>
              </w:rPr>
              <w:t>中型车</w:t>
            </w:r>
          </w:p>
        </w:tc>
        <w:tc>
          <w:tcPr>
            <w:tcW w:w="1094"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68.90</w:t>
            </w:r>
          </w:p>
        </w:tc>
        <w:tc>
          <w:tcPr>
            <w:tcW w:w="1099"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68.49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209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708" w:type="pct"/>
            <w:noWrap w:val="0"/>
            <w:vAlign w:val="center"/>
          </w:tcPr>
          <w:p>
            <w:pPr>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大型车</w:t>
            </w:r>
          </w:p>
        </w:tc>
        <w:tc>
          <w:tcPr>
            <w:tcW w:w="1094"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75.84</w:t>
            </w:r>
          </w:p>
        </w:tc>
        <w:tc>
          <w:tcPr>
            <w:tcW w:w="1099"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75.55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2097" w:type="pct"/>
            <w:vMerge w:val="restart"/>
            <w:noWrap w:val="0"/>
            <w:vAlign w:val="center"/>
          </w:tcPr>
          <w:p>
            <w:pPr>
              <w:spacing w:line="32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20</w:t>
            </w:r>
            <w:r>
              <w:rPr>
                <w:rFonts w:hint="eastAsia" w:ascii="Times New Roman" w:hAnsi="Times New Roman" w:cs="Times New Roman"/>
                <w:bCs/>
                <w:color w:val="auto"/>
                <w:szCs w:val="21"/>
                <w:highlight w:val="none"/>
                <w:lang w:val="en-US" w:eastAsia="zh-CN"/>
              </w:rPr>
              <w:t>43</w:t>
            </w:r>
            <w:r>
              <w:rPr>
                <w:rFonts w:hint="default" w:ascii="Times New Roman" w:hAnsi="Times New Roman" w:cs="Times New Roman"/>
                <w:bCs/>
                <w:color w:val="auto"/>
                <w:szCs w:val="21"/>
                <w:highlight w:val="none"/>
              </w:rPr>
              <w:t>年</w:t>
            </w:r>
          </w:p>
        </w:tc>
        <w:tc>
          <w:tcPr>
            <w:tcW w:w="708"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cs="Times New Roman"/>
                <w:color w:val="auto"/>
                <w:szCs w:val="21"/>
                <w:highlight w:val="none"/>
              </w:rPr>
              <w:t>小型车</w:t>
            </w:r>
          </w:p>
        </w:tc>
        <w:tc>
          <w:tcPr>
            <w:tcW w:w="1094"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68.20</w:t>
            </w:r>
          </w:p>
        </w:tc>
        <w:tc>
          <w:tcPr>
            <w:tcW w:w="1099"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68.81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209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708"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cs="Times New Roman"/>
                <w:color w:val="auto"/>
                <w:szCs w:val="21"/>
                <w:highlight w:val="none"/>
              </w:rPr>
              <w:t>中型车</w:t>
            </w:r>
          </w:p>
        </w:tc>
        <w:tc>
          <w:tcPr>
            <w:tcW w:w="1094"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69.19</w:t>
            </w:r>
          </w:p>
        </w:tc>
        <w:tc>
          <w:tcPr>
            <w:tcW w:w="1099"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68.83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209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708" w:type="pct"/>
            <w:noWrap w:val="0"/>
            <w:vAlign w:val="center"/>
          </w:tcPr>
          <w:p>
            <w:pPr>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大型车</w:t>
            </w:r>
          </w:p>
        </w:tc>
        <w:tc>
          <w:tcPr>
            <w:tcW w:w="1094"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76.09</w:t>
            </w:r>
          </w:p>
        </w:tc>
        <w:tc>
          <w:tcPr>
            <w:tcW w:w="1099"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75.79</w:t>
            </w:r>
          </w:p>
        </w:tc>
      </w:tr>
    </w:tbl>
    <w:p>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color w:val="auto"/>
          <w:spacing w:val="4"/>
          <w:sz w:val="21"/>
          <w:szCs w:val="21"/>
          <w:highlight w:val="none"/>
        </w:rPr>
      </w:pPr>
      <w:r>
        <w:rPr>
          <w:rFonts w:hint="default" w:ascii="Times New Roman" w:hAnsi="Times New Roman" w:eastAsia="宋体" w:cs="Times New Roman"/>
          <w:b/>
          <w:color w:val="auto"/>
          <w:spacing w:val="4"/>
          <w:sz w:val="21"/>
          <w:szCs w:val="21"/>
          <w:highlight w:val="none"/>
        </w:rPr>
        <w:t>表1-9</w:t>
      </w:r>
      <w:r>
        <w:rPr>
          <w:rFonts w:hint="eastAsia" w:ascii="Times New Roman" w:hAnsi="Times New Roman" w:eastAsia="宋体" w:cs="Times New Roman"/>
          <w:b/>
          <w:color w:val="auto"/>
          <w:spacing w:val="4"/>
          <w:sz w:val="21"/>
          <w:szCs w:val="21"/>
          <w:highlight w:val="none"/>
          <w:lang w:val="en-US" w:eastAsia="zh-CN"/>
        </w:rPr>
        <w:t>c</w:t>
      </w:r>
      <w:r>
        <w:rPr>
          <w:rFonts w:hint="default" w:ascii="Times New Roman" w:hAnsi="Times New Roman" w:eastAsia="宋体" w:cs="Times New Roman"/>
          <w:b/>
          <w:color w:val="auto"/>
          <w:spacing w:val="4"/>
          <w:sz w:val="21"/>
          <w:szCs w:val="21"/>
          <w:highlight w:val="none"/>
        </w:rPr>
        <w:t xml:space="preserve">  </w:t>
      </w:r>
      <w:r>
        <w:rPr>
          <w:rFonts w:hint="eastAsia" w:ascii="Times New Roman" w:hAnsi="Times New Roman" w:eastAsia="宋体" w:cs="Times New Roman"/>
          <w:b/>
          <w:color w:val="auto"/>
          <w:spacing w:val="4"/>
          <w:sz w:val="21"/>
          <w:szCs w:val="21"/>
          <w:highlight w:val="none"/>
          <w:lang w:val="en-US" w:eastAsia="zh-CN"/>
        </w:rPr>
        <w:t>文昌路</w:t>
      </w:r>
      <w:r>
        <w:rPr>
          <w:rFonts w:hint="default" w:ascii="Times New Roman" w:hAnsi="Times New Roman" w:eastAsia="宋体" w:cs="Times New Roman"/>
          <w:b/>
          <w:color w:val="auto"/>
          <w:spacing w:val="4"/>
          <w:sz w:val="21"/>
          <w:szCs w:val="21"/>
          <w:highlight w:val="none"/>
        </w:rPr>
        <w:t>特征年各类车平均辐射声级(7.5m 处 )        单位：dB（A）</w:t>
      </w:r>
    </w:p>
    <w:tbl>
      <w:tblPr>
        <w:tblStyle w:val="21"/>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93"/>
        <w:gridCol w:w="1314"/>
        <w:gridCol w:w="2031"/>
        <w:gridCol w:w="20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9" w:hRule="atLeast"/>
        </w:trPr>
        <w:tc>
          <w:tcPr>
            <w:tcW w:w="2097" w:type="pct"/>
            <w:tcBorders>
              <w:tl2br w:val="single" w:color="000000" w:sz="4" w:space="0"/>
            </w:tcBorders>
            <w:noWrap w:val="0"/>
            <w:vAlign w:val="center"/>
          </w:tcPr>
          <w:p>
            <w:pPr>
              <w:spacing w:line="320" w:lineRule="exact"/>
              <w:ind w:firstLine="210" w:firstLineChars="10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 xml:space="preserve">                  高峰小时pcu/h</w:t>
            </w:r>
          </w:p>
          <w:p>
            <w:pPr>
              <w:spacing w:line="320" w:lineRule="exact"/>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特征年</w:t>
            </w:r>
          </w:p>
        </w:tc>
        <w:tc>
          <w:tcPr>
            <w:tcW w:w="708" w:type="pct"/>
            <w:noWrap w:val="0"/>
            <w:vAlign w:val="center"/>
          </w:tcPr>
          <w:p>
            <w:pPr>
              <w:snapToGrid w:val="0"/>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车型</w:t>
            </w:r>
          </w:p>
        </w:tc>
        <w:tc>
          <w:tcPr>
            <w:tcW w:w="1094" w:type="pct"/>
            <w:noWrap w:val="0"/>
            <w:vAlign w:val="center"/>
          </w:tcPr>
          <w:p>
            <w:pPr>
              <w:snapToGrid w:val="0"/>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昼间</w:t>
            </w:r>
          </w:p>
        </w:tc>
        <w:tc>
          <w:tcPr>
            <w:tcW w:w="1099" w:type="pct"/>
            <w:noWrap w:val="0"/>
            <w:vAlign w:val="center"/>
          </w:tcPr>
          <w:p>
            <w:pPr>
              <w:snapToGrid w:val="0"/>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2097" w:type="pct"/>
            <w:vMerge w:val="restart"/>
            <w:noWrap w:val="0"/>
            <w:vAlign w:val="center"/>
          </w:tcPr>
          <w:p>
            <w:pPr>
              <w:spacing w:line="32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20</w:t>
            </w:r>
            <w:r>
              <w:rPr>
                <w:rFonts w:hint="default" w:ascii="Times New Roman" w:hAnsi="Times New Roman" w:cs="Times New Roman"/>
                <w:bCs/>
                <w:color w:val="auto"/>
                <w:szCs w:val="21"/>
                <w:highlight w:val="none"/>
                <w:lang w:val="en-US" w:eastAsia="zh-CN"/>
              </w:rPr>
              <w:t>2</w:t>
            </w:r>
            <w:r>
              <w:rPr>
                <w:rFonts w:hint="eastAsia" w:ascii="Times New Roman" w:hAnsi="Times New Roman" w:cs="Times New Roman"/>
                <w:bCs/>
                <w:color w:val="auto"/>
                <w:szCs w:val="21"/>
                <w:highlight w:val="none"/>
                <w:lang w:val="en-US" w:eastAsia="zh-CN"/>
              </w:rPr>
              <w:t>4</w:t>
            </w:r>
            <w:r>
              <w:rPr>
                <w:rFonts w:hint="default" w:ascii="Times New Roman" w:hAnsi="Times New Roman" w:cs="Times New Roman"/>
                <w:bCs/>
                <w:color w:val="auto"/>
                <w:szCs w:val="21"/>
                <w:highlight w:val="none"/>
              </w:rPr>
              <w:t>年</w:t>
            </w:r>
          </w:p>
        </w:tc>
        <w:tc>
          <w:tcPr>
            <w:tcW w:w="708" w:type="pct"/>
            <w:noWrap w:val="0"/>
            <w:vAlign w:val="center"/>
          </w:tcPr>
          <w:p>
            <w:pPr>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小型车</w:t>
            </w:r>
          </w:p>
        </w:tc>
        <w:tc>
          <w:tcPr>
            <w:tcW w:w="1094"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54.74</w:t>
            </w:r>
          </w:p>
        </w:tc>
        <w:tc>
          <w:tcPr>
            <w:tcW w:w="1099"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55.11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6" w:hRule="atLeast"/>
        </w:trPr>
        <w:tc>
          <w:tcPr>
            <w:tcW w:w="209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708" w:type="pct"/>
            <w:noWrap w:val="0"/>
            <w:vAlign w:val="center"/>
          </w:tcPr>
          <w:p>
            <w:pPr>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中型车</w:t>
            </w:r>
          </w:p>
        </w:tc>
        <w:tc>
          <w:tcPr>
            <w:tcW w:w="1094"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52.95</w:t>
            </w:r>
          </w:p>
        </w:tc>
        <w:tc>
          <w:tcPr>
            <w:tcW w:w="1099"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52.54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209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708" w:type="pct"/>
            <w:noWrap w:val="0"/>
            <w:vAlign w:val="center"/>
          </w:tcPr>
          <w:p>
            <w:pPr>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大型车</w:t>
            </w:r>
          </w:p>
        </w:tc>
        <w:tc>
          <w:tcPr>
            <w:tcW w:w="1094"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61.51</w:t>
            </w:r>
          </w:p>
        </w:tc>
        <w:tc>
          <w:tcPr>
            <w:tcW w:w="1099"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2097" w:type="pct"/>
            <w:vMerge w:val="restart"/>
            <w:noWrap w:val="0"/>
            <w:vAlign w:val="center"/>
          </w:tcPr>
          <w:p>
            <w:pPr>
              <w:spacing w:line="32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203</w:t>
            </w:r>
            <w:r>
              <w:rPr>
                <w:rFonts w:hint="eastAsia" w:ascii="Times New Roman" w:hAnsi="Times New Roman" w:cs="Times New Roman"/>
                <w:bCs/>
                <w:color w:val="auto"/>
                <w:szCs w:val="21"/>
                <w:highlight w:val="none"/>
                <w:lang w:val="en-US" w:eastAsia="zh-CN"/>
              </w:rPr>
              <w:t>3</w:t>
            </w:r>
            <w:r>
              <w:rPr>
                <w:rFonts w:hint="default" w:ascii="Times New Roman" w:hAnsi="Times New Roman" w:cs="Times New Roman"/>
                <w:bCs/>
                <w:color w:val="auto"/>
                <w:szCs w:val="21"/>
                <w:highlight w:val="none"/>
              </w:rPr>
              <w:t>年</w:t>
            </w:r>
          </w:p>
        </w:tc>
        <w:tc>
          <w:tcPr>
            <w:tcW w:w="708"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cs="Times New Roman"/>
                <w:color w:val="auto"/>
                <w:szCs w:val="21"/>
                <w:highlight w:val="none"/>
              </w:rPr>
              <w:t>小型车</w:t>
            </w:r>
          </w:p>
        </w:tc>
        <w:tc>
          <w:tcPr>
            <w:tcW w:w="1094"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54.57</w:t>
            </w:r>
          </w:p>
        </w:tc>
        <w:tc>
          <w:tcPr>
            <w:tcW w:w="2041" w:type="dxa"/>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eastAsia" w:ascii="Times New Roman" w:hAnsi="Times New Roman" w:eastAsia="等线" w:cs="Times New Roman"/>
                <w:color w:val="auto"/>
                <w:szCs w:val="21"/>
                <w:highlight w:val="none"/>
                <w:lang w:val="en-US" w:eastAsia="zh-CN"/>
              </w:rPr>
              <w:t>55.06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209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708"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cs="Times New Roman"/>
                <w:color w:val="auto"/>
                <w:szCs w:val="21"/>
                <w:highlight w:val="none"/>
              </w:rPr>
              <w:t>中型车</w:t>
            </w:r>
          </w:p>
        </w:tc>
        <w:tc>
          <w:tcPr>
            <w:tcW w:w="1094"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53.03</w:t>
            </w:r>
          </w:p>
        </w:tc>
        <w:tc>
          <w:tcPr>
            <w:tcW w:w="2041" w:type="dxa"/>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eastAsia" w:ascii="Times New Roman" w:hAnsi="Times New Roman" w:eastAsia="等线" w:cs="Times New Roman"/>
                <w:color w:val="auto"/>
                <w:szCs w:val="21"/>
                <w:highlight w:val="none"/>
                <w:lang w:val="en-US" w:eastAsia="zh-CN"/>
              </w:rPr>
              <w:t>52.64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209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708" w:type="pct"/>
            <w:noWrap w:val="0"/>
            <w:vAlign w:val="center"/>
          </w:tcPr>
          <w:p>
            <w:pPr>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大型车</w:t>
            </w:r>
          </w:p>
        </w:tc>
        <w:tc>
          <w:tcPr>
            <w:tcW w:w="1094"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61.59</w:t>
            </w:r>
          </w:p>
        </w:tc>
        <w:tc>
          <w:tcPr>
            <w:tcW w:w="2041" w:type="dxa"/>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eastAsia" w:ascii="Times New Roman" w:hAnsi="Times New Roman" w:eastAsia="等线" w:cs="Times New Roman"/>
                <w:color w:val="auto"/>
                <w:szCs w:val="21"/>
                <w:highlight w:val="none"/>
                <w:lang w:val="en-US" w:eastAsia="zh-CN"/>
              </w:rPr>
              <w:t>61.27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2097" w:type="pct"/>
            <w:vMerge w:val="restart"/>
            <w:noWrap w:val="0"/>
            <w:vAlign w:val="center"/>
          </w:tcPr>
          <w:p>
            <w:pPr>
              <w:spacing w:line="32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20</w:t>
            </w:r>
            <w:r>
              <w:rPr>
                <w:rFonts w:hint="eastAsia" w:ascii="Times New Roman" w:hAnsi="Times New Roman" w:cs="Times New Roman"/>
                <w:bCs/>
                <w:color w:val="auto"/>
                <w:szCs w:val="21"/>
                <w:highlight w:val="none"/>
                <w:lang w:val="en-US" w:eastAsia="zh-CN"/>
              </w:rPr>
              <w:t>43</w:t>
            </w:r>
            <w:r>
              <w:rPr>
                <w:rFonts w:hint="default" w:ascii="Times New Roman" w:hAnsi="Times New Roman" w:cs="Times New Roman"/>
                <w:bCs/>
                <w:color w:val="auto"/>
                <w:szCs w:val="21"/>
                <w:highlight w:val="none"/>
              </w:rPr>
              <w:t>年</w:t>
            </w:r>
          </w:p>
        </w:tc>
        <w:tc>
          <w:tcPr>
            <w:tcW w:w="708"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cs="Times New Roman"/>
                <w:color w:val="auto"/>
                <w:szCs w:val="21"/>
                <w:highlight w:val="none"/>
              </w:rPr>
              <w:t>小型车</w:t>
            </w:r>
          </w:p>
        </w:tc>
        <w:tc>
          <w:tcPr>
            <w:tcW w:w="1094"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54.41</w:t>
            </w:r>
          </w:p>
        </w:tc>
        <w:tc>
          <w:tcPr>
            <w:tcW w:w="1099"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209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708"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cs="Times New Roman"/>
                <w:color w:val="auto"/>
                <w:szCs w:val="21"/>
                <w:highlight w:val="none"/>
              </w:rPr>
              <w:t>中型车</w:t>
            </w:r>
          </w:p>
        </w:tc>
        <w:tc>
          <w:tcPr>
            <w:tcW w:w="1094"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53.07</w:t>
            </w:r>
          </w:p>
        </w:tc>
        <w:tc>
          <w:tcPr>
            <w:tcW w:w="1099"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52.71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6" w:hRule="atLeast"/>
        </w:trPr>
        <w:tc>
          <w:tcPr>
            <w:tcW w:w="209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708" w:type="pct"/>
            <w:noWrap w:val="0"/>
            <w:vAlign w:val="center"/>
          </w:tcPr>
          <w:p>
            <w:pPr>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大型车</w:t>
            </w:r>
          </w:p>
        </w:tc>
        <w:tc>
          <w:tcPr>
            <w:tcW w:w="1094"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61.63</w:t>
            </w:r>
          </w:p>
        </w:tc>
        <w:tc>
          <w:tcPr>
            <w:tcW w:w="1099"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61.33</w:t>
            </w:r>
          </w:p>
        </w:tc>
      </w:tr>
    </w:tbl>
    <w:p>
      <w:pPr>
        <w:spacing w:line="480" w:lineRule="exact"/>
        <w:ind w:firstLine="480" w:firstLineChars="200"/>
        <w:jc w:val="left"/>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（3）声环境影响预测与评价</w:t>
      </w:r>
    </w:p>
    <w:p>
      <w:pPr>
        <w:spacing w:line="480" w:lineRule="exact"/>
        <w:ind w:firstLine="480" w:firstLineChars="200"/>
        <w:jc w:val="left"/>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①交通噪声贡献值预测结果分析</w:t>
      </w:r>
    </w:p>
    <w:p>
      <w:pPr>
        <w:spacing w:line="480" w:lineRule="exact"/>
        <w:ind w:firstLine="480" w:firstLineChars="200"/>
        <w:jc w:val="left"/>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近期、中期、远期的交通噪声贡献值预测结果见表1-10至表1-12。</w:t>
      </w:r>
    </w:p>
    <w:p>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color w:val="auto"/>
          <w:spacing w:val="4"/>
          <w:sz w:val="21"/>
          <w:szCs w:val="21"/>
          <w:highlight w:val="none"/>
        </w:rPr>
      </w:pPr>
      <w:r>
        <w:rPr>
          <w:rFonts w:hint="default" w:ascii="Times New Roman" w:hAnsi="Times New Roman" w:eastAsia="宋体" w:cs="Times New Roman"/>
          <w:b/>
          <w:color w:val="auto"/>
          <w:spacing w:val="4"/>
          <w:sz w:val="21"/>
          <w:szCs w:val="21"/>
          <w:highlight w:val="none"/>
        </w:rPr>
        <w:t>表1-10</w:t>
      </w:r>
      <w:r>
        <w:rPr>
          <w:rFonts w:hint="eastAsia" w:ascii="Times New Roman" w:hAnsi="Times New Roman" w:eastAsia="宋体" w:cs="Times New Roman"/>
          <w:b/>
          <w:color w:val="auto"/>
          <w:spacing w:val="4"/>
          <w:sz w:val="21"/>
          <w:szCs w:val="21"/>
          <w:highlight w:val="none"/>
          <w:lang w:val="en-US" w:eastAsia="zh-CN"/>
        </w:rPr>
        <w:t>a</w:t>
      </w:r>
      <w:r>
        <w:rPr>
          <w:rFonts w:hint="default" w:ascii="Times New Roman" w:hAnsi="Times New Roman" w:eastAsia="宋体" w:cs="Times New Roman"/>
          <w:b/>
          <w:color w:val="auto"/>
          <w:spacing w:val="4"/>
          <w:sz w:val="21"/>
          <w:szCs w:val="21"/>
          <w:highlight w:val="none"/>
        </w:rPr>
        <w:t xml:space="preserve">  </w:t>
      </w:r>
      <w:r>
        <w:rPr>
          <w:rFonts w:hint="eastAsia" w:ascii="Times New Roman" w:hAnsi="Times New Roman" w:eastAsia="宋体" w:cs="Times New Roman"/>
          <w:b/>
          <w:color w:val="auto"/>
          <w:spacing w:val="4"/>
          <w:sz w:val="21"/>
          <w:szCs w:val="21"/>
          <w:highlight w:val="none"/>
          <w:lang w:val="en-US" w:eastAsia="zh-CN"/>
        </w:rPr>
        <w:t>东外环</w:t>
      </w:r>
      <w:r>
        <w:rPr>
          <w:rFonts w:hint="default" w:ascii="Times New Roman" w:hAnsi="Times New Roman" w:eastAsia="宋体" w:cs="Times New Roman"/>
          <w:b/>
          <w:color w:val="auto"/>
          <w:spacing w:val="4"/>
          <w:sz w:val="21"/>
          <w:szCs w:val="21"/>
          <w:highlight w:val="none"/>
        </w:rPr>
        <w:t>路段近期（202</w:t>
      </w:r>
      <w:r>
        <w:rPr>
          <w:rFonts w:hint="eastAsia" w:ascii="Times New Roman" w:hAnsi="Times New Roman" w:eastAsia="宋体" w:cs="Times New Roman"/>
          <w:b/>
          <w:color w:val="auto"/>
          <w:spacing w:val="4"/>
          <w:sz w:val="21"/>
          <w:szCs w:val="21"/>
          <w:highlight w:val="none"/>
          <w:lang w:val="en-US" w:eastAsia="zh-CN"/>
        </w:rPr>
        <w:t>4</w:t>
      </w:r>
      <w:r>
        <w:rPr>
          <w:rFonts w:hint="default" w:ascii="Times New Roman" w:hAnsi="Times New Roman" w:eastAsia="宋体" w:cs="Times New Roman"/>
          <w:b/>
          <w:color w:val="auto"/>
          <w:spacing w:val="4"/>
          <w:sz w:val="21"/>
          <w:szCs w:val="21"/>
          <w:highlight w:val="none"/>
        </w:rPr>
        <w:t>年）交通噪声贡献值  单位：dB（A）</w:t>
      </w:r>
    </w:p>
    <w:tbl>
      <w:tblPr>
        <w:tblStyle w:val="21"/>
        <w:tblW w:w="5000" w:type="pct"/>
        <w:tblInd w:w="12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11"/>
        <w:gridCol w:w="2120"/>
        <w:gridCol w:w="2131"/>
        <w:gridCol w:w="21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708" w:type="pct"/>
            <w:gridSpan w:val="2"/>
            <w:noWrap w:val="0"/>
            <w:vAlign w:val="center"/>
          </w:tcPr>
          <w:p>
            <w:pPr>
              <w:snapToGrid w:val="0"/>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时段</w:t>
            </w:r>
          </w:p>
        </w:tc>
        <w:tc>
          <w:tcPr>
            <w:tcW w:w="1147" w:type="pct"/>
            <w:noWrap w:val="0"/>
            <w:vAlign w:val="center"/>
          </w:tcPr>
          <w:p>
            <w:pPr>
              <w:snapToGrid w:val="0"/>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昼间</w:t>
            </w:r>
          </w:p>
        </w:tc>
        <w:tc>
          <w:tcPr>
            <w:tcW w:w="1143" w:type="pct"/>
            <w:noWrap w:val="0"/>
            <w:vAlign w:val="center"/>
          </w:tcPr>
          <w:p>
            <w:pPr>
              <w:snapToGrid w:val="0"/>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restart"/>
            <w:noWrap w:val="0"/>
            <w:vAlign w:val="center"/>
          </w:tcPr>
          <w:p>
            <w:pPr>
              <w:spacing w:line="32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距离中心线距离（m）</w:t>
            </w:r>
          </w:p>
        </w:tc>
        <w:tc>
          <w:tcPr>
            <w:tcW w:w="1140" w:type="pct"/>
            <w:noWrap w:val="0"/>
            <w:vAlign w:val="center"/>
          </w:tcPr>
          <w:p>
            <w:pPr>
              <w:widowControl/>
              <w:spacing w:line="320" w:lineRule="exact"/>
              <w:jc w:val="center"/>
              <w:rPr>
                <w:rFonts w:hint="default" w:ascii="Times New Roman" w:hAnsi="Times New Roman" w:eastAsia="等线" w:cs="Times New Roman"/>
                <w:color w:val="auto"/>
                <w:kern w:val="0"/>
                <w:szCs w:val="21"/>
                <w:highlight w:val="none"/>
              </w:rPr>
            </w:pPr>
            <w:r>
              <w:rPr>
                <w:rFonts w:hint="default" w:ascii="Times New Roman" w:hAnsi="Times New Roman" w:eastAsia="等线" w:cs="Times New Roman"/>
                <w:color w:val="auto"/>
                <w:kern w:val="0"/>
                <w:szCs w:val="21"/>
                <w:highlight w:val="none"/>
              </w:rPr>
              <w:t>20</w:t>
            </w:r>
          </w:p>
        </w:tc>
        <w:tc>
          <w:tcPr>
            <w:tcW w:w="1147" w:type="pct"/>
            <w:noWrap w:val="0"/>
            <w:vAlign w:val="top"/>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63.17</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40</w:t>
            </w:r>
          </w:p>
        </w:tc>
        <w:tc>
          <w:tcPr>
            <w:tcW w:w="1147" w:type="pct"/>
            <w:noWrap w:val="0"/>
            <w:vAlign w:val="top"/>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60.17</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57.07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60</w:t>
            </w:r>
          </w:p>
        </w:tc>
        <w:tc>
          <w:tcPr>
            <w:tcW w:w="1147" w:type="pct"/>
            <w:noWrap w:val="0"/>
            <w:vAlign w:val="top"/>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58.33</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55.24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80</w:t>
            </w:r>
          </w:p>
        </w:tc>
        <w:tc>
          <w:tcPr>
            <w:tcW w:w="1147" w:type="pct"/>
            <w:noWrap w:val="0"/>
            <w:vAlign w:val="top"/>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56.99</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53.90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100</w:t>
            </w:r>
          </w:p>
        </w:tc>
        <w:tc>
          <w:tcPr>
            <w:tcW w:w="1147" w:type="pct"/>
            <w:noWrap w:val="0"/>
            <w:vAlign w:val="top"/>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55.93</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52.84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120</w:t>
            </w:r>
          </w:p>
        </w:tc>
        <w:tc>
          <w:tcPr>
            <w:tcW w:w="1147" w:type="pct"/>
            <w:noWrap w:val="0"/>
            <w:vAlign w:val="top"/>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55.04</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51.95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140</w:t>
            </w:r>
          </w:p>
        </w:tc>
        <w:tc>
          <w:tcPr>
            <w:tcW w:w="1147" w:type="pct"/>
            <w:noWrap w:val="0"/>
            <w:vAlign w:val="top"/>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54.28</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160</w:t>
            </w:r>
          </w:p>
        </w:tc>
        <w:tc>
          <w:tcPr>
            <w:tcW w:w="1147" w:type="pct"/>
            <w:noWrap w:val="0"/>
            <w:vAlign w:val="top"/>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53.61</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50.51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180</w:t>
            </w:r>
          </w:p>
        </w:tc>
        <w:tc>
          <w:tcPr>
            <w:tcW w:w="1147" w:type="pct"/>
            <w:noWrap w:val="0"/>
            <w:vAlign w:val="top"/>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53.01</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49.92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200</w:t>
            </w:r>
          </w:p>
        </w:tc>
        <w:tc>
          <w:tcPr>
            <w:tcW w:w="1147" w:type="pct"/>
            <w:noWrap w:val="0"/>
            <w:vAlign w:val="top"/>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52.46</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49.37</w:t>
            </w:r>
          </w:p>
        </w:tc>
      </w:tr>
    </w:tbl>
    <w:p>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color w:val="auto"/>
          <w:spacing w:val="4"/>
          <w:sz w:val="21"/>
          <w:szCs w:val="21"/>
          <w:highlight w:val="none"/>
        </w:rPr>
      </w:pPr>
      <w:r>
        <w:rPr>
          <w:rFonts w:hint="default" w:ascii="Times New Roman" w:hAnsi="Times New Roman" w:eastAsia="宋体" w:cs="Times New Roman"/>
          <w:b/>
          <w:color w:val="auto"/>
          <w:spacing w:val="4"/>
          <w:sz w:val="21"/>
          <w:szCs w:val="21"/>
          <w:highlight w:val="none"/>
        </w:rPr>
        <w:t>表1-1</w:t>
      </w:r>
      <w:r>
        <w:rPr>
          <w:rFonts w:hint="eastAsia" w:ascii="Times New Roman" w:hAnsi="Times New Roman" w:eastAsia="宋体" w:cs="Times New Roman"/>
          <w:b/>
          <w:color w:val="auto"/>
          <w:spacing w:val="4"/>
          <w:sz w:val="21"/>
          <w:szCs w:val="21"/>
          <w:highlight w:val="none"/>
          <w:lang w:val="en-US" w:eastAsia="zh-CN"/>
        </w:rPr>
        <w:t>0b</w:t>
      </w:r>
      <w:r>
        <w:rPr>
          <w:rFonts w:hint="default" w:ascii="Times New Roman" w:hAnsi="Times New Roman" w:eastAsia="宋体" w:cs="Times New Roman"/>
          <w:b/>
          <w:color w:val="auto"/>
          <w:spacing w:val="4"/>
          <w:sz w:val="21"/>
          <w:szCs w:val="21"/>
          <w:highlight w:val="none"/>
        </w:rPr>
        <w:t xml:space="preserve">  </w:t>
      </w:r>
      <w:r>
        <w:rPr>
          <w:rFonts w:hint="eastAsia" w:ascii="Times New Roman" w:hAnsi="Times New Roman" w:eastAsia="宋体" w:cs="Times New Roman"/>
          <w:b/>
          <w:color w:val="auto"/>
          <w:spacing w:val="4"/>
          <w:sz w:val="21"/>
          <w:szCs w:val="21"/>
          <w:highlight w:val="none"/>
          <w:lang w:val="en-US" w:eastAsia="zh-CN"/>
        </w:rPr>
        <w:t>东外环</w:t>
      </w:r>
      <w:r>
        <w:rPr>
          <w:rFonts w:hint="default" w:ascii="Times New Roman" w:hAnsi="Times New Roman" w:eastAsia="宋体" w:cs="Times New Roman"/>
          <w:b/>
          <w:color w:val="auto"/>
          <w:spacing w:val="4"/>
          <w:sz w:val="21"/>
          <w:szCs w:val="21"/>
          <w:highlight w:val="none"/>
        </w:rPr>
        <w:t>路段中期（203</w:t>
      </w:r>
      <w:r>
        <w:rPr>
          <w:rFonts w:hint="eastAsia" w:ascii="Times New Roman" w:hAnsi="Times New Roman" w:eastAsia="宋体" w:cs="Times New Roman"/>
          <w:b/>
          <w:color w:val="auto"/>
          <w:spacing w:val="4"/>
          <w:sz w:val="21"/>
          <w:szCs w:val="21"/>
          <w:highlight w:val="none"/>
          <w:lang w:val="en-US" w:eastAsia="zh-CN"/>
        </w:rPr>
        <w:t>3</w:t>
      </w:r>
      <w:r>
        <w:rPr>
          <w:rFonts w:hint="default" w:ascii="Times New Roman" w:hAnsi="Times New Roman" w:eastAsia="宋体" w:cs="Times New Roman"/>
          <w:b/>
          <w:color w:val="auto"/>
          <w:spacing w:val="4"/>
          <w:sz w:val="21"/>
          <w:szCs w:val="21"/>
          <w:highlight w:val="none"/>
        </w:rPr>
        <w:t>年）交通噪声贡献值  单位：dB（A）</w:t>
      </w:r>
    </w:p>
    <w:tbl>
      <w:tblPr>
        <w:tblStyle w:val="21"/>
        <w:tblW w:w="5000" w:type="pct"/>
        <w:tblInd w:w="12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11"/>
        <w:gridCol w:w="2120"/>
        <w:gridCol w:w="2131"/>
        <w:gridCol w:w="21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708" w:type="pct"/>
            <w:gridSpan w:val="2"/>
            <w:noWrap w:val="0"/>
            <w:vAlign w:val="center"/>
          </w:tcPr>
          <w:p>
            <w:pPr>
              <w:snapToGrid w:val="0"/>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时段</w:t>
            </w:r>
          </w:p>
        </w:tc>
        <w:tc>
          <w:tcPr>
            <w:tcW w:w="1147" w:type="pct"/>
            <w:noWrap w:val="0"/>
            <w:vAlign w:val="center"/>
          </w:tcPr>
          <w:p>
            <w:pPr>
              <w:snapToGrid w:val="0"/>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昼间</w:t>
            </w:r>
          </w:p>
        </w:tc>
        <w:tc>
          <w:tcPr>
            <w:tcW w:w="1143" w:type="pct"/>
            <w:noWrap w:val="0"/>
            <w:vAlign w:val="center"/>
          </w:tcPr>
          <w:p>
            <w:pPr>
              <w:snapToGrid w:val="0"/>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restart"/>
            <w:noWrap w:val="0"/>
            <w:vAlign w:val="center"/>
          </w:tcPr>
          <w:p>
            <w:pPr>
              <w:spacing w:line="32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距离中心线距离（m）</w:t>
            </w:r>
          </w:p>
        </w:tc>
        <w:tc>
          <w:tcPr>
            <w:tcW w:w="1140" w:type="pct"/>
            <w:noWrap w:val="0"/>
            <w:vAlign w:val="center"/>
          </w:tcPr>
          <w:p>
            <w:pPr>
              <w:widowControl/>
              <w:spacing w:line="320" w:lineRule="exact"/>
              <w:jc w:val="center"/>
              <w:rPr>
                <w:rFonts w:hint="default" w:ascii="Times New Roman" w:hAnsi="Times New Roman" w:eastAsia="等线" w:cs="Times New Roman"/>
                <w:color w:val="auto"/>
                <w:kern w:val="0"/>
                <w:szCs w:val="21"/>
                <w:highlight w:val="none"/>
              </w:rPr>
            </w:pPr>
            <w:r>
              <w:rPr>
                <w:rFonts w:hint="default" w:ascii="Times New Roman" w:hAnsi="Times New Roman" w:eastAsia="等线" w:cs="Times New Roman"/>
                <w:color w:val="auto"/>
                <w:kern w:val="0"/>
                <w:szCs w:val="21"/>
                <w:highlight w:val="none"/>
              </w:rPr>
              <w:t>20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66.14</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63.04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40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63.14</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60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61.31</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58.21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80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59.96</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56.86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100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58.91</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55.80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120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58.02</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54.92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140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57.25</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54.15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160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56.58</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53.48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180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55.98</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52.88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200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55.44</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52.34</w:t>
            </w:r>
          </w:p>
        </w:tc>
      </w:tr>
    </w:tbl>
    <w:p>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color w:val="auto"/>
          <w:spacing w:val="4"/>
          <w:sz w:val="21"/>
          <w:szCs w:val="21"/>
          <w:highlight w:val="none"/>
        </w:rPr>
      </w:pPr>
      <w:r>
        <w:rPr>
          <w:rFonts w:hint="default" w:ascii="Times New Roman" w:hAnsi="Times New Roman" w:eastAsia="宋体" w:cs="Times New Roman"/>
          <w:b/>
          <w:color w:val="auto"/>
          <w:spacing w:val="4"/>
          <w:sz w:val="21"/>
          <w:szCs w:val="21"/>
          <w:highlight w:val="none"/>
        </w:rPr>
        <w:t>表1-1</w:t>
      </w:r>
      <w:r>
        <w:rPr>
          <w:rFonts w:hint="eastAsia" w:ascii="Times New Roman" w:hAnsi="Times New Roman" w:eastAsia="宋体" w:cs="Times New Roman"/>
          <w:b/>
          <w:color w:val="auto"/>
          <w:spacing w:val="4"/>
          <w:sz w:val="21"/>
          <w:szCs w:val="21"/>
          <w:highlight w:val="none"/>
          <w:lang w:val="en-US" w:eastAsia="zh-CN"/>
        </w:rPr>
        <w:t>0c</w:t>
      </w:r>
      <w:r>
        <w:rPr>
          <w:rFonts w:hint="default" w:ascii="Times New Roman" w:hAnsi="Times New Roman" w:eastAsia="宋体" w:cs="Times New Roman"/>
          <w:b/>
          <w:color w:val="auto"/>
          <w:spacing w:val="4"/>
          <w:sz w:val="21"/>
          <w:szCs w:val="21"/>
          <w:highlight w:val="none"/>
        </w:rPr>
        <w:t xml:space="preserve">  </w:t>
      </w:r>
      <w:r>
        <w:rPr>
          <w:rFonts w:hint="eastAsia" w:ascii="Times New Roman" w:hAnsi="Times New Roman" w:eastAsia="宋体" w:cs="Times New Roman"/>
          <w:b/>
          <w:color w:val="auto"/>
          <w:spacing w:val="4"/>
          <w:sz w:val="21"/>
          <w:szCs w:val="21"/>
          <w:highlight w:val="none"/>
          <w:lang w:val="en-US" w:eastAsia="zh-CN"/>
        </w:rPr>
        <w:t>东外环</w:t>
      </w:r>
      <w:r>
        <w:rPr>
          <w:rFonts w:hint="default" w:ascii="Times New Roman" w:hAnsi="Times New Roman" w:eastAsia="宋体" w:cs="Times New Roman"/>
          <w:b/>
          <w:color w:val="auto"/>
          <w:spacing w:val="4"/>
          <w:sz w:val="21"/>
          <w:szCs w:val="21"/>
          <w:highlight w:val="none"/>
        </w:rPr>
        <w:t>路段远期（20</w:t>
      </w:r>
      <w:r>
        <w:rPr>
          <w:rFonts w:hint="eastAsia" w:ascii="Times New Roman" w:hAnsi="Times New Roman" w:eastAsia="宋体" w:cs="Times New Roman"/>
          <w:b/>
          <w:color w:val="auto"/>
          <w:spacing w:val="4"/>
          <w:sz w:val="21"/>
          <w:szCs w:val="21"/>
          <w:highlight w:val="none"/>
          <w:lang w:val="en-US" w:eastAsia="zh-CN"/>
        </w:rPr>
        <w:t>43</w:t>
      </w:r>
      <w:r>
        <w:rPr>
          <w:rFonts w:hint="default" w:ascii="Times New Roman" w:hAnsi="Times New Roman" w:eastAsia="宋体" w:cs="Times New Roman"/>
          <w:b/>
          <w:color w:val="auto"/>
          <w:spacing w:val="4"/>
          <w:sz w:val="21"/>
          <w:szCs w:val="21"/>
          <w:highlight w:val="none"/>
        </w:rPr>
        <w:t>年）交通噪声贡献值  单位：dB（A）</w:t>
      </w:r>
    </w:p>
    <w:tbl>
      <w:tblPr>
        <w:tblStyle w:val="21"/>
        <w:tblW w:w="5000" w:type="pct"/>
        <w:tblInd w:w="12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11"/>
        <w:gridCol w:w="2120"/>
        <w:gridCol w:w="2131"/>
        <w:gridCol w:w="21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708" w:type="pct"/>
            <w:gridSpan w:val="2"/>
            <w:noWrap w:val="0"/>
            <w:vAlign w:val="center"/>
          </w:tcPr>
          <w:p>
            <w:pPr>
              <w:snapToGrid w:val="0"/>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时段</w:t>
            </w:r>
          </w:p>
        </w:tc>
        <w:tc>
          <w:tcPr>
            <w:tcW w:w="1147" w:type="pct"/>
            <w:noWrap w:val="0"/>
            <w:vAlign w:val="center"/>
          </w:tcPr>
          <w:p>
            <w:pPr>
              <w:snapToGrid w:val="0"/>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昼间</w:t>
            </w:r>
          </w:p>
        </w:tc>
        <w:tc>
          <w:tcPr>
            <w:tcW w:w="1143" w:type="pct"/>
            <w:noWrap w:val="0"/>
            <w:vAlign w:val="center"/>
          </w:tcPr>
          <w:p>
            <w:pPr>
              <w:snapToGrid w:val="0"/>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restart"/>
            <w:noWrap w:val="0"/>
            <w:vAlign w:val="center"/>
          </w:tcPr>
          <w:p>
            <w:pPr>
              <w:spacing w:line="32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距离中心线距离（m）</w:t>
            </w:r>
          </w:p>
        </w:tc>
        <w:tc>
          <w:tcPr>
            <w:tcW w:w="1140" w:type="pct"/>
            <w:noWrap w:val="0"/>
            <w:vAlign w:val="center"/>
          </w:tcPr>
          <w:p>
            <w:pPr>
              <w:widowControl/>
              <w:spacing w:line="320" w:lineRule="exact"/>
              <w:jc w:val="center"/>
              <w:rPr>
                <w:rFonts w:hint="default" w:ascii="Times New Roman" w:hAnsi="Times New Roman" w:eastAsia="等线" w:cs="Times New Roman"/>
                <w:color w:val="auto"/>
                <w:kern w:val="0"/>
                <w:szCs w:val="21"/>
                <w:highlight w:val="none"/>
              </w:rPr>
            </w:pPr>
            <w:r>
              <w:rPr>
                <w:rFonts w:hint="default" w:ascii="Times New Roman" w:hAnsi="Times New Roman" w:eastAsia="等线" w:cs="Times New Roman"/>
                <w:color w:val="auto"/>
                <w:kern w:val="0"/>
                <w:szCs w:val="21"/>
                <w:highlight w:val="none"/>
              </w:rPr>
              <w:t>20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67.75</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64.69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40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64.75</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61.69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60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62.92</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59.86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80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61.58</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58.52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100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60.52</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57.46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120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59.63</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56.57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140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58.87</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55.81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160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58.20</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55.13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180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57.60</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54.53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200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57.05</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53.99</w:t>
            </w:r>
          </w:p>
        </w:tc>
      </w:tr>
    </w:tbl>
    <w:p>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color w:val="auto"/>
          <w:spacing w:val="4"/>
          <w:sz w:val="21"/>
          <w:szCs w:val="21"/>
          <w:highlight w:val="none"/>
        </w:rPr>
      </w:pPr>
      <w:r>
        <w:rPr>
          <w:rFonts w:hint="default" w:ascii="Times New Roman" w:hAnsi="Times New Roman" w:eastAsia="宋体" w:cs="Times New Roman"/>
          <w:b/>
          <w:color w:val="auto"/>
          <w:spacing w:val="4"/>
          <w:sz w:val="21"/>
          <w:szCs w:val="21"/>
          <w:highlight w:val="none"/>
        </w:rPr>
        <w:t>表1-1</w:t>
      </w:r>
      <w:r>
        <w:rPr>
          <w:rFonts w:hint="eastAsia" w:ascii="Times New Roman" w:hAnsi="Times New Roman" w:eastAsia="宋体" w:cs="Times New Roman"/>
          <w:b/>
          <w:color w:val="auto"/>
          <w:spacing w:val="4"/>
          <w:sz w:val="21"/>
          <w:szCs w:val="21"/>
          <w:highlight w:val="none"/>
          <w:lang w:val="en-US" w:eastAsia="zh-CN"/>
        </w:rPr>
        <w:t>1a</w:t>
      </w:r>
      <w:r>
        <w:rPr>
          <w:rFonts w:hint="default" w:ascii="Times New Roman" w:hAnsi="Times New Roman" w:eastAsia="宋体" w:cs="Times New Roman"/>
          <w:b/>
          <w:color w:val="auto"/>
          <w:spacing w:val="4"/>
          <w:sz w:val="21"/>
          <w:szCs w:val="21"/>
          <w:highlight w:val="none"/>
        </w:rPr>
        <w:t xml:space="preserve">  </w:t>
      </w:r>
      <w:r>
        <w:rPr>
          <w:rFonts w:hint="eastAsia" w:ascii="Times New Roman" w:hAnsi="Times New Roman" w:eastAsia="宋体" w:cs="Times New Roman"/>
          <w:b/>
          <w:color w:val="auto"/>
          <w:spacing w:val="4"/>
          <w:sz w:val="21"/>
          <w:szCs w:val="21"/>
          <w:highlight w:val="none"/>
          <w:lang w:val="en-US" w:eastAsia="zh-CN"/>
        </w:rPr>
        <w:t>湖滨大街西延</w:t>
      </w:r>
      <w:r>
        <w:rPr>
          <w:rFonts w:hint="default" w:ascii="Times New Roman" w:hAnsi="Times New Roman" w:eastAsia="宋体" w:cs="Times New Roman"/>
          <w:b/>
          <w:color w:val="auto"/>
          <w:spacing w:val="4"/>
          <w:sz w:val="21"/>
          <w:szCs w:val="21"/>
          <w:highlight w:val="none"/>
        </w:rPr>
        <w:t>路段近期（202</w:t>
      </w:r>
      <w:r>
        <w:rPr>
          <w:rFonts w:hint="eastAsia" w:ascii="Times New Roman" w:hAnsi="Times New Roman" w:eastAsia="宋体" w:cs="Times New Roman"/>
          <w:b/>
          <w:color w:val="auto"/>
          <w:spacing w:val="4"/>
          <w:sz w:val="21"/>
          <w:szCs w:val="21"/>
          <w:highlight w:val="none"/>
          <w:lang w:val="en-US" w:eastAsia="zh-CN"/>
        </w:rPr>
        <w:t>4</w:t>
      </w:r>
      <w:r>
        <w:rPr>
          <w:rFonts w:hint="default" w:ascii="Times New Roman" w:hAnsi="Times New Roman" w:eastAsia="宋体" w:cs="Times New Roman"/>
          <w:b/>
          <w:color w:val="auto"/>
          <w:spacing w:val="4"/>
          <w:sz w:val="21"/>
          <w:szCs w:val="21"/>
          <w:highlight w:val="none"/>
        </w:rPr>
        <w:t>年）交通噪声贡献值  单位：dB（A）</w:t>
      </w:r>
    </w:p>
    <w:tbl>
      <w:tblPr>
        <w:tblStyle w:val="21"/>
        <w:tblW w:w="5000" w:type="pct"/>
        <w:tblInd w:w="12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11"/>
        <w:gridCol w:w="2120"/>
        <w:gridCol w:w="2131"/>
        <w:gridCol w:w="21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708" w:type="pct"/>
            <w:gridSpan w:val="2"/>
            <w:noWrap w:val="0"/>
            <w:vAlign w:val="center"/>
          </w:tcPr>
          <w:p>
            <w:pPr>
              <w:snapToGrid w:val="0"/>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时段</w:t>
            </w:r>
          </w:p>
        </w:tc>
        <w:tc>
          <w:tcPr>
            <w:tcW w:w="1147" w:type="pct"/>
            <w:noWrap w:val="0"/>
            <w:vAlign w:val="center"/>
          </w:tcPr>
          <w:p>
            <w:pPr>
              <w:snapToGrid w:val="0"/>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昼间</w:t>
            </w:r>
          </w:p>
        </w:tc>
        <w:tc>
          <w:tcPr>
            <w:tcW w:w="1143" w:type="pct"/>
            <w:noWrap w:val="0"/>
            <w:vAlign w:val="center"/>
          </w:tcPr>
          <w:p>
            <w:pPr>
              <w:snapToGrid w:val="0"/>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restart"/>
            <w:noWrap w:val="0"/>
            <w:vAlign w:val="center"/>
          </w:tcPr>
          <w:p>
            <w:pPr>
              <w:spacing w:line="32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距离中心线距离（m）</w:t>
            </w:r>
          </w:p>
        </w:tc>
        <w:tc>
          <w:tcPr>
            <w:tcW w:w="1140" w:type="pct"/>
            <w:noWrap w:val="0"/>
            <w:vAlign w:val="center"/>
          </w:tcPr>
          <w:p>
            <w:pPr>
              <w:widowControl/>
              <w:spacing w:line="320" w:lineRule="exact"/>
              <w:jc w:val="center"/>
              <w:rPr>
                <w:rFonts w:hint="default" w:ascii="Times New Roman" w:hAnsi="Times New Roman" w:eastAsia="等线" w:cs="Times New Roman"/>
                <w:color w:val="auto"/>
                <w:kern w:val="0"/>
                <w:szCs w:val="21"/>
                <w:highlight w:val="none"/>
              </w:rPr>
            </w:pPr>
            <w:r>
              <w:rPr>
                <w:rFonts w:hint="default" w:ascii="Times New Roman" w:hAnsi="Times New Roman" w:eastAsia="等线" w:cs="Times New Roman"/>
                <w:color w:val="auto"/>
                <w:kern w:val="0"/>
                <w:szCs w:val="21"/>
                <w:highlight w:val="none"/>
              </w:rPr>
              <w:t>20</w:t>
            </w:r>
          </w:p>
        </w:tc>
        <w:tc>
          <w:tcPr>
            <w:tcW w:w="1147" w:type="pct"/>
            <w:noWrap w:val="0"/>
            <w:vAlign w:val="top"/>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62.91</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59.77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40</w:t>
            </w:r>
          </w:p>
        </w:tc>
        <w:tc>
          <w:tcPr>
            <w:tcW w:w="1147" w:type="pct"/>
            <w:noWrap w:val="0"/>
            <w:vAlign w:val="top"/>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59.92</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56.79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60</w:t>
            </w:r>
          </w:p>
        </w:tc>
        <w:tc>
          <w:tcPr>
            <w:tcW w:w="1147" w:type="pct"/>
            <w:noWrap w:val="0"/>
            <w:vAlign w:val="top"/>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58.07</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54.93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80</w:t>
            </w:r>
          </w:p>
        </w:tc>
        <w:tc>
          <w:tcPr>
            <w:tcW w:w="1147" w:type="pct"/>
            <w:noWrap w:val="0"/>
            <w:vAlign w:val="top"/>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56.70</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53.56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100</w:t>
            </w:r>
          </w:p>
        </w:tc>
        <w:tc>
          <w:tcPr>
            <w:tcW w:w="1147" w:type="pct"/>
            <w:noWrap w:val="0"/>
            <w:vAlign w:val="top"/>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55.60</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52.47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120</w:t>
            </w:r>
          </w:p>
        </w:tc>
        <w:tc>
          <w:tcPr>
            <w:tcW w:w="1147" w:type="pct"/>
            <w:noWrap w:val="0"/>
            <w:vAlign w:val="top"/>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54.68</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51.54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140</w:t>
            </w:r>
          </w:p>
        </w:tc>
        <w:tc>
          <w:tcPr>
            <w:tcW w:w="1147" w:type="pct"/>
            <w:noWrap w:val="0"/>
            <w:vAlign w:val="top"/>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53.88</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50.74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160</w:t>
            </w:r>
          </w:p>
        </w:tc>
        <w:tc>
          <w:tcPr>
            <w:tcW w:w="1147" w:type="pct"/>
            <w:noWrap w:val="0"/>
            <w:vAlign w:val="top"/>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53.16</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180</w:t>
            </w:r>
          </w:p>
        </w:tc>
        <w:tc>
          <w:tcPr>
            <w:tcW w:w="1147" w:type="pct"/>
            <w:noWrap w:val="0"/>
            <w:vAlign w:val="top"/>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52.51</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49.38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200</w:t>
            </w:r>
          </w:p>
        </w:tc>
        <w:tc>
          <w:tcPr>
            <w:tcW w:w="1147" w:type="pct"/>
            <w:noWrap w:val="0"/>
            <w:vAlign w:val="top"/>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51.92</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48.78</w:t>
            </w:r>
          </w:p>
        </w:tc>
      </w:tr>
    </w:tbl>
    <w:p>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color w:val="auto"/>
          <w:spacing w:val="4"/>
          <w:sz w:val="21"/>
          <w:szCs w:val="21"/>
          <w:highlight w:val="none"/>
        </w:rPr>
      </w:pPr>
      <w:r>
        <w:rPr>
          <w:rFonts w:hint="default" w:ascii="Times New Roman" w:hAnsi="Times New Roman" w:eastAsia="宋体" w:cs="Times New Roman"/>
          <w:b/>
          <w:color w:val="auto"/>
          <w:spacing w:val="4"/>
          <w:sz w:val="21"/>
          <w:szCs w:val="21"/>
          <w:highlight w:val="none"/>
        </w:rPr>
        <w:t>表1-1</w:t>
      </w:r>
      <w:r>
        <w:rPr>
          <w:rFonts w:hint="eastAsia" w:ascii="Times New Roman" w:hAnsi="Times New Roman" w:eastAsia="宋体" w:cs="Times New Roman"/>
          <w:b/>
          <w:color w:val="auto"/>
          <w:spacing w:val="4"/>
          <w:sz w:val="21"/>
          <w:szCs w:val="21"/>
          <w:highlight w:val="none"/>
          <w:lang w:val="en-US" w:eastAsia="zh-CN"/>
        </w:rPr>
        <w:t>1b</w:t>
      </w:r>
      <w:r>
        <w:rPr>
          <w:rFonts w:hint="default" w:ascii="Times New Roman" w:hAnsi="Times New Roman" w:eastAsia="宋体" w:cs="Times New Roman"/>
          <w:b/>
          <w:color w:val="auto"/>
          <w:spacing w:val="4"/>
          <w:sz w:val="21"/>
          <w:szCs w:val="21"/>
          <w:highlight w:val="none"/>
        </w:rPr>
        <w:t xml:space="preserve">  </w:t>
      </w:r>
      <w:r>
        <w:rPr>
          <w:rFonts w:hint="eastAsia" w:ascii="Times New Roman" w:hAnsi="Times New Roman" w:eastAsia="宋体" w:cs="Times New Roman"/>
          <w:b/>
          <w:color w:val="auto"/>
          <w:spacing w:val="4"/>
          <w:sz w:val="21"/>
          <w:szCs w:val="21"/>
          <w:highlight w:val="none"/>
          <w:lang w:val="en-US" w:eastAsia="zh-CN"/>
        </w:rPr>
        <w:t>湖滨大街西延</w:t>
      </w:r>
      <w:r>
        <w:rPr>
          <w:rFonts w:hint="default" w:ascii="Times New Roman" w:hAnsi="Times New Roman" w:eastAsia="宋体" w:cs="Times New Roman"/>
          <w:b/>
          <w:color w:val="auto"/>
          <w:spacing w:val="4"/>
          <w:sz w:val="21"/>
          <w:szCs w:val="21"/>
          <w:highlight w:val="none"/>
        </w:rPr>
        <w:t>路段中期（203</w:t>
      </w:r>
      <w:r>
        <w:rPr>
          <w:rFonts w:hint="eastAsia" w:ascii="Times New Roman" w:hAnsi="Times New Roman" w:eastAsia="宋体" w:cs="Times New Roman"/>
          <w:b/>
          <w:color w:val="auto"/>
          <w:spacing w:val="4"/>
          <w:sz w:val="21"/>
          <w:szCs w:val="21"/>
          <w:highlight w:val="none"/>
          <w:lang w:val="en-US" w:eastAsia="zh-CN"/>
        </w:rPr>
        <w:t>3</w:t>
      </w:r>
      <w:r>
        <w:rPr>
          <w:rFonts w:hint="default" w:ascii="Times New Roman" w:hAnsi="Times New Roman" w:eastAsia="宋体" w:cs="Times New Roman"/>
          <w:b/>
          <w:color w:val="auto"/>
          <w:spacing w:val="4"/>
          <w:sz w:val="21"/>
          <w:szCs w:val="21"/>
          <w:highlight w:val="none"/>
        </w:rPr>
        <w:t>年）交通噪声贡献值  单位：dB（A）</w:t>
      </w:r>
    </w:p>
    <w:tbl>
      <w:tblPr>
        <w:tblStyle w:val="21"/>
        <w:tblW w:w="5000" w:type="pct"/>
        <w:tblInd w:w="12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11"/>
        <w:gridCol w:w="2120"/>
        <w:gridCol w:w="2131"/>
        <w:gridCol w:w="21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708" w:type="pct"/>
            <w:gridSpan w:val="2"/>
            <w:noWrap w:val="0"/>
            <w:vAlign w:val="center"/>
          </w:tcPr>
          <w:p>
            <w:pPr>
              <w:snapToGrid w:val="0"/>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时段</w:t>
            </w:r>
          </w:p>
        </w:tc>
        <w:tc>
          <w:tcPr>
            <w:tcW w:w="1147" w:type="pct"/>
            <w:noWrap w:val="0"/>
            <w:vAlign w:val="center"/>
          </w:tcPr>
          <w:p>
            <w:pPr>
              <w:snapToGrid w:val="0"/>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昼间</w:t>
            </w:r>
          </w:p>
        </w:tc>
        <w:tc>
          <w:tcPr>
            <w:tcW w:w="1143" w:type="pct"/>
            <w:noWrap w:val="0"/>
            <w:vAlign w:val="center"/>
          </w:tcPr>
          <w:p>
            <w:pPr>
              <w:snapToGrid w:val="0"/>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restart"/>
            <w:noWrap w:val="0"/>
            <w:vAlign w:val="center"/>
          </w:tcPr>
          <w:p>
            <w:pPr>
              <w:spacing w:line="32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距离中心线距离（m）</w:t>
            </w:r>
          </w:p>
        </w:tc>
        <w:tc>
          <w:tcPr>
            <w:tcW w:w="1140" w:type="pct"/>
            <w:noWrap w:val="0"/>
            <w:vAlign w:val="center"/>
          </w:tcPr>
          <w:p>
            <w:pPr>
              <w:widowControl/>
              <w:spacing w:line="320" w:lineRule="exact"/>
              <w:jc w:val="center"/>
              <w:rPr>
                <w:rFonts w:hint="default" w:ascii="Times New Roman" w:hAnsi="Times New Roman" w:eastAsia="等线" w:cs="Times New Roman"/>
                <w:color w:val="auto"/>
                <w:kern w:val="0"/>
                <w:szCs w:val="21"/>
                <w:highlight w:val="none"/>
              </w:rPr>
            </w:pPr>
            <w:r>
              <w:rPr>
                <w:rFonts w:hint="default" w:ascii="Times New Roman" w:hAnsi="Times New Roman" w:eastAsia="等线" w:cs="Times New Roman"/>
                <w:color w:val="auto"/>
                <w:kern w:val="0"/>
                <w:szCs w:val="21"/>
                <w:highlight w:val="none"/>
              </w:rPr>
              <w:t>20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65.03</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61.89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40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62.04</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58.90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60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60.19</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57.04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80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58.82</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55.67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100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57.72</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54.58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120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56.80</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53.65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140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55.99</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52.85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160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55.28</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52.14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180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54.63</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51.49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200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54.03</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50.89</w:t>
            </w:r>
          </w:p>
        </w:tc>
      </w:tr>
    </w:tbl>
    <w:p>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color w:val="auto"/>
          <w:spacing w:val="4"/>
          <w:sz w:val="21"/>
          <w:szCs w:val="21"/>
          <w:highlight w:val="none"/>
        </w:rPr>
      </w:pPr>
      <w:r>
        <w:rPr>
          <w:rFonts w:hint="default" w:ascii="Times New Roman" w:hAnsi="Times New Roman" w:eastAsia="宋体" w:cs="Times New Roman"/>
          <w:b/>
          <w:color w:val="auto"/>
          <w:spacing w:val="4"/>
          <w:sz w:val="21"/>
          <w:szCs w:val="21"/>
          <w:highlight w:val="none"/>
        </w:rPr>
        <w:t>表1-1</w:t>
      </w:r>
      <w:r>
        <w:rPr>
          <w:rFonts w:hint="eastAsia" w:ascii="Times New Roman" w:hAnsi="Times New Roman" w:eastAsia="宋体" w:cs="Times New Roman"/>
          <w:b/>
          <w:color w:val="auto"/>
          <w:spacing w:val="4"/>
          <w:sz w:val="21"/>
          <w:szCs w:val="21"/>
          <w:highlight w:val="none"/>
          <w:lang w:val="en-US" w:eastAsia="zh-CN"/>
        </w:rPr>
        <w:t>1c</w:t>
      </w:r>
      <w:r>
        <w:rPr>
          <w:rFonts w:hint="default" w:ascii="Times New Roman" w:hAnsi="Times New Roman" w:eastAsia="宋体" w:cs="Times New Roman"/>
          <w:b/>
          <w:color w:val="auto"/>
          <w:spacing w:val="4"/>
          <w:sz w:val="21"/>
          <w:szCs w:val="21"/>
          <w:highlight w:val="none"/>
        </w:rPr>
        <w:t xml:space="preserve">  </w:t>
      </w:r>
      <w:r>
        <w:rPr>
          <w:rFonts w:hint="eastAsia" w:ascii="Times New Roman" w:hAnsi="Times New Roman" w:eastAsia="宋体" w:cs="Times New Roman"/>
          <w:b/>
          <w:color w:val="auto"/>
          <w:spacing w:val="4"/>
          <w:sz w:val="21"/>
          <w:szCs w:val="21"/>
          <w:highlight w:val="none"/>
          <w:lang w:val="en-US" w:eastAsia="zh-CN"/>
        </w:rPr>
        <w:t>湖滨大街西延</w:t>
      </w:r>
      <w:r>
        <w:rPr>
          <w:rFonts w:hint="default" w:ascii="Times New Roman" w:hAnsi="Times New Roman" w:eastAsia="宋体" w:cs="Times New Roman"/>
          <w:b/>
          <w:color w:val="auto"/>
          <w:spacing w:val="4"/>
          <w:sz w:val="21"/>
          <w:szCs w:val="21"/>
          <w:highlight w:val="none"/>
        </w:rPr>
        <w:t>路段远期（20</w:t>
      </w:r>
      <w:r>
        <w:rPr>
          <w:rFonts w:hint="eastAsia" w:ascii="Times New Roman" w:hAnsi="Times New Roman" w:eastAsia="宋体" w:cs="Times New Roman"/>
          <w:b/>
          <w:color w:val="auto"/>
          <w:spacing w:val="4"/>
          <w:sz w:val="21"/>
          <w:szCs w:val="21"/>
          <w:highlight w:val="none"/>
          <w:lang w:val="en-US" w:eastAsia="zh-CN"/>
        </w:rPr>
        <w:t>43</w:t>
      </w:r>
      <w:r>
        <w:rPr>
          <w:rFonts w:hint="default" w:ascii="Times New Roman" w:hAnsi="Times New Roman" w:eastAsia="宋体" w:cs="Times New Roman"/>
          <w:b/>
          <w:color w:val="auto"/>
          <w:spacing w:val="4"/>
          <w:sz w:val="21"/>
          <w:szCs w:val="21"/>
          <w:highlight w:val="none"/>
        </w:rPr>
        <w:t>年）交通噪声贡献值  单位：dB（A）</w:t>
      </w:r>
    </w:p>
    <w:tbl>
      <w:tblPr>
        <w:tblStyle w:val="21"/>
        <w:tblW w:w="5000" w:type="pct"/>
        <w:tblInd w:w="12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11"/>
        <w:gridCol w:w="2120"/>
        <w:gridCol w:w="2131"/>
        <w:gridCol w:w="21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708" w:type="pct"/>
            <w:gridSpan w:val="2"/>
            <w:noWrap w:val="0"/>
            <w:vAlign w:val="center"/>
          </w:tcPr>
          <w:p>
            <w:pPr>
              <w:snapToGrid w:val="0"/>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时段</w:t>
            </w:r>
          </w:p>
        </w:tc>
        <w:tc>
          <w:tcPr>
            <w:tcW w:w="1147" w:type="pct"/>
            <w:noWrap w:val="0"/>
            <w:vAlign w:val="center"/>
          </w:tcPr>
          <w:p>
            <w:pPr>
              <w:snapToGrid w:val="0"/>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昼间</w:t>
            </w:r>
          </w:p>
        </w:tc>
        <w:tc>
          <w:tcPr>
            <w:tcW w:w="1143" w:type="pct"/>
            <w:noWrap w:val="0"/>
            <w:vAlign w:val="center"/>
          </w:tcPr>
          <w:p>
            <w:pPr>
              <w:snapToGrid w:val="0"/>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restart"/>
            <w:noWrap w:val="0"/>
            <w:vAlign w:val="center"/>
          </w:tcPr>
          <w:p>
            <w:pPr>
              <w:spacing w:line="32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距离中心线距离（m）</w:t>
            </w:r>
          </w:p>
        </w:tc>
        <w:tc>
          <w:tcPr>
            <w:tcW w:w="1140" w:type="pct"/>
            <w:noWrap w:val="0"/>
            <w:vAlign w:val="center"/>
          </w:tcPr>
          <w:p>
            <w:pPr>
              <w:widowControl/>
              <w:spacing w:line="320" w:lineRule="exact"/>
              <w:jc w:val="center"/>
              <w:rPr>
                <w:rFonts w:hint="default" w:ascii="Times New Roman" w:hAnsi="Times New Roman" w:eastAsia="等线" w:cs="Times New Roman"/>
                <w:color w:val="auto"/>
                <w:kern w:val="0"/>
                <w:szCs w:val="21"/>
                <w:highlight w:val="none"/>
              </w:rPr>
            </w:pPr>
            <w:r>
              <w:rPr>
                <w:rFonts w:hint="default" w:ascii="Times New Roman" w:hAnsi="Times New Roman" w:eastAsia="等线" w:cs="Times New Roman"/>
                <w:color w:val="auto"/>
                <w:kern w:val="0"/>
                <w:szCs w:val="21"/>
                <w:highlight w:val="none"/>
              </w:rPr>
              <w:t>20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67.60</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64.54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40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64.62</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61.55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60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62.76</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59.69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80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61.39</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58.32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100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60.29</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57.23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120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59.37</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56.30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140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58.56</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55.50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160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57.85</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54.78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180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57.20</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54.13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200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56.60</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53.53</w:t>
            </w:r>
          </w:p>
        </w:tc>
      </w:tr>
    </w:tbl>
    <w:p>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color w:val="auto"/>
          <w:spacing w:val="4"/>
          <w:sz w:val="21"/>
          <w:szCs w:val="21"/>
          <w:highlight w:val="none"/>
        </w:rPr>
      </w:pPr>
      <w:r>
        <w:rPr>
          <w:rFonts w:hint="default" w:ascii="Times New Roman" w:hAnsi="Times New Roman" w:eastAsia="宋体" w:cs="Times New Roman"/>
          <w:b/>
          <w:color w:val="auto"/>
          <w:spacing w:val="4"/>
          <w:sz w:val="21"/>
          <w:szCs w:val="21"/>
          <w:highlight w:val="none"/>
        </w:rPr>
        <w:t>表1-1</w:t>
      </w:r>
      <w:r>
        <w:rPr>
          <w:rFonts w:hint="eastAsia" w:ascii="Times New Roman" w:hAnsi="Times New Roman" w:eastAsia="宋体" w:cs="Times New Roman"/>
          <w:b/>
          <w:color w:val="auto"/>
          <w:spacing w:val="4"/>
          <w:sz w:val="21"/>
          <w:szCs w:val="21"/>
          <w:highlight w:val="none"/>
          <w:lang w:val="en-US" w:eastAsia="zh-CN"/>
        </w:rPr>
        <w:t>2a</w:t>
      </w:r>
      <w:r>
        <w:rPr>
          <w:rFonts w:hint="default" w:ascii="Times New Roman" w:hAnsi="Times New Roman" w:eastAsia="宋体" w:cs="Times New Roman"/>
          <w:b/>
          <w:color w:val="auto"/>
          <w:spacing w:val="4"/>
          <w:sz w:val="21"/>
          <w:szCs w:val="21"/>
          <w:highlight w:val="none"/>
        </w:rPr>
        <w:t xml:space="preserve">  </w:t>
      </w:r>
      <w:r>
        <w:rPr>
          <w:rFonts w:hint="eastAsia" w:ascii="Times New Roman" w:hAnsi="Times New Roman" w:eastAsia="宋体" w:cs="Times New Roman"/>
          <w:b/>
          <w:color w:val="auto"/>
          <w:spacing w:val="4"/>
          <w:sz w:val="21"/>
          <w:szCs w:val="21"/>
          <w:highlight w:val="none"/>
          <w:lang w:val="en-US" w:eastAsia="zh-CN"/>
        </w:rPr>
        <w:t>文昌街</w:t>
      </w:r>
      <w:r>
        <w:rPr>
          <w:rFonts w:hint="default" w:ascii="Times New Roman" w:hAnsi="Times New Roman" w:eastAsia="宋体" w:cs="Times New Roman"/>
          <w:b/>
          <w:color w:val="auto"/>
          <w:spacing w:val="4"/>
          <w:sz w:val="21"/>
          <w:szCs w:val="21"/>
          <w:highlight w:val="none"/>
        </w:rPr>
        <w:t>路段近期（202</w:t>
      </w:r>
      <w:r>
        <w:rPr>
          <w:rFonts w:hint="eastAsia" w:ascii="Times New Roman" w:hAnsi="Times New Roman" w:eastAsia="宋体" w:cs="Times New Roman"/>
          <w:b/>
          <w:color w:val="auto"/>
          <w:spacing w:val="4"/>
          <w:sz w:val="21"/>
          <w:szCs w:val="21"/>
          <w:highlight w:val="none"/>
          <w:lang w:val="en-US" w:eastAsia="zh-CN"/>
        </w:rPr>
        <w:t>4</w:t>
      </w:r>
      <w:r>
        <w:rPr>
          <w:rFonts w:hint="default" w:ascii="Times New Roman" w:hAnsi="Times New Roman" w:eastAsia="宋体" w:cs="Times New Roman"/>
          <w:b/>
          <w:color w:val="auto"/>
          <w:spacing w:val="4"/>
          <w:sz w:val="21"/>
          <w:szCs w:val="21"/>
          <w:highlight w:val="none"/>
        </w:rPr>
        <w:t>年）交通噪声贡献值  单位：dB（A）</w:t>
      </w:r>
    </w:p>
    <w:tbl>
      <w:tblPr>
        <w:tblStyle w:val="21"/>
        <w:tblW w:w="5000" w:type="pct"/>
        <w:tblInd w:w="12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11"/>
        <w:gridCol w:w="2120"/>
        <w:gridCol w:w="2131"/>
        <w:gridCol w:w="21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708" w:type="pct"/>
            <w:gridSpan w:val="2"/>
            <w:noWrap w:val="0"/>
            <w:vAlign w:val="center"/>
          </w:tcPr>
          <w:p>
            <w:pPr>
              <w:snapToGrid w:val="0"/>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时段</w:t>
            </w:r>
          </w:p>
        </w:tc>
        <w:tc>
          <w:tcPr>
            <w:tcW w:w="1147" w:type="pct"/>
            <w:noWrap w:val="0"/>
            <w:vAlign w:val="center"/>
          </w:tcPr>
          <w:p>
            <w:pPr>
              <w:snapToGrid w:val="0"/>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昼间</w:t>
            </w:r>
          </w:p>
        </w:tc>
        <w:tc>
          <w:tcPr>
            <w:tcW w:w="1143" w:type="pct"/>
            <w:noWrap w:val="0"/>
            <w:vAlign w:val="center"/>
          </w:tcPr>
          <w:p>
            <w:pPr>
              <w:snapToGrid w:val="0"/>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restart"/>
            <w:noWrap w:val="0"/>
            <w:vAlign w:val="center"/>
          </w:tcPr>
          <w:p>
            <w:pPr>
              <w:spacing w:line="32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距离中心线距离（m）</w:t>
            </w:r>
          </w:p>
        </w:tc>
        <w:tc>
          <w:tcPr>
            <w:tcW w:w="1140" w:type="pct"/>
            <w:noWrap w:val="0"/>
            <w:vAlign w:val="center"/>
          </w:tcPr>
          <w:p>
            <w:pPr>
              <w:widowControl/>
              <w:spacing w:line="320" w:lineRule="exact"/>
              <w:jc w:val="center"/>
              <w:rPr>
                <w:rFonts w:hint="default" w:ascii="Times New Roman" w:hAnsi="Times New Roman" w:eastAsia="等线" w:cs="Times New Roman"/>
                <w:color w:val="auto"/>
                <w:kern w:val="0"/>
                <w:szCs w:val="21"/>
                <w:highlight w:val="none"/>
              </w:rPr>
            </w:pPr>
            <w:r>
              <w:rPr>
                <w:rFonts w:hint="default" w:ascii="Times New Roman" w:hAnsi="Times New Roman" w:eastAsia="等线" w:cs="Times New Roman"/>
                <w:color w:val="auto"/>
                <w:kern w:val="0"/>
                <w:szCs w:val="21"/>
                <w:highlight w:val="none"/>
              </w:rPr>
              <w:t>20</w:t>
            </w:r>
          </w:p>
        </w:tc>
        <w:tc>
          <w:tcPr>
            <w:tcW w:w="1147" w:type="pct"/>
            <w:noWrap w:val="0"/>
            <w:vAlign w:val="top"/>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51.21</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48.15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40</w:t>
            </w:r>
          </w:p>
        </w:tc>
        <w:tc>
          <w:tcPr>
            <w:tcW w:w="1147" w:type="pct"/>
            <w:noWrap w:val="0"/>
            <w:vAlign w:val="top"/>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48.27</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45.21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60</w:t>
            </w:r>
          </w:p>
        </w:tc>
        <w:tc>
          <w:tcPr>
            <w:tcW w:w="1147" w:type="pct"/>
            <w:noWrap w:val="0"/>
            <w:vAlign w:val="top"/>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46.61</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43.55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80</w:t>
            </w:r>
          </w:p>
        </w:tc>
        <w:tc>
          <w:tcPr>
            <w:tcW w:w="1147" w:type="pct"/>
            <w:noWrap w:val="0"/>
            <w:vAlign w:val="top"/>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45.50</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42.43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100</w:t>
            </w:r>
          </w:p>
        </w:tc>
        <w:tc>
          <w:tcPr>
            <w:tcW w:w="1147" w:type="pct"/>
            <w:noWrap w:val="0"/>
            <w:vAlign w:val="top"/>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44.71</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41.64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120</w:t>
            </w:r>
          </w:p>
        </w:tc>
        <w:tc>
          <w:tcPr>
            <w:tcW w:w="1147" w:type="pct"/>
            <w:noWrap w:val="0"/>
            <w:vAlign w:val="top"/>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44.14</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41.07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140</w:t>
            </w:r>
          </w:p>
        </w:tc>
        <w:tc>
          <w:tcPr>
            <w:tcW w:w="1147" w:type="pct"/>
            <w:noWrap w:val="0"/>
            <w:vAlign w:val="top"/>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43.73</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40.64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160</w:t>
            </w:r>
          </w:p>
        </w:tc>
        <w:tc>
          <w:tcPr>
            <w:tcW w:w="1147" w:type="pct"/>
            <w:noWrap w:val="0"/>
            <w:vAlign w:val="top"/>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43.43</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40.34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180</w:t>
            </w:r>
          </w:p>
        </w:tc>
        <w:tc>
          <w:tcPr>
            <w:tcW w:w="1147" w:type="pct"/>
            <w:noWrap w:val="0"/>
            <w:vAlign w:val="top"/>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43.23</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200</w:t>
            </w:r>
          </w:p>
        </w:tc>
        <w:tc>
          <w:tcPr>
            <w:tcW w:w="1147" w:type="pct"/>
            <w:noWrap w:val="0"/>
            <w:vAlign w:val="top"/>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43.10</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40.00</w:t>
            </w:r>
          </w:p>
        </w:tc>
      </w:tr>
    </w:tbl>
    <w:p>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color w:val="auto"/>
          <w:spacing w:val="4"/>
          <w:sz w:val="21"/>
          <w:szCs w:val="21"/>
          <w:highlight w:val="none"/>
        </w:rPr>
      </w:pPr>
      <w:r>
        <w:rPr>
          <w:rFonts w:hint="default" w:ascii="Times New Roman" w:hAnsi="Times New Roman" w:eastAsia="宋体" w:cs="Times New Roman"/>
          <w:b/>
          <w:color w:val="auto"/>
          <w:spacing w:val="4"/>
          <w:sz w:val="21"/>
          <w:szCs w:val="21"/>
          <w:highlight w:val="none"/>
        </w:rPr>
        <w:t>表1-1</w:t>
      </w:r>
      <w:r>
        <w:rPr>
          <w:rFonts w:hint="eastAsia" w:ascii="Times New Roman" w:hAnsi="Times New Roman" w:eastAsia="宋体" w:cs="Times New Roman"/>
          <w:b/>
          <w:color w:val="auto"/>
          <w:spacing w:val="4"/>
          <w:sz w:val="21"/>
          <w:szCs w:val="21"/>
          <w:highlight w:val="none"/>
          <w:lang w:val="en-US" w:eastAsia="zh-CN"/>
        </w:rPr>
        <w:t>2b</w:t>
      </w:r>
      <w:r>
        <w:rPr>
          <w:rFonts w:hint="default" w:ascii="Times New Roman" w:hAnsi="Times New Roman" w:eastAsia="宋体" w:cs="Times New Roman"/>
          <w:b/>
          <w:color w:val="auto"/>
          <w:spacing w:val="4"/>
          <w:sz w:val="21"/>
          <w:szCs w:val="21"/>
          <w:highlight w:val="none"/>
        </w:rPr>
        <w:t xml:space="preserve">  </w:t>
      </w:r>
      <w:r>
        <w:rPr>
          <w:rFonts w:hint="eastAsia" w:ascii="Times New Roman" w:hAnsi="Times New Roman" w:eastAsia="宋体" w:cs="Times New Roman"/>
          <w:b/>
          <w:color w:val="auto"/>
          <w:spacing w:val="4"/>
          <w:sz w:val="21"/>
          <w:szCs w:val="21"/>
          <w:highlight w:val="none"/>
          <w:lang w:val="en-US" w:eastAsia="zh-CN"/>
        </w:rPr>
        <w:t>文昌街</w:t>
      </w:r>
      <w:r>
        <w:rPr>
          <w:rFonts w:hint="default" w:ascii="Times New Roman" w:hAnsi="Times New Roman" w:eastAsia="宋体" w:cs="Times New Roman"/>
          <w:b/>
          <w:color w:val="auto"/>
          <w:spacing w:val="4"/>
          <w:sz w:val="21"/>
          <w:szCs w:val="21"/>
          <w:highlight w:val="none"/>
        </w:rPr>
        <w:t>路段中期（203</w:t>
      </w:r>
      <w:r>
        <w:rPr>
          <w:rFonts w:hint="eastAsia" w:ascii="Times New Roman" w:hAnsi="Times New Roman" w:eastAsia="宋体" w:cs="Times New Roman"/>
          <w:b/>
          <w:color w:val="auto"/>
          <w:spacing w:val="4"/>
          <w:sz w:val="21"/>
          <w:szCs w:val="21"/>
          <w:highlight w:val="none"/>
          <w:lang w:val="en-US" w:eastAsia="zh-CN"/>
        </w:rPr>
        <w:t>3</w:t>
      </w:r>
      <w:r>
        <w:rPr>
          <w:rFonts w:hint="default" w:ascii="Times New Roman" w:hAnsi="Times New Roman" w:eastAsia="宋体" w:cs="Times New Roman"/>
          <w:b/>
          <w:color w:val="auto"/>
          <w:spacing w:val="4"/>
          <w:sz w:val="21"/>
          <w:szCs w:val="21"/>
          <w:highlight w:val="none"/>
        </w:rPr>
        <w:t>年）交通噪声贡献值  单位：dB（A）</w:t>
      </w:r>
    </w:p>
    <w:tbl>
      <w:tblPr>
        <w:tblStyle w:val="21"/>
        <w:tblW w:w="5000" w:type="pct"/>
        <w:tblInd w:w="12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11"/>
        <w:gridCol w:w="2120"/>
        <w:gridCol w:w="2131"/>
        <w:gridCol w:w="21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708" w:type="pct"/>
            <w:gridSpan w:val="2"/>
            <w:noWrap w:val="0"/>
            <w:vAlign w:val="center"/>
          </w:tcPr>
          <w:p>
            <w:pPr>
              <w:snapToGrid w:val="0"/>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时段</w:t>
            </w:r>
          </w:p>
        </w:tc>
        <w:tc>
          <w:tcPr>
            <w:tcW w:w="1147" w:type="pct"/>
            <w:noWrap w:val="0"/>
            <w:vAlign w:val="center"/>
          </w:tcPr>
          <w:p>
            <w:pPr>
              <w:snapToGrid w:val="0"/>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昼间</w:t>
            </w:r>
          </w:p>
        </w:tc>
        <w:tc>
          <w:tcPr>
            <w:tcW w:w="1143" w:type="pct"/>
            <w:noWrap w:val="0"/>
            <w:vAlign w:val="center"/>
          </w:tcPr>
          <w:p>
            <w:pPr>
              <w:snapToGrid w:val="0"/>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restart"/>
            <w:noWrap w:val="0"/>
            <w:vAlign w:val="center"/>
          </w:tcPr>
          <w:p>
            <w:pPr>
              <w:spacing w:line="32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距离中心线距离（m）</w:t>
            </w:r>
          </w:p>
        </w:tc>
        <w:tc>
          <w:tcPr>
            <w:tcW w:w="1140" w:type="pct"/>
            <w:noWrap w:val="0"/>
            <w:vAlign w:val="center"/>
          </w:tcPr>
          <w:p>
            <w:pPr>
              <w:widowControl/>
              <w:spacing w:line="320" w:lineRule="exact"/>
              <w:jc w:val="center"/>
              <w:rPr>
                <w:rFonts w:hint="default" w:ascii="Times New Roman" w:hAnsi="Times New Roman" w:eastAsia="等线" w:cs="Times New Roman"/>
                <w:color w:val="auto"/>
                <w:kern w:val="0"/>
                <w:szCs w:val="21"/>
                <w:highlight w:val="none"/>
              </w:rPr>
            </w:pPr>
            <w:r>
              <w:rPr>
                <w:rFonts w:hint="default" w:ascii="Times New Roman" w:hAnsi="Times New Roman" w:eastAsia="等线" w:cs="Times New Roman"/>
                <w:color w:val="auto"/>
                <w:kern w:val="0"/>
                <w:szCs w:val="21"/>
                <w:highlight w:val="none"/>
              </w:rPr>
              <w:t>20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52.01</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48.93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40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49.13</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46.04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60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47.54</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44.45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80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46.51</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43.41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100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45.79</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42.70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120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45.30</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140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44.97</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41.86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160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44.75</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41.64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180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44.62</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200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44.56</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41.45</w:t>
            </w:r>
          </w:p>
        </w:tc>
      </w:tr>
    </w:tbl>
    <w:p>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color w:val="auto"/>
          <w:spacing w:val="4"/>
          <w:sz w:val="21"/>
          <w:szCs w:val="21"/>
          <w:highlight w:val="none"/>
        </w:rPr>
      </w:pPr>
    </w:p>
    <w:p>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color w:val="auto"/>
          <w:spacing w:val="4"/>
          <w:sz w:val="21"/>
          <w:szCs w:val="21"/>
          <w:highlight w:val="none"/>
        </w:rPr>
      </w:pPr>
      <w:r>
        <w:rPr>
          <w:rFonts w:hint="default" w:ascii="Times New Roman" w:hAnsi="Times New Roman" w:eastAsia="宋体" w:cs="Times New Roman"/>
          <w:b/>
          <w:color w:val="auto"/>
          <w:spacing w:val="4"/>
          <w:sz w:val="21"/>
          <w:szCs w:val="21"/>
          <w:highlight w:val="none"/>
        </w:rPr>
        <w:t>表1-12</w:t>
      </w:r>
      <w:r>
        <w:rPr>
          <w:rFonts w:hint="eastAsia" w:ascii="Times New Roman" w:hAnsi="Times New Roman" w:eastAsia="宋体" w:cs="Times New Roman"/>
          <w:b/>
          <w:color w:val="auto"/>
          <w:spacing w:val="4"/>
          <w:sz w:val="21"/>
          <w:szCs w:val="21"/>
          <w:highlight w:val="none"/>
          <w:lang w:val="en-US" w:eastAsia="zh-CN"/>
        </w:rPr>
        <w:t>c</w:t>
      </w:r>
      <w:r>
        <w:rPr>
          <w:rFonts w:hint="default" w:ascii="Times New Roman" w:hAnsi="Times New Roman" w:eastAsia="宋体" w:cs="Times New Roman"/>
          <w:b/>
          <w:color w:val="auto"/>
          <w:spacing w:val="4"/>
          <w:sz w:val="21"/>
          <w:szCs w:val="21"/>
          <w:highlight w:val="none"/>
        </w:rPr>
        <w:t xml:space="preserve">  </w:t>
      </w:r>
      <w:r>
        <w:rPr>
          <w:rFonts w:hint="eastAsia" w:ascii="Times New Roman" w:hAnsi="Times New Roman" w:eastAsia="宋体" w:cs="Times New Roman"/>
          <w:b/>
          <w:color w:val="auto"/>
          <w:spacing w:val="4"/>
          <w:sz w:val="21"/>
          <w:szCs w:val="21"/>
          <w:highlight w:val="none"/>
          <w:lang w:val="en-US" w:eastAsia="zh-CN"/>
        </w:rPr>
        <w:t>文昌街</w:t>
      </w:r>
      <w:r>
        <w:rPr>
          <w:rFonts w:hint="default" w:ascii="Times New Roman" w:hAnsi="Times New Roman" w:eastAsia="宋体" w:cs="Times New Roman"/>
          <w:b/>
          <w:color w:val="auto"/>
          <w:spacing w:val="4"/>
          <w:sz w:val="21"/>
          <w:szCs w:val="21"/>
          <w:highlight w:val="none"/>
        </w:rPr>
        <w:t>路段远期（20</w:t>
      </w:r>
      <w:r>
        <w:rPr>
          <w:rFonts w:hint="eastAsia" w:ascii="Times New Roman" w:hAnsi="Times New Roman" w:eastAsia="宋体" w:cs="Times New Roman"/>
          <w:b/>
          <w:color w:val="auto"/>
          <w:spacing w:val="4"/>
          <w:sz w:val="21"/>
          <w:szCs w:val="21"/>
          <w:highlight w:val="none"/>
          <w:lang w:val="en-US" w:eastAsia="zh-CN"/>
        </w:rPr>
        <w:t>43</w:t>
      </w:r>
      <w:r>
        <w:rPr>
          <w:rFonts w:hint="default" w:ascii="Times New Roman" w:hAnsi="Times New Roman" w:eastAsia="宋体" w:cs="Times New Roman"/>
          <w:b/>
          <w:color w:val="auto"/>
          <w:spacing w:val="4"/>
          <w:sz w:val="21"/>
          <w:szCs w:val="21"/>
          <w:highlight w:val="none"/>
        </w:rPr>
        <w:t>年）交通噪声贡献值  单位：dB（A）</w:t>
      </w:r>
    </w:p>
    <w:tbl>
      <w:tblPr>
        <w:tblStyle w:val="21"/>
        <w:tblW w:w="5000" w:type="pct"/>
        <w:tblInd w:w="12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11"/>
        <w:gridCol w:w="2120"/>
        <w:gridCol w:w="2131"/>
        <w:gridCol w:w="21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708" w:type="pct"/>
            <w:gridSpan w:val="2"/>
            <w:noWrap w:val="0"/>
            <w:vAlign w:val="center"/>
          </w:tcPr>
          <w:p>
            <w:pPr>
              <w:snapToGrid w:val="0"/>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时段</w:t>
            </w:r>
          </w:p>
        </w:tc>
        <w:tc>
          <w:tcPr>
            <w:tcW w:w="1147" w:type="pct"/>
            <w:noWrap w:val="0"/>
            <w:vAlign w:val="center"/>
          </w:tcPr>
          <w:p>
            <w:pPr>
              <w:snapToGrid w:val="0"/>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昼间</w:t>
            </w:r>
          </w:p>
        </w:tc>
        <w:tc>
          <w:tcPr>
            <w:tcW w:w="1143" w:type="pct"/>
            <w:noWrap w:val="0"/>
            <w:vAlign w:val="center"/>
          </w:tcPr>
          <w:p>
            <w:pPr>
              <w:snapToGrid w:val="0"/>
              <w:spacing w:line="320" w:lineRule="exact"/>
              <w:jc w:val="center"/>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restart"/>
            <w:noWrap w:val="0"/>
            <w:vAlign w:val="center"/>
          </w:tcPr>
          <w:p>
            <w:pPr>
              <w:spacing w:line="32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距离中心线距离（m）</w:t>
            </w:r>
          </w:p>
        </w:tc>
        <w:tc>
          <w:tcPr>
            <w:tcW w:w="1140" w:type="pct"/>
            <w:noWrap w:val="0"/>
            <w:vAlign w:val="center"/>
          </w:tcPr>
          <w:p>
            <w:pPr>
              <w:widowControl/>
              <w:spacing w:line="320" w:lineRule="exact"/>
              <w:jc w:val="center"/>
              <w:rPr>
                <w:rFonts w:hint="default" w:ascii="Times New Roman" w:hAnsi="Times New Roman" w:eastAsia="等线" w:cs="Times New Roman"/>
                <w:color w:val="auto"/>
                <w:kern w:val="0"/>
                <w:szCs w:val="21"/>
                <w:highlight w:val="none"/>
              </w:rPr>
            </w:pPr>
            <w:r>
              <w:rPr>
                <w:rFonts w:hint="default" w:ascii="Times New Roman" w:hAnsi="Times New Roman" w:eastAsia="等线" w:cs="Times New Roman"/>
                <w:color w:val="auto"/>
                <w:kern w:val="0"/>
                <w:szCs w:val="21"/>
                <w:highlight w:val="none"/>
              </w:rPr>
              <w:t>20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52.63</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49.58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40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49.88</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46.83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60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48.43</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45.38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80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47.53</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44.48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100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46.96</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43.91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120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46.61</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43.56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140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46.41</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43.35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160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46.32</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43.26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180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46.30</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43.24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vMerge w:val="continue"/>
            <w:noWrap w:val="0"/>
            <w:vAlign w:val="center"/>
          </w:tcPr>
          <w:p>
            <w:pPr>
              <w:spacing w:line="320" w:lineRule="exact"/>
              <w:jc w:val="center"/>
              <w:rPr>
                <w:rFonts w:hint="default" w:ascii="Times New Roman" w:hAnsi="Times New Roman" w:cs="Times New Roman"/>
                <w:bCs/>
                <w:color w:val="auto"/>
                <w:szCs w:val="21"/>
                <w:highlight w:val="none"/>
              </w:rPr>
            </w:pPr>
          </w:p>
        </w:tc>
        <w:tc>
          <w:tcPr>
            <w:tcW w:w="1140" w:type="pct"/>
            <w:noWrap w:val="0"/>
            <w:vAlign w:val="center"/>
          </w:tcPr>
          <w:p>
            <w:pPr>
              <w:spacing w:line="320" w:lineRule="exact"/>
              <w:jc w:val="center"/>
              <w:rPr>
                <w:rFonts w:hint="default" w:ascii="Times New Roman" w:hAnsi="Times New Roman" w:eastAsia="等线" w:cs="Times New Roman"/>
                <w:color w:val="auto"/>
                <w:szCs w:val="21"/>
                <w:highlight w:val="none"/>
              </w:rPr>
            </w:pPr>
            <w:r>
              <w:rPr>
                <w:rFonts w:hint="default" w:ascii="Times New Roman" w:hAnsi="Times New Roman" w:eastAsia="等线" w:cs="Times New Roman"/>
                <w:color w:val="auto"/>
                <w:szCs w:val="21"/>
                <w:highlight w:val="none"/>
              </w:rPr>
              <w:t>200</w:t>
            </w:r>
          </w:p>
        </w:tc>
        <w:tc>
          <w:tcPr>
            <w:tcW w:w="1147"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46.34</w:t>
            </w:r>
          </w:p>
        </w:tc>
        <w:tc>
          <w:tcPr>
            <w:tcW w:w="1143" w:type="pct"/>
            <w:noWrap w:val="0"/>
            <w:vAlign w:val="center"/>
          </w:tcPr>
          <w:p>
            <w:pPr>
              <w:spacing w:line="320" w:lineRule="exact"/>
              <w:jc w:val="center"/>
              <w:rPr>
                <w:rFonts w:hint="default" w:ascii="Times New Roman" w:hAnsi="Times New Roman" w:eastAsia="等线" w:cs="Times New Roman"/>
                <w:color w:val="auto"/>
                <w:szCs w:val="21"/>
                <w:highlight w:val="none"/>
                <w:lang w:val="en-US" w:eastAsia="zh-CN"/>
              </w:rPr>
            </w:pPr>
            <w:r>
              <w:rPr>
                <w:rFonts w:hint="eastAsia" w:ascii="Times New Roman" w:hAnsi="Times New Roman" w:eastAsia="等线" w:cs="Times New Roman"/>
                <w:color w:val="auto"/>
                <w:szCs w:val="21"/>
                <w:highlight w:val="none"/>
                <w:lang w:val="en-US" w:eastAsia="zh-CN"/>
              </w:rPr>
              <w:t>43.28</w:t>
            </w:r>
          </w:p>
        </w:tc>
      </w:tr>
    </w:tbl>
    <w:p>
      <w:pPr>
        <w:spacing w:line="480" w:lineRule="exact"/>
        <w:ind w:firstLine="480" w:firstLineChars="200"/>
        <w:jc w:val="both"/>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②敏感点噪声预测分析</w:t>
      </w:r>
    </w:p>
    <w:p>
      <w:pPr>
        <w:spacing w:line="480" w:lineRule="exact"/>
        <w:ind w:firstLine="480" w:firstLineChars="200"/>
        <w:jc w:val="both"/>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由于道路沿线</w:t>
      </w:r>
      <w:r>
        <w:rPr>
          <w:rFonts w:hint="eastAsia" w:ascii="Times New Roman" w:hAnsi="Times New Roman" w:cs="Times New Roman"/>
          <w:color w:val="auto"/>
          <w:sz w:val="24"/>
          <w:szCs w:val="22"/>
          <w:highlight w:val="none"/>
          <w:lang w:val="en-US" w:eastAsia="zh-CN"/>
        </w:rPr>
        <w:t>有居住区</w:t>
      </w:r>
      <w:r>
        <w:rPr>
          <w:rFonts w:hint="default" w:ascii="Times New Roman" w:hAnsi="Times New Roman" w:cs="Times New Roman"/>
          <w:color w:val="auto"/>
          <w:sz w:val="24"/>
          <w:szCs w:val="22"/>
          <w:highlight w:val="none"/>
        </w:rPr>
        <w:t>且临路较近，</w:t>
      </w:r>
      <w:bookmarkStart w:id="18" w:name="_Hlk96267289"/>
      <w:r>
        <w:rPr>
          <w:rFonts w:hint="default" w:ascii="Times New Roman" w:hAnsi="Times New Roman" w:cs="Times New Roman"/>
          <w:color w:val="auto"/>
          <w:sz w:val="24"/>
          <w:szCs w:val="22"/>
          <w:highlight w:val="none"/>
        </w:rPr>
        <w:t>因此采取降低车速，道路两侧种植绿化带，并为沿路居民安装隔声窗户的降噪措施。</w:t>
      </w:r>
      <w:bookmarkEnd w:id="18"/>
    </w:p>
    <w:p>
      <w:pPr>
        <w:spacing w:line="480" w:lineRule="exact"/>
        <w:ind w:firstLine="480" w:firstLineChars="200"/>
        <w:jc w:val="both"/>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敏感点噪声预测结果见表1-13。</w:t>
      </w:r>
      <w:bookmarkStart w:id="19" w:name="_Hlk96267315"/>
      <w:r>
        <w:rPr>
          <w:rFonts w:hint="default" w:ascii="Times New Roman" w:hAnsi="Times New Roman" w:cs="Times New Roman"/>
          <w:color w:val="auto"/>
          <w:sz w:val="24"/>
          <w:szCs w:val="22"/>
          <w:highlight w:val="none"/>
        </w:rPr>
        <w:t>根据预测数据，各敏感点噪声预测值均能达标，表明道路运营期对沿线村民的影响可以接受</w:t>
      </w:r>
      <w:bookmarkEnd w:id="19"/>
      <w:r>
        <w:rPr>
          <w:rFonts w:hint="default" w:ascii="Times New Roman" w:hAnsi="Times New Roman" w:cs="Times New Roman"/>
          <w:color w:val="auto"/>
          <w:sz w:val="24"/>
          <w:szCs w:val="22"/>
          <w:highlight w:val="none"/>
        </w:rPr>
        <w:t>。</w:t>
      </w:r>
    </w:p>
    <w:p>
      <w:pPr>
        <w:spacing w:line="480" w:lineRule="exact"/>
        <w:ind w:firstLine="480" w:firstLineChars="200"/>
        <w:jc w:val="left"/>
        <w:rPr>
          <w:rFonts w:hint="default" w:ascii="Times New Roman" w:hAnsi="Times New Roman" w:cs="Times New Roman"/>
          <w:color w:val="auto"/>
          <w:sz w:val="24"/>
          <w:szCs w:val="22"/>
          <w:highlight w:val="none"/>
        </w:rPr>
      </w:pPr>
    </w:p>
    <w:p>
      <w:pPr>
        <w:jc w:val="center"/>
        <w:rPr>
          <w:rFonts w:hint="default" w:ascii="Times New Roman" w:hAnsi="Times New Roman" w:cs="Times New Roman"/>
          <w:b/>
          <w:bCs/>
          <w:color w:val="auto"/>
          <w:highlight w:val="none"/>
        </w:rPr>
      </w:pPr>
    </w:p>
    <w:p>
      <w:pPr>
        <w:jc w:val="center"/>
        <w:rPr>
          <w:rFonts w:hint="default" w:ascii="Times New Roman" w:hAnsi="Times New Roman" w:cs="Times New Roman"/>
          <w:b/>
          <w:bCs/>
          <w:color w:val="auto"/>
          <w:highlight w:val="none"/>
        </w:rPr>
        <w:sectPr>
          <w:pgSz w:w="11906" w:h="16838"/>
          <w:pgMar w:top="1531" w:right="1418" w:bottom="1531" w:left="1418" w:header="851" w:footer="992" w:gutter="0"/>
          <w:pgBorders>
            <w:top w:val="none" w:sz="0" w:space="0"/>
            <w:left w:val="none" w:sz="0" w:space="0"/>
            <w:bottom w:val="none" w:sz="0" w:space="0"/>
            <w:right w:val="none" w:sz="0" w:space="0"/>
          </w:pgBorders>
          <w:pgNumType w:start="1"/>
          <w:cols w:space="720"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color w:val="auto"/>
          <w:spacing w:val="4"/>
          <w:sz w:val="21"/>
          <w:szCs w:val="21"/>
          <w:highlight w:val="none"/>
        </w:rPr>
      </w:pPr>
      <w:r>
        <w:rPr>
          <w:rFonts w:hint="default" w:ascii="Times New Roman" w:hAnsi="Times New Roman" w:eastAsia="宋体" w:cs="Times New Roman"/>
          <w:b/>
          <w:color w:val="auto"/>
          <w:spacing w:val="4"/>
          <w:sz w:val="21"/>
          <w:szCs w:val="21"/>
          <w:highlight w:val="none"/>
        </w:rPr>
        <w:t>表1-13  营运期近期</w:t>
      </w:r>
      <w:r>
        <w:rPr>
          <w:rFonts w:hint="eastAsia" w:ascii="Times New Roman" w:hAnsi="Times New Roman" w:eastAsia="宋体" w:cs="Times New Roman"/>
          <w:b/>
          <w:color w:val="auto"/>
          <w:spacing w:val="4"/>
          <w:sz w:val="21"/>
          <w:szCs w:val="21"/>
          <w:highlight w:val="none"/>
          <w:lang w:eastAsia="zh-CN"/>
        </w:rPr>
        <w:t>、</w:t>
      </w:r>
      <w:r>
        <w:rPr>
          <w:rFonts w:hint="eastAsia" w:ascii="Times New Roman" w:hAnsi="Times New Roman" w:eastAsia="宋体" w:cs="Times New Roman"/>
          <w:b/>
          <w:color w:val="auto"/>
          <w:spacing w:val="4"/>
          <w:sz w:val="21"/>
          <w:szCs w:val="21"/>
          <w:highlight w:val="none"/>
          <w:lang w:val="en-US" w:eastAsia="zh-CN"/>
        </w:rPr>
        <w:t>中期</w:t>
      </w:r>
      <w:r>
        <w:rPr>
          <w:rFonts w:hint="default" w:ascii="Times New Roman" w:hAnsi="Times New Roman" w:eastAsia="宋体" w:cs="Times New Roman"/>
          <w:b/>
          <w:color w:val="auto"/>
          <w:spacing w:val="4"/>
          <w:sz w:val="21"/>
          <w:szCs w:val="21"/>
          <w:highlight w:val="none"/>
        </w:rPr>
        <w:t>敏感目标噪声预测结果  单位：dB(A)</w:t>
      </w:r>
    </w:p>
    <w:tbl>
      <w:tblPr>
        <w:tblStyle w:val="21"/>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3"/>
        <w:gridCol w:w="2077"/>
        <w:gridCol w:w="1982"/>
        <w:gridCol w:w="943"/>
        <w:gridCol w:w="943"/>
        <w:gridCol w:w="952"/>
        <w:gridCol w:w="943"/>
        <w:gridCol w:w="943"/>
        <w:gridCol w:w="952"/>
        <w:gridCol w:w="1898"/>
        <w:gridCol w:w="17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 w:type="pct"/>
            <w:vMerge w:val="restart"/>
            <w:noWrap w:val="0"/>
            <w:vAlign w:val="center"/>
          </w:tcPr>
          <w:p>
            <w:pPr>
              <w:keepNext w:val="0"/>
              <w:keepLines w:val="0"/>
              <w:pageBreakBefore w:val="0"/>
              <w:kinsoku/>
              <w:wordWrap/>
              <w:overflowPunct/>
              <w:topLinePunct w:val="0"/>
              <w:bidi w:val="0"/>
              <w:snapToGrid w:val="0"/>
              <w:spacing w:line="240" w:lineRule="auto"/>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序号</w:t>
            </w:r>
          </w:p>
        </w:tc>
        <w:tc>
          <w:tcPr>
            <w:tcW w:w="742" w:type="pct"/>
            <w:vMerge w:val="restar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敏感目标</w:t>
            </w:r>
          </w:p>
        </w:tc>
        <w:tc>
          <w:tcPr>
            <w:tcW w:w="708" w:type="pct"/>
            <w:vMerge w:val="restar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预测时段</w:t>
            </w:r>
          </w:p>
        </w:tc>
        <w:tc>
          <w:tcPr>
            <w:tcW w:w="1014" w:type="pct"/>
            <w:gridSpan w:val="3"/>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昼间</w:t>
            </w:r>
          </w:p>
        </w:tc>
        <w:tc>
          <w:tcPr>
            <w:tcW w:w="1014" w:type="pct"/>
            <w:gridSpan w:val="3"/>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夜间</w:t>
            </w:r>
          </w:p>
        </w:tc>
        <w:tc>
          <w:tcPr>
            <w:tcW w:w="678" w:type="pct"/>
            <w:vMerge w:val="restar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标准值</w:t>
            </w:r>
          </w:p>
        </w:tc>
        <w:tc>
          <w:tcPr>
            <w:tcW w:w="628" w:type="pct"/>
            <w:vMerge w:val="restart"/>
            <w:noWrap w:val="0"/>
            <w:vAlign w:val="center"/>
          </w:tcPr>
          <w:p>
            <w:pPr>
              <w:keepNext w:val="0"/>
              <w:keepLines w:val="0"/>
              <w:pageBreakBefore w:val="0"/>
              <w:kinsoku/>
              <w:wordWrap/>
              <w:overflowPunct/>
              <w:topLinePunct w:val="0"/>
              <w:bidi w:val="0"/>
              <w:snapToGrid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是否达标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 w:type="pct"/>
            <w:vMerge w:val="continue"/>
            <w:noWrap w:val="0"/>
            <w:vAlign w:val="center"/>
          </w:tcPr>
          <w:p>
            <w:pPr>
              <w:keepNext w:val="0"/>
              <w:keepLines w:val="0"/>
              <w:pageBreakBefore w:val="0"/>
              <w:kinsoku/>
              <w:wordWrap/>
              <w:overflowPunct/>
              <w:topLinePunct w:val="0"/>
              <w:bidi w:val="0"/>
              <w:snapToGrid w:val="0"/>
              <w:spacing w:line="240" w:lineRule="auto"/>
              <w:jc w:val="center"/>
              <w:textAlignment w:val="auto"/>
              <w:rPr>
                <w:rFonts w:hint="default" w:ascii="Times New Roman" w:hAnsi="Times New Roman" w:eastAsia="宋体" w:cs="Times New Roman"/>
                <w:color w:val="auto"/>
                <w:szCs w:val="21"/>
                <w:highlight w:val="none"/>
              </w:rPr>
            </w:pPr>
          </w:p>
        </w:tc>
        <w:tc>
          <w:tcPr>
            <w:tcW w:w="742" w:type="pct"/>
            <w:vMerge w:val="continue"/>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p>
        </w:tc>
        <w:tc>
          <w:tcPr>
            <w:tcW w:w="708" w:type="pct"/>
            <w:vMerge w:val="continue"/>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p>
        </w:tc>
        <w:tc>
          <w:tcPr>
            <w:tcW w:w="337"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背景值</w:t>
            </w:r>
          </w:p>
        </w:tc>
        <w:tc>
          <w:tcPr>
            <w:tcW w:w="337"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贡献值</w:t>
            </w:r>
          </w:p>
        </w:tc>
        <w:tc>
          <w:tcPr>
            <w:tcW w:w="340"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叠加值</w:t>
            </w:r>
          </w:p>
        </w:tc>
        <w:tc>
          <w:tcPr>
            <w:tcW w:w="337"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背景值</w:t>
            </w:r>
          </w:p>
        </w:tc>
        <w:tc>
          <w:tcPr>
            <w:tcW w:w="337"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贡献值</w:t>
            </w:r>
          </w:p>
        </w:tc>
        <w:tc>
          <w:tcPr>
            <w:tcW w:w="340"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叠加值</w:t>
            </w:r>
          </w:p>
        </w:tc>
        <w:tc>
          <w:tcPr>
            <w:tcW w:w="678" w:type="pct"/>
            <w:vMerge w:val="continue"/>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p>
        </w:tc>
        <w:tc>
          <w:tcPr>
            <w:tcW w:w="628" w:type="pct"/>
            <w:vMerge w:val="continue"/>
            <w:noWrap w:val="0"/>
            <w:vAlign w:val="center"/>
          </w:tcPr>
          <w:p>
            <w:pPr>
              <w:keepNext w:val="0"/>
              <w:keepLines w:val="0"/>
              <w:pageBreakBefore w:val="0"/>
              <w:kinsoku/>
              <w:wordWrap/>
              <w:overflowPunct/>
              <w:topLinePunct w:val="0"/>
              <w:bidi w:val="0"/>
              <w:snapToGrid w:val="0"/>
              <w:spacing w:line="240" w:lineRule="auto"/>
              <w:jc w:val="center"/>
              <w:textAlignment w:val="auto"/>
              <w:rPr>
                <w:rFonts w:hint="default" w:ascii="Times New Roman" w:hAnsi="Times New Roman" w:eastAsia="宋体" w:cs="Times New Roman"/>
                <w:bCs/>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 w:type="pct"/>
            <w:vMerge w:val="restar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color w:val="auto"/>
                <w:spacing w:val="4"/>
                <w:szCs w:val="21"/>
                <w:highlight w:val="none"/>
              </w:rPr>
            </w:pPr>
            <w:r>
              <w:rPr>
                <w:rFonts w:hint="default" w:ascii="Times New Roman" w:hAnsi="Times New Roman" w:eastAsia="宋体" w:cs="Times New Roman"/>
                <w:color w:val="auto"/>
                <w:spacing w:val="4"/>
                <w:szCs w:val="21"/>
                <w:highlight w:val="none"/>
              </w:rPr>
              <w:t>1</w:t>
            </w:r>
          </w:p>
        </w:tc>
        <w:tc>
          <w:tcPr>
            <w:tcW w:w="742" w:type="pct"/>
            <w:vMerge w:val="restar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snapToGrid w:val="0"/>
                <w:color w:val="auto"/>
                <w:sz w:val="21"/>
                <w:szCs w:val="21"/>
                <w:lang w:val="en-US" w:eastAsia="zh-CN"/>
              </w:rPr>
              <w:t>碧海花园E区1号楼西侧1</w:t>
            </w:r>
            <w:r>
              <w:rPr>
                <w:rFonts w:hint="eastAsia" w:ascii="Times New Roman" w:hAnsi="Times New Roman"/>
                <w:snapToGrid w:val="0"/>
                <w:color w:val="auto"/>
                <w:sz w:val="21"/>
                <w:szCs w:val="21"/>
                <w:lang w:val="en-US" w:eastAsia="zh-CN"/>
              </w:rPr>
              <w:t>层</w:t>
            </w:r>
          </w:p>
        </w:tc>
        <w:tc>
          <w:tcPr>
            <w:tcW w:w="708"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近期（202</w:t>
            </w:r>
            <w:r>
              <w:rPr>
                <w:rFonts w:hint="default" w:ascii="Times New Roman" w:hAnsi="Times New Roman" w:eastAsia="宋体" w:cs="Times New Roman"/>
                <w:bCs/>
                <w:color w:val="auto"/>
                <w:szCs w:val="21"/>
                <w:highlight w:val="none"/>
                <w:lang w:val="en-US" w:eastAsia="zh-CN"/>
              </w:rPr>
              <w:t>4</w:t>
            </w:r>
            <w:r>
              <w:rPr>
                <w:rFonts w:hint="default" w:ascii="Times New Roman" w:hAnsi="Times New Roman" w:eastAsia="宋体" w:cs="Times New Roman"/>
                <w:bCs/>
                <w:color w:val="auto"/>
                <w:szCs w:val="21"/>
                <w:highlight w:val="none"/>
              </w:rPr>
              <w:t>年）</w:t>
            </w:r>
          </w:p>
        </w:tc>
        <w:tc>
          <w:tcPr>
            <w:tcW w:w="337"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56.70</w:t>
            </w:r>
          </w:p>
        </w:tc>
        <w:tc>
          <w:tcPr>
            <w:tcW w:w="337"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48.54</w:t>
            </w:r>
          </w:p>
        </w:tc>
        <w:tc>
          <w:tcPr>
            <w:tcW w:w="340"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57.32</w:t>
            </w:r>
          </w:p>
        </w:tc>
        <w:tc>
          <w:tcPr>
            <w:tcW w:w="337"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48.40</w:t>
            </w:r>
          </w:p>
        </w:tc>
        <w:tc>
          <w:tcPr>
            <w:tcW w:w="337"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45.41</w:t>
            </w:r>
          </w:p>
        </w:tc>
        <w:tc>
          <w:tcPr>
            <w:tcW w:w="340"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50.17</w:t>
            </w:r>
          </w:p>
        </w:tc>
        <w:tc>
          <w:tcPr>
            <w:tcW w:w="678" w:type="pct"/>
            <w:vMerge w:val="restar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70/55</w:t>
            </w:r>
          </w:p>
        </w:tc>
        <w:tc>
          <w:tcPr>
            <w:tcW w:w="628"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 w:type="pct"/>
            <w:vMerge w:val="continue"/>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color w:val="auto"/>
                <w:spacing w:val="4"/>
                <w:szCs w:val="21"/>
                <w:highlight w:val="none"/>
              </w:rPr>
            </w:pPr>
          </w:p>
        </w:tc>
        <w:tc>
          <w:tcPr>
            <w:tcW w:w="742" w:type="pct"/>
            <w:vMerge w:val="continue"/>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p>
        </w:tc>
        <w:tc>
          <w:tcPr>
            <w:tcW w:w="708"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中期（203</w:t>
            </w:r>
            <w:r>
              <w:rPr>
                <w:rFonts w:hint="default" w:ascii="Times New Roman" w:hAnsi="Times New Roman" w:eastAsia="宋体" w:cs="Times New Roman"/>
                <w:bCs/>
                <w:color w:val="auto"/>
                <w:szCs w:val="21"/>
                <w:highlight w:val="none"/>
                <w:lang w:val="en-US" w:eastAsia="zh-CN"/>
              </w:rPr>
              <w:t>3</w:t>
            </w:r>
            <w:r>
              <w:rPr>
                <w:rFonts w:hint="default" w:ascii="Times New Roman" w:hAnsi="Times New Roman" w:eastAsia="宋体" w:cs="Times New Roman"/>
                <w:bCs/>
                <w:color w:val="auto"/>
                <w:szCs w:val="21"/>
                <w:highlight w:val="none"/>
              </w:rPr>
              <w:t>年）</w:t>
            </w:r>
          </w:p>
        </w:tc>
        <w:tc>
          <w:tcPr>
            <w:tcW w:w="337"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56.70</w:t>
            </w:r>
          </w:p>
        </w:tc>
        <w:tc>
          <w:tcPr>
            <w:tcW w:w="337"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50.66</w:t>
            </w:r>
          </w:p>
        </w:tc>
        <w:tc>
          <w:tcPr>
            <w:tcW w:w="340"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57.67</w:t>
            </w:r>
          </w:p>
        </w:tc>
        <w:tc>
          <w:tcPr>
            <w:tcW w:w="337"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48.40</w:t>
            </w:r>
          </w:p>
        </w:tc>
        <w:tc>
          <w:tcPr>
            <w:tcW w:w="337"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47.52</w:t>
            </w:r>
          </w:p>
        </w:tc>
        <w:tc>
          <w:tcPr>
            <w:tcW w:w="340"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50.99</w:t>
            </w:r>
          </w:p>
        </w:tc>
        <w:tc>
          <w:tcPr>
            <w:tcW w:w="678" w:type="pct"/>
            <w:vMerge w:val="continue"/>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p>
        </w:tc>
        <w:tc>
          <w:tcPr>
            <w:tcW w:w="628"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 w:type="pct"/>
            <w:vMerge w:val="restar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color w:val="auto"/>
                <w:spacing w:val="4"/>
                <w:szCs w:val="21"/>
                <w:highlight w:val="none"/>
              </w:rPr>
            </w:pPr>
            <w:r>
              <w:rPr>
                <w:rFonts w:hint="default" w:ascii="Times New Roman" w:hAnsi="Times New Roman" w:eastAsia="宋体" w:cs="Times New Roman"/>
                <w:color w:val="auto"/>
                <w:spacing w:val="4"/>
                <w:szCs w:val="21"/>
                <w:highlight w:val="none"/>
              </w:rPr>
              <w:t>2</w:t>
            </w:r>
          </w:p>
        </w:tc>
        <w:tc>
          <w:tcPr>
            <w:tcW w:w="742" w:type="pct"/>
            <w:vMerge w:val="restar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snapToGrid w:val="0"/>
                <w:color w:val="auto"/>
                <w:sz w:val="21"/>
                <w:szCs w:val="21"/>
                <w:lang w:val="en-US" w:eastAsia="zh-CN"/>
              </w:rPr>
              <w:t>碧海花园E区1号楼西侧</w:t>
            </w:r>
            <w:r>
              <w:rPr>
                <w:rFonts w:hint="eastAsia" w:ascii="Times New Roman" w:hAnsi="Times New Roman" w:eastAsia="宋体"/>
                <w:snapToGrid w:val="0"/>
                <w:color w:val="auto"/>
                <w:sz w:val="21"/>
                <w:szCs w:val="21"/>
                <w:lang w:val="en-US" w:eastAsia="zh-CN"/>
              </w:rPr>
              <w:t>3</w:t>
            </w:r>
            <w:r>
              <w:rPr>
                <w:rFonts w:hint="eastAsia" w:ascii="Times New Roman" w:hAnsi="Times New Roman"/>
                <w:snapToGrid w:val="0"/>
                <w:color w:val="auto"/>
                <w:sz w:val="21"/>
                <w:szCs w:val="21"/>
                <w:lang w:val="en-US" w:eastAsia="zh-CN"/>
              </w:rPr>
              <w:t>层</w:t>
            </w:r>
          </w:p>
        </w:tc>
        <w:tc>
          <w:tcPr>
            <w:tcW w:w="708"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近期（202</w:t>
            </w:r>
            <w:r>
              <w:rPr>
                <w:rFonts w:hint="default" w:ascii="Times New Roman" w:hAnsi="Times New Roman" w:eastAsia="宋体" w:cs="Times New Roman"/>
                <w:bCs/>
                <w:color w:val="auto"/>
                <w:szCs w:val="21"/>
                <w:highlight w:val="none"/>
                <w:lang w:val="en-US" w:eastAsia="zh-CN"/>
              </w:rPr>
              <w:t>4</w:t>
            </w:r>
            <w:r>
              <w:rPr>
                <w:rFonts w:hint="default" w:ascii="Times New Roman" w:hAnsi="Times New Roman" w:eastAsia="宋体" w:cs="Times New Roman"/>
                <w:bCs/>
                <w:color w:val="auto"/>
                <w:szCs w:val="21"/>
                <w:highlight w:val="none"/>
              </w:rPr>
              <w:t>年）</w:t>
            </w:r>
          </w:p>
        </w:tc>
        <w:tc>
          <w:tcPr>
            <w:tcW w:w="337"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56.50</w:t>
            </w:r>
          </w:p>
        </w:tc>
        <w:tc>
          <w:tcPr>
            <w:tcW w:w="337"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51.22</w:t>
            </w:r>
          </w:p>
        </w:tc>
        <w:tc>
          <w:tcPr>
            <w:tcW w:w="340"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57.63</w:t>
            </w:r>
          </w:p>
        </w:tc>
        <w:tc>
          <w:tcPr>
            <w:tcW w:w="337"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48.80</w:t>
            </w:r>
          </w:p>
        </w:tc>
        <w:tc>
          <w:tcPr>
            <w:tcW w:w="337"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48.08</w:t>
            </w:r>
          </w:p>
        </w:tc>
        <w:tc>
          <w:tcPr>
            <w:tcW w:w="340"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51.47</w:t>
            </w:r>
          </w:p>
        </w:tc>
        <w:tc>
          <w:tcPr>
            <w:tcW w:w="678" w:type="pct"/>
            <w:vMerge w:val="restar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70/55</w:t>
            </w:r>
          </w:p>
        </w:tc>
        <w:tc>
          <w:tcPr>
            <w:tcW w:w="628"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 w:type="pct"/>
            <w:vMerge w:val="continue"/>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color w:val="auto"/>
                <w:spacing w:val="4"/>
                <w:szCs w:val="21"/>
                <w:highlight w:val="none"/>
              </w:rPr>
            </w:pPr>
          </w:p>
        </w:tc>
        <w:tc>
          <w:tcPr>
            <w:tcW w:w="742" w:type="pct"/>
            <w:vMerge w:val="continue"/>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p>
        </w:tc>
        <w:tc>
          <w:tcPr>
            <w:tcW w:w="708"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中期（203</w:t>
            </w:r>
            <w:r>
              <w:rPr>
                <w:rFonts w:hint="default" w:ascii="Times New Roman" w:hAnsi="Times New Roman" w:eastAsia="宋体" w:cs="Times New Roman"/>
                <w:bCs/>
                <w:color w:val="auto"/>
                <w:szCs w:val="21"/>
                <w:highlight w:val="none"/>
                <w:lang w:val="en-US" w:eastAsia="zh-CN"/>
              </w:rPr>
              <w:t>3</w:t>
            </w:r>
            <w:r>
              <w:rPr>
                <w:rFonts w:hint="default" w:ascii="Times New Roman" w:hAnsi="Times New Roman" w:eastAsia="宋体" w:cs="Times New Roman"/>
                <w:bCs/>
                <w:color w:val="auto"/>
                <w:szCs w:val="21"/>
                <w:highlight w:val="none"/>
              </w:rPr>
              <w:t>年）</w:t>
            </w:r>
          </w:p>
        </w:tc>
        <w:tc>
          <w:tcPr>
            <w:tcW w:w="337"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56.50</w:t>
            </w:r>
          </w:p>
        </w:tc>
        <w:tc>
          <w:tcPr>
            <w:tcW w:w="337"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53.34</w:t>
            </w:r>
          </w:p>
        </w:tc>
        <w:tc>
          <w:tcPr>
            <w:tcW w:w="340"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58.21</w:t>
            </w:r>
          </w:p>
        </w:tc>
        <w:tc>
          <w:tcPr>
            <w:tcW w:w="337"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48.80</w:t>
            </w:r>
          </w:p>
        </w:tc>
        <w:tc>
          <w:tcPr>
            <w:tcW w:w="337"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50.20</w:t>
            </w:r>
          </w:p>
        </w:tc>
        <w:tc>
          <w:tcPr>
            <w:tcW w:w="340"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52.57</w:t>
            </w:r>
          </w:p>
        </w:tc>
        <w:tc>
          <w:tcPr>
            <w:tcW w:w="678" w:type="pct"/>
            <w:vMerge w:val="continue"/>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p>
        </w:tc>
        <w:tc>
          <w:tcPr>
            <w:tcW w:w="628"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 w:type="pct"/>
            <w:vMerge w:val="restar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color w:val="auto"/>
                <w:spacing w:val="4"/>
                <w:szCs w:val="21"/>
                <w:highlight w:val="none"/>
              </w:rPr>
            </w:pPr>
            <w:r>
              <w:rPr>
                <w:rFonts w:hint="default" w:ascii="Times New Roman" w:hAnsi="Times New Roman" w:eastAsia="宋体" w:cs="Times New Roman"/>
                <w:color w:val="auto"/>
                <w:spacing w:val="4"/>
                <w:szCs w:val="21"/>
                <w:highlight w:val="none"/>
              </w:rPr>
              <w:t>3</w:t>
            </w:r>
          </w:p>
        </w:tc>
        <w:tc>
          <w:tcPr>
            <w:tcW w:w="742" w:type="pct"/>
            <w:vMerge w:val="restar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snapToGrid w:val="0"/>
                <w:color w:val="auto"/>
                <w:sz w:val="21"/>
                <w:szCs w:val="21"/>
                <w:lang w:val="en-US" w:eastAsia="zh-CN"/>
              </w:rPr>
              <w:t>碧海花园E区1号楼西侧</w:t>
            </w:r>
            <w:r>
              <w:rPr>
                <w:rFonts w:hint="eastAsia" w:ascii="Times New Roman" w:hAnsi="Times New Roman" w:eastAsia="宋体"/>
                <w:snapToGrid w:val="0"/>
                <w:color w:val="auto"/>
                <w:sz w:val="21"/>
                <w:szCs w:val="21"/>
                <w:lang w:val="en-US" w:eastAsia="zh-CN"/>
              </w:rPr>
              <w:t>5</w:t>
            </w:r>
            <w:r>
              <w:rPr>
                <w:rFonts w:hint="eastAsia" w:ascii="Times New Roman" w:hAnsi="Times New Roman"/>
                <w:snapToGrid w:val="0"/>
                <w:color w:val="auto"/>
                <w:sz w:val="21"/>
                <w:szCs w:val="21"/>
                <w:lang w:val="en-US" w:eastAsia="zh-CN"/>
              </w:rPr>
              <w:t>层</w:t>
            </w:r>
          </w:p>
        </w:tc>
        <w:tc>
          <w:tcPr>
            <w:tcW w:w="708"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近期（202</w:t>
            </w:r>
            <w:r>
              <w:rPr>
                <w:rFonts w:hint="default" w:ascii="Times New Roman" w:hAnsi="Times New Roman" w:eastAsia="宋体" w:cs="Times New Roman"/>
                <w:bCs/>
                <w:color w:val="auto"/>
                <w:szCs w:val="21"/>
                <w:highlight w:val="none"/>
                <w:lang w:val="en-US" w:eastAsia="zh-CN"/>
              </w:rPr>
              <w:t>4</w:t>
            </w:r>
            <w:r>
              <w:rPr>
                <w:rFonts w:hint="default" w:ascii="Times New Roman" w:hAnsi="Times New Roman" w:eastAsia="宋体" w:cs="Times New Roman"/>
                <w:bCs/>
                <w:color w:val="auto"/>
                <w:szCs w:val="21"/>
                <w:highlight w:val="none"/>
              </w:rPr>
              <w:t>年）</w:t>
            </w:r>
          </w:p>
        </w:tc>
        <w:tc>
          <w:tcPr>
            <w:tcW w:w="337"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54.90</w:t>
            </w:r>
          </w:p>
        </w:tc>
        <w:tc>
          <w:tcPr>
            <w:tcW w:w="337"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53.22</w:t>
            </w:r>
          </w:p>
        </w:tc>
        <w:tc>
          <w:tcPr>
            <w:tcW w:w="340"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57.15</w:t>
            </w:r>
          </w:p>
        </w:tc>
        <w:tc>
          <w:tcPr>
            <w:tcW w:w="337"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47.60</w:t>
            </w:r>
          </w:p>
        </w:tc>
        <w:tc>
          <w:tcPr>
            <w:tcW w:w="337"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50.08</w:t>
            </w:r>
          </w:p>
        </w:tc>
        <w:tc>
          <w:tcPr>
            <w:tcW w:w="340"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52.03</w:t>
            </w:r>
          </w:p>
        </w:tc>
        <w:tc>
          <w:tcPr>
            <w:tcW w:w="678" w:type="pct"/>
            <w:vMerge w:val="restar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70/55</w:t>
            </w:r>
          </w:p>
        </w:tc>
        <w:tc>
          <w:tcPr>
            <w:tcW w:w="628"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 w:type="pct"/>
            <w:vMerge w:val="continue"/>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color w:val="auto"/>
                <w:spacing w:val="4"/>
                <w:szCs w:val="21"/>
                <w:highlight w:val="none"/>
              </w:rPr>
            </w:pPr>
          </w:p>
        </w:tc>
        <w:tc>
          <w:tcPr>
            <w:tcW w:w="742" w:type="pct"/>
            <w:vMerge w:val="continue"/>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p>
        </w:tc>
        <w:tc>
          <w:tcPr>
            <w:tcW w:w="708"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中期（203</w:t>
            </w:r>
            <w:r>
              <w:rPr>
                <w:rFonts w:hint="default" w:ascii="Times New Roman" w:hAnsi="Times New Roman" w:eastAsia="宋体" w:cs="Times New Roman"/>
                <w:bCs/>
                <w:color w:val="auto"/>
                <w:szCs w:val="21"/>
                <w:highlight w:val="none"/>
                <w:lang w:val="en-US" w:eastAsia="zh-CN"/>
              </w:rPr>
              <w:t>3</w:t>
            </w:r>
            <w:r>
              <w:rPr>
                <w:rFonts w:hint="default" w:ascii="Times New Roman" w:hAnsi="Times New Roman" w:eastAsia="宋体" w:cs="Times New Roman"/>
                <w:bCs/>
                <w:color w:val="auto"/>
                <w:szCs w:val="21"/>
                <w:highlight w:val="none"/>
              </w:rPr>
              <w:t>年）</w:t>
            </w:r>
          </w:p>
        </w:tc>
        <w:tc>
          <w:tcPr>
            <w:tcW w:w="337"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54.90</w:t>
            </w:r>
          </w:p>
        </w:tc>
        <w:tc>
          <w:tcPr>
            <w:tcW w:w="337"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55.34</w:t>
            </w:r>
          </w:p>
        </w:tc>
        <w:tc>
          <w:tcPr>
            <w:tcW w:w="340"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58.13</w:t>
            </w:r>
          </w:p>
        </w:tc>
        <w:tc>
          <w:tcPr>
            <w:tcW w:w="337"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47.60</w:t>
            </w:r>
          </w:p>
        </w:tc>
        <w:tc>
          <w:tcPr>
            <w:tcW w:w="337"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cs="Times New Roman"/>
                <w:bCs/>
                <w:color w:val="auto"/>
                <w:szCs w:val="21"/>
                <w:highlight w:val="none"/>
                <w:lang w:val="en-US" w:eastAsia="zh-CN"/>
              </w:rPr>
              <w:t>50.89</w:t>
            </w:r>
          </w:p>
        </w:tc>
        <w:tc>
          <w:tcPr>
            <w:tcW w:w="340"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cs="Times New Roman"/>
                <w:bCs/>
                <w:color w:val="auto"/>
                <w:szCs w:val="21"/>
                <w:highlight w:val="none"/>
                <w:lang w:val="en-US" w:eastAsia="zh-CN"/>
              </w:rPr>
              <w:t>52.56</w:t>
            </w:r>
          </w:p>
        </w:tc>
        <w:tc>
          <w:tcPr>
            <w:tcW w:w="678" w:type="pct"/>
            <w:vMerge w:val="continue"/>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p>
        </w:tc>
        <w:tc>
          <w:tcPr>
            <w:tcW w:w="628"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 w:type="pct"/>
            <w:vMerge w:val="restar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color w:val="auto"/>
                <w:spacing w:val="4"/>
                <w:szCs w:val="21"/>
                <w:highlight w:val="none"/>
              </w:rPr>
            </w:pPr>
            <w:r>
              <w:rPr>
                <w:rFonts w:hint="default" w:ascii="Times New Roman" w:hAnsi="Times New Roman" w:eastAsia="宋体" w:cs="Times New Roman"/>
                <w:color w:val="auto"/>
                <w:spacing w:val="4"/>
                <w:szCs w:val="21"/>
                <w:highlight w:val="none"/>
              </w:rPr>
              <w:t>4</w:t>
            </w:r>
          </w:p>
        </w:tc>
        <w:tc>
          <w:tcPr>
            <w:tcW w:w="742" w:type="pct"/>
            <w:vMerge w:val="restar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snapToGrid w:val="0"/>
                <w:color w:val="auto"/>
                <w:sz w:val="21"/>
                <w:szCs w:val="21"/>
                <w:lang w:val="en-US" w:eastAsia="zh-CN"/>
              </w:rPr>
              <w:t>唐家湾村</w:t>
            </w:r>
          </w:p>
        </w:tc>
        <w:tc>
          <w:tcPr>
            <w:tcW w:w="708"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近期（202</w:t>
            </w:r>
            <w:r>
              <w:rPr>
                <w:rFonts w:hint="default" w:ascii="Times New Roman" w:hAnsi="Times New Roman" w:eastAsia="宋体" w:cs="Times New Roman"/>
                <w:bCs/>
                <w:color w:val="auto"/>
                <w:szCs w:val="21"/>
                <w:highlight w:val="none"/>
                <w:lang w:val="en-US" w:eastAsia="zh-CN"/>
              </w:rPr>
              <w:t>4</w:t>
            </w:r>
            <w:r>
              <w:rPr>
                <w:rFonts w:hint="default" w:ascii="Times New Roman" w:hAnsi="Times New Roman" w:eastAsia="宋体" w:cs="Times New Roman"/>
                <w:bCs/>
                <w:color w:val="auto"/>
                <w:szCs w:val="21"/>
                <w:highlight w:val="none"/>
              </w:rPr>
              <w:t>年）</w:t>
            </w:r>
          </w:p>
        </w:tc>
        <w:tc>
          <w:tcPr>
            <w:tcW w:w="337"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51.30</w:t>
            </w:r>
          </w:p>
        </w:tc>
        <w:tc>
          <w:tcPr>
            <w:tcW w:w="337"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51.84</w:t>
            </w:r>
          </w:p>
        </w:tc>
        <w:tc>
          <w:tcPr>
            <w:tcW w:w="340"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54.59</w:t>
            </w:r>
          </w:p>
        </w:tc>
        <w:tc>
          <w:tcPr>
            <w:tcW w:w="943" w:type="dxa"/>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44.00</w:t>
            </w:r>
          </w:p>
        </w:tc>
        <w:tc>
          <w:tcPr>
            <w:tcW w:w="943" w:type="dxa"/>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bCs/>
                <w:color w:val="auto"/>
                <w:szCs w:val="21"/>
                <w:highlight w:val="none"/>
                <w:lang w:val="en-US" w:eastAsia="zh-CN"/>
              </w:rPr>
              <w:t>4</w:t>
            </w:r>
            <w:r>
              <w:rPr>
                <w:rFonts w:hint="eastAsia" w:cs="Times New Roman"/>
                <w:bCs/>
                <w:color w:val="auto"/>
                <w:szCs w:val="21"/>
                <w:highlight w:val="none"/>
                <w:lang w:val="en-US" w:eastAsia="zh-CN"/>
              </w:rPr>
              <w:t>6</w:t>
            </w:r>
            <w:r>
              <w:rPr>
                <w:rFonts w:hint="eastAsia" w:ascii="Times New Roman" w:hAnsi="Times New Roman" w:eastAsia="宋体" w:cs="Times New Roman"/>
                <w:bCs/>
                <w:color w:val="auto"/>
                <w:szCs w:val="21"/>
                <w:highlight w:val="none"/>
                <w:lang w:val="en-US" w:eastAsia="zh-CN"/>
              </w:rPr>
              <w:t>.70</w:t>
            </w:r>
          </w:p>
        </w:tc>
        <w:tc>
          <w:tcPr>
            <w:tcW w:w="952" w:type="dxa"/>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cs="Times New Roman"/>
                <w:bCs/>
                <w:color w:val="auto"/>
                <w:szCs w:val="21"/>
                <w:highlight w:val="none"/>
                <w:lang w:val="en-US" w:eastAsia="zh-CN"/>
              </w:rPr>
              <w:t>48.57</w:t>
            </w:r>
          </w:p>
        </w:tc>
        <w:tc>
          <w:tcPr>
            <w:tcW w:w="678" w:type="pct"/>
            <w:vMerge w:val="restar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eastAsia="zh-CN"/>
              </w:rPr>
            </w:pPr>
            <w:r>
              <w:rPr>
                <w:rFonts w:hint="default" w:ascii="Times New Roman" w:hAnsi="Times New Roman" w:eastAsia="宋体" w:cs="Times New Roman"/>
                <w:bCs/>
                <w:color w:val="auto"/>
                <w:szCs w:val="21"/>
                <w:highlight w:val="none"/>
              </w:rPr>
              <w:t>70/55</w:t>
            </w:r>
          </w:p>
        </w:tc>
        <w:tc>
          <w:tcPr>
            <w:tcW w:w="628"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 w:type="pct"/>
            <w:vMerge w:val="continue"/>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color w:val="auto"/>
                <w:spacing w:val="4"/>
                <w:szCs w:val="21"/>
                <w:highlight w:val="none"/>
              </w:rPr>
            </w:pPr>
          </w:p>
        </w:tc>
        <w:tc>
          <w:tcPr>
            <w:tcW w:w="742" w:type="pct"/>
            <w:vMerge w:val="continue"/>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p>
        </w:tc>
        <w:tc>
          <w:tcPr>
            <w:tcW w:w="708"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中期（203</w:t>
            </w:r>
            <w:r>
              <w:rPr>
                <w:rFonts w:hint="default" w:ascii="Times New Roman" w:hAnsi="Times New Roman" w:eastAsia="宋体" w:cs="Times New Roman"/>
                <w:bCs/>
                <w:color w:val="auto"/>
                <w:szCs w:val="21"/>
                <w:highlight w:val="none"/>
                <w:lang w:val="en-US" w:eastAsia="zh-CN"/>
              </w:rPr>
              <w:t>3</w:t>
            </w:r>
            <w:r>
              <w:rPr>
                <w:rFonts w:hint="default" w:ascii="Times New Roman" w:hAnsi="Times New Roman" w:eastAsia="宋体" w:cs="Times New Roman"/>
                <w:bCs/>
                <w:color w:val="auto"/>
                <w:szCs w:val="21"/>
                <w:highlight w:val="none"/>
              </w:rPr>
              <w:t>年）</w:t>
            </w:r>
          </w:p>
        </w:tc>
        <w:tc>
          <w:tcPr>
            <w:tcW w:w="337"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51.30</w:t>
            </w:r>
          </w:p>
        </w:tc>
        <w:tc>
          <w:tcPr>
            <w:tcW w:w="337"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53.96</w:t>
            </w:r>
          </w:p>
        </w:tc>
        <w:tc>
          <w:tcPr>
            <w:tcW w:w="340"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55.84</w:t>
            </w:r>
          </w:p>
        </w:tc>
        <w:tc>
          <w:tcPr>
            <w:tcW w:w="337"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44.00</w:t>
            </w:r>
          </w:p>
        </w:tc>
        <w:tc>
          <w:tcPr>
            <w:tcW w:w="337"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cs="Times New Roman"/>
                <w:bCs/>
                <w:color w:val="auto"/>
                <w:szCs w:val="21"/>
                <w:highlight w:val="none"/>
                <w:lang w:val="en-US" w:eastAsia="zh-CN"/>
              </w:rPr>
              <w:t>48</w:t>
            </w:r>
            <w:r>
              <w:rPr>
                <w:rFonts w:hint="eastAsia" w:ascii="Times New Roman" w:hAnsi="Times New Roman" w:eastAsia="宋体" w:cs="Times New Roman"/>
                <w:bCs/>
                <w:color w:val="auto"/>
                <w:szCs w:val="21"/>
                <w:highlight w:val="none"/>
                <w:lang w:val="en-US" w:eastAsia="zh-CN"/>
              </w:rPr>
              <w:t>.</w:t>
            </w:r>
            <w:r>
              <w:rPr>
                <w:rFonts w:hint="eastAsia" w:cs="Times New Roman"/>
                <w:bCs/>
                <w:color w:val="auto"/>
                <w:szCs w:val="21"/>
                <w:highlight w:val="none"/>
                <w:lang w:val="en-US" w:eastAsia="zh-CN"/>
              </w:rPr>
              <w:t>62</w:t>
            </w:r>
          </w:p>
        </w:tc>
        <w:tc>
          <w:tcPr>
            <w:tcW w:w="340"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cs="Times New Roman"/>
                <w:bCs/>
                <w:color w:val="auto"/>
                <w:szCs w:val="21"/>
                <w:highlight w:val="none"/>
                <w:lang w:val="en-US" w:eastAsia="zh-CN"/>
              </w:rPr>
              <w:t>49.91</w:t>
            </w:r>
          </w:p>
        </w:tc>
        <w:tc>
          <w:tcPr>
            <w:tcW w:w="678" w:type="pct"/>
            <w:vMerge w:val="continue"/>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p>
        </w:tc>
        <w:tc>
          <w:tcPr>
            <w:tcW w:w="628"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 w:type="pct"/>
            <w:vMerge w:val="restar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color w:val="auto"/>
                <w:spacing w:val="4"/>
                <w:szCs w:val="21"/>
                <w:highlight w:val="none"/>
              </w:rPr>
            </w:pPr>
            <w:r>
              <w:rPr>
                <w:rFonts w:hint="default" w:ascii="Times New Roman" w:hAnsi="Times New Roman" w:eastAsia="宋体" w:cs="Times New Roman"/>
                <w:color w:val="auto"/>
                <w:spacing w:val="4"/>
                <w:szCs w:val="21"/>
                <w:highlight w:val="none"/>
              </w:rPr>
              <w:t>5</w:t>
            </w:r>
          </w:p>
        </w:tc>
        <w:tc>
          <w:tcPr>
            <w:tcW w:w="742" w:type="pct"/>
            <w:vMerge w:val="restar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snapToGrid w:val="0"/>
                <w:color w:val="auto"/>
                <w:sz w:val="21"/>
                <w:szCs w:val="21"/>
                <w:lang w:val="en-US" w:eastAsia="zh-CN"/>
              </w:rPr>
              <w:t>西富苑小区6号楼西侧1</w:t>
            </w:r>
            <w:r>
              <w:rPr>
                <w:rFonts w:hint="eastAsia" w:ascii="Times New Roman" w:hAnsi="Times New Roman"/>
                <w:snapToGrid w:val="0"/>
                <w:color w:val="auto"/>
                <w:sz w:val="21"/>
                <w:szCs w:val="21"/>
                <w:lang w:val="en-US" w:eastAsia="zh-CN"/>
              </w:rPr>
              <w:t>层</w:t>
            </w:r>
          </w:p>
        </w:tc>
        <w:tc>
          <w:tcPr>
            <w:tcW w:w="708"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近期（202</w:t>
            </w:r>
            <w:r>
              <w:rPr>
                <w:rFonts w:hint="default" w:ascii="Times New Roman" w:hAnsi="Times New Roman" w:eastAsia="宋体" w:cs="Times New Roman"/>
                <w:bCs/>
                <w:color w:val="auto"/>
                <w:szCs w:val="21"/>
                <w:highlight w:val="none"/>
                <w:lang w:val="en-US" w:eastAsia="zh-CN"/>
              </w:rPr>
              <w:t>4</w:t>
            </w:r>
            <w:r>
              <w:rPr>
                <w:rFonts w:hint="default" w:ascii="Times New Roman" w:hAnsi="Times New Roman" w:eastAsia="宋体" w:cs="Times New Roman"/>
                <w:bCs/>
                <w:color w:val="auto"/>
                <w:szCs w:val="21"/>
                <w:highlight w:val="none"/>
              </w:rPr>
              <w:t>年）</w:t>
            </w:r>
          </w:p>
        </w:tc>
        <w:tc>
          <w:tcPr>
            <w:tcW w:w="337"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56.10</w:t>
            </w:r>
          </w:p>
        </w:tc>
        <w:tc>
          <w:tcPr>
            <w:tcW w:w="337"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38.88</w:t>
            </w:r>
          </w:p>
        </w:tc>
        <w:tc>
          <w:tcPr>
            <w:tcW w:w="340"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56.18</w:t>
            </w:r>
          </w:p>
        </w:tc>
        <w:tc>
          <w:tcPr>
            <w:tcW w:w="337"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49.40</w:t>
            </w:r>
          </w:p>
        </w:tc>
        <w:tc>
          <w:tcPr>
            <w:tcW w:w="337"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35.81</w:t>
            </w:r>
          </w:p>
        </w:tc>
        <w:tc>
          <w:tcPr>
            <w:tcW w:w="340"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49.59</w:t>
            </w:r>
          </w:p>
        </w:tc>
        <w:tc>
          <w:tcPr>
            <w:tcW w:w="678" w:type="pct"/>
            <w:vMerge w:val="restar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70/55</w:t>
            </w:r>
          </w:p>
        </w:tc>
        <w:tc>
          <w:tcPr>
            <w:tcW w:w="628"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 w:type="pct"/>
            <w:vMerge w:val="continue"/>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color w:val="auto"/>
                <w:spacing w:val="4"/>
                <w:szCs w:val="21"/>
                <w:highlight w:val="none"/>
              </w:rPr>
            </w:pPr>
          </w:p>
        </w:tc>
        <w:tc>
          <w:tcPr>
            <w:tcW w:w="742" w:type="pct"/>
            <w:vMerge w:val="continue"/>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p>
        </w:tc>
        <w:tc>
          <w:tcPr>
            <w:tcW w:w="708"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中期（203</w:t>
            </w:r>
            <w:r>
              <w:rPr>
                <w:rFonts w:hint="default" w:ascii="Times New Roman" w:hAnsi="Times New Roman" w:eastAsia="宋体" w:cs="Times New Roman"/>
                <w:bCs/>
                <w:color w:val="auto"/>
                <w:szCs w:val="21"/>
                <w:highlight w:val="none"/>
                <w:lang w:val="en-US" w:eastAsia="zh-CN"/>
              </w:rPr>
              <w:t>3</w:t>
            </w:r>
            <w:r>
              <w:rPr>
                <w:rFonts w:hint="default" w:ascii="Times New Roman" w:hAnsi="Times New Roman" w:eastAsia="宋体" w:cs="Times New Roman"/>
                <w:bCs/>
                <w:color w:val="auto"/>
                <w:szCs w:val="21"/>
                <w:highlight w:val="none"/>
              </w:rPr>
              <w:t>年）</w:t>
            </w:r>
          </w:p>
        </w:tc>
        <w:tc>
          <w:tcPr>
            <w:tcW w:w="337"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56.10</w:t>
            </w:r>
          </w:p>
        </w:tc>
        <w:tc>
          <w:tcPr>
            <w:tcW w:w="337"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39.90</w:t>
            </w:r>
          </w:p>
        </w:tc>
        <w:tc>
          <w:tcPr>
            <w:tcW w:w="340"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56.20</w:t>
            </w:r>
          </w:p>
        </w:tc>
        <w:tc>
          <w:tcPr>
            <w:tcW w:w="337"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49.40</w:t>
            </w:r>
          </w:p>
        </w:tc>
        <w:tc>
          <w:tcPr>
            <w:tcW w:w="337"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36.81</w:t>
            </w:r>
          </w:p>
        </w:tc>
        <w:tc>
          <w:tcPr>
            <w:tcW w:w="340"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49.63</w:t>
            </w:r>
          </w:p>
        </w:tc>
        <w:tc>
          <w:tcPr>
            <w:tcW w:w="678" w:type="pct"/>
            <w:vMerge w:val="continue"/>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p>
        </w:tc>
        <w:tc>
          <w:tcPr>
            <w:tcW w:w="628"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 w:type="pct"/>
            <w:vMerge w:val="restar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color w:val="auto"/>
                <w:spacing w:val="4"/>
                <w:szCs w:val="21"/>
                <w:highlight w:val="none"/>
              </w:rPr>
            </w:pPr>
            <w:r>
              <w:rPr>
                <w:rFonts w:hint="default" w:ascii="Times New Roman" w:hAnsi="Times New Roman" w:eastAsia="宋体" w:cs="Times New Roman"/>
                <w:color w:val="auto"/>
                <w:spacing w:val="4"/>
                <w:szCs w:val="21"/>
                <w:highlight w:val="none"/>
              </w:rPr>
              <w:t>6</w:t>
            </w:r>
          </w:p>
        </w:tc>
        <w:tc>
          <w:tcPr>
            <w:tcW w:w="742" w:type="pct"/>
            <w:vMerge w:val="restar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snapToGrid w:val="0"/>
                <w:color w:val="auto"/>
                <w:sz w:val="21"/>
                <w:szCs w:val="21"/>
                <w:lang w:val="en-US" w:eastAsia="zh-CN"/>
              </w:rPr>
              <w:t>西富苑小区6号楼西侧</w:t>
            </w:r>
            <w:r>
              <w:rPr>
                <w:rFonts w:hint="eastAsia" w:ascii="Times New Roman" w:hAnsi="Times New Roman" w:eastAsia="宋体"/>
                <w:snapToGrid w:val="0"/>
                <w:color w:val="auto"/>
                <w:sz w:val="21"/>
                <w:szCs w:val="21"/>
                <w:lang w:val="en-US" w:eastAsia="zh-CN"/>
              </w:rPr>
              <w:t>3</w:t>
            </w:r>
            <w:r>
              <w:rPr>
                <w:rFonts w:hint="eastAsia" w:ascii="Times New Roman" w:hAnsi="Times New Roman"/>
                <w:snapToGrid w:val="0"/>
                <w:color w:val="auto"/>
                <w:sz w:val="21"/>
                <w:szCs w:val="21"/>
                <w:lang w:val="en-US" w:eastAsia="zh-CN"/>
              </w:rPr>
              <w:t>层</w:t>
            </w:r>
          </w:p>
        </w:tc>
        <w:tc>
          <w:tcPr>
            <w:tcW w:w="708"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近期（202</w:t>
            </w:r>
            <w:r>
              <w:rPr>
                <w:rFonts w:hint="default" w:ascii="Times New Roman" w:hAnsi="Times New Roman" w:eastAsia="宋体" w:cs="Times New Roman"/>
                <w:bCs/>
                <w:color w:val="auto"/>
                <w:szCs w:val="21"/>
                <w:highlight w:val="none"/>
                <w:lang w:val="en-US" w:eastAsia="zh-CN"/>
              </w:rPr>
              <w:t>4</w:t>
            </w:r>
            <w:r>
              <w:rPr>
                <w:rFonts w:hint="default" w:ascii="Times New Roman" w:hAnsi="Times New Roman" w:eastAsia="宋体" w:cs="Times New Roman"/>
                <w:bCs/>
                <w:color w:val="auto"/>
                <w:szCs w:val="21"/>
                <w:highlight w:val="none"/>
              </w:rPr>
              <w:t>年）</w:t>
            </w:r>
          </w:p>
        </w:tc>
        <w:tc>
          <w:tcPr>
            <w:tcW w:w="337"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55.40</w:t>
            </w:r>
          </w:p>
        </w:tc>
        <w:tc>
          <w:tcPr>
            <w:tcW w:w="337"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41.06</w:t>
            </w:r>
          </w:p>
        </w:tc>
        <w:tc>
          <w:tcPr>
            <w:tcW w:w="340"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55.56</w:t>
            </w:r>
          </w:p>
        </w:tc>
        <w:tc>
          <w:tcPr>
            <w:tcW w:w="337"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47.10</w:t>
            </w:r>
          </w:p>
        </w:tc>
        <w:tc>
          <w:tcPr>
            <w:tcW w:w="337"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38.00</w:t>
            </w:r>
          </w:p>
        </w:tc>
        <w:tc>
          <w:tcPr>
            <w:tcW w:w="340"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47.60</w:t>
            </w:r>
          </w:p>
        </w:tc>
        <w:tc>
          <w:tcPr>
            <w:tcW w:w="678" w:type="pct"/>
            <w:vMerge w:val="restar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70/55</w:t>
            </w:r>
          </w:p>
        </w:tc>
        <w:tc>
          <w:tcPr>
            <w:tcW w:w="628"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 w:type="pct"/>
            <w:vMerge w:val="continue"/>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color w:val="auto"/>
                <w:spacing w:val="4"/>
                <w:szCs w:val="21"/>
                <w:highlight w:val="none"/>
              </w:rPr>
            </w:pPr>
          </w:p>
        </w:tc>
        <w:tc>
          <w:tcPr>
            <w:tcW w:w="742" w:type="pct"/>
            <w:vMerge w:val="continue"/>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p>
        </w:tc>
        <w:tc>
          <w:tcPr>
            <w:tcW w:w="708"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中期（203</w:t>
            </w:r>
            <w:r>
              <w:rPr>
                <w:rFonts w:hint="default" w:ascii="Times New Roman" w:hAnsi="Times New Roman" w:eastAsia="宋体" w:cs="Times New Roman"/>
                <w:bCs/>
                <w:color w:val="auto"/>
                <w:szCs w:val="21"/>
                <w:highlight w:val="none"/>
                <w:lang w:val="en-US" w:eastAsia="zh-CN"/>
              </w:rPr>
              <w:t>3</w:t>
            </w:r>
            <w:r>
              <w:rPr>
                <w:rFonts w:hint="default" w:ascii="Times New Roman" w:hAnsi="Times New Roman" w:eastAsia="宋体" w:cs="Times New Roman"/>
                <w:bCs/>
                <w:color w:val="auto"/>
                <w:szCs w:val="21"/>
                <w:highlight w:val="none"/>
              </w:rPr>
              <w:t>年）</w:t>
            </w:r>
          </w:p>
        </w:tc>
        <w:tc>
          <w:tcPr>
            <w:tcW w:w="337"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55.40</w:t>
            </w:r>
          </w:p>
        </w:tc>
        <w:tc>
          <w:tcPr>
            <w:tcW w:w="337"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41.98</w:t>
            </w:r>
          </w:p>
        </w:tc>
        <w:tc>
          <w:tcPr>
            <w:tcW w:w="340"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55.59</w:t>
            </w:r>
          </w:p>
        </w:tc>
        <w:tc>
          <w:tcPr>
            <w:tcW w:w="337"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47.10</w:t>
            </w:r>
          </w:p>
        </w:tc>
        <w:tc>
          <w:tcPr>
            <w:tcW w:w="337"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38.89</w:t>
            </w:r>
          </w:p>
        </w:tc>
        <w:tc>
          <w:tcPr>
            <w:tcW w:w="340"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47.71</w:t>
            </w:r>
          </w:p>
        </w:tc>
        <w:tc>
          <w:tcPr>
            <w:tcW w:w="678" w:type="pct"/>
            <w:vMerge w:val="continue"/>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p>
        </w:tc>
        <w:tc>
          <w:tcPr>
            <w:tcW w:w="628"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 w:type="pct"/>
            <w:vMerge w:val="restar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color w:val="auto"/>
                <w:spacing w:val="4"/>
                <w:szCs w:val="21"/>
                <w:highlight w:val="none"/>
              </w:rPr>
            </w:pPr>
            <w:r>
              <w:rPr>
                <w:rFonts w:hint="default" w:ascii="Times New Roman" w:hAnsi="Times New Roman" w:eastAsia="宋体" w:cs="Times New Roman"/>
                <w:color w:val="auto"/>
                <w:spacing w:val="4"/>
                <w:szCs w:val="21"/>
                <w:highlight w:val="none"/>
              </w:rPr>
              <w:t>7</w:t>
            </w:r>
          </w:p>
        </w:tc>
        <w:tc>
          <w:tcPr>
            <w:tcW w:w="742" w:type="pct"/>
            <w:vMerge w:val="restar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snapToGrid w:val="0"/>
                <w:color w:val="auto"/>
                <w:sz w:val="21"/>
                <w:szCs w:val="21"/>
                <w:lang w:val="en-US" w:eastAsia="zh-CN"/>
              </w:rPr>
              <w:t>西富苑小区6号楼西侧</w:t>
            </w:r>
            <w:r>
              <w:rPr>
                <w:rFonts w:hint="eastAsia" w:ascii="Times New Roman" w:hAnsi="Times New Roman" w:eastAsia="宋体"/>
                <w:snapToGrid w:val="0"/>
                <w:color w:val="auto"/>
                <w:sz w:val="21"/>
                <w:szCs w:val="21"/>
                <w:lang w:val="en-US" w:eastAsia="zh-CN"/>
              </w:rPr>
              <w:t>5</w:t>
            </w:r>
            <w:r>
              <w:rPr>
                <w:rFonts w:hint="eastAsia" w:ascii="Times New Roman" w:hAnsi="Times New Roman"/>
                <w:snapToGrid w:val="0"/>
                <w:color w:val="auto"/>
                <w:sz w:val="21"/>
                <w:szCs w:val="21"/>
                <w:lang w:val="en-US" w:eastAsia="zh-CN"/>
              </w:rPr>
              <w:t>层</w:t>
            </w:r>
          </w:p>
        </w:tc>
        <w:tc>
          <w:tcPr>
            <w:tcW w:w="708"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近期（202</w:t>
            </w:r>
            <w:r>
              <w:rPr>
                <w:rFonts w:hint="default" w:ascii="Times New Roman" w:hAnsi="Times New Roman" w:eastAsia="宋体" w:cs="Times New Roman"/>
                <w:bCs/>
                <w:color w:val="auto"/>
                <w:szCs w:val="21"/>
                <w:highlight w:val="none"/>
                <w:lang w:val="en-US" w:eastAsia="zh-CN"/>
              </w:rPr>
              <w:t>4</w:t>
            </w:r>
            <w:r>
              <w:rPr>
                <w:rFonts w:hint="default" w:ascii="Times New Roman" w:hAnsi="Times New Roman" w:eastAsia="宋体" w:cs="Times New Roman"/>
                <w:bCs/>
                <w:color w:val="auto"/>
                <w:szCs w:val="21"/>
                <w:highlight w:val="none"/>
              </w:rPr>
              <w:t>年）</w:t>
            </w:r>
          </w:p>
        </w:tc>
        <w:tc>
          <w:tcPr>
            <w:tcW w:w="337"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54.70</w:t>
            </w:r>
          </w:p>
        </w:tc>
        <w:tc>
          <w:tcPr>
            <w:tcW w:w="337"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41.05</w:t>
            </w:r>
          </w:p>
        </w:tc>
        <w:tc>
          <w:tcPr>
            <w:tcW w:w="340"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54.88</w:t>
            </w:r>
          </w:p>
        </w:tc>
        <w:tc>
          <w:tcPr>
            <w:tcW w:w="337"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47.00</w:t>
            </w:r>
          </w:p>
        </w:tc>
        <w:tc>
          <w:tcPr>
            <w:tcW w:w="337"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37.98</w:t>
            </w:r>
          </w:p>
        </w:tc>
        <w:tc>
          <w:tcPr>
            <w:tcW w:w="340"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47.51</w:t>
            </w:r>
          </w:p>
        </w:tc>
        <w:tc>
          <w:tcPr>
            <w:tcW w:w="678" w:type="pct"/>
            <w:vMerge w:val="restar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70/55</w:t>
            </w:r>
          </w:p>
        </w:tc>
        <w:tc>
          <w:tcPr>
            <w:tcW w:w="628"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 w:type="pct"/>
            <w:vMerge w:val="continue"/>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color w:val="auto"/>
              </w:rPr>
            </w:pPr>
          </w:p>
          <w:p>
            <w:pPr>
              <w:pStyle w:val="26"/>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color w:val="auto"/>
              </w:rPr>
            </w:pPr>
          </w:p>
        </w:tc>
        <w:tc>
          <w:tcPr>
            <w:tcW w:w="742" w:type="pct"/>
            <w:vMerge w:val="continue"/>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p>
        </w:tc>
        <w:tc>
          <w:tcPr>
            <w:tcW w:w="708"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中期（203</w:t>
            </w:r>
            <w:r>
              <w:rPr>
                <w:rFonts w:hint="default" w:ascii="Times New Roman" w:hAnsi="Times New Roman" w:eastAsia="宋体" w:cs="Times New Roman"/>
                <w:bCs/>
                <w:color w:val="auto"/>
                <w:szCs w:val="21"/>
                <w:highlight w:val="none"/>
                <w:lang w:val="en-US" w:eastAsia="zh-CN"/>
              </w:rPr>
              <w:t>3</w:t>
            </w:r>
            <w:r>
              <w:rPr>
                <w:rFonts w:hint="default" w:ascii="Times New Roman" w:hAnsi="Times New Roman" w:eastAsia="宋体" w:cs="Times New Roman"/>
                <w:bCs/>
                <w:color w:val="auto"/>
                <w:szCs w:val="21"/>
                <w:highlight w:val="none"/>
              </w:rPr>
              <w:t>年）</w:t>
            </w:r>
          </w:p>
        </w:tc>
        <w:tc>
          <w:tcPr>
            <w:tcW w:w="337"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54.70</w:t>
            </w:r>
          </w:p>
        </w:tc>
        <w:tc>
          <w:tcPr>
            <w:tcW w:w="337"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41.97</w:t>
            </w:r>
          </w:p>
        </w:tc>
        <w:tc>
          <w:tcPr>
            <w:tcW w:w="340"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54.93</w:t>
            </w:r>
          </w:p>
        </w:tc>
        <w:tc>
          <w:tcPr>
            <w:tcW w:w="337"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47.00</w:t>
            </w:r>
          </w:p>
        </w:tc>
        <w:tc>
          <w:tcPr>
            <w:tcW w:w="337"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38.88</w:t>
            </w:r>
          </w:p>
        </w:tc>
        <w:tc>
          <w:tcPr>
            <w:tcW w:w="340"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47.62</w:t>
            </w:r>
          </w:p>
        </w:tc>
        <w:tc>
          <w:tcPr>
            <w:tcW w:w="678" w:type="pct"/>
            <w:vMerge w:val="continue"/>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p>
        </w:tc>
        <w:tc>
          <w:tcPr>
            <w:tcW w:w="628"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 w:type="pct"/>
            <w:vMerge w:val="restart"/>
            <w:noWrap w:val="0"/>
            <w:vAlign w:val="center"/>
          </w:tcPr>
          <w:p>
            <w:pPr>
              <w:pStyle w:val="26"/>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8</w:t>
            </w:r>
          </w:p>
        </w:tc>
        <w:tc>
          <w:tcPr>
            <w:tcW w:w="742" w:type="pct"/>
            <w:vMerge w:val="restar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eastAsia" w:ascii="Times New Roman" w:hAnsi="Times New Roman" w:eastAsia="宋体"/>
                <w:snapToGrid w:val="0"/>
                <w:color w:val="auto"/>
                <w:sz w:val="21"/>
                <w:szCs w:val="21"/>
                <w:lang w:val="en-US" w:eastAsia="zh-CN"/>
              </w:rPr>
              <w:t>王家沟村</w:t>
            </w:r>
          </w:p>
        </w:tc>
        <w:tc>
          <w:tcPr>
            <w:tcW w:w="708"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近期（202</w:t>
            </w:r>
            <w:r>
              <w:rPr>
                <w:rFonts w:hint="default" w:ascii="Times New Roman" w:hAnsi="Times New Roman" w:eastAsia="宋体" w:cs="Times New Roman"/>
                <w:bCs/>
                <w:color w:val="auto"/>
                <w:szCs w:val="21"/>
                <w:highlight w:val="none"/>
                <w:lang w:val="en-US" w:eastAsia="zh-CN"/>
              </w:rPr>
              <w:t>4</w:t>
            </w:r>
            <w:r>
              <w:rPr>
                <w:rFonts w:hint="default" w:ascii="Times New Roman" w:hAnsi="Times New Roman" w:eastAsia="宋体" w:cs="Times New Roman"/>
                <w:bCs/>
                <w:color w:val="auto"/>
                <w:szCs w:val="21"/>
                <w:highlight w:val="none"/>
              </w:rPr>
              <w:t>年）</w:t>
            </w:r>
          </w:p>
        </w:tc>
        <w:tc>
          <w:tcPr>
            <w:tcW w:w="337"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52.10</w:t>
            </w:r>
          </w:p>
        </w:tc>
        <w:tc>
          <w:tcPr>
            <w:tcW w:w="337"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52.30</w:t>
            </w:r>
          </w:p>
        </w:tc>
        <w:tc>
          <w:tcPr>
            <w:tcW w:w="340"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55.21</w:t>
            </w:r>
          </w:p>
        </w:tc>
        <w:tc>
          <w:tcPr>
            <w:tcW w:w="337"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45.40</w:t>
            </w:r>
          </w:p>
        </w:tc>
        <w:tc>
          <w:tcPr>
            <w:tcW w:w="337"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45.12</w:t>
            </w:r>
          </w:p>
        </w:tc>
        <w:tc>
          <w:tcPr>
            <w:tcW w:w="340"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48.27</w:t>
            </w:r>
          </w:p>
        </w:tc>
        <w:tc>
          <w:tcPr>
            <w:tcW w:w="678" w:type="pct"/>
            <w:vMerge w:val="restar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60/50</w:t>
            </w:r>
          </w:p>
        </w:tc>
        <w:tc>
          <w:tcPr>
            <w:tcW w:w="628"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 w:type="pct"/>
            <w:vMerge w:val="continue"/>
            <w:noWrap w:val="0"/>
            <w:vAlign w:val="center"/>
          </w:tcPr>
          <w:p>
            <w:pPr>
              <w:pStyle w:val="26"/>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color w:val="auto"/>
              </w:rPr>
            </w:pPr>
          </w:p>
        </w:tc>
        <w:tc>
          <w:tcPr>
            <w:tcW w:w="742" w:type="pct"/>
            <w:vMerge w:val="continue"/>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p>
        </w:tc>
        <w:tc>
          <w:tcPr>
            <w:tcW w:w="708"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中期（203</w:t>
            </w:r>
            <w:r>
              <w:rPr>
                <w:rFonts w:hint="default" w:ascii="Times New Roman" w:hAnsi="Times New Roman" w:eastAsia="宋体" w:cs="Times New Roman"/>
                <w:bCs/>
                <w:color w:val="auto"/>
                <w:szCs w:val="21"/>
                <w:highlight w:val="none"/>
                <w:lang w:val="en-US" w:eastAsia="zh-CN"/>
              </w:rPr>
              <w:t>3</w:t>
            </w:r>
            <w:r>
              <w:rPr>
                <w:rFonts w:hint="default" w:ascii="Times New Roman" w:hAnsi="Times New Roman" w:eastAsia="宋体" w:cs="Times New Roman"/>
                <w:bCs/>
                <w:color w:val="auto"/>
                <w:szCs w:val="21"/>
                <w:highlight w:val="none"/>
              </w:rPr>
              <w:t>年）</w:t>
            </w:r>
          </w:p>
        </w:tc>
        <w:tc>
          <w:tcPr>
            <w:tcW w:w="337"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52.10</w:t>
            </w:r>
          </w:p>
        </w:tc>
        <w:tc>
          <w:tcPr>
            <w:tcW w:w="337"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55.27</w:t>
            </w:r>
          </w:p>
        </w:tc>
        <w:tc>
          <w:tcPr>
            <w:tcW w:w="340"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56.98</w:t>
            </w:r>
          </w:p>
        </w:tc>
        <w:tc>
          <w:tcPr>
            <w:tcW w:w="337"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45.40</w:t>
            </w:r>
          </w:p>
        </w:tc>
        <w:tc>
          <w:tcPr>
            <w:tcW w:w="337"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47.85</w:t>
            </w:r>
          </w:p>
        </w:tc>
        <w:tc>
          <w:tcPr>
            <w:tcW w:w="340"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49.81</w:t>
            </w:r>
          </w:p>
        </w:tc>
        <w:tc>
          <w:tcPr>
            <w:tcW w:w="678" w:type="pct"/>
            <w:vMerge w:val="continue"/>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p>
        </w:tc>
        <w:tc>
          <w:tcPr>
            <w:tcW w:w="628"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 w:type="pct"/>
            <w:vMerge w:val="restar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color w:val="auto"/>
                <w:spacing w:val="4"/>
                <w:szCs w:val="21"/>
                <w:highlight w:val="none"/>
                <w:lang w:val="en-US" w:eastAsia="zh-CN"/>
              </w:rPr>
            </w:pPr>
            <w:r>
              <w:rPr>
                <w:rFonts w:hint="default" w:ascii="Times New Roman" w:hAnsi="Times New Roman" w:eastAsia="宋体" w:cs="Times New Roman"/>
                <w:color w:val="auto"/>
                <w:spacing w:val="4"/>
                <w:szCs w:val="21"/>
                <w:highlight w:val="none"/>
                <w:lang w:val="en-US" w:eastAsia="zh-CN"/>
              </w:rPr>
              <w:t>9</w:t>
            </w:r>
          </w:p>
        </w:tc>
        <w:tc>
          <w:tcPr>
            <w:tcW w:w="742" w:type="pct"/>
            <w:vMerge w:val="restar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eastAsia" w:ascii="Times New Roman" w:hAnsi="Times New Roman" w:eastAsia="宋体"/>
                <w:snapToGrid w:val="0"/>
                <w:color w:val="auto"/>
                <w:sz w:val="21"/>
                <w:szCs w:val="21"/>
                <w:lang w:val="en-US" w:eastAsia="zh-CN"/>
              </w:rPr>
              <w:t>王庄村</w:t>
            </w:r>
          </w:p>
        </w:tc>
        <w:tc>
          <w:tcPr>
            <w:tcW w:w="708"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近期（202</w:t>
            </w:r>
            <w:r>
              <w:rPr>
                <w:rFonts w:hint="default" w:ascii="Times New Roman" w:hAnsi="Times New Roman" w:eastAsia="宋体" w:cs="Times New Roman"/>
                <w:bCs/>
                <w:color w:val="auto"/>
                <w:szCs w:val="21"/>
                <w:highlight w:val="none"/>
                <w:lang w:val="en-US" w:eastAsia="zh-CN"/>
              </w:rPr>
              <w:t>4</w:t>
            </w:r>
            <w:r>
              <w:rPr>
                <w:rFonts w:hint="default" w:ascii="Times New Roman" w:hAnsi="Times New Roman" w:eastAsia="宋体" w:cs="Times New Roman"/>
                <w:bCs/>
                <w:color w:val="auto"/>
                <w:szCs w:val="21"/>
                <w:highlight w:val="none"/>
              </w:rPr>
              <w:t>年）</w:t>
            </w:r>
          </w:p>
        </w:tc>
        <w:tc>
          <w:tcPr>
            <w:tcW w:w="943" w:type="dxa"/>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49.60</w:t>
            </w:r>
          </w:p>
        </w:tc>
        <w:tc>
          <w:tcPr>
            <w:tcW w:w="943" w:type="dxa"/>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46.83</w:t>
            </w:r>
          </w:p>
        </w:tc>
        <w:tc>
          <w:tcPr>
            <w:tcW w:w="952" w:type="dxa"/>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51.44</w:t>
            </w:r>
          </w:p>
        </w:tc>
        <w:tc>
          <w:tcPr>
            <w:tcW w:w="337"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42.90</w:t>
            </w:r>
          </w:p>
        </w:tc>
        <w:tc>
          <w:tcPr>
            <w:tcW w:w="337"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43.74</w:t>
            </w:r>
          </w:p>
        </w:tc>
        <w:tc>
          <w:tcPr>
            <w:tcW w:w="340"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46.35</w:t>
            </w:r>
          </w:p>
        </w:tc>
        <w:tc>
          <w:tcPr>
            <w:tcW w:w="678" w:type="pct"/>
            <w:vMerge w:val="restar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eastAsia" w:ascii="Times New Roman" w:hAnsi="Times New Roman" w:eastAsia="宋体" w:cs="Times New Roman"/>
                <w:bCs/>
                <w:color w:val="auto"/>
                <w:szCs w:val="21"/>
                <w:highlight w:val="none"/>
                <w:lang w:val="en-US" w:eastAsia="zh-CN"/>
              </w:rPr>
              <w:t>60/50</w:t>
            </w:r>
          </w:p>
        </w:tc>
        <w:tc>
          <w:tcPr>
            <w:tcW w:w="628"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 w:type="pct"/>
            <w:vMerge w:val="continue"/>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color w:val="auto"/>
                <w:spacing w:val="4"/>
                <w:szCs w:val="21"/>
                <w:highlight w:val="none"/>
              </w:rPr>
            </w:pPr>
          </w:p>
        </w:tc>
        <w:tc>
          <w:tcPr>
            <w:tcW w:w="742" w:type="pct"/>
            <w:vMerge w:val="continue"/>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p>
        </w:tc>
        <w:tc>
          <w:tcPr>
            <w:tcW w:w="708"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中期（203</w:t>
            </w:r>
            <w:r>
              <w:rPr>
                <w:rFonts w:hint="default" w:ascii="Times New Roman" w:hAnsi="Times New Roman" w:eastAsia="宋体" w:cs="Times New Roman"/>
                <w:bCs/>
                <w:color w:val="auto"/>
                <w:szCs w:val="21"/>
                <w:highlight w:val="none"/>
                <w:lang w:val="en-US" w:eastAsia="zh-CN"/>
              </w:rPr>
              <w:t>3</w:t>
            </w:r>
            <w:r>
              <w:rPr>
                <w:rFonts w:hint="default" w:ascii="Times New Roman" w:hAnsi="Times New Roman" w:eastAsia="宋体" w:cs="Times New Roman"/>
                <w:bCs/>
                <w:color w:val="auto"/>
                <w:szCs w:val="21"/>
                <w:highlight w:val="none"/>
              </w:rPr>
              <w:t>年）</w:t>
            </w:r>
          </w:p>
        </w:tc>
        <w:tc>
          <w:tcPr>
            <w:tcW w:w="337"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49.60</w:t>
            </w:r>
          </w:p>
        </w:tc>
        <w:tc>
          <w:tcPr>
            <w:tcW w:w="337"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49.80</w:t>
            </w:r>
          </w:p>
        </w:tc>
        <w:tc>
          <w:tcPr>
            <w:tcW w:w="340"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52.71</w:t>
            </w:r>
          </w:p>
        </w:tc>
        <w:tc>
          <w:tcPr>
            <w:tcW w:w="337"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42.90</w:t>
            </w:r>
          </w:p>
        </w:tc>
        <w:tc>
          <w:tcPr>
            <w:tcW w:w="337"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46.70</w:t>
            </w:r>
          </w:p>
        </w:tc>
        <w:tc>
          <w:tcPr>
            <w:tcW w:w="340"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eastAsia" w:cs="Times New Roman"/>
                <w:bCs/>
                <w:color w:val="auto"/>
                <w:szCs w:val="21"/>
                <w:highlight w:val="none"/>
                <w:lang w:val="en-US" w:eastAsia="zh-CN"/>
              </w:rPr>
              <w:t>47.53</w:t>
            </w:r>
          </w:p>
        </w:tc>
        <w:tc>
          <w:tcPr>
            <w:tcW w:w="678" w:type="pct"/>
            <w:vMerge w:val="continue"/>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p>
        </w:tc>
        <w:tc>
          <w:tcPr>
            <w:tcW w:w="628"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达标</w:t>
            </w:r>
          </w:p>
        </w:tc>
      </w:tr>
    </w:tbl>
    <w:p>
      <w:pPr>
        <w:jc w:val="center"/>
        <w:rPr>
          <w:rFonts w:hint="default" w:ascii="Times New Roman" w:hAnsi="Times New Roman" w:cs="Times New Roman"/>
          <w:b/>
          <w:bCs/>
          <w:color w:val="auto"/>
          <w:highlight w:val="none"/>
        </w:rPr>
      </w:pPr>
    </w:p>
    <w:p>
      <w:pPr>
        <w:keepNext w:val="0"/>
        <w:keepLines w:val="0"/>
        <w:pageBreakBefore w:val="0"/>
        <w:widowControl w:val="0"/>
        <w:kinsoku/>
        <w:wordWrap/>
        <w:overflowPunct/>
        <w:topLinePunct w:val="0"/>
        <w:autoSpaceDE/>
        <w:autoSpaceDN/>
        <w:bidi w:val="0"/>
        <w:adjustRightInd/>
        <w:snapToGrid/>
        <w:spacing w:line="100" w:lineRule="exact"/>
        <w:ind w:firstLine="480" w:firstLineChars="200"/>
        <w:jc w:val="left"/>
        <w:textAlignment w:val="auto"/>
        <w:rPr>
          <w:rFonts w:hint="default" w:ascii="Times New Roman" w:hAnsi="Times New Roman" w:cs="Times New Roman"/>
          <w:color w:val="auto"/>
          <w:sz w:val="24"/>
          <w:szCs w:val="22"/>
          <w:highlight w:val="none"/>
        </w:rPr>
      </w:pPr>
    </w:p>
    <w:p>
      <w:pPr>
        <w:keepNext w:val="0"/>
        <w:keepLines w:val="0"/>
        <w:pageBreakBefore w:val="0"/>
        <w:widowControl w:val="0"/>
        <w:kinsoku/>
        <w:wordWrap/>
        <w:overflowPunct/>
        <w:topLinePunct w:val="0"/>
        <w:autoSpaceDE/>
        <w:autoSpaceDN/>
        <w:bidi w:val="0"/>
        <w:adjustRightInd/>
        <w:snapToGrid/>
        <w:spacing w:line="100" w:lineRule="exact"/>
        <w:ind w:firstLine="482" w:firstLineChars="200"/>
        <w:jc w:val="left"/>
        <w:textAlignment w:val="auto"/>
        <w:rPr>
          <w:rFonts w:hint="default" w:ascii="Times New Roman" w:hAnsi="Times New Roman" w:cs="Times New Roman"/>
          <w:b/>
          <w:bCs/>
          <w:color w:val="auto"/>
          <w:sz w:val="24"/>
          <w:szCs w:val="22"/>
          <w:highlight w:val="none"/>
        </w:rPr>
        <w:sectPr>
          <w:pgSz w:w="16838" w:h="11906" w:orient="landscape"/>
          <w:pgMar w:top="1418" w:right="1531" w:bottom="1418" w:left="1531" w:header="851" w:footer="992" w:gutter="0"/>
          <w:pgBorders>
            <w:top w:val="none" w:sz="0" w:space="0"/>
            <w:left w:val="none" w:sz="0" w:space="0"/>
            <w:bottom w:val="none" w:sz="0" w:space="0"/>
            <w:right w:val="none" w:sz="0" w:space="0"/>
          </w:pgBorders>
          <w:cols w:space="720" w:num="1"/>
          <w:docGrid w:type="lines" w:linePitch="312" w:charSpace="0"/>
        </w:sectPr>
      </w:pPr>
    </w:p>
    <w:p>
      <w:pPr>
        <w:bidi w:val="0"/>
        <w:jc w:val="center"/>
        <w:rPr>
          <w:rFonts w:hint="default" w:ascii="Times New Roman" w:hAnsi="Times New Roman" w:eastAsia="宋体" w:cs="Times New Roman"/>
          <w:color w:val="auto"/>
          <w:highlight w:val="none"/>
          <w:lang w:eastAsia="zh-CN"/>
        </w:rPr>
      </w:pPr>
      <w:r>
        <w:drawing>
          <wp:inline distT="0" distB="0" distL="114300" distR="114300">
            <wp:extent cx="4229100" cy="4694555"/>
            <wp:effectExtent l="0" t="0" r="0" b="10795"/>
            <wp:docPr id="17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25"/>
                    <pic:cNvPicPr>
                      <a:picLocks noChangeAspect="1"/>
                    </pic:cNvPicPr>
                  </pic:nvPicPr>
                  <pic:blipFill>
                    <a:blip r:embed="rId55"/>
                    <a:stretch>
                      <a:fillRect/>
                    </a:stretch>
                  </pic:blipFill>
                  <pic:spPr>
                    <a:xfrm>
                      <a:off x="0" y="0"/>
                      <a:ext cx="4229100" cy="469455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color w:val="auto"/>
          <w:spacing w:val="4"/>
          <w:sz w:val="21"/>
          <w:szCs w:val="21"/>
          <w:highlight w:val="none"/>
        </w:rPr>
      </w:pPr>
      <w:r>
        <w:rPr>
          <w:rFonts w:hint="default" w:ascii="Times New Roman" w:hAnsi="Times New Roman" w:eastAsia="宋体" w:cs="Times New Roman"/>
          <w:b/>
          <w:color w:val="auto"/>
          <w:spacing w:val="4"/>
          <w:sz w:val="21"/>
          <w:szCs w:val="21"/>
          <w:highlight w:val="none"/>
        </w:rPr>
        <w:t>图1-</w:t>
      </w:r>
      <w:r>
        <w:rPr>
          <w:rFonts w:hint="eastAsia" w:ascii="Times New Roman" w:hAnsi="Times New Roman" w:eastAsia="宋体" w:cs="Times New Roman"/>
          <w:b/>
          <w:color w:val="auto"/>
          <w:spacing w:val="4"/>
          <w:sz w:val="21"/>
          <w:szCs w:val="21"/>
          <w:highlight w:val="none"/>
          <w:lang w:val="en-US" w:eastAsia="zh-CN"/>
        </w:rPr>
        <w:t>5</w:t>
      </w:r>
      <w:r>
        <w:rPr>
          <w:rFonts w:hint="default" w:ascii="Times New Roman" w:hAnsi="Times New Roman" w:eastAsia="宋体" w:cs="Times New Roman"/>
          <w:b/>
          <w:color w:val="auto"/>
          <w:spacing w:val="4"/>
          <w:sz w:val="21"/>
          <w:szCs w:val="21"/>
          <w:highlight w:val="none"/>
        </w:rPr>
        <w:t xml:space="preserve">  </w:t>
      </w:r>
      <w:r>
        <w:rPr>
          <w:rFonts w:hint="eastAsia" w:ascii="Times New Roman" w:hAnsi="Times New Roman" w:eastAsia="宋体" w:cs="Times New Roman"/>
          <w:b/>
          <w:color w:val="auto"/>
          <w:spacing w:val="4"/>
          <w:sz w:val="21"/>
          <w:szCs w:val="21"/>
          <w:highlight w:val="none"/>
          <w:lang w:val="en-US" w:eastAsia="zh-CN"/>
        </w:rPr>
        <w:t>东外环</w:t>
      </w:r>
      <w:r>
        <w:rPr>
          <w:rFonts w:hint="default" w:ascii="Times New Roman" w:hAnsi="Times New Roman" w:eastAsia="宋体" w:cs="Times New Roman"/>
          <w:b/>
          <w:color w:val="auto"/>
          <w:spacing w:val="4"/>
          <w:sz w:val="21"/>
          <w:szCs w:val="21"/>
          <w:highlight w:val="none"/>
        </w:rPr>
        <w:t>路段近期昼间噪声贡献值预测等值线图</w:t>
      </w:r>
    </w:p>
    <w:p>
      <w:pPr>
        <w:bidi w:val="0"/>
        <w:jc w:val="center"/>
        <w:rPr>
          <w:rFonts w:hint="default" w:ascii="Times New Roman" w:hAnsi="Times New Roman" w:eastAsia="宋体" w:cs="Times New Roman"/>
          <w:color w:val="auto"/>
          <w:highlight w:val="none"/>
          <w:lang w:eastAsia="zh-CN"/>
        </w:rPr>
      </w:pPr>
      <w:r>
        <w:drawing>
          <wp:inline distT="0" distB="0" distL="114300" distR="114300">
            <wp:extent cx="5751195" cy="3312160"/>
            <wp:effectExtent l="0" t="0" r="1905" b="2540"/>
            <wp:docPr id="18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26"/>
                    <pic:cNvPicPr>
                      <a:picLocks noChangeAspect="1"/>
                    </pic:cNvPicPr>
                  </pic:nvPicPr>
                  <pic:blipFill>
                    <a:blip r:embed="rId56"/>
                    <a:stretch>
                      <a:fillRect/>
                    </a:stretch>
                  </pic:blipFill>
                  <pic:spPr>
                    <a:xfrm>
                      <a:off x="0" y="0"/>
                      <a:ext cx="5751195" cy="331216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color w:val="auto"/>
          <w:spacing w:val="4"/>
          <w:sz w:val="21"/>
          <w:szCs w:val="21"/>
          <w:highlight w:val="none"/>
        </w:rPr>
      </w:pPr>
      <w:r>
        <w:rPr>
          <w:rFonts w:hint="default" w:ascii="Times New Roman" w:hAnsi="Times New Roman" w:eastAsia="宋体" w:cs="Times New Roman"/>
          <w:b/>
          <w:color w:val="auto"/>
          <w:spacing w:val="4"/>
          <w:sz w:val="21"/>
          <w:szCs w:val="21"/>
          <w:highlight w:val="none"/>
        </w:rPr>
        <w:t>图1-</w:t>
      </w:r>
      <w:r>
        <w:rPr>
          <w:rFonts w:hint="eastAsia" w:ascii="Times New Roman" w:hAnsi="Times New Roman" w:eastAsia="宋体" w:cs="Times New Roman"/>
          <w:b/>
          <w:color w:val="auto"/>
          <w:spacing w:val="4"/>
          <w:sz w:val="21"/>
          <w:szCs w:val="21"/>
          <w:highlight w:val="none"/>
          <w:lang w:val="en-US" w:eastAsia="zh-CN"/>
        </w:rPr>
        <w:t>6</w:t>
      </w:r>
      <w:r>
        <w:rPr>
          <w:rFonts w:hint="default" w:ascii="Times New Roman" w:hAnsi="Times New Roman" w:eastAsia="宋体" w:cs="Times New Roman"/>
          <w:b/>
          <w:color w:val="auto"/>
          <w:spacing w:val="4"/>
          <w:sz w:val="21"/>
          <w:szCs w:val="21"/>
          <w:highlight w:val="none"/>
        </w:rPr>
        <w:t xml:space="preserve">  </w:t>
      </w:r>
      <w:r>
        <w:rPr>
          <w:rFonts w:hint="eastAsia" w:ascii="Times New Roman" w:hAnsi="Times New Roman" w:eastAsia="宋体" w:cs="Times New Roman"/>
          <w:b/>
          <w:color w:val="auto"/>
          <w:spacing w:val="4"/>
          <w:sz w:val="21"/>
          <w:szCs w:val="21"/>
          <w:highlight w:val="none"/>
          <w:lang w:val="en-US" w:eastAsia="zh-CN"/>
        </w:rPr>
        <w:t>湖滨大街西延-文昌路</w:t>
      </w:r>
      <w:r>
        <w:rPr>
          <w:rFonts w:hint="default" w:ascii="Times New Roman" w:hAnsi="Times New Roman" w:eastAsia="宋体" w:cs="Times New Roman"/>
          <w:b/>
          <w:color w:val="auto"/>
          <w:spacing w:val="4"/>
          <w:sz w:val="21"/>
          <w:szCs w:val="21"/>
          <w:highlight w:val="none"/>
        </w:rPr>
        <w:t>路段近期昼间噪声贡献值预测等值线图</w:t>
      </w:r>
    </w:p>
    <w:p>
      <w:pPr>
        <w:bidi w:val="0"/>
        <w:jc w:val="center"/>
        <w:rPr>
          <w:rFonts w:hint="default" w:ascii="Times New Roman" w:hAnsi="Times New Roman" w:eastAsia="宋体" w:cs="Times New Roman"/>
          <w:color w:val="auto"/>
          <w:highlight w:val="none"/>
          <w:lang w:eastAsia="zh-CN"/>
        </w:rPr>
      </w:pPr>
      <w:r>
        <w:drawing>
          <wp:inline distT="0" distB="0" distL="114300" distR="114300">
            <wp:extent cx="4206875" cy="4544695"/>
            <wp:effectExtent l="0" t="0" r="3175" b="8255"/>
            <wp:docPr id="17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27"/>
                    <pic:cNvPicPr>
                      <a:picLocks noChangeAspect="1"/>
                    </pic:cNvPicPr>
                  </pic:nvPicPr>
                  <pic:blipFill>
                    <a:blip r:embed="rId57"/>
                    <a:stretch>
                      <a:fillRect/>
                    </a:stretch>
                  </pic:blipFill>
                  <pic:spPr>
                    <a:xfrm>
                      <a:off x="0" y="0"/>
                      <a:ext cx="4206875" cy="454469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color w:val="auto"/>
          <w:spacing w:val="4"/>
          <w:sz w:val="21"/>
          <w:szCs w:val="21"/>
          <w:highlight w:val="none"/>
        </w:rPr>
      </w:pPr>
      <w:r>
        <w:rPr>
          <w:rFonts w:hint="default" w:ascii="Times New Roman" w:hAnsi="Times New Roman" w:eastAsia="宋体" w:cs="Times New Roman"/>
          <w:b/>
          <w:color w:val="auto"/>
          <w:spacing w:val="4"/>
          <w:sz w:val="21"/>
          <w:szCs w:val="21"/>
          <w:highlight w:val="none"/>
        </w:rPr>
        <w:t>图1-</w:t>
      </w:r>
      <w:r>
        <w:rPr>
          <w:rFonts w:hint="eastAsia" w:ascii="Times New Roman" w:hAnsi="Times New Roman" w:eastAsia="宋体" w:cs="Times New Roman"/>
          <w:b/>
          <w:color w:val="auto"/>
          <w:spacing w:val="4"/>
          <w:sz w:val="21"/>
          <w:szCs w:val="21"/>
          <w:highlight w:val="none"/>
          <w:lang w:val="en-US" w:eastAsia="zh-CN"/>
        </w:rPr>
        <w:t>7</w:t>
      </w:r>
      <w:r>
        <w:rPr>
          <w:rFonts w:hint="default" w:ascii="Times New Roman" w:hAnsi="Times New Roman" w:eastAsia="宋体" w:cs="Times New Roman"/>
          <w:b/>
          <w:color w:val="auto"/>
          <w:spacing w:val="4"/>
          <w:sz w:val="21"/>
          <w:szCs w:val="21"/>
          <w:highlight w:val="none"/>
        </w:rPr>
        <w:t xml:space="preserve">  </w:t>
      </w:r>
      <w:r>
        <w:rPr>
          <w:rFonts w:hint="eastAsia" w:ascii="Times New Roman" w:hAnsi="Times New Roman" w:eastAsia="宋体" w:cs="Times New Roman"/>
          <w:b/>
          <w:color w:val="auto"/>
          <w:spacing w:val="4"/>
          <w:sz w:val="21"/>
          <w:szCs w:val="21"/>
          <w:highlight w:val="none"/>
          <w:lang w:val="en-US" w:eastAsia="zh-CN"/>
        </w:rPr>
        <w:t>东外环</w:t>
      </w:r>
      <w:r>
        <w:rPr>
          <w:rFonts w:hint="default" w:ascii="Times New Roman" w:hAnsi="Times New Roman" w:eastAsia="宋体" w:cs="Times New Roman"/>
          <w:b/>
          <w:color w:val="auto"/>
          <w:spacing w:val="4"/>
          <w:sz w:val="21"/>
          <w:szCs w:val="21"/>
          <w:highlight w:val="none"/>
        </w:rPr>
        <w:t>路段近期</w:t>
      </w:r>
      <w:r>
        <w:rPr>
          <w:rFonts w:hint="eastAsia" w:ascii="Times New Roman" w:hAnsi="Times New Roman" w:eastAsia="宋体" w:cs="Times New Roman"/>
          <w:b/>
          <w:color w:val="auto"/>
          <w:spacing w:val="4"/>
          <w:sz w:val="21"/>
          <w:szCs w:val="21"/>
          <w:highlight w:val="none"/>
          <w:lang w:val="en-US" w:eastAsia="zh-CN"/>
        </w:rPr>
        <w:t>夜</w:t>
      </w:r>
      <w:r>
        <w:rPr>
          <w:rFonts w:hint="default" w:ascii="Times New Roman" w:hAnsi="Times New Roman" w:eastAsia="宋体" w:cs="Times New Roman"/>
          <w:b/>
          <w:color w:val="auto"/>
          <w:spacing w:val="4"/>
          <w:sz w:val="21"/>
          <w:szCs w:val="21"/>
          <w:highlight w:val="none"/>
        </w:rPr>
        <w:t>间噪声贡献值预测等值线图</w:t>
      </w:r>
    </w:p>
    <w:p>
      <w:pPr>
        <w:bidi w:val="0"/>
        <w:jc w:val="center"/>
        <w:rPr>
          <w:rFonts w:hint="default" w:ascii="Times New Roman" w:hAnsi="Times New Roman" w:eastAsia="宋体" w:cs="Times New Roman"/>
          <w:color w:val="auto"/>
          <w:highlight w:val="none"/>
          <w:lang w:eastAsia="zh-CN"/>
        </w:rPr>
      </w:pPr>
      <w:r>
        <w:drawing>
          <wp:inline distT="0" distB="0" distL="114300" distR="114300">
            <wp:extent cx="5751830" cy="3404870"/>
            <wp:effectExtent l="0" t="0" r="1270" b="5080"/>
            <wp:docPr id="18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28"/>
                    <pic:cNvPicPr>
                      <a:picLocks noChangeAspect="1"/>
                    </pic:cNvPicPr>
                  </pic:nvPicPr>
                  <pic:blipFill>
                    <a:blip r:embed="rId58"/>
                    <a:stretch>
                      <a:fillRect/>
                    </a:stretch>
                  </pic:blipFill>
                  <pic:spPr>
                    <a:xfrm>
                      <a:off x="0" y="0"/>
                      <a:ext cx="5751830" cy="340487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color w:val="auto"/>
          <w:spacing w:val="4"/>
          <w:sz w:val="21"/>
          <w:szCs w:val="21"/>
          <w:highlight w:val="none"/>
        </w:rPr>
      </w:pPr>
      <w:r>
        <w:rPr>
          <w:rFonts w:hint="default" w:ascii="Times New Roman" w:hAnsi="Times New Roman" w:eastAsia="宋体" w:cs="Times New Roman"/>
          <w:b/>
          <w:color w:val="auto"/>
          <w:spacing w:val="4"/>
          <w:sz w:val="21"/>
          <w:szCs w:val="21"/>
          <w:highlight w:val="none"/>
        </w:rPr>
        <w:t>图1-</w:t>
      </w:r>
      <w:r>
        <w:rPr>
          <w:rFonts w:hint="eastAsia" w:ascii="Times New Roman" w:hAnsi="Times New Roman" w:eastAsia="宋体" w:cs="Times New Roman"/>
          <w:b/>
          <w:color w:val="auto"/>
          <w:spacing w:val="4"/>
          <w:sz w:val="21"/>
          <w:szCs w:val="21"/>
          <w:highlight w:val="none"/>
          <w:lang w:val="en-US" w:eastAsia="zh-CN"/>
        </w:rPr>
        <w:t>8</w:t>
      </w:r>
      <w:r>
        <w:rPr>
          <w:rFonts w:hint="default" w:ascii="Times New Roman" w:hAnsi="Times New Roman" w:eastAsia="宋体" w:cs="Times New Roman"/>
          <w:b/>
          <w:color w:val="auto"/>
          <w:spacing w:val="4"/>
          <w:sz w:val="21"/>
          <w:szCs w:val="21"/>
          <w:highlight w:val="none"/>
        </w:rPr>
        <w:t xml:space="preserve">  </w:t>
      </w:r>
      <w:r>
        <w:rPr>
          <w:rFonts w:hint="eastAsia" w:ascii="Times New Roman" w:hAnsi="Times New Roman" w:eastAsia="宋体" w:cs="Times New Roman"/>
          <w:b/>
          <w:color w:val="auto"/>
          <w:spacing w:val="4"/>
          <w:sz w:val="21"/>
          <w:szCs w:val="21"/>
          <w:highlight w:val="none"/>
          <w:lang w:val="en-US" w:eastAsia="zh-CN"/>
        </w:rPr>
        <w:t>湖滨大街西延-文昌路</w:t>
      </w:r>
      <w:r>
        <w:rPr>
          <w:rFonts w:hint="default" w:ascii="Times New Roman" w:hAnsi="Times New Roman" w:eastAsia="宋体" w:cs="Times New Roman"/>
          <w:b/>
          <w:color w:val="auto"/>
          <w:spacing w:val="4"/>
          <w:sz w:val="21"/>
          <w:szCs w:val="21"/>
          <w:highlight w:val="none"/>
        </w:rPr>
        <w:t>路段近期</w:t>
      </w:r>
      <w:r>
        <w:rPr>
          <w:rFonts w:hint="eastAsia" w:ascii="Times New Roman" w:hAnsi="Times New Roman" w:eastAsia="宋体" w:cs="Times New Roman"/>
          <w:b/>
          <w:color w:val="auto"/>
          <w:spacing w:val="4"/>
          <w:sz w:val="21"/>
          <w:szCs w:val="21"/>
          <w:highlight w:val="none"/>
          <w:lang w:val="en-US" w:eastAsia="zh-CN"/>
        </w:rPr>
        <w:t>夜</w:t>
      </w:r>
      <w:r>
        <w:rPr>
          <w:rFonts w:hint="default" w:ascii="Times New Roman" w:hAnsi="Times New Roman" w:eastAsia="宋体" w:cs="Times New Roman"/>
          <w:b/>
          <w:color w:val="auto"/>
          <w:spacing w:val="4"/>
          <w:sz w:val="21"/>
          <w:szCs w:val="21"/>
          <w:highlight w:val="none"/>
        </w:rPr>
        <w:t>间噪声贡献值预测等值线图</w:t>
      </w:r>
    </w:p>
    <w:p>
      <w:pPr>
        <w:bidi w:val="0"/>
        <w:jc w:val="center"/>
        <w:rPr>
          <w:rFonts w:hint="default" w:ascii="Times New Roman" w:hAnsi="Times New Roman" w:eastAsia="宋体" w:cs="Times New Roman"/>
          <w:color w:val="auto"/>
          <w:highlight w:val="none"/>
          <w:lang w:eastAsia="zh-CN"/>
        </w:rPr>
      </w:pPr>
      <w:r>
        <w:drawing>
          <wp:inline distT="0" distB="0" distL="114300" distR="114300">
            <wp:extent cx="4055745" cy="4478020"/>
            <wp:effectExtent l="0" t="0" r="1905" b="17780"/>
            <wp:docPr id="17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29"/>
                    <pic:cNvPicPr>
                      <a:picLocks noChangeAspect="1"/>
                    </pic:cNvPicPr>
                  </pic:nvPicPr>
                  <pic:blipFill>
                    <a:blip r:embed="rId59"/>
                    <a:stretch>
                      <a:fillRect/>
                    </a:stretch>
                  </pic:blipFill>
                  <pic:spPr>
                    <a:xfrm>
                      <a:off x="0" y="0"/>
                      <a:ext cx="4055745" cy="447802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color w:val="auto"/>
          <w:spacing w:val="4"/>
          <w:sz w:val="21"/>
          <w:szCs w:val="21"/>
          <w:highlight w:val="none"/>
        </w:rPr>
      </w:pPr>
      <w:r>
        <w:rPr>
          <w:rFonts w:hint="default" w:ascii="Times New Roman" w:hAnsi="Times New Roman" w:eastAsia="宋体" w:cs="Times New Roman"/>
          <w:b/>
          <w:color w:val="auto"/>
          <w:spacing w:val="4"/>
          <w:sz w:val="21"/>
          <w:szCs w:val="21"/>
          <w:highlight w:val="none"/>
        </w:rPr>
        <w:t>图1-</w:t>
      </w:r>
      <w:r>
        <w:rPr>
          <w:rFonts w:hint="eastAsia" w:ascii="Times New Roman" w:hAnsi="Times New Roman" w:eastAsia="宋体" w:cs="Times New Roman"/>
          <w:b/>
          <w:color w:val="auto"/>
          <w:spacing w:val="4"/>
          <w:sz w:val="21"/>
          <w:szCs w:val="21"/>
          <w:highlight w:val="none"/>
          <w:lang w:val="en-US" w:eastAsia="zh-CN"/>
        </w:rPr>
        <w:t>9</w:t>
      </w:r>
      <w:r>
        <w:rPr>
          <w:rFonts w:hint="default" w:ascii="Times New Roman" w:hAnsi="Times New Roman" w:eastAsia="宋体" w:cs="Times New Roman"/>
          <w:b/>
          <w:color w:val="auto"/>
          <w:spacing w:val="4"/>
          <w:sz w:val="21"/>
          <w:szCs w:val="21"/>
          <w:highlight w:val="none"/>
        </w:rPr>
        <w:t xml:space="preserve">  </w:t>
      </w:r>
      <w:r>
        <w:rPr>
          <w:rFonts w:hint="eastAsia" w:ascii="Times New Roman" w:hAnsi="Times New Roman" w:eastAsia="宋体" w:cs="Times New Roman"/>
          <w:b/>
          <w:color w:val="auto"/>
          <w:spacing w:val="4"/>
          <w:sz w:val="21"/>
          <w:szCs w:val="21"/>
          <w:highlight w:val="none"/>
          <w:lang w:val="en-US" w:eastAsia="zh-CN"/>
        </w:rPr>
        <w:t>东外环</w:t>
      </w:r>
      <w:r>
        <w:rPr>
          <w:rFonts w:hint="default" w:ascii="Times New Roman" w:hAnsi="Times New Roman" w:eastAsia="宋体" w:cs="Times New Roman"/>
          <w:b/>
          <w:color w:val="auto"/>
          <w:spacing w:val="4"/>
          <w:sz w:val="21"/>
          <w:szCs w:val="21"/>
          <w:highlight w:val="none"/>
        </w:rPr>
        <w:t>路段</w:t>
      </w:r>
      <w:r>
        <w:rPr>
          <w:rFonts w:hint="eastAsia" w:ascii="Times New Roman" w:hAnsi="Times New Roman" w:eastAsia="宋体" w:cs="Times New Roman"/>
          <w:b/>
          <w:color w:val="auto"/>
          <w:spacing w:val="4"/>
          <w:sz w:val="21"/>
          <w:szCs w:val="21"/>
          <w:highlight w:val="none"/>
          <w:lang w:eastAsia="zh-CN"/>
        </w:rPr>
        <w:t>中</w:t>
      </w:r>
      <w:r>
        <w:rPr>
          <w:rFonts w:hint="default" w:ascii="Times New Roman" w:hAnsi="Times New Roman" w:eastAsia="宋体" w:cs="Times New Roman"/>
          <w:b/>
          <w:color w:val="auto"/>
          <w:spacing w:val="4"/>
          <w:sz w:val="21"/>
          <w:szCs w:val="21"/>
          <w:highlight w:val="none"/>
        </w:rPr>
        <w:t>期昼间噪声贡献值预测等值线图</w:t>
      </w:r>
    </w:p>
    <w:p>
      <w:pPr>
        <w:bidi w:val="0"/>
        <w:jc w:val="center"/>
        <w:rPr>
          <w:rFonts w:hint="default" w:ascii="Times New Roman" w:hAnsi="Times New Roman" w:eastAsia="宋体" w:cs="Times New Roman"/>
          <w:color w:val="auto"/>
          <w:highlight w:val="none"/>
          <w:lang w:eastAsia="zh-CN"/>
        </w:rPr>
      </w:pPr>
      <w:r>
        <w:drawing>
          <wp:inline distT="0" distB="0" distL="114300" distR="114300">
            <wp:extent cx="5751830" cy="3475355"/>
            <wp:effectExtent l="0" t="0" r="1270" b="10795"/>
            <wp:docPr id="17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30"/>
                    <pic:cNvPicPr>
                      <a:picLocks noChangeAspect="1"/>
                    </pic:cNvPicPr>
                  </pic:nvPicPr>
                  <pic:blipFill>
                    <a:blip r:embed="rId60"/>
                    <a:stretch>
                      <a:fillRect/>
                    </a:stretch>
                  </pic:blipFill>
                  <pic:spPr>
                    <a:xfrm>
                      <a:off x="0" y="0"/>
                      <a:ext cx="5751830" cy="347535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color w:val="auto"/>
          <w:spacing w:val="4"/>
          <w:sz w:val="21"/>
          <w:szCs w:val="21"/>
          <w:highlight w:val="none"/>
        </w:rPr>
      </w:pPr>
      <w:r>
        <w:rPr>
          <w:rFonts w:hint="default" w:ascii="Times New Roman" w:hAnsi="Times New Roman" w:eastAsia="宋体" w:cs="Times New Roman"/>
          <w:b/>
          <w:color w:val="auto"/>
          <w:spacing w:val="4"/>
          <w:sz w:val="21"/>
          <w:szCs w:val="21"/>
          <w:highlight w:val="none"/>
        </w:rPr>
        <w:t>图1-</w:t>
      </w:r>
      <w:r>
        <w:rPr>
          <w:rFonts w:hint="eastAsia" w:ascii="Times New Roman" w:hAnsi="Times New Roman" w:eastAsia="宋体" w:cs="Times New Roman"/>
          <w:b/>
          <w:color w:val="auto"/>
          <w:spacing w:val="4"/>
          <w:sz w:val="21"/>
          <w:szCs w:val="21"/>
          <w:highlight w:val="none"/>
          <w:lang w:val="en-US" w:eastAsia="zh-CN"/>
        </w:rPr>
        <w:t>10</w:t>
      </w:r>
      <w:r>
        <w:rPr>
          <w:rFonts w:hint="default" w:ascii="Times New Roman" w:hAnsi="Times New Roman" w:eastAsia="宋体" w:cs="Times New Roman"/>
          <w:b/>
          <w:color w:val="auto"/>
          <w:spacing w:val="4"/>
          <w:sz w:val="21"/>
          <w:szCs w:val="21"/>
          <w:highlight w:val="none"/>
        </w:rPr>
        <w:t xml:space="preserve">  </w:t>
      </w:r>
      <w:r>
        <w:rPr>
          <w:rFonts w:hint="eastAsia" w:ascii="Times New Roman" w:hAnsi="Times New Roman" w:eastAsia="宋体" w:cs="Times New Roman"/>
          <w:b/>
          <w:color w:val="auto"/>
          <w:spacing w:val="4"/>
          <w:sz w:val="21"/>
          <w:szCs w:val="21"/>
          <w:highlight w:val="none"/>
          <w:lang w:val="en-US" w:eastAsia="zh-CN"/>
        </w:rPr>
        <w:t>湖滨大街西延-文昌路</w:t>
      </w:r>
      <w:r>
        <w:rPr>
          <w:rFonts w:hint="default" w:ascii="Times New Roman" w:hAnsi="Times New Roman" w:eastAsia="宋体" w:cs="Times New Roman"/>
          <w:b/>
          <w:color w:val="auto"/>
          <w:spacing w:val="4"/>
          <w:sz w:val="21"/>
          <w:szCs w:val="21"/>
          <w:highlight w:val="none"/>
        </w:rPr>
        <w:t>路段</w:t>
      </w:r>
      <w:r>
        <w:rPr>
          <w:rFonts w:hint="eastAsia" w:ascii="Times New Roman" w:hAnsi="Times New Roman" w:eastAsia="宋体" w:cs="Times New Roman"/>
          <w:b/>
          <w:color w:val="auto"/>
          <w:spacing w:val="4"/>
          <w:sz w:val="21"/>
          <w:szCs w:val="21"/>
          <w:highlight w:val="none"/>
          <w:lang w:eastAsia="zh-CN"/>
        </w:rPr>
        <w:t>中</w:t>
      </w:r>
      <w:r>
        <w:rPr>
          <w:rFonts w:hint="default" w:ascii="Times New Roman" w:hAnsi="Times New Roman" w:eastAsia="宋体" w:cs="Times New Roman"/>
          <w:b/>
          <w:color w:val="auto"/>
          <w:spacing w:val="4"/>
          <w:sz w:val="21"/>
          <w:szCs w:val="21"/>
          <w:highlight w:val="none"/>
        </w:rPr>
        <w:t>期昼间噪声贡献值预测等值线图</w:t>
      </w:r>
    </w:p>
    <w:p>
      <w:pPr>
        <w:bidi w:val="0"/>
        <w:jc w:val="center"/>
        <w:rPr>
          <w:rFonts w:hint="default" w:ascii="Times New Roman" w:hAnsi="Times New Roman" w:eastAsia="宋体" w:cs="Times New Roman"/>
          <w:color w:val="auto"/>
          <w:highlight w:val="none"/>
          <w:lang w:eastAsia="zh-CN"/>
        </w:rPr>
      </w:pPr>
      <w:r>
        <w:drawing>
          <wp:inline distT="0" distB="0" distL="114300" distR="114300">
            <wp:extent cx="4069080" cy="4429125"/>
            <wp:effectExtent l="0" t="0" r="7620" b="9525"/>
            <wp:docPr id="17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31"/>
                    <pic:cNvPicPr>
                      <a:picLocks noChangeAspect="1"/>
                    </pic:cNvPicPr>
                  </pic:nvPicPr>
                  <pic:blipFill>
                    <a:blip r:embed="rId61"/>
                    <a:stretch>
                      <a:fillRect/>
                    </a:stretch>
                  </pic:blipFill>
                  <pic:spPr>
                    <a:xfrm>
                      <a:off x="0" y="0"/>
                      <a:ext cx="4069080" cy="442912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color w:val="auto"/>
          <w:spacing w:val="4"/>
          <w:sz w:val="21"/>
          <w:szCs w:val="21"/>
          <w:highlight w:val="none"/>
        </w:rPr>
      </w:pPr>
      <w:r>
        <w:rPr>
          <w:rFonts w:hint="default" w:ascii="Times New Roman" w:hAnsi="Times New Roman" w:eastAsia="宋体" w:cs="Times New Roman"/>
          <w:b/>
          <w:color w:val="auto"/>
          <w:spacing w:val="4"/>
          <w:sz w:val="21"/>
          <w:szCs w:val="21"/>
          <w:highlight w:val="none"/>
        </w:rPr>
        <w:t>图1-</w:t>
      </w:r>
      <w:r>
        <w:rPr>
          <w:rFonts w:hint="eastAsia" w:ascii="Times New Roman" w:hAnsi="Times New Roman" w:eastAsia="宋体" w:cs="Times New Roman"/>
          <w:b/>
          <w:color w:val="auto"/>
          <w:spacing w:val="4"/>
          <w:sz w:val="21"/>
          <w:szCs w:val="21"/>
          <w:highlight w:val="none"/>
          <w:lang w:val="en-US" w:eastAsia="zh-CN"/>
        </w:rPr>
        <w:t>11</w:t>
      </w:r>
      <w:r>
        <w:rPr>
          <w:rFonts w:hint="default" w:ascii="Times New Roman" w:hAnsi="Times New Roman" w:eastAsia="宋体" w:cs="Times New Roman"/>
          <w:b/>
          <w:color w:val="auto"/>
          <w:spacing w:val="4"/>
          <w:sz w:val="21"/>
          <w:szCs w:val="21"/>
          <w:highlight w:val="none"/>
        </w:rPr>
        <w:t xml:space="preserve">  </w:t>
      </w:r>
      <w:r>
        <w:rPr>
          <w:rFonts w:hint="eastAsia" w:ascii="Times New Roman" w:hAnsi="Times New Roman" w:eastAsia="宋体" w:cs="Times New Roman"/>
          <w:b/>
          <w:color w:val="auto"/>
          <w:spacing w:val="4"/>
          <w:sz w:val="21"/>
          <w:szCs w:val="21"/>
          <w:highlight w:val="none"/>
          <w:lang w:val="en-US" w:eastAsia="zh-CN"/>
        </w:rPr>
        <w:t>东外环</w:t>
      </w:r>
      <w:r>
        <w:rPr>
          <w:rFonts w:hint="default" w:ascii="Times New Roman" w:hAnsi="Times New Roman" w:eastAsia="宋体" w:cs="Times New Roman"/>
          <w:b/>
          <w:color w:val="auto"/>
          <w:spacing w:val="4"/>
          <w:sz w:val="21"/>
          <w:szCs w:val="21"/>
          <w:highlight w:val="none"/>
        </w:rPr>
        <w:t>路段</w:t>
      </w:r>
      <w:r>
        <w:rPr>
          <w:rFonts w:hint="eastAsia" w:ascii="Times New Roman" w:hAnsi="Times New Roman" w:eastAsia="宋体" w:cs="Times New Roman"/>
          <w:b/>
          <w:color w:val="auto"/>
          <w:spacing w:val="4"/>
          <w:sz w:val="21"/>
          <w:szCs w:val="21"/>
          <w:highlight w:val="none"/>
          <w:lang w:eastAsia="zh-CN"/>
        </w:rPr>
        <w:t>中</w:t>
      </w:r>
      <w:r>
        <w:rPr>
          <w:rFonts w:hint="default" w:ascii="Times New Roman" w:hAnsi="Times New Roman" w:eastAsia="宋体" w:cs="Times New Roman"/>
          <w:b/>
          <w:color w:val="auto"/>
          <w:spacing w:val="4"/>
          <w:sz w:val="21"/>
          <w:szCs w:val="21"/>
          <w:highlight w:val="none"/>
        </w:rPr>
        <w:t>期</w:t>
      </w:r>
      <w:r>
        <w:rPr>
          <w:rFonts w:hint="eastAsia" w:ascii="Times New Roman" w:hAnsi="Times New Roman" w:eastAsia="宋体" w:cs="Times New Roman"/>
          <w:b/>
          <w:color w:val="auto"/>
          <w:spacing w:val="4"/>
          <w:sz w:val="21"/>
          <w:szCs w:val="21"/>
          <w:highlight w:val="none"/>
          <w:lang w:val="en-US" w:eastAsia="zh-CN"/>
        </w:rPr>
        <w:t>夜</w:t>
      </w:r>
      <w:r>
        <w:rPr>
          <w:rFonts w:hint="default" w:ascii="Times New Roman" w:hAnsi="Times New Roman" w:eastAsia="宋体" w:cs="Times New Roman"/>
          <w:b/>
          <w:color w:val="auto"/>
          <w:spacing w:val="4"/>
          <w:sz w:val="21"/>
          <w:szCs w:val="21"/>
          <w:highlight w:val="none"/>
        </w:rPr>
        <w:t>间噪声贡献值预测等值线图</w:t>
      </w:r>
    </w:p>
    <w:p>
      <w:pPr>
        <w:bidi w:val="0"/>
        <w:jc w:val="center"/>
        <w:rPr>
          <w:rFonts w:hint="default" w:ascii="Times New Roman" w:hAnsi="Times New Roman" w:eastAsia="宋体" w:cs="Times New Roman"/>
          <w:color w:val="auto"/>
          <w:highlight w:val="none"/>
          <w:lang w:eastAsia="zh-CN"/>
        </w:rPr>
      </w:pPr>
      <w:r>
        <w:drawing>
          <wp:inline distT="0" distB="0" distL="114300" distR="114300">
            <wp:extent cx="5756275" cy="3507105"/>
            <wp:effectExtent l="0" t="0" r="15875" b="17145"/>
            <wp:docPr id="18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32"/>
                    <pic:cNvPicPr>
                      <a:picLocks noChangeAspect="1"/>
                    </pic:cNvPicPr>
                  </pic:nvPicPr>
                  <pic:blipFill>
                    <a:blip r:embed="rId62"/>
                    <a:stretch>
                      <a:fillRect/>
                    </a:stretch>
                  </pic:blipFill>
                  <pic:spPr>
                    <a:xfrm>
                      <a:off x="0" y="0"/>
                      <a:ext cx="5756275" cy="350710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color w:val="auto"/>
          <w:spacing w:val="4"/>
          <w:sz w:val="21"/>
          <w:szCs w:val="21"/>
          <w:highlight w:val="none"/>
        </w:rPr>
      </w:pPr>
      <w:r>
        <w:rPr>
          <w:rFonts w:hint="default" w:ascii="Times New Roman" w:hAnsi="Times New Roman" w:eastAsia="宋体" w:cs="Times New Roman"/>
          <w:b/>
          <w:color w:val="auto"/>
          <w:spacing w:val="4"/>
          <w:sz w:val="21"/>
          <w:szCs w:val="21"/>
          <w:highlight w:val="none"/>
        </w:rPr>
        <w:t>图1-</w:t>
      </w:r>
      <w:r>
        <w:rPr>
          <w:rFonts w:hint="eastAsia" w:ascii="Times New Roman" w:hAnsi="Times New Roman" w:eastAsia="宋体" w:cs="Times New Roman"/>
          <w:b/>
          <w:color w:val="auto"/>
          <w:spacing w:val="4"/>
          <w:sz w:val="21"/>
          <w:szCs w:val="21"/>
          <w:highlight w:val="none"/>
          <w:lang w:val="en-US" w:eastAsia="zh-CN"/>
        </w:rPr>
        <w:t>12</w:t>
      </w:r>
      <w:r>
        <w:rPr>
          <w:rFonts w:hint="default" w:ascii="Times New Roman" w:hAnsi="Times New Roman" w:eastAsia="宋体" w:cs="Times New Roman"/>
          <w:b/>
          <w:color w:val="auto"/>
          <w:spacing w:val="4"/>
          <w:sz w:val="21"/>
          <w:szCs w:val="21"/>
          <w:highlight w:val="none"/>
        </w:rPr>
        <w:t xml:space="preserve">  </w:t>
      </w:r>
      <w:r>
        <w:rPr>
          <w:rFonts w:hint="eastAsia" w:ascii="Times New Roman" w:hAnsi="Times New Roman" w:eastAsia="宋体" w:cs="Times New Roman"/>
          <w:b/>
          <w:color w:val="auto"/>
          <w:spacing w:val="4"/>
          <w:sz w:val="21"/>
          <w:szCs w:val="21"/>
          <w:highlight w:val="none"/>
          <w:lang w:val="en-US" w:eastAsia="zh-CN"/>
        </w:rPr>
        <w:t>湖滨大街西延-文昌路</w:t>
      </w:r>
      <w:r>
        <w:rPr>
          <w:rFonts w:hint="default" w:ascii="Times New Roman" w:hAnsi="Times New Roman" w:eastAsia="宋体" w:cs="Times New Roman"/>
          <w:b/>
          <w:color w:val="auto"/>
          <w:spacing w:val="4"/>
          <w:sz w:val="21"/>
          <w:szCs w:val="21"/>
          <w:highlight w:val="none"/>
        </w:rPr>
        <w:t>路段</w:t>
      </w:r>
      <w:r>
        <w:rPr>
          <w:rFonts w:hint="eastAsia" w:ascii="Times New Roman" w:hAnsi="Times New Roman" w:eastAsia="宋体" w:cs="Times New Roman"/>
          <w:b/>
          <w:color w:val="auto"/>
          <w:spacing w:val="4"/>
          <w:sz w:val="21"/>
          <w:szCs w:val="21"/>
          <w:highlight w:val="none"/>
          <w:lang w:eastAsia="zh-CN"/>
        </w:rPr>
        <w:t>中</w:t>
      </w:r>
      <w:r>
        <w:rPr>
          <w:rFonts w:hint="default" w:ascii="Times New Roman" w:hAnsi="Times New Roman" w:eastAsia="宋体" w:cs="Times New Roman"/>
          <w:b/>
          <w:color w:val="auto"/>
          <w:spacing w:val="4"/>
          <w:sz w:val="21"/>
          <w:szCs w:val="21"/>
          <w:highlight w:val="none"/>
        </w:rPr>
        <w:t>期</w:t>
      </w:r>
      <w:r>
        <w:rPr>
          <w:rFonts w:hint="eastAsia" w:ascii="Times New Roman" w:hAnsi="Times New Roman" w:eastAsia="宋体" w:cs="Times New Roman"/>
          <w:b/>
          <w:color w:val="auto"/>
          <w:spacing w:val="4"/>
          <w:sz w:val="21"/>
          <w:szCs w:val="21"/>
          <w:highlight w:val="none"/>
          <w:lang w:val="en-US" w:eastAsia="zh-CN"/>
        </w:rPr>
        <w:t>夜</w:t>
      </w:r>
      <w:r>
        <w:rPr>
          <w:rFonts w:hint="default" w:ascii="Times New Roman" w:hAnsi="Times New Roman" w:eastAsia="宋体" w:cs="Times New Roman"/>
          <w:b/>
          <w:color w:val="auto"/>
          <w:spacing w:val="4"/>
          <w:sz w:val="21"/>
          <w:szCs w:val="21"/>
          <w:highlight w:val="none"/>
        </w:rPr>
        <w:t>间噪声贡献值预测等值线图</w:t>
      </w:r>
    </w:p>
    <w:p>
      <w:pPr>
        <w:bidi w:val="0"/>
        <w:jc w:val="center"/>
        <w:rPr>
          <w:rFonts w:hint="default" w:ascii="Times New Roman" w:hAnsi="Times New Roman" w:eastAsia="宋体" w:cs="Times New Roman"/>
          <w:color w:val="auto"/>
          <w:highlight w:val="none"/>
          <w:lang w:eastAsia="zh-CN"/>
        </w:rPr>
      </w:pPr>
      <w:r>
        <w:drawing>
          <wp:inline distT="0" distB="0" distL="114300" distR="114300">
            <wp:extent cx="4025265" cy="4401820"/>
            <wp:effectExtent l="0" t="0" r="13335" b="17780"/>
            <wp:docPr id="17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33"/>
                    <pic:cNvPicPr>
                      <a:picLocks noChangeAspect="1"/>
                    </pic:cNvPicPr>
                  </pic:nvPicPr>
                  <pic:blipFill>
                    <a:blip r:embed="rId63"/>
                    <a:stretch>
                      <a:fillRect/>
                    </a:stretch>
                  </pic:blipFill>
                  <pic:spPr>
                    <a:xfrm>
                      <a:off x="0" y="0"/>
                      <a:ext cx="4025265" cy="440182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color w:val="auto"/>
          <w:spacing w:val="4"/>
          <w:sz w:val="21"/>
          <w:szCs w:val="21"/>
          <w:highlight w:val="none"/>
        </w:rPr>
      </w:pPr>
      <w:r>
        <w:rPr>
          <w:rFonts w:hint="default" w:ascii="Times New Roman" w:hAnsi="Times New Roman" w:eastAsia="宋体" w:cs="Times New Roman"/>
          <w:b/>
          <w:color w:val="auto"/>
          <w:spacing w:val="4"/>
          <w:sz w:val="21"/>
          <w:szCs w:val="21"/>
          <w:highlight w:val="none"/>
        </w:rPr>
        <w:t>图1-</w:t>
      </w:r>
      <w:r>
        <w:rPr>
          <w:rFonts w:hint="eastAsia" w:ascii="Times New Roman" w:hAnsi="Times New Roman" w:eastAsia="宋体" w:cs="Times New Roman"/>
          <w:b/>
          <w:color w:val="auto"/>
          <w:spacing w:val="4"/>
          <w:sz w:val="21"/>
          <w:szCs w:val="21"/>
          <w:highlight w:val="none"/>
          <w:lang w:val="en-US" w:eastAsia="zh-CN"/>
        </w:rPr>
        <w:t>13</w:t>
      </w:r>
      <w:r>
        <w:rPr>
          <w:rFonts w:hint="default" w:ascii="Times New Roman" w:hAnsi="Times New Roman" w:eastAsia="宋体" w:cs="Times New Roman"/>
          <w:b/>
          <w:color w:val="auto"/>
          <w:spacing w:val="4"/>
          <w:sz w:val="21"/>
          <w:szCs w:val="21"/>
          <w:highlight w:val="none"/>
        </w:rPr>
        <w:t xml:space="preserve">  </w:t>
      </w:r>
      <w:r>
        <w:rPr>
          <w:rFonts w:hint="eastAsia" w:ascii="Times New Roman" w:hAnsi="Times New Roman" w:eastAsia="宋体" w:cs="Times New Roman"/>
          <w:b/>
          <w:color w:val="auto"/>
          <w:spacing w:val="4"/>
          <w:sz w:val="21"/>
          <w:szCs w:val="21"/>
          <w:highlight w:val="none"/>
          <w:lang w:val="en-US" w:eastAsia="zh-CN"/>
        </w:rPr>
        <w:t>东外环</w:t>
      </w:r>
      <w:r>
        <w:rPr>
          <w:rFonts w:hint="default" w:ascii="Times New Roman" w:hAnsi="Times New Roman" w:eastAsia="宋体" w:cs="Times New Roman"/>
          <w:b/>
          <w:color w:val="auto"/>
          <w:spacing w:val="4"/>
          <w:sz w:val="21"/>
          <w:szCs w:val="21"/>
          <w:highlight w:val="none"/>
        </w:rPr>
        <w:t>路段</w:t>
      </w:r>
      <w:r>
        <w:rPr>
          <w:rFonts w:hint="eastAsia" w:ascii="Times New Roman" w:hAnsi="Times New Roman" w:eastAsia="宋体" w:cs="Times New Roman"/>
          <w:b/>
          <w:color w:val="auto"/>
          <w:spacing w:val="4"/>
          <w:sz w:val="21"/>
          <w:szCs w:val="21"/>
          <w:highlight w:val="none"/>
          <w:lang w:val="en-US" w:eastAsia="zh-CN"/>
        </w:rPr>
        <w:t>远</w:t>
      </w:r>
      <w:r>
        <w:rPr>
          <w:rFonts w:hint="default" w:ascii="Times New Roman" w:hAnsi="Times New Roman" w:eastAsia="宋体" w:cs="Times New Roman"/>
          <w:b/>
          <w:color w:val="auto"/>
          <w:spacing w:val="4"/>
          <w:sz w:val="21"/>
          <w:szCs w:val="21"/>
          <w:highlight w:val="none"/>
        </w:rPr>
        <w:t>期昼间噪声贡献值预测等值线图</w:t>
      </w:r>
    </w:p>
    <w:p>
      <w:pPr>
        <w:bidi w:val="0"/>
        <w:jc w:val="center"/>
        <w:rPr>
          <w:rFonts w:hint="default" w:ascii="Times New Roman" w:hAnsi="Times New Roman" w:eastAsia="宋体" w:cs="Times New Roman"/>
          <w:color w:val="auto"/>
          <w:highlight w:val="none"/>
          <w:lang w:eastAsia="zh-CN"/>
        </w:rPr>
      </w:pPr>
      <w:r>
        <w:drawing>
          <wp:inline distT="0" distB="0" distL="114300" distR="114300">
            <wp:extent cx="5757545" cy="3507105"/>
            <wp:effectExtent l="0" t="0" r="14605" b="17145"/>
            <wp:docPr id="18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34"/>
                    <pic:cNvPicPr>
                      <a:picLocks noChangeAspect="1"/>
                    </pic:cNvPicPr>
                  </pic:nvPicPr>
                  <pic:blipFill>
                    <a:blip r:embed="rId64"/>
                    <a:stretch>
                      <a:fillRect/>
                    </a:stretch>
                  </pic:blipFill>
                  <pic:spPr>
                    <a:xfrm>
                      <a:off x="0" y="0"/>
                      <a:ext cx="5757545" cy="350710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color w:val="auto"/>
          <w:spacing w:val="4"/>
          <w:sz w:val="21"/>
          <w:szCs w:val="21"/>
          <w:highlight w:val="none"/>
        </w:rPr>
      </w:pPr>
      <w:r>
        <w:rPr>
          <w:rFonts w:hint="default" w:ascii="Times New Roman" w:hAnsi="Times New Roman" w:eastAsia="宋体" w:cs="Times New Roman"/>
          <w:b/>
          <w:color w:val="auto"/>
          <w:spacing w:val="4"/>
          <w:sz w:val="21"/>
          <w:szCs w:val="21"/>
          <w:highlight w:val="none"/>
        </w:rPr>
        <w:t>图1-</w:t>
      </w:r>
      <w:r>
        <w:rPr>
          <w:rFonts w:hint="eastAsia" w:ascii="Times New Roman" w:hAnsi="Times New Roman" w:eastAsia="宋体" w:cs="Times New Roman"/>
          <w:b/>
          <w:color w:val="auto"/>
          <w:spacing w:val="4"/>
          <w:sz w:val="21"/>
          <w:szCs w:val="21"/>
          <w:highlight w:val="none"/>
          <w:lang w:val="en-US" w:eastAsia="zh-CN"/>
        </w:rPr>
        <w:t>14</w:t>
      </w:r>
      <w:r>
        <w:rPr>
          <w:rFonts w:hint="default" w:ascii="Times New Roman" w:hAnsi="Times New Roman" w:eastAsia="宋体" w:cs="Times New Roman"/>
          <w:b/>
          <w:color w:val="auto"/>
          <w:spacing w:val="4"/>
          <w:sz w:val="21"/>
          <w:szCs w:val="21"/>
          <w:highlight w:val="none"/>
        </w:rPr>
        <w:t xml:space="preserve">  </w:t>
      </w:r>
      <w:r>
        <w:rPr>
          <w:rFonts w:hint="eastAsia" w:ascii="Times New Roman" w:hAnsi="Times New Roman" w:eastAsia="宋体" w:cs="Times New Roman"/>
          <w:b/>
          <w:color w:val="auto"/>
          <w:spacing w:val="4"/>
          <w:sz w:val="21"/>
          <w:szCs w:val="21"/>
          <w:highlight w:val="none"/>
          <w:lang w:val="en-US" w:eastAsia="zh-CN"/>
        </w:rPr>
        <w:t>湖滨大街西延-文昌路</w:t>
      </w:r>
      <w:r>
        <w:rPr>
          <w:rFonts w:hint="default" w:ascii="Times New Roman" w:hAnsi="Times New Roman" w:eastAsia="宋体" w:cs="Times New Roman"/>
          <w:b/>
          <w:color w:val="auto"/>
          <w:spacing w:val="4"/>
          <w:sz w:val="21"/>
          <w:szCs w:val="21"/>
          <w:highlight w:val="none"/>
        </w:rPr>
        <w:t>路段</w:t>
      </w:r>
      <w:r>
        <w:rPr>
          <w:rFonts w:hint="eastAsia" w:ascii="Times New Roman" w:hAnsi="Times New Roman" w:eastAsia="宋体" w:cs="Times New Roman"/>
          <w:b/>
          <w:color w:val="auto"/>
          <w:spacing w:val="4"/>
          <w:sz w:val="21"/>
          <w:szCs w:val="21"/>
          <w:highlight w:val="none"/>
          <w:lang w:val="en-US" w:eastAsia="zh-CN"/>
        </w:rPr>
        <w:t>远</w:t>
      </w:r>
      <w:r>
        <w:rPr>
          <w:rFonts w:hint="default" w:ascii="Times New Roman" w:hAnsi="Times New Roman" w:eastAsia="宋体" w:cs="Times New Roman"/>
          <w:b/>
          <w:color w:val="auto"/>
          <w:spacing w:val="4"/>
          <w:sz w:val="21"/>
          <w:szCs w:val="21"/>
          <w:highlight w:val="none"/>
        </w:rPr>
        <w:t>期昼间噪声贡献值预测等值线图</w:t>
      </w:r>
    </w:p>
    <w:p>
      <w:pPr>
        <w:bidi w:val="0"/>
        <w:jc w:val="center"/>
        <w:rPr>
          <w:rFonts w:hint="default" w:ascii="Times New Roman" w:hAnsi="Times New Roman" w:eastAsia="宋体" w:cs="Times New Roman"/>
          <w:color w:val="auto"/>
          <w:highlight w:val="none"/>
          <w:lang w:eastAsia="zh-CN"/>
        </w:rPr>
      </w:pPr>
      <w:r>
        <w:drawing>
          <wp:inline distT="0" distB="0" distL="114300" distR="114300">
            <wp:extent cx="4090035" cy="4477385"/>
            <wp:effectExtent l="0" t="0" r="5715" b="18415"/>
            <wp:docPr id="18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35"/>
                    <pic:cNvPicPr>
                      <a:picLocks noChangeAspect="1"/>
                    </pic:cNvPicPr>
                  </pic:nvPicPr>
                  <pic:blipFill>
                    <a:blip r:embed="rId65"/>
                    <a:stretch>
                      <a:fillRect/>
                    </a:stretch>
                  </pic:blipFill>
                  <pic:spPr>
                    <a:xfrm>
                      <a:off x="0" y="0"/>
                      <a:ext cx="4090035" cy="447738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color w:val="auto"/>
          <w:spacing w:val="4"/>
          <w:sz w:val="21"/>
          <w:szCs w:val="21"/>
          <w:highlight w:val="none"/>
        </w:rPr>
      </w:pPr>
      <w:r>
        <w:rPr>
          <w:rFonts w:hint="default" w:ascii="Times New Roman" w:hAnsi="Times New Roman" w:eastAsia="宋体" w:cs="Times New Roman"/>
          <w:b/>
          <w:color w:val="auto"/>
          <w:spacing w:val="4"/>
          <w:sz w:val="21"/>
          <w:szCs w:val="21"/>
          <w:highlight w:val="none"/>
        </w:rPr>
        <w:t>图1-</w:t>
      </w:r>
      <w:r>
        <w:rPr>
          <w:rFonts w:hint="eastAsia" w:ascii="Times New Roman" w:hAnsi="Times New Roman" w:eastAsia="宋体" w:cs="Times New Roman"/>
          <w:b/>
          <w:color w:val="auto"/>
          <w:spacing w:val="4"/>
          <w:sz w:val="21"/>
          <w:szCs w:val="21"/>
          <w:highlight w:val="none"/>
          <w:lang w:val="en-US" w:eastAsia="zh-CN"/>
        </w:rPr>
        <w:t>15</w:t>
      </w:r>
      <w:r>
        <w:rPr>
          <w:rFonts w:hint="default" w:ascii="Times New Roman" w:hAnsi="Times New Roman" w:eastAsia="宋体" w:cs="Times New Roman"/>
          <w:b/>
          <w:color w:val="auto"/>
          <w:spacing w:val="4"/>
          <w:sz w:val="21"/>
          <w:szCs w:val="21"/>
          <w:highlight w:val="none"/>
        </w:rPr>
        <w:t xml:space="preserve">  </w:t>
      </w:r>
      <w:r>
        <w:rPr>
          <w:rFonts w:hint="eastAsia" w:ascii="Times New Roman" w:hAnsi="Times New Roman" w:eastAsia="宋体" w:cs="Times New Roman"/>
          <w:b/>
          <w:color w:val="auto"/>
          <w:spacing w:val="4"/>
          <w:sz w:val="21"/>
          <w:szCs w:val="21"/>
          <w:highlight w:val="none"/>
          <w:lang w:val="en-US" w:eastAsia="zh-CN"/>
        </w:rPr>
        <w:t>东外环</w:t>
      </w:r>
      <w:r>
        <w:rPr>
          <w:rFonts w:hint="default" w:ascii="Times New Roman" w:hAnsi="Times New Roman" w:eastAsia="宋体" w:cs="Times New Roman"/>
          <w:b/>
          <w:color w:val="auto"/>
          <w:spacing w:val="4"/>
          <w:sz w:val="21"/>
          <w:szCs w:val="21"/>
          <w:highlight w:val="none"/>
        </w:rPr>
        <w:t>路段</w:t>
      </w:r>
      <w:r>
        <w:rPr>
          <w:rFonts w:hint="eastAsia" w:ascii="Times New Roman" w:hAnsi="Times New Roman" w:eastAsia="宋体" w:cs="Times New Roman"/>
          <w:b/>
          <w:color w:val="auto"/>
          <w:spacing w:val="4"/>
          <w:sz w:val="21"/>
          <w:szCs w:val="21"/>
          <w:highlight w:val="none"/>
          <w:lang w:val="en-US" w:eastAsia="zh-CN"/>
        </w:rPr>
        <w:t>远</w:t>
      </w:r>
      <w:r>
        <w:rPr>
          <w:rFonts w:hint="default" w:ascii="Times New Roman" w:hAnsi="Times New Roman" w:eastAsia="宋体" w:cs="Times New Roman"/>
          <w:b/>
          <w:color w:val="auto"/>
          <w:spacing w:val="4"/>
          <w:sz w:val="21"/>
          <w:szCs w:val="21"/>
          <w:highlight w:val="none"/>
        </w:rPr>
        <w:t>期</w:t>
      </w:r>
      <w:r>
        <w:rPr>
          <w:rFonts w:hint="eastAsia" w:ascii="Times New Roman" w:hAnsi="Times New Roman" w:eastAsia="宋体" w:cs="Times New Roman"/>
          <w:b/>
          <w:color w:val="auto"/>
          <w:spacing w:val="4"/>
          <w:sz w:val="21"/>
          <w:szCs w:val="21"/>
          <w:highlight w:val="none"/>
          <w:lang w:val="en-US" w:eastAsia="zh-CN"/>
        </w:rPr>
        <w:t>夜</w:t>
      </w:r>
      <w:r>
        <w:rPr>
          <w:rFonts w:hint="default" w:ascii="Times New Roman" w:hAnsi="Times New Roman" w:eastAsia="宋体" w:cs="Times New Roman"/>
          <w:b/>
          <w:color w:val="auto"/>
          <w:spacing w:val="4"/>
          <w:sz w:val="21"/>
          <w:szCs w:val="21"/>
          <w:highlight w:val="none"/>
        </w:rPr>
        <w:t>间噪声贡献值预测等值线图</w:t>
      </w:r>
    </w:p>
    <w:p>
      <w:pPr>
        <w:bidi w:val="0"/>
        <w:jc w:val="center"/>
        <w:rPr>
          <w:rFonts w:hint="default" w:ascii="Times New Roman" w:hAnsi="Times New Roman" w:eastAsia="宋体" w:cs="Times New Roman"/>
          <w:color w:val="auto"/>
          <w:highlight w:val="none"/>
          <w:lang w:eastAsia="zh-CN"/>
        </w:rPr>
      </w:pPr>
      <w:r>
        <w:drawing>
          <wp:inline distT="0" distB="0" distL="114300" distR="114300">
            <wp:extent cx="5751830" cy="3489960"/>
            <wp:effectExtent l="0" t="0" r="1270" b="15240"/>
            <wp:docPr id="17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36"/>
                    <pic:cNvPicPr>
                      <a:picLocks noChangeAspect="1"/>
                    </pic:cNvPicPr>
                  </pic:nvPicPr>
                  <pic:blipFill>
                    <a:blip r:embed="rId66"/>
                    <a:stretch>
                      <a:fillRect/>
                    </a:stretch>
                  </pic:blipFill>
                  <pic:spPr>
                    <a:xfrm>
                      <a:off x="0" y="0"/>
                      <a:ext cx="5751830" cy="348996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highlight w:val="none"/>
          <w:lang w:val="en-US" w:eastAsia="zh-CN"/>
        </w:rPr>
      </w:pPr>
      <w:r>
        <w:rPr>
          <w:rFonts w:hint="default" w:ascii="Times New Roman" w:hAnsi="Times New Roman" w:eastAsia="宋体" w:cs="Times New Roman"/>
          <w:b/>
          <w:color w:val="auto"/>
          <w:spacing w:val="4"/>
          <w:sz w:val="21"/>
          <w:szCs w:val="21"/>
          <w:highlight w:val="none"/>
        </w:rPr>
        <w:t>图1-</w:t>
      </w:r>
      <w:r>
        <w:rPr>
          <w:rFonts w:hint="eastAsia" w:ascii="Times New Roman" w:hAnsi="Times New Roman" w:eastAsia="宋体" w:cs="Times New Roman"/>
          <w:b/>
          <w:color w:val="auto"/>
          <w:spacing w:val="4"/>
          <w:sz w:val="21"/>
          <w:szCs w:val="21"/>
          <w:highlight w:val="none"/>
          <w:lang w:val="en-US" w:eastAsia="zh-CN"/>
        </w:rPr>
        <w:t>16</w:t>
      </w:r>
      <w:r>
        <w:rPr>
          <w:rFonts w:hint="default" w:ascii="Times New Roman" w:hAnsi="Times New Roman" w:eastAsia="宋体" w:cs="Times New Roman"/>
          <w:b/>
          <w:color w:val="auto"/>
          <w:spacing w:val="4"/>
          <w:sz w:val="21"/>
          <w:szCs w:val="21"/>
          <w:highlight w:val="none"/>
        </w:rPr>
        <w:t xml:space="preserve">  </w:t>
      </w:r>
      <w:r>
        <w:rPr>
          <w:rFonts w:hint="eastAsia" w:ascii="Times New Roman" w:hAnsi="Times New Roman" w:eastAsia="宋体" w:cs="Times New Roman"/>
          <w:b/>
          <w:color w:val="auto"/>
          <w:spacing w:val="4"/>
          <w:sz w:val="21"/>
          <w:szCs w:val="21"/>
          <w:highlight w:val="none"/>
          <w:lang w:val="en-US" w:eastAsia="zh-CN"/>
        </w:rPr>
        <w:t>湖滨大街西延-文昌路</w:t>
      </w:r>
      <w:r>
        <w:rPr>
          <w:rFonts w:hint="default" w:ascii="Times New Roman" w:hAnsi="Times New Roman" w:eastAsia="宋体" w:cs="Times New Roman"/>
          <w:b/>
          <w:color w:val="auto"/>
          <w:spacing w:val="4"/>
          <w:sz w:val="21"/>
          <w:szCs w:val="21"/>
          <w:highlight w:val="none"/>
        </w:rPr>
        <w:t>路段</w:t>
      </w:r>
      <w:r>
        <w:rPr>
          <w:rFonts w:hint="eastAsia" w:ascii="Times New Roman" w:hAnsi="Times New Roman" w:eastAsia="宋体" w:cs="Times New Roman"/>
          <w:b/>
          <w:color w:val="auto"/>
          <w:spacing w:val="4"/>
          <w:sz w:val="21"/>
          <w:szCs w:val="21"/>
          <w:highlight w:val="none"/>
          <w:lang w:val="en-US" w:eastAsia="zh-CN"/>
        </w:rPr>
        <w:t>远</w:t>
      </w:r>
      <w:r>
        <w:rPr>
          <w:rFonts w:hint="default" w:ascii="Times New Roman" w:hAnsi="Times New Roman" w:eastAsia="宋体" w:cs="Times New Roman"/>
          <w:b/>
          <w:color w:val="auto"/>
          <w:spacing w:val="4"/>
          <w:sz w:val="21"/>
          <w:szCs w:val="21"/>
          <w:highlight w:val="none"/>
        </w:rPr>
        <w:t>期</w:t>
      </w:r>
      <w:r>
        <w:rPr>
          <w:rFonts w:hint="eastAsia" w:ascii="Times New Roman" w:hAnsi="Times New Roman" w:eastAsia="宋体" w:cs="Times New Roman"/>
          <w:b/>
          <w:color w:val="auto"/>
          <w:spacing w:val="4"/>
          <w:sz w:val="21"/>
          <w:szCs w:val="21"/>
          <w:highlight w:val="none"/>
          <w:lang w:val="en-US" w:eastAsia="zh-CN"/>
        </w:rPr>
        <w:t>夜</w:t>
      </w:r>
      <w:r>
        <w:rPr>
          <w:rFonts w:hint="default" w:ascii="Times New Roman" w:hAnsi="Times New Roman" w:eastAsia="宋体" w:cs="Times New Roman"/>
          <w:b/>
          <w:color w:val="auto"/>
          <w:spacing w:val="4"/>
          <w:sz w:val="21"/>
          <w:szCs w:val="21"/>
          <w:highlight w:val="none"/>
        </w:rPr>
        <w:t>间噪声贡献值预测等值线图</w:t>
      </w:r>
    </w:p>
    <w:p>
      <w:pPr>
        <w:bidi w:val="0"/>
        <w:rPr>
          <w:rFonts w:hint="default" w:ascii="Times New Roman" w:hAnsi="Times New Roman" w:eastAsia="宋体" w:cs="Times New Roman"/>
          <w:color w:val="auto"/>
          <w:highlight w:val="none"/>
          <w:lang w:eastAsia="zh-CN"/>
        </w:rPr>
        <w:sectPr>
          <w:pgSz w:w="11906" w:h="16838"/>
          <w:pgMar w:top="1531" w:right="1418" w:bottom="1531" w:left="1418" w:header="851" w:footer="992" w:gutter="0"/>
          <w:pgBorders>
            <w:top w:val="none" w:sz="0" w:space="0"/>
            <w:left w:val="none" w:sz="0" w:space="0"/>
            <w:bottom w:val="none" w:sz="0" w:space="0"/>
            <w:right w:val="none" w:sz="0" w:space="0"/>
          </w:pgBorders>
          <w:cols w:space="720" w:num="1"/>
          <w:docGrid w:type="lines" w:linePitch="312" w:charSpace="0"/>
        </w:sectPr>
      </w:pPr>
    </w:p>
    <w:p>
      <w:pPr>
        <w:spacing w:before="60" w:after="60" w:line="480" w:lineRule="exact"/>
        <w:ind w:firstLine="643" w:firstLineChars="200"/>
        <w:jc w:val="left"/>
        <w:outlineLvl w:val="1"/>
        <w:rPr>
          <w:rFonts w:hint="default" w:ascii="Times New Roman" w:hAnsi="Times New Roman" w:eastAsia="黑体" w:cs="Times New Roman"/>
          <w:b/>
          <w:bCs/>
          <w:color w:val="auto"/>
          <w:sz w:val="32"/>
          <w:szCs w:val="28"/>
          <w:highlight w:val="none"/>
        </w:rPr>
      </w:pPr>
      <w:r>
        <w:rPr>
          <w:rFonts w:hint="default" w:ascii="Times New Roman" w:hAnsi="Times New Roman" w:eastAsia="黑体" w:cs="Times New Roman"/>
          <w:b/>
          <w:bCs/>
          <w:color w:val="auto"/>
          <w:sz w:val="32"/>
          <w:szCs w:val="28"/>
          <w:highlight w:val="none"/>
        </w:rPr>
        <w:t>1.4噪声污染防治措施</w:t>
      </w:r>
    </w:p>
    <w:p>
      <w:pPr>
        <w:spacing w:before="60" w:after="60" w:line="480" w:lineRule="exact"/>
        <w:ind w:firstLine="482" w:firstLineChars="200"/>
        <w:jc w:val="left"/>
        <w:outlineLvl w:val="2"/>
        <w:rPr>
          <w:rFonts w:hint="default" w:ascii="Times New Roman" w:hAnsi="Times New Roman" w:eastAsia="黑体" w:cs="Times New Roman"/>
          <w:b/>
          <w:bCs/>
          <w:color w:val="auto"/>
          <w:sz w:val="24"/>
          <w:szCs w:val="22"/>
          <w:highlight w:val="none"/>
        </w:rPr>
      </w:pPr>
      <w:bookmarkStart w:id="20" w:name="_Toc58267082"/>
      <w:r>
        <w:rPr>
          <w:rFonts w:hint="default" w:ascii="Times New Roman" w:hAnsi="Times New Roman" w:eastAsia="黑体" w:cs="Times New Roman"/>
          <w:b/>
          <w:bCs/>
          <w:color w:val="auto"/>
          <w:sz w:val="24"/>
          <w:szCs w:val="22"/>
          <w:highlight w:val="none"/>
        </w:rPr>
        <w:t>1.4.1施工期噪声污染防治措施</w:t>
      </w:r>
      <w:bookmarkEnd w:id="20"/>
    </w:p>
    <w:p>
      <w:pPr>
        <w:spacing w:line="48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道路工程建设施工工作量大，而且机械化程度高，由此而产生的噪声对周围区域环境有一定的影响。相对营运期而言，建设期施工噪声影响是短期的、可逆的，而且具有局部路段特性。</w:t>
      </w:r>
    </w:p>
    <w:p>
      <w:pPr>
        <w:spacing w:line="48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为减少施工对项目沿线环境的影响，主要采取行政管理为主、采用先进设备为辅的方法加以控制，主要应采取下列措施：</w:t>
      </w:r>
    </w:p>
    <w:p>
      <w:pPr>
        <w:spacing w:line="48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①设立专职环保工程监理员、提高施工人员的环保意识</w:t>
      </w:r>
    </w:p>
    <w:p>
      <w:pPr>
        <w:spacing w:line="48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在道路建设期间承建单位应设立专职环保工程监理员，实行环保监理员制度，负责施工现场的环境管理和扬尘污染的控制工作，同时应组织施工人员学习国家有关环保法律、法规，增强环保意识，在施工中自觉遵守，采取一切措施，尽力将噪声减到最低限度。</w:t>
      </w:r>
    </w:p>
    <w:p>
      <w:pPr>
        <w:spacing w:line="48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②限制作业时间</w:t>
      </w:r>
    </w:p>
    <w:p>
      <w:pPr>
        <w:spacing w:line="48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为了保护居民夜间休息有一个较好的环境，在施工道路距居民区小于50m的路段，原则上禁止夜间（22：00-次日6：00）施工，夜间禁止使用高噪声机械和运输装卸建筑砖、灰沙、石料等建筑材料。确因施工工艺需要及其它特殊原因须在夜间施工，在周围居民住宅密集区应张贴告示，以取得居民的谅解。根据施工计划，尽可能避免高噪声设备同时施工，施工阶段工作时间为上午6-12时，下午14-22时，在22时至次日6时应尽量减少施工。</w:t>
      </w:r>
    </w:p>
    <w:p>
      <w:pPr>
        <w:spacing w:line="48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③施工合理布局</w:t>
      </w:r>
    </w:p>
    <w:p>
      <w:pPr>
        <w:spacing w:line="48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施工布局同防止环境噪声污染密切相关。对施工现场进行合理布局，在靠近居民住宅密集区，尽可能少的安排施工机械，避免声级过高。</w:t>
      </w:r>
    </w:p>
    <w:p>
      <w:pPr>
        <w:spacing w:line="48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④采用先进设备、淘汰落后设备</w:t>
      </w:r>
    </w:p>
    <w:p>
      <w:pPr>
        <w:spacing w:line="48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噪声污染的控制，归根到底是噪声源的控制，只有强化噪声源的管理和治理，才是改善环境质量的根本途径。因此，应督促施工部位淘汰落后的施工方式和设备，采用新技术，低噪声设备。同时，闲置不用的设备立即关闭，运输车辆进入现场应减速，并减少鸣笛。</w:t>
      </w:r>
    </w:p>
    <w:p>
      <w:pPr>
        <w:spacing w:line="48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⑤降低施工交通运输噪声</w:t>
      </w:r>
    </w:p>
    <w:p>
      <w:pPr>
        <w:tabs>
          <w:tab w:val="left" w:pos="2760"/>
        </w:tabs>
        <w:snapToGrid w:val="0"/>
        <w:spacing w:line="480" w:lineRule="exact"/>
        <w:ind w:firstLine="480" w:firstLineChars="200"/>
        <w:rPr>
          <w:rFonts w:hint="default" w:ascii="Times New Roman" w:hAnsi="Times New Roman" w:cs="Times New Roman"/>
          <w:color w:val="auto"/>
          <w:sz w:val="24"/>
          <w:szCs w:val="21"/>
          <w:highlight w:val="none"/>
        </w:rPr>
      </w:pPr>
      <w:r>
        <w:rPr>
          <w:rFonts w:hint="default" w:ascii="Times New Roman" w:hAnsi="Times New Roman" w:cs="Times New Roman"/>
          <w:color w:val="auto"/>
          <w:sz w:val="24"/>
          <w:highlight w:val="none"/>
        </w:rPr>
        <w:t>车辆进入声敏感区附近的道路应限速，减少或杜绝鸣笛。</w:t>
      </w:r>
    </w:p>
    <w:p>
      <w:pPr>
        <w:spacing w:before="60" w:after="60" w:line="480" w:lineRule="exact"/>
        <w:ind w:firstLine="482" w:firstLineChars="200"/>
        <w:jc w:val="left"/>
        <w:outlineLvl w:val="2"/>
        <w:rPr>
          <w:rFonts w:hint="default" w:ascii="Times New Roman" w:hAnsi="Times New Roman" w:eastAsia="黑体" w:cs="Times New Roman"/>
          <w:b/>
          <w:bCs/>
          <w:color w:val="auto"/>
          <w:sz w:val="24"/>
          <w:szCs w:val="22"/>
          <w:highlight w:val="none"/>
        </w:rPr>
      </w:pPr>
      <w:bookmarkStart w:id="21" w:name="_Toc58267083"/>
      <w:r>
        <w:rPr>
          <w:rFonts w:hint="default" w:ascii="Times New Roman" w:hAnsi="Times New Roman" w:eastAsia="黑体" w:cs="Times New Roman"/>
          <w:b/>
          <w:bCs/>
          <w:color w:val="auto"/>
          <w:sz w:val="24"/>
          <w:szCs w:val="22"/>
          <w:highlight w:val="none"/>
        </w:rPr>
        <w:t>1.4.2营运期噪声污染防治措施</w:t>
      </w:r>
      <w:bookmarkEnd w:id="21"/>
    </w:p>
    <w:p>
      <w:pPr>
        <w:spacing w:line="48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此外，为降低营运期车辆噪声对周边村庄的影响，评价还要求采取以下措施：</w:t>
      </w:r>
    </w:p>
    <w:p>
      <w:pPr>
        <w:spacing w:line="48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（1）在道路两侧加强绿化，种植隔声效果较好的乔木；</w:t>
      </w:r>
    </w:p>
    <w:p>
      <w:pPr>
        <w:spacing w:line="48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（2）对经过小区、村庄等路段设置限速标志；</w:t>
      </w:r>
    </w:p>
    <w:p>
      <w:pPr>
        <w:spacing w:line="48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（3）沿线现有的敏感建筑物采取更换隔声门窗等措施；</w:t>
      </w:r>
    </w:p>
    <w:p>
      <w:pPr>
        <w:spacing w:line="48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（4）未来道路两侧临街建筑尽量建设商铺等声环境要求低的建筑设施；</w:t>
      </w:r>
    </w:p>
    <w:p>
      <w:pPr>
        <w:spacing w:line="48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5）后续规划中应注意公路两侧建筑功能布局，尽量不沿线临路建设居民区和学校等，对于不能达到1类功能区标准要求的区域内新建住宅、办公楼等敏感建筑物时，建筑本身须做好墙、窗的降噪设计，并合理进行建筑内部布局，以减轻交通噪声影响。</w:t>
      </w:r>
    </w:p>
    <w:p>
      <w:pPr>
        <w:spacing w:before="60" w:after="60" w:line="480" w:lineRule="exact"/>
        <w:ind w:firstLine="482" w:firstLineChars="200"/>
        <w:jc w:val="left"/>
        <w:outlineLvl w:val="2"/>
        <w:rPr>
          <w:rFonts w:hint="default" w:ascii="Times New Roman" w:hAnsi="Times New Roman" w:eastAsia="黑体" w:cs="Times New Roman"/>
          <w:b/>
          <w:bCs/>
          <w:color w:val="auto"/>
          <w:sz w:val="24"/>
          <w:szCs w:val="22"/>
          <w:highlight w:val="none"/>
        </w:rPr>
      </w:pPr>
      <w:bookmarkStart w:id="22" w:name="_Hlk96267382"/>
      <w:r>
        <w:rPr>
          <w:rFonts w:hint="default" w:ascii="Times New Roman" w:hAnsi="Times New Roman" w:eastAsia="黑体" w:cs="Times New Roman"/>
          <w:b/>
          <w:bCs/>
          <w:color w:val="auto"/>
          <w:sz w:val="24"/>
          <w:szCs w:val="22"/>
          <w:highlight w:val="none"/>
        </w:rPr>
        <w:t>1.4.3环境监测计划</w:t>
      </w:r>
    </w:p>
    <w:p>
      <w:pPr>
        <w:autoSpaceDE w:val="0"/>
        <w:autoSpaceDN w:val="0"/>
        <w:spacing w:line="48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根据项目特点，本项目环境监测计划见表1-14。</w:t>
      </w:r>
    </w:p>
    <w:p>
      <w:pPr>
        <w:pStyle w:val="12"/>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color w:val="auto"/>
          <w:spacing w:val="4"/>
          <w:kern w:val="2"/>
          <w:sz w:val="21"/>
          <w:szCs w:val="21"/>
          <w:highlight w:val="none"/>
          <w:lang w:val="en-US" w:eastAsia="zh-CN" w:bidi="ar-SA"/>
        </w:rPr>
      </w:pPr>
      <w:r>
        <w:rPr>
          <w:rFonts w:hint="default" w:ascii="Times New Roman" w:hAnsi="Times New Roman" w:eastAsia="宋体" w:cs="Times New Roman"/>
          <w:b/>
          <w:color w:val="auto"/>
          <w:spacing w:val="4"/>
          <w:kern w:val="2"/>
          <w:sz w:val="21"/>
          <w:szCs w:val="21"/>
          <w:highlight w:val="none"/>
          <w:lang w:val="en-US" w:eastAsia="zh-CN" w:bidi="ar-SA"/>
        </w:rPr>
        <w:t>表1-14  营运期环境监测计划</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9"/>
        <w:gridCol w:w="1490"/>
        <w:gridCol w:w="1421"/>
        <w:gridCol w:w="2768"/>
        <w:gridCol w:w="1393"/>
        <w:gridCol w:w="13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7" w:type="pct"/>
            <w:noWrap w:val="0"/>
            <w:vAlign w:val="center"/>
          </w:tcPr>
          <w:p>
            <w:pPr>
              <w:pStyle w:val="5"/>
              <w:keepNext w:val="0"/>
              <w:keepLines w:val="0"/>
              <w:pageBreakBefore w:val="0"/>
              <w:widowControl w:val="0"/>
              <w:kinsoku/>
              <w:wordWrap/>
              <w:overflowPunct/>
              <w:topLinePunct w:val="0"/>
              <w:autoSpaceDE/>
              <w:autoSpaceDN/>
              <w:bidi w:val="0"/>
              <w:snapToGrid w:val="0"/>
              <w:spacing w:line="240" w:lineRule="auto"/>
              <w:ind w:firstLine="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名称</w:t>
            </w:r>
          </w:p>
        </w:tc>
        <w:tc>
          <w:tcPr>
            <w:tcW w:w="802" w:type="pct"/>
            <w:noWrap w:val="0"/>
            <w:vAlign w:val="center"/>
          </w:tcPr>
          <w:p>
            <w:pPr>
              <w:pStyle w:val="5"/>
              <w:keepNext w:val="0"/>
              <w:keepLines w:val="0"/>
              <w:pageBreakBefore w:val="0"/>
              <w:widowControl w:val="0"/>
              <w:kinsoku/>
              <w:wordWrap/>
              <w:overflowPunct/>
              <w:topLinePunct w:val="0"/>
              <w:autoSpaceDE/>
              <w:autoSpaceDN/>
              <w:bidi w:val="0"/>
              <w:snapToGrid w:val="0"/>
              <w:spacing w:line="240" w:lineRule="auto"/>
              <w:ind w:firstLine="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监测点位</w:t>
            </w:r>
          </w:p>
        </w:tc>
        <w:tc>
          <w:tcPr>
            <w:tcW w:w="765" w:type="pct"/>
            <w:noWrap w:val="0"/>
            <w:vAlign w:val="center"/>
          </w:tcPr>
          <w:p>
            <w:pPr>
              <w:pStyle w:val="5"/>
              <w:keepNext w:val="0"/>
              <w:keepLines w:val="0"/>
              <w:pageBreakBefore w:val="0"/>
              <w:widowControl w:val="0"/>
              <w:kinsoku/>
              <w:wordWrap/>
              <w:overflowPunct/>
              <w:topLinePunct w:val="0"/>
              <w:autoSpaceDE/>
              <w:autoSpaceDN/>
              <w:bidi w:val="0"/>
              <w:snapToGrid w:val="0"/>
              <w:spacing w:line="240" w:lineRule="auto"/>
              <w:ind w:firstLine="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监测项目</w:t>
            </w:r>
          </w:p>
        </w:tc>
        <w:tc>
          <w:tcPr>
            <w:tcW w:w="1490" w:type="pct"/>
            <w:noWrap w:val="0"/>
            <w:vAlign w:val="center"/>
          </w:tcPr>
          <w:p>
            <w:pPr>
              <w:pStyle w:val="5"/>
              <w:keepNext w:val="0"/>
              <w:keepLines w:val="0"/>
              <w:pageBreakBefore w:val="0"/>
              <w:widowControl w:val="0"/>
              <w:kinsoku/>
              <w:wordWrap/>
              <w:overflowPunct/>
              <w:topLinePunct w:val="0"/>
              <w:autoSpaceDE/>
              <w:autoSpaceDN/>
              <w:bidi w:val="0"/>
              <w:snapToGrid w:val="0"/>
              <w:spacing w:line="240" w:lineRule="auto"/>
              <w:ind w:firstLine="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监测时间、频率</w:t>
            </w:r>
          </w:p>
        </w:tc>
        <w:tc>
          <w:tcPr>
            <w:tcW w:w="750" w:type="pct"/>
            <w:noWrap w:val="0"/>
            <w:vAlign w:val="center"/>
          </w:tcPr>
          <w:p>
            <w:pPr>
              <w:pStyle w:val="5"/>
              <w:keepNext w:val="0"/>
              <w:keepLines w:val="0"/>
              <w:pageBreakBefore w:val="0"/>
              <w:widowControl w:val="0"/>
              <w:kinsoku/>
              <w:wordWrap/>
              <w:overflowPunct/>
              <w:topLinePunct w:val="0"/>
              <w:autoSpaceDE/>
              <w:autoSpaceDN/>
              <w:bidi w:val="0"/>
              <w:snapToGrid w:val="0"/>
              <w:spacing w:line="240" w:lineRule="auto"/>
              <w:ind w:firstLine="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实施机构</w:t>
            </w:r>
          </w:p>
        </w:tc>
        <w:tc>
          <w:tcPr>
            <w:tcW w:w="736" w:type="pct"/>
            <w:noWrap w:val="0"/>
            <w:vAlign w:val="center"/>
          </w:tcPr>
          <w:p>
            <w:pPr>
              <w:pStyle w:val="5"/>
              <w:keepNext w:val="0"/>
              <w:keepLines w:val="0"/>
              <w:pageBreakBefore w:val="0"/>
              <w:widowControl w:val="0"/>
              <w:kinsoku/>
              <w:wordWrap/>
              <w:overflowPunct/>
              <w:topLinePunct w:val="0"/>
              <w:autoSpaceDE/>
              <w:autoSpaceDN/>
              <w:bidi w:val="0"/>
              <w:snapToGrid w:val="0"/>
              <w:spacing w:line="240" w:lineRule="auto"/>
              <w:ind w:firstLine="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监督机构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7" w:type="pct"/>
            <w:noWrap w:val="0"/>
            <w:vAlign w:val="center"/>
          </w:tcPr>
          <w:p>
            <w:pPr>
              <w:pStyle w:val="5"/>
              <w:keepNext w:val="0"/>
              <w:keepLines w:val="0"/>
              <w:pageBreakBefore w:val="0"/>
              <w:widowControl w:val="0"/>
              <w:kinsoku/>
              <w:wordWrap/>
              <w:overflowPunct/>
              <w:topLinePunct w:val="0"/>
              <w:autoSpaceDE/>
              <w:autoSpaceDN/>
              <w:bidi w:val="0"/>
              <w:snapToGrid w:val="0"/>
              <w:spacing w:line="240" w:lineRule="auto"/>
              <w:ind w:firstLine="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噪声</w:t>
            </w:r>
          </w:p>
        </w:tc>
        <w:tc>
          <w:tcPr>
            <w:tcW w:w="802" w:type="pct"/>
            <w:noWrap w:val="0"/>
            <w:vAlign w:val="center"/>
          </w:tcPr>
          <w:p>
            <w:pPr>
              <w:pStyle w:val="5"/>
              <w:keepNext w:val="0"/>
              <w:keepLines w:val="0"/>
              <w:pageBreakBefore w:val="0"/>
              <w:widowControl w:val="0"/>
              <w:kinsoku/>
              <w:wordWrap/>
              <w:overflowPunct/>
              <w:topLinePunct w:val="0"/>
              <w:autoSpaceDE/>
              <w:autoSpaceDN/>
              <w:bidi w:val="0"/>
              <w:snapToGrid w:val="0"/>
              <w:spacing w:line="240" w:lineRule="auto"/>
              <w:ind w:firstLine="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工程沿线敏感目标</w:t>
            </w:r>
          </w:p>
        </w:tc>
        <w:tc>
          <w:tcPr>
            <w:tcW w:w="765" w:type="pct"/>
            <w:noWrap w:val="0"/>
            <w:vAlign w:val="center"/>
          </w:tcPr>
          <w:p>
            <w:pPr>
              <w:pStyle w:val="5"/>
              <w:keepNext w:val="0"/>
              <w:keepLines w:val="0"/>
              <w:pageBreakBefore w:val="0"/>
              <w:widowControl w:val="0"/>
              <w:kinsoku/>
              <w:wordWrap/>
              <w:overflowPunct/>
              <w:topLinePunct w:val="0"/>
              <w:autoSpaceDE/>
              <w:autoSpaceDN/>
              <w:bidi w:val="0"/>
              <w:snapToGrid w:val="0"/>
              <w:spacing w:line="240" w:lineRule="auto"/>
              <w:ind w:firstLine="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噪声</w:t>
            </w:r>
          </w:p>
        </w:tc>
        <w:tc>
          <w:tcPr>
            <w:tcW w:w="1490" w:type="pct"/>
            <w:noWrap w:val="0"/>
            <w:vAlign w:val="center"/>
          </w:tcPr>
          <w:p>
            <w:pPr>
              <w:pStyle w:val="5"/>
              <w:keepNext w:val="0"/>
              <w:keepLines w:val="0"/>
              <w:pageBreakBefore w:val="0"/>
              <w:widowControl w:val="0"/>
              <w:kinsoku/>
              <w:wordWrap/>
              <w:overflowPunct/>
              <w:topLinePunct w:val="0"/>
              <w:autoSpaceDE/>
              <w:autoSpaceDN/>
              <w:bidi w:val="0"/>
              <w:snapToGrid w:val="0"/>
              <w:spacing w:line="240" w:lineRule="auto"/>
              <w:ind w:firstLine="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每年一次，每次两天，每天昼间、夜间各一次</w:t>
            </w:r>
          </w:p>
        </w:tc>
        <w:tc>
          <w:tcPr>
            <w:tcW w:w="750" w:type="pct"/>
            <w:noWrap w:val="0"/>
            <w:vAlign w:val="center"/>
          </w:tcPr>
          <w:p>
            <w:pPr>
              <w:pStyle w:val="5"/>
              <w:keepNext w:val="0"/>
              <w:keepLines w:val="0"/>
              <w:pageBreakBefore w:val="0"/>
              <w:widowControl w:val="0"/>
              <w:kinsoku/>
              <w:wordWrap/>
              <w:overflowPunct/>
              <w:topLinePunct w:val="0"/>
              <w:autoSpaceDE/>
              <w:autoSpaceDN/>
              <w:bidi w:val="0"/>
              <w:snapToGrid w:val="0"/>
              <w:spacing w:line="240" w:lineRule="auto"/>
              <w:ind w:firstLine="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有资质的监测单位</w:t>
            </w:r>
          </w:p>
        </w:tc>
        <w:tc>
          <w:tcPr>
            <w:tcW w:w="736" w:type="pct"/>
            <w:noWrap w:val="0"/>
            <w:vAlign w:val="center"/>
          </w:tcPr>
          <w:p>
            <w:pPr>
              <w:pStyle w:val="5"/>
              <w:keepNext w:val="0"/>
              <w:keepLines w:val="0"/>
              <w:pageBreakBefore w:val="0"/>
              <w:widowControl w:val="0"/>
              <w:kinsoku/>
              <w:wordWrap/>
              <w:overflowPunct/>
              <w:topLinePunct w:val="0"/>
              <w:autoSpaceDE/>
              <w:autoSpaceDN/>
              <w:bidi w:val="0"/>
              <w:snapToGrid w:val="0"/>
              <w:spacing w:line="240" w:lineRule="auto"/>
              <w:ind w:firstLine="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环保主管部门</w:t>
            </w:r>
          </w:p>
        </w:tc>
      </w:tr>
      <w:bookmarkEnd w:id="22"/>
    </w:tbl>
    <w:p>
      <w:pPr>
        <w:spacing w:before="60" w:after="60" w:line="480" w:lineRule="exact"/>
        <w:ind w:firstLine="643" w:firstLineChars="200"/>
        <w:jc w:val="left"/>
        <w:outlineLvl w:val="1"/>
        <w:rPr>
          <w:rFonts w:hint="default" w:ascii="Times New Roman" w:hAnsi="Times New Roman" w:eastAsia="黑体" w:cs="Times New Roman"/>
          <w:b/>
          <w:bCs/>
          <w:color w:val="auto"/>
          <w:sz w:val="32"/>
          <w:szCs w:val="28"/>
          <w:highlight w:val="none"/>
        </w:rPr>
      </w:pPr>
      <w:bookmarkStart w:id="23" w:name="_Toc58267084"/>
      <w:r>
        <w:rPr>
          <w:rFonts w:hint="default" w:ascii="Times New Roman" w:hAnsi="Times New Roman" w:eastAsia="黑体" w:cs="Times New Roman"/>
          <w:b/>
          <w:bCs/>
          <w:color w:val="auto"/>
          <w:sz w:val="32"/>
          <w:szCs w:val="28"/>
          <w:highlight w:val="none"/>
        </w:rPr>
        <w:t>1.5小结</w:t>
      </w:r>
      <w:bookmarkEnd w:id="23"/>
    </w:p>
    <w:p>
      <w:pPr>
        <w:spacing w:line="48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（1）根据环境现状监测，本项目区域噪声级均未出现超标现象，说明区域声环境质量良好。</w:t>
      </w:r>
    </w:p>
    <w:p>
      <w:pPr>
        <w:spacing w:line="480" w:lineRule="exact"/>
        <w:ind w:firstLine="480" w:firstLineChars="200"/>
        <w:jc w:val="left"/>
        <w:rPr>
          <w:rFonts w:hint="default" w:ascii="Times New Roman" w:hAnsi="Times New Roman" w:cs="Times New Roman"/>
          <w:b/>
          <w:bCs/>
          <w:color w:val="auto"/>
          <w:highlight w:val="none"/>
        </w:rPr>
      </w:pPr>
      <w:r>
        <w:rPr>
          <w:rFonts w:hint="default" w:ascii="Times New Roman" w:hAnsi="Times New Roman" w:cs="Times New Roman"/>
          <w:color w:val="auto"/>
          <w:sz w:val="24"/>
          <w:highlight w:val="none"/>
        </w:rPr>
        <w:t>（2）</w:t>
      </w:r>
      <w:bookmarkStart w:id="24" w:name="_Hlk96267395"/>
      <w:r>
        <w:rPr>
          <w:rFonts w:hint="default" w:ascii="Times New Roman" w:hAnsi="Times New Roman" w:cs="Times New Roman"/>
          <w:color w:val="auto"/>
          <w:spacing w:val="-4"/>
          <w:sz w:val="24"/>
          <w:highlight w:val="none"/>
        </w:rPr>
        <w:t>本次评价对营运期道路噪声进行了预测，通过加强道路两侧绿化，对</w:t>
      </w:r>
      <w:r>
        <w:rPr>
          <w:rFonts w:hint="default" w:ascii="Times New Roman" w:hAnsi="Times New Roman" w:cs="Times New Roman"/>
          <w:color w:val="auto"/>
          <w:sz w:val="24"/>
          <w:highlight w:val="none"/>
        </w:rPr>
        <w:t>经过小区、村庄等路段设置限速标准，沿线敏感建筑物采取更换隔声门窗等措施等措施后，沿线声环境保护目标</w:t>
      </w:r>
      <w:r>
        <w:rPr>
          <w:rFonts w:hint="default" w:ascii="Times New Roman" w:hAnsi="Times New Roman" w:cs="Times New Roman"/>
          <w:color w:val="auto"/>
          <w:sz w:val="24"/>
          <w:szCs w:val="22"/>
          <w:highlight w:val="none"/>
        </w:rPr>
        <w:t>噪声预测值均能达标，表明道路运营期对沿线村民的影响可以接受。</w:t>
      </w:r>
      <w:r>
        <w:rPr>
          <w:rFonts w:hint="default" w:ascii="Times New Roman" w:hAnsi="Times New Roman" w:cs="Times New Roman"/>
          <w:color w:val="auto"/>
          <w:sz w:val="24"/>
          <w:highlight w:val="none"/>
        </w:rPr>
        <w:t>在采取环评提出的降噪措施后，本工程对当地声环境影响不大</w:t>
      </w:r>
      <w:r>
        <w:rPr>
          <w:rFonts w:hint="default" w:ascii="Times New Roman" w:hAnsi="Times New Roman" w:cs="Times New Roman"/>
          <w:color w:val="auto"/>
          <w:kern w:val="0"/>
          <w:sz w:val="24"/>
          <w:highlight w:val="none"/>
        </w:rPr>
        <w:t>。</w:t>
      </w:r>
      <w:bookmarkEnd w:id="24"/>
    </w:p>
    <w:p>
      <w:pPr>
        <w:rPr>
          <w:rFonts w:hint="eastAsia"/>
          <w:lang w:val="en-US" w:eastAsia="zh-CN"/>
        </w:rPr>
      </w:pPr>
    </w:p>
    <w:p>
      <w:pPr>
        <w:rPr>
          <w:rFonts w:hint="eastAsia"/>
          <w:lang w:val="en-US" w:eastAsia="zh-CN"/>
        </w:rPr>
      </w:pPr>
    </w:p>
    <w:p>
      <w:pPr>
        <w:rPr>
          <w:rFonts w:hint="eastAsia" w:eastAsia="宋体"/>
          <w:lang w:val="en-US" w:eastAsia="zh-CN"/>
        </w:rPr>
      </w:pPr>
    </w:p>
    <w:p>
      <w:pPr>
        <w:rPr>
          <w:rFonts w:hint="eastAsia"/>
          <w:lang w:val="en-US" w:eastAsia="zh-CN"/>
        </w:rPr>
        <w:sectPr>
          <w:pgSz w:w="11906" w:h="16838"/>
          <w:pgMar w:top="1417" w:right="1417" w:bottom="1417" w:left="1417" w:header="907" w:footer="964" w:gutter="0"/>
          <w:pgBorders>
            <w:top w:val="none" w:sz="0" w:space="0"/>
            <w:left w:val="none" w:sz="0" w:space="0"/>
            <w:bottom w:val="none" w:sz="0" w:space="0"/>
            <w:right w:val="none" w:sz="0" w:space="0"/>
          </w:pgBorders>
          <w:cols w:space="0" w:num="1"/>
          <w:rtlGutter w:val="0"/>
          <w:docGrid w:type="lines" w:linePitch="312" w:charSpace="0"/>
        </w:sectPr>
      </w:pPr>
    </w:p>
    <w:p>
      <w:pPr>
        <w:jc w:val="center"/>
        <w:rPr>
          <w:rFonts w:hint="eastAsia"/>
          <w:sz w:val="32"/>
          <w:lang w:eastAsia="zh-CN"/>
        </w:rPr>
      </w:pPr>
      <w:bookmarkStart w:id="25" w:name="_GoBack"/>
      <w:bookmarkEnd w:id="25"/>
    </w:p>
    <w:sectPr>
      <w:footerReference r:id="rId8" w:type="default"/>
      <w:pgSz w:w="11906" w:h="16838"/>
      <w:pgMar w:top="1134" w:right="1021" w:bottom="1134" w:left="1134" w:header="794" w:footer="794" w:gutter="0"/>
      <w:pgBorders>
        <w:top w:val="none" w:sz="0" w:space="0"/>
        <w:left w:val="none" w:sz="0" w:space="0"/>
        <w:bottom w:val="none" w:sz="0" w:space="0"/>
        <w:right w:val="none" w:sz="0" w:space="0"/>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Times new romon">
    <w:altName w:val="Times New Roman"/>
    <w:panose1 w:val="00000000000000000000"/>
    <w:charset w:val="00"/>
    <w:family w:val="roman"/>
    <w:pitch w:val="default"/>
    <w:sig w:usb0="00000000" w:usb1="00000000" w:usb2="00000000" w:usb3="00000000" w:csb0="00000001" w:csb1="00000000"/>
  </w:font>
  <w:font w:name="仿宋">
    <w:panose1 w:val="02010609060101010101"/>
    <w:charset w:val="86"/>
    <w:family w:val="modern"/>
    <w:pitch w:val="default"/>
    <w:sig w:usb0="800002BF" w:usb1="38CF7CFA" w:usb2="00000016" w:usb3="00000000" w:csb0="00040001" w:csb1="00000000"/>
  </w:font>
  <w:font w:name="等线 Light">
    <w:panose1 w:val="02010600030101010101"/>
    <w:charset w:val="86"/>
    <w:family w:val="auto"/>
    <w:pitch w:val="default"/>
    <w:sig w:usb0="A00002BF" w:usb1="38CF7CFA" w:usb2="00000016" w:usb3="00000000" w:csb0="0004000F" w:csb1="00000000"/>
  </w:font>
  <w:font w:name="方正小标宋_GBK">
    <w:altName w:val="微软雅黑"/>
    <w:panose1 w:val="00000000000000000000"/>
    <w:charset w:val="86"/>
    <w:family w:val="script"/>
    <w:pitch w:val="default"/>
    <w:sig w:usb0="00000000" w:usb1="00000000" w:usb2="00000000" w:usb3="00000000" w:csb0="00040000" w:csb1="00000000"/>
  </w:font>
  <w:font w:name="楷体_GB2312">
    <w:altName w:val="楷体"/>
    <w:panose1 w:val="00000000000000000000"/>
    <w:charset w:val="86"/>
    <w:family w:val="modern"/>
    <w:pitch w:val="default"/>
    <w:sig w:usb0="00000000" w:usb1="00000000" w:usb2="00000000" w:usb3="00000000" w:csb0="00040000" w:csb1="00000000"/>
  </w:font>
  <w:font w:name="仿宋_GB2312">
    <w:altName w:val="仿宋"/>
    <w:panose1 w:val="00000000000000000000"/>
    <w:charset w:val="86"/>
    <w:family w:val="modern"/>
    <w:pitch w:val="default"/>
    <w:sig w:usb0="00000000" w:usb1="00000000" w:usb2="00000010" w:usb3="00000000" w:csb0="00040000" w:csb1="00000000"/>
  </w:font>
  <w:font w:name="Wingdings 2">
    <w:panose1 w:val="05020102010507070707"/>
    <w:charset w:val="00"/>
    <w:family w:val="auto"/>
    <w:pitch w:val="default"/>
    <w:sig w:usb0="00000000" w:usb1="00000000" w:usb2="00000000" w:usb3="00000000" w:csb0="80000000"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auto"/>
    <w:pitch w:val="default"/>
    <w:sig w:usb0="80000287" w:usb1="2ACF3C50" w:usb2="00000016" w:usb3="00000000" w:csb0="0004001F" w:csb1="00000000"/>
  </w:font>
  <w:font w:name="楷体">
    <w:panose1 w:val="02010609060101010101"/>
    <w:charset w:val="86"/>
    <w:family w:val="auto"/>
    <w:pitch w:val="default"/>
    <w:sig w:usb0="800002BF" w:usb1="38CF7CFA" w:usb2="00000016" w:usb3="00000000" w:csb0="00040001" w:csb1="00000000"/>
  </w:font>
  <w:font w:name="MS P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jc w:val="center"/>
      <w:rPr>
        <w:sz w:val="24"/>
        <w:szCs w:val="24"/>
      </w:rPr>
    </w:pPr>
  </w:p>
  <w:p>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546727807"/>
      <w:docPartObj>
        <w:docPartGallery w:val="autotext"/>
      </w:docPartObj>
    </w:sdtPr>
    <w:sdtEndPr>
      <w:rPr>
        <w:sz w:val="21"/>
        <w:szCs w:val="21"/>
      </w:rPr>
    </w:sdtEndPr>
    <w:sdtContent>
      <w:p>
        <w:pPr>
          <w:pStyle w:val="14"/>
          <w:jc w:val="center"/>
          <w:rPr>
            <w:sz w:val="21"/>
            <w:szCs w:val="21"/>
          </w:rPr>
        </w:pP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2</w:t>
        </w:r>
        <w:r>
          <w:rPr>
            <w:sz w:val="21"/>
            <w:szCs w:val="21"/>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jc w:val="center"/>
    </w:pPr>
    <w:r>
      <w:fldChar w:fldCharType="begin"/>
    </w:r>
    <w:r>
      <w:instrText xml:space="preserve">PAGE   \* MERGEFORMAT</w:instrText>
    </w:r>
    <w:r>
      <w:fldChar w:fldCharType="separate"/>
    </w:r>
    <w:r>
      <w:rPr>
        <w:lang w:val="zh-CN"/>
      </w:rPr>
      <w:t>2</w:t>
    </w:r>
    <w: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546727807"/>
      <w:docPartObj>
        <w:docPartGallery w:val="autotext"/>
      </w:docPartObj>
    </w:sdtPr>
    <w:sdtEndPr>
      <w:rPr>
        <w:sz w:val="21"/>
        <w:szCs w:val="21"/>
      </w:rPr>
    </w:sdtEndPr>
    <w:sdtContent>
      <w:p>
        <w:pPr>
          <w:pStyle w:val="14"/>
          <w:jc w:val="center"/>
          <w:rPr>
            <w:sz w:val="21"/>
            <w:szCs w:val="21"/>
          </w:rPr>
        </w:pP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918FD99"/>
    <w:multiLevelType w:val="singleLevel"/>
    <w:tmpl w:val="A918FD99"/>
    <w:lvl w:ilvl="0" w:tentative="0">
      <w:start w:val="1"/>
      <w:numFmt w:val="upperLetter"/>
      <w:suff w:val="nothing"/>
      <w:lvlText w:val="%1、"/>
      <w:lvlJc w:val="left"/>
    </w:lvl>
  </w:abstractNum>
  <w:abstractNum w:abstractNumId="1">
    <w:nsid w:val="C0DC7A99"/>
    <w:multiLevelType w:val="singleLevel"/>
    <w:tmpl w:val="C0DC7A99"/>
    <w:lvl w:ilvl="0" w:tentative="0">
      <w:start w:val="1"/>
      <w:numFmt w:val="upperLetter"/>
      <w:suff w:val="nothing"/>
      <w:lvlText w:val="%1、"/>
      <w:lvlJc w:val="left"/>
    </w:lvl>
  </w:abstractNum>
  <w:abstractNum w:abstractNumId="2">
    <w:nsid w:val="38E73EB4"/>
    <w:multiLevelType w:val="multilevel"/>
    <w:tmpl w:val="38E73EB4"/>
    <w:lvl w:ilvl="0" w:tentative="0">
      <w:start w:val="1"/>
      <w:numFmt w:val="bullet"/>
      <w:lvlText w:val=""/>
      <w:lvlJc w:val="left"/>
      <w:pPr>
        <w:ind w:left="896" w:hanging="420"/>
      </w:pPr>
      <w:rPr>
        <w:rFonts w:hint="default" w:ascii="Wingdings" w:hAnsi="Wingdings"/>
      </w:rPr>
    </w:lvl>
    <w:lvl w:ilvl="1" w:tentative="0">
      <w:start w:val="1"/>
      <w:numFmt w:val="bullet"/>
      <w:lvlText w:val=""/>
      <w:lvlJc w:val="left"/>
      <w:pPr>
        <w:ind w:left="1316" w:hanging="420"/>
      </w:pPr>
      <w:rPr>
        <w:rFonts w:hint="default" w:ascii="Wingdings" w:hAnsi="Wingdings"/>
      </w:rPr>
    </w:lvl>
    <w:lvl w:ilvl="2" w:tentative="0">
      <w:start w:val="1"/>
      <w:numFmt w:val="bullet"/>
      <w:lvlText w:val=""/>
      <w:lvlJc w:val="left"/>
      <w:pPr>
        <w:ind w:left="1736" w:hanging="420"/>
      </w:pPr>
      <w:rPr>
        <w:rFonts w:hint="default" w:ascii="Wingdings" w:hAnsi="Wingdings"/>
      </w:rPr>
    </w:lvl>
    <w:lvl w:ilvl="3" w:tentative="0">
      <w:start w:val="1"/>
      <w:numFmt w:val="bullet"/>
      <w:lvlText w:val=""/>
      <w:lvlJc w:val="left"/>
      <w:pPr>
        <w:ind w:left="2156" w:hanging="420"/>
      </w:pPr>
      <w:rPr>
        <w:rFonts w:hint="default" w:ascii="Wingdings" w:hAnsi="Wingdings"/>
      </w:rPr>
    </w:lvl>
    <w:lvl w:ilvl="4" w:tentative="0">
      <w:start w:val="1"/>
      <w:numFmt w:val="bullet"/>
      <w:lvlText w:val=""/>
      <w:lvlJc w:val="left"/>
      <w:pPr>
        <w:ind w:left="2576" w:hanging="420"/>
      </w:pPr>
      <w:rPr>
        <w:rFonts w:hint="default" w:ascii="Wingdings" w:hAnsi="Wingdings"/>
      </w:rPr>
    </w:lvl>
    <w:lvl w:ilvl="5" w:tentative="0">
      <w:start w:val="1"/>
      <w:numFmt w:val="bullet"/>
      <w:lvlText w:val=""/>
      <w:lvlJc w:val="left"/>
      <w:pPr>
        <w:ind w:left="2996" w:hanging="420"/>
      </w:pPr>
      <w:rPr>
        <w:rFonts w:hint="default" w:ascii="Wingdings" w:hAnsi="Wingdings"/>
      </w:rPr>
    </w:lvl>
    <w:lvl w:ilvl="6" w:tentative="0">
      <w:start w:val="1"/>
      <w:numFmt w:val="bullet"/>
      <w:lvlText w:val=""/>
      <w:lvlJc w:val="left"/>
      <w:pPr>
        <w:ind w:left="3416" w:hanging="420"/>
      </w:pPr>
      <w:rPr>
        <w:rFonts w:hint="default" w:ascii="Wingdings" w:hAnsi="Wingdings"/>
      </w:rPr>
    </w:lvl>
    <w:lvl w:ilvl="7" w:tentative="0">
      <w:start w:val="1"/>
      <w:numFmt w:val="bullet"/>
      <w:lvlText w:val=""/>
      <w:lvlJc w:val="left"/>
      <w:pPr>
        <w:ind w:left="3836" w:hanging="420"/>
      </w:pPr>
      <w:rPr>
        <w:rFonts w:hint="default" w:ascii="Wingdings" w:hAnsi="Wingdings"/>
      </w:rPr>
    </w:lvl>
    <w:lvl w:ilvl="8" w:tentative="0">
      <w:start w:val="1"/>
      <w:numFmt w:val="bullet"/>
      <w:lvlText w:val=""/>
      <w:lvlJc w:val="left"/>
      <w:pPr>
        <w:ind w:left="4256" w:hanging="420"/>
      </w:pPr>
      <w:rPr>
        <w:rFonts w:hint="default" w:ascii="Wingdings" w:hAnsi="Wingdings"/>
      </w:rPr>
    </w:lvl>
  </w:abstractNum>
  <w:abstractNum w:abstractNumId="3">
    <w:nsid w:val="40F82594"/>
    <w:multiLevelType w:val="multilevel"/>
    <w:tmpl w:val="40F82594"/>
    <w:lvl w:ilvl="0" w:tentative="0">
      <w:start w:val="1"/>
      <w:numFmt w:val="bullet"/>
      <w:lvlText w:val=""/>
      <w:lvlJc w:val="left"/>
      <w:pPr>
        <w:ind w:left="896" w:hanging="420"/>
      </w:pPr>
      <w:rPr>
        <w:rFonts w:hint="default" w:ascii="Wingdings" w:hAnsi="Wingdings"/>
      </w:rPr>
    </w:lvl>
    <w:lvl w:ilvl="1" w:tentative="0">
      <w:start w:val="1"/>
      <w:numFmt w:val="bullet"/>
      <w:lvlText w:val=""/>
      <w:lvlJc w:val="left"/>
      <w:pPr>
        <w:ind w:left="1316" w:hanging="420"/>
      </w:pPr>
      <w:rPr>
        <w:rFonts w:hint="default" w:ascii="Wingdings" w:hAnsi="Wingdings"/>
      </w:rPr>
    </w:lvl>
    <w:lvl w:ilvl="2" w:tentative="0">
      <w:start w:val="1"/>
      <w:numFmt w:val="bullet"/>
      <w:lvlText w:val=""/>
      <w:lvlJc w:val="left"/>
      <w:pPr>
        <w:ind w:left="1736" w:hanging="420"/>
      </w:pPr>
      <w:rPr>
        <w:rFonts w:hint="default" w:ascii="Wingdings" w:hAnsi="Wingdings"/>
      </w:rPr>
    </w:lvl>
    <w:lvl w:ilvl="3" w:tentative="0">
      <w:start w:val="1"/>
      <w:numFmt w:val="bullet"/>
      <w:lvlText w:val=""/>
      <w:lvlJc w:val="left"/>
      <w:pPr>
        <w:ind w:left="2156" w:hanging="420"/>
      </w:pPr>
      <w:rPr>
        <w:rFonts w:hint="default" w:ascii="Wingdings" w:hAnsi="Wingdings"/>
      </w:rPr>
    </w:lvl>
    <w:lvl w:ilvl="4" w:tentative="0">
      <w:start w:val="1"/>
      <w:numFmt w:val="bullet"/>
      <w:lvlText w:val=""/>
      <w:lvlJc w:val="left"/>
      <w:pPr>
        <w:ind w:left="2576" w:hanging="420"/>
      </w:pPr>
      <w:rPr>
        <w:rFonts w:hint="default" w:ascii="Wingdings" w:hAnsi="Wingdings"/>
      </w:rPr>
    </w:lvl>
    <w:lvl w:ilvl="5" w:tentative="0">
      <w:start w:val="1"/>
      <w:numFmt w:val="bullet"/>
      <w:lvlText w:val=""/>
      <w:lvlJc w:val="left"/>
      <w:pPr>
        <w:ind w:left="2996" w:hanging="420"/>
      </w:pPr>
      <w:rPr>
        <w:rFonts w:hint="default" w:ascii="Wingdings" w:hAnsi="Wingdings"/>
      </w:rPr>
    </w:lvl>
    <w:lvl w:ilvl="6" w:tentative="0">
      <w:start w:val="1"/>
      <w:numFmt w:val="bullet"/>
      <w:lvlText w:val=""/>
      <w:lvlJc w:val="left"/>
      <w:pPr>
        <w:ind w:left="3416" w:hanging="420"/>
      </w:pPr>
      <w:rPr>
        <w:rFonts w:hint="default" w:ascii="Wingdings" w:hAnsi="Wingdings"/>
      </w:rPr>
    </w:lvl>
    <w:lvl w:ilvl="7" w:tentative="0">
      <w:start w:val="1"/>
      <w:numFmt w:val="bullet"/>
      <w:lvlText w:val=""/>
      <w:lvlJc w:val="left"/>
      <w:pPr>
        <w:ind w:left="3836" w:hanging="420"/>
      </w:pPr>
      <w:rPr>
        <w:rFonts w:hint="default" w:ascii="Wingdings" w:hAnsi="Wingdings"/>
      </w:rPr>
    </w:lvl>
    <w:lvl w:ilvl="8" w:tentative="0">
      <w:start w:val="1"/>
      <w:numFmt w:val="bullet"/>
      <w:lvlText w:val=""/>
      <w:lvlJc w:val="left"/>
      <w:pPr>
        <w:ind w:left="4256" w:hanging="420"/>
      </w:pPr>
      <w:rPr>
        <w:rFonts w:hint="default" w:ascii="Wingdings" w:hAnsi="Wingdings"/>
      </w:rPr>
    </w:lvl>
  </w:abstractNum>
  <w:abstractNum w:abstractNumId="4">
    <w:nsid w:val="4EAD0560"/>
    <w:multiLevelType w:val="multilevel"/>
    <w:tmpl w:val="4EAD0560"/>
    <w:lvl w:ilvl="0" w:tentative="0">
      <w:start w:val="1"/>
      <w:numFmt w:val="bullet"/>
      <w:lvlText w:val=""/>
      <w:lvlJc w:val="left"/>
      <w:pPr>
        <w:ind w:left="896" w:hanging="420"/>
      </w:pPr>
      <w:rPr>
        <w:rFonts w:hint="default" w:ascii="Wingdings" w:hAnsi="Wingdings"/>
      </w:rPr>
    </w:lvl>
    <w:lvl w:ilvl="1" w:tentative="0">
      <w:start w:val="1"/>
      <w:numFmt w:val="bullet"/>
      <w:lvlText w:val=""/>
      <w:lvlJc w:val="left"/>
      <w:pPr>
        <w:ind w:left="1316" w:hanging="420"/>
      </w:pPr>
      <w:rPr>
        <w:rFonts w:hint="default" w:ascii="Wingdings" w:hAnsi="Wingdings"/>
      </w:rPr>
    </w:lvl>
    <w:lvl w:ilvl="2" w:tentative="0">
      <w:start w:val="1"/>
      <w:numFmt w:val="bullet"/>
      <w:lvlText w:val=""/>
      <w:lvlJc w:val="left"/>
      <w:pPr>
        <w:ind w:left="1736" w:hanging="420"/>
      </w:pPr>
      <w:rPr>
        <w:rFonts w:hint="default" w:ascii="Wingdings" w:hAnsi="Wingdings"/>
      </w:rPr>
    </w:lvl>
    <w:lvl w:ilvl="3" w:tentative="0">
      <w:start w:val="1"/>
      <w:numFmt w:val="bullet"/>
      <w:lvlText w:val=""/>
      <w:lvlJc w:val="left"/>
      <w:pPr>
        <w:ind w:left="2156" w:hanging="420"/>
      </w:pPr>
      <w:rPr>
        <w:rFonts w:hint="default" w:ascii="Wingdings" w:hAnsi="Wingdings"/>
      </w:rPr>
    </w:lvl>
    <w:lvl w:ilvl="4" w:tentative="0">
      <w:start w:val="1"/>
      <w:numFmt w:val="bullet"/>
      <w:lvlText w:val=""/>
      <w:lvlJc w:val="left"/>
      <w:pPr>
        <w:ind w:left="2576" w:hanging="420"/>
      </w:pPr>
      <w:rPr>
        <w:rFonts w:hint="default" w:ascii="Wingdings" w:hAnsi="Wingdings"/>
      </w:rPr>
    </w:lvl>
    <w:lvl w:ilvl="5" w:tentative="0">
      <w:start w:val="1"/>
      <w:numFmt w:val="bullet"/>
      <w:lvlText w:val=""/>
      <w:lvlJc w:val="left"/>
      <w:pPr>
        <w:ind w:left="2996" w:hanging="420"/>
      </w:pPr>
      <w:rPr>
        <w:rFonts w:hint="default" w:ascii="Wingdings" w:hAnsi="Wingdings"/>
      </w:rPr>
    </w:lvl>
    <w:lvl w:ilvl="6" w:tentative="0">
      <w:start w:val="1"/>
      <w:numFmt w:val="bullet"/>
      <w:lvlText w:val=""/>
      <w:lvlJc w:val="left"/>
      <w:pPr>
        <w:ind w:left="3416" w:hanging="420"/>
      </w:pPr>
      <w:rPr>
        <w:rFonts w:hint="default" w:ascii="Wingdings" w:hAnsi="Wingdings"/>
      </w:rPr>
    </w:lvl>
    <w:lvl w:ilvl="7" w:tentative="0">
      <w:start w:val="1"/>
      <w:numFmt w:val="bullet"/>
      <w:lvlText w:val=""/>
      <w:lvlJc w:val="left"/>
      <w:pPr>
        <w:ind w:left="3836" w:hanging="420"/>
      </w:pPr>
      <w:rPr>
        <w:rFonts w:hint="default" w:ascii="Wingdings" w:hAnsi="Wingdings"/>
      </w:rPr>
    </w:lvl>
    <w:lvl w:ilvl="8" w:tentative="0">
      <w:start w:val="1"/>
      <w:numFmt w:val="bullet"/>
      <w:lvlText w:val=""/>
      <w:lvlJc w:val="left"/>
      <w:pPr>
        <w:ind w:left="4256" w:hanging="420"/>
      </w:pPr>
      <w:rPr>
        <w:rFonts w:hint="default" w:ascii="Wingdings" w:hAnsi="Wingdings"/>
      </w:rPr>
    </w:lvl>
  </w:abstractNum>
  <w:num w:numId="1">
    <w:abstractNumId w:val="1"/>
  </w:num>
  <w:num w:numId="2">
    <w:abstractNumId w:val="0"/>
  </w:num>
  <w:num w:numId="3">
    <w:abstractNumId w:val="4"/>
  </w:num>
  <w:num w:numId="4">
    <w:abstractNumId w:val="2"/>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GM1NTVlZjhjYTA2OGFlYmJhMWRiNDdhZTg5Y2FjNWUifQ=="/>
  </w:docVars>
  <w:rsids>
    <w:rsidRoot w:val="00184659"/>
    <w:rsid w:val="00005A1E"/>
    <w:rsid w:val="00005E56"/>
    <w:rsid w:val="00007239"/>
    <w:rsid w:val="000100FA"/>
    <w:rsid w:val="00021AD4"/>
    <w:rsid w:val="00023A38"/>
    <w:rsid w:val="00025FB7"/>
    <w:rsid w:val="0003706A"/>
    <w:rsid w:val="00037996"/>
    <w:rsid w:val="00045575"/>
    <w:rsid w:val="000660F5"/>
    <w:rsid w:val="000665C9"/>
    <w:rsid w:val="00067861"/>
    <w:rsid w:val="00067FF1"/>
    <w:rsid w:val="000759B5"/>
    <w:rsid w:val="00082531"/>
    <w:rsid w:val="00082D65"/>
    <w:rsid w:val="00096CDE"/>
    <w:rsid w:val="000A644C"/>
    <w:rsid w:val="000B22E7"/>
    <w:rsid w:val="000B4054"/>
    <w:rsid w:val="000B4874"/>
    <w:rsid w:val="000C5273"/>
    <w:rsid w:val="000C6E63"/>
    <w:rsid w:val="000C71E8"/>
    <w:rsid w:val="000D0A60"/>
    <w:rsid w:val="000D0D49"/>
    <w:rsid w:val="000D3330"/>
    <w:rsid w:val="000D3588"/>
    <w:rsid w:val="000D3C1F"/>
    <w:rsid w:val="000D7EE9"/>
    <w:rsid w:val="000E039D"/>
    <w:rsid w:val="000E121B"/>
    <w:rsid w:val="000E42DA"/>
    <w:rsid w:val="000E54B7"/>
    <w:rsid w:val="000F348F"/>
    <w:rsid w:val="000F362D"/>
    <w:rsid w:val="000F37BD"/>
    <w:rsid w:val="00106083"/>
    <w:rsid w:val="00110C38"/>
    <w:rsid w:val="001130E2"/>
    <w:rsid w:val="0011550E"/>
    <w:rsid w:val="00120892"/>
    <w:rsid w:val="00124C28"/>
    <w:rsid w:val="001340AB"/>
    <w:rsid w:val="001368E2"/>
    <w:rsid w:val="001412CF"/>
    <w:rsid w:val="001416CC"/>
    <w:rsid w:val="001456E5"/>
    <w:rsid w:val="0015129A"/>
    <w:rsid w:val="001516EA"/>
    <w:rsid w:val="001532EE"/>
    <w:rsid w:val="001578C7"/>
    <w:rsid w:val="001729D7"/>
    <w:rsid w:val="00175A7A"/>
    <w:rsid w:val="00180257"/>
    <w:rsid w:val="00180602"/>
    <w:rsid w:val="001810F9"/>
    <w:rsid w:val="001812D8"/>
    <w:rsid w:val="00182295"/>
    <w:rsid w:val="00184659"/>
    <w:rsid w:val="00187D79"/>
    <w:rsid w:val="00190B9E"/>
    <w:rsid w:val="00191AE7"/>
    <w:rsid w:val="001A0EF0"/>
    <w:rsid w:val="001A1E7B"/>
    <w:rsid w:val="001B1B53"/>
    <w:rsid w:val="001B25B4"/>
    <w:rsid w:val="001B51A1"/>
    <w:rsid w:val="001B5956"/>
    <w:rsid w:val="001B5E8B"/>
    <w:rsid w:val="001C6F8C"/>
    <w:rsid w:val="001D0933"/>
    <w:rsid w:val="001D438E"/>
    <w:rsid w:val="001D559A"/>
    <w:rsid w:val="001D7188"/>
    <w:rsid w:val="001D7CF6"/>
    <w:rsid w:val="001E0945"/>
    <w:rsid w:val="001F1CAB"/>
    <w:rsid w:val="001F500E"/>
    <w:rsid w:val="001F60D2"/>
    <w:rsid w:val="001F6861"/>
    <w:rsid w:val="00201A0D"/>
    <w:rsid w:val="002041D2"/>
    <w:rsid w:val="00225062"/>
    <w:rsid w:val="00225407"/>
    <w:rsid w:val="00231467"/>
    <w:rsid w:val="002349F7"/>
    <w:rsid w:val="00240237"/>
    <w:rsid w:val="00243CA7"/>
    <w:rsid w:val="002472FF"/>
    <w:rsid w:val="00250FA7"/>
    <w:rsid w:val="0025148D"/>
    <w:rsid w:val="00254DC7"/>
    <w:rsid w:val="0025624D"/>
    <w:rsid w:val="0025640C"/>
    <w:rsid w:val="00260791"/>
    <w:rsid w:val="0026106B"/>
    <w:rsid w:val="002728B8"/>
    <w:rsid w:val="00273610"/>
    <w:rsid w:val="00276398"/>
    <w:rsid w:val="002769A8"/>
    <w:rsid w:val="00276C0F"/>
    <w:rsid w:val="00290056"/>
    <w:rsid w:val="00293C95"/>
    <w:rsid w:val="0029463B"/>
    <w:rsid w:val="00294CB0"/>
    <w:rsid w:val="002A115E"/>
    <w:rsid w:val="002B24E0"/>
    <w:rsid w:val="002D4653"/>
    <w:rsid w:val="002E21A0"/>
    <w:rsid w:val="002E5166"/>
    <w:rsid w:val="002E543D"/>
    <w:rsid w:val="002E6B0B"/>
    <w:rsid w:val="002F507A"/>
    <w:rsid w:val="00301C1E"/>
    <w:rsid w:val="00302EF4"/>
    <w:rsid w:val="0030520A"/>
    <w:rsid w:val="00306A53"/>
    <w:rsid w:val="0032445E"/>
    <w:rsid w:val="00325858"/>
    <w:rsid w:val="00326978"/>
    <w:rsid w:val="00327ABE"/>
    <w:rsid w:val="0033186C"/>
    <w:rsid w:val="00336834"/>
    <w:rsid w:val="00347294"/>
    <w:rsid w:val="00351950"/>
    <w:rsid w:val="003536CD"/>
    <w:rsid w:val="003572B6"/>
    <w:rsid w:val="0036466F"/>
    <w:rsid w:val="003665F6"/>
    <w:rsid w:val="00367082"/>
    <w:rsid w:val="00370F99"/>
    <w:rsid w:val="0037673C"/>
    <w:rsid w:val="00381BD7"/>
    <w:rsid w:val="00386FEE"/>
    <w:rsid w:val="00396F10"/>
    <w:rsid w:val="003B0E87"/>
    <w:rsid w:val="003B2B4C"/>
    <w:rsid w:val="003B3E18"/>
    <w:rsid w:val="003B4B5B"/>
    <w:rsid w:val="003C0140"/>
    <w:rsid w:val="003C141D"/>
    <w:rsid w:val="003C2855"/>
    <w:rsid w:val="003C2B5A"/>
    <w:rsid w:val="003C4ED4"/>
    <w:rsid w:val="003C52EC"/>
    <w:rsid w:val="003D3EAF"/>
    <w:rsid w:val="003D51AF"/>
    <w:rsid w:val="003D77BD"/>
    <w:rsid w:val="003E4865"/>
    <w:rsid w:val="003E54C3"/>
    <w:rsid w:val="003E6D91"/>
    <w:rsid w:val="003F1DE0"/>
    <w:rsid w:val="003F3A88"/>
    <w:rsid w:val="003F4606"/>
    <w:rsid w:val="003F719B"/>
    <w:rsid w:val="00406010"/>
    <w:rsid w:val="00417B37"/>
    <w:rsid w:val="00434CF8"/>
    <w:rsid w:val="00435C92"/>
    <w:rsid w:val="00437F4B"/>
    <w:rsid w:val="00463714"/>
    <w:rsid w:val="004654C2"/>
    <w:rsid w:val="0047031C"/>
    <w:rsid w:val="00475AEE"/>
    <w:rsid w:val="0048411D"/>
    <w:rsid w:val="0048602C"/>
    <w:rsid w:val="004905ED"/>
    <w:rsid w:val="004909F6"/>
    <w:rsid w:val="00493763"/>
    <w:rsid w:val="004964E4"/>
    <w:rsid w:val="004B0568"/>
    <w:rsid w:val="004B499C"/>
    <w:rsid w:val="004B4AED"/>
    <w:rsid w:val="004B4B8C"/>
    <w:rsid w:val="004C2182"/>
    <w:rsid w:val="004C40E7"/>
    <w:rsid w:val="004D4D69"/>
    <w:rsid w:val="004D4F5F"/>
    <w:rsid w:val="004D5420"/>
    <w:rsid w:val="004D7363"/>
    <w:rsid w:val="004E06BC"/>
    <w:rsid w:val="004E1362"/>
    <w:rsid w:val="004E2BC5"/>
    <w:rsid w:val="004E329D"/>
    <w:rsid w:val="004E32D3"/>
    <w:rsid w:val="004E432D"/>
    <w:rsid w:val="004E4B19"/>
    <w:rsid w:val="004E7EA2"/>
    <w:rsid w:val="004F21EF"/>
    <w:rsid w:val="004F3174"/>
    <w:rsid w:val="004F6279"/>
    <w:rsid w:val="004F72F0"/>
    <w:rsid w:val="005107CB"/>
    <w:rsid w:val="005123C6"/>
    <w:rsid w:val="00515760"/>
    <w:rsid w:val="00516F8E"/>
    <w:rsid w:val="005208FA"/>
    <w:rsid w:val="0053010B"/>
    <w:rsid w:val="005340CB"/>
    <w:rsid w:val="00537786"/>
    <w:rsid w:val="005438A3"/>
    <w:rsid w:val="00545011"/>
    <w:rsid w:val="00550033"/>
    <w:rsid w:val="00550981"/>
    <w:rsid w:val="005533E2"/>
    <w:rsid w:val="00555E10"/>
    <w:rsid w:val="00563203"/>
    <w:rsid w:val="00565F6C"/>
    <w:rsid w:val="00566B8D"/>
    <w:rsid w:val="00566C82"/>
    <w:rsid w:val="005716A3"/>
    <w:rsid w:val="00575F8C"/>
    <w:rsid w:val="0057742D"/>
    <w:rsid w:val="00580EBC"/>
    <w:rsid w:val="0058423D"/>
    <w:rsid w:val="005846F4"/>
    <w:rsid w:val="00584A46"/>
    <w:rsid w:val="00586E81"/>
    <w:rsid w:val="00594484"/>
    <w:rsid w:val="005A3F82"/>
    <w:rsid w:val="005C1665"/>
    <w:rsid w:val="005D6280"/>
    <w:rsid w:val="005D6A44"/>
    <w:rsid w:val="005E0048"/>
    <w:rsid w:val="005E34E2"/>
    <w:rsid w:val="005E35A6"/>
    <w:rsid w:val="005F39F3"/>
    <w:rsid w:val="005F5336"/>
    <w:rsid w:val="005F5544"/>
    <w:rsid w:val="005F5AB5"/>
    <w:rsid w:val="005F7FDB"/>
    <w:rsid w:val="00600E2D"/>
    <w:rsid w:val="006051D7"/>
    <w:rsid w:val="006117A2"/>
    <w:rsid w:val="006117CD"/>
    <w:rsid w:val="0061392B"/>
    <w:rsid w:val="00613B5D"/>
    <w:rsid w:val="006215A1"/>
    <w:rsid w:val="00622EAF"/>
    <w:rsid w:val="00632EAB"/>
    <w:rsid w:val="0063545D"/>
    <w:rsid w:val="0064070B"/>
    <w:rsid w:val="006458D4"/>
    <w:rsid w:val="006548B7"/>
    <w:rsid w:val="00656977"/>
    <w:rsid w:val="006637A2"/>
    <w:rsid w:val="00665255"/>
    <w:rsid w:val="00667439"/>
    <w:rsid w:val="00671389"/>
    <w:rsid w:val="00673FB7"/>
    <w:rsid w:val="006741B4"/>
    <w:rsid w:val="00677688"/>
    <w:rsid w:val="006817A5"/>
    <w:rsid w:val="00682B2D"/>
    <w:rsid w:val="006834CE"/>
    <w:rsid w:val="00686BE8"/>
    <w:rsid w:val="006906D8"/>
    <w:rsid w:val="00690F44"/>
    <w:rsid w:val="00695560"/>
    <w:rsid w:val="00695CBD"/>
    <w:rsid w:val="006A4230"/>
    <w:rsid w:val="006A65F4"/>
    <w:rsid w:val="006B0F78"/>
    <w:rsid w:val="006C0DA5"/>
    <w:rsid w:val="006E56BF"/>
    <w:rsid w:val="006E5C2F"/>
    <w:rsid w:val="006E606E"/>
    <w:rsid w:val="006E7AFE"/>
    <w:rsid w:val="006F5EE9"/>
    <w:rsid w:val="00712114"/>
    <w:rsid w:val="00712993"/>
    <w:rsid w:val="007144B5"/>
    <w:rsid w:val="007162BE"/>
    <w:rsid w:val="00717891"/>
    <w:rsid w:val="00725D99"/>
    <w:rsid w:val="007261B0"/>
    <w:rsid w:val="0073382A"/>
    <w:rsid w:val="0073537E"/>
    <w:rsid w:val="00737BEF"/>
    <w:rsid w:val="00745321"/>
    <w:rsid w:val="00745E66"/>
    <w:rsid w:val="00747158"/>
    <w:rsid w:val="00751E45"/>
    <w:rsid w:val="00752C9F"/>
    <w:rsid w:val="007647C5"/>
    <w:rsid w:val="00764B22"/>
    <w:rsid w:val="0076500B"/>
    <w:rsid w:val="00770A3B"/>
    <w:rsid w:val="00776F41"/>
    <w:rsid w:val="00786A89"/>
    <w:rsid w:val="007909FF"/>
    <w:rsid w:val="00790EC5"/>
    <w:rsid w:val="00795FBC"/>
    <w:rsid w:val="007A4651"/>
    <w:rsid w:val="007A5295"/>
    <w:rsid w:val="007B03E1"/>
    <w:rsid w:val="007B04CD"/>
    <w:rsid w:val="007B365B"/>
    <w:rsid w:val="007C0C12"/>
    <w:rsid w:val="007C2B61"/>
    <w:rsid w:val="007D1334"/>
    <w:rsid w:val="007E0AB1"/>
    <w:rsid w:val="00813A2E"/>
    <w:rsid w:val="00815F33"/>
    <w:rsid w:val="00816FCF"/>
    <w:rsid w:val="00831301"/>
    <w:rsid w:val="00834734"/>
    <w:rsid w:val="00835F88"/>
    <w:rsid w:val="008401CC"/>
    <w:rsid w:val="00840C77"/>
    <w:rsid w:val="00840ECF"/>
    <w:rsid w:val="00841E5A"/>
    <w:rsid w:val="00855BB9"/>
    <w:rsid w:val="00861AB8"/>
    <w:rsid w:val="00861E4F"/>
    <w:rsid w:val="008627D9"/>
    <w:rsid w:val="0086417C"/>
    <w:rsid w:val="0088051E"/>
    <w:rsid w:val="00883B86"/>
    <w:rsid w:val="00887FB8"/>
    <w:rsid w:val="00890930"/>
    <w:rsid w:val="00894A22"/>
    <w:rsid w:val="008A304F"/>
    <w:rsid w:val="008A608A"/>
    <w:rsid w:val="008A60D1"/>
    <w:rsid w:val="008B1217"/>
    <w:rsid w:val="008B3CB9"/>
    <w:rsid w:val="008B46B0"/>
    <w:rsid w:val="008B47BD"/>
    <w:rsid w:val="008C399F"/>
    <w:rsid w:val="008C47B2"/>
    <w:rsid w:val="008C5944"/>
    <w:rsid w:val="008C7756"/>
    <w:rsid w:val="008D6113"/>
    <w:rsid w:val="008D68E4"/>
    <w:rsid w:val="008E54C2"/>
    <w:rsid w:val="008F062F"/>
    <w:rsid w:val="008F5BF0"/>
    <w:rsid w:val="00901921"/>
    <w:rsid w:val="0090289B"/>
    <w:rsid w:val="00902A7B"/>
    <w:rsid w:val="00905A84"/>
    <w:rsid w:val="00911C5F"/>
    <w:rsid w:val="00921C61"/>
    <w:rsid w:val="009264C5"/>
    <w:rsid w:val="0092650F"/>
    <w:rsid w:val="00945B64"/>
    <w:rsid w:val="00953506"/>
    <w:rsid w:val="00957FFA"/>
    <w:rsid w:val="00967E4D"/>
    <w:rsid w:val="00971E18"/>
    <w:rsid w:val="009758F2"/>
    <w:rsid w:val="00982851"/>
    <w:rsid w:val="0098609A"/>
    <w:rsid w:val="00993916"/>
    <w:rsid w:val="009961C6"/>
    <w:rsid w:val="009A0EF6"/>
    <w:rsid w:val="009A1C8B"/>
    <w:rsid w:val="009A631A"/>
    <w:rsid w:val="009A6FCF"/>
    <w:rsid w:val="009A75F1"/>
    <w:rsid w:val="009B04FD"/>
    <w:rsid w:val="009B3A06"/>
    <w:rsid w:val="009B3B18"/>
    <w:rsid w:val="009B51FF"/>
    <w:rsid w:val="009B5BCF"/>
    <w:rsid w:val="009C2768"/>
    <w:rsid w:val="009C73AE"/>
    <w:rsid w:val="009D2ED6"/>
    <w:rsid w:val="009D2FD7"/>
    <w:rsid w:val="009F6E2B"/>
    <w:rsid w:val="00A0485D"/>
    <w:rsid w:val="00A04C8C"/>
    <w:rsid w:val="00A16AED"/>
    <w:rsid w:val="00A252A0"/>
    <w:rsid w:val="00A26699"/>
    <w:rsid w:val="00A27A85"/>
    <w:rsid w:val="00A35608"/>
    <w:rsid w:val="00A35D1C"/>
    <w:rsid w:val="00A36BFF"/>
    <w:rsid w:val="00A43052"/>
    <w:rsid w:val="00A432E2"/>
    <w:rsid w:val="00A52587"/>
    <w:rsid w:val="00A570E8"/>
    <w:rsid w:val="00A570EC"/>
    <w:rsid w:val="00A623DB"/>
    <w:rsid w:val="00A650CB"/>
    <w:rsid w:val="00A658DB"/>
    <w:rsid w:val="00A82813"/>
    <w:rsid w:val="00A87872"/>
    <w:rsid w:val="00A94C44"/>
    <w:rsid w:val="00A9514B"/>
    <w:rsid w:val="00A97E46"/>
    <w:rsid w:val="00AC307C"/>
    <w:rsid w:val="00AE1E85"/>
    <w:rsid w:val="00AE3321"/>
    <w:rsid w:val="00B00563"/>
    <w:rsid w:val="00B076DD"/>
    <w:rsid w:val="00B07CB7"/>
    <w:rsid w:val="00B12F95"/>
    <w:rsid w:val="00B217A0"/>
    <w:rsid w:val="00B21E32"/>
    <w:rsid w:val="00B27068"/>
    <w:rsid w:val="00B2775B"/>
    <w:rsid w:val="00B30605"/>
    <w:rsid w:val="00B44140"/>
    <w:rsid w:val="00B4732B"/>
    <w:rsid w:val="00B5008C"/>
    <w:rsid w:val="00B51DDF"/>
    <w:rsid w:val="00B572E4"/>
    <w:rsid w:val="00B60784"/>
    <w:rsid w:val="00B70FAA"/>
    <w:rsid w:val="00B72D09"/>
    <w:rsid w:val="00B73CB0"/>
    <w:rsid w:val="00B81E4C"/>
    <w:rsid w:val="00B842BA"/>
    <w:rsid w:val="00B84D9D"/>
    <w:rsid w:val="00B86121"/>
    <w:rsid w:val="00B86E1D"/>
    <w:rsid w:val="00B87B33"/>
    <w:rsid w:val="00B95B5E"/>
    <w:rsid w:val="00BA2748"/>
    <w:rsid w:val="00BA35E5"/>
    <w:rsid w:val="00BA51B0"/>
    <w:rsid w:val="00BA51B2"/>
    <w:rsid w:val="00BA5CAB"/>
    <w:rsid w:val="00BB2C42"/>
    <w:rsid w:val="00BB3908"/>
    <w:rsid w:val="00BC05B7"/>
    <w:rsid w:val="00BC30D1"/>
    <w:rsid w:val="00BC5F2B"/>
    <w:rsid w:val="00BC6632"/>
    <w:rsid w:val="00BD1B75"/>
    <w:rsid w:val="00BD3858"/>
    <w:rsid w:val="00BD4D5B"/>
    <w:rsid w:val="00BD5F5F"/>
    <w:rsid w:val="00BE4061"/>
    <w:rsid w:val="00BE76D1"/>
    <w:rsid w:val="00BE7787"/>
    <w:rsid w:val="00BF4E6E"/>
    <w:rsid w:val="00BF651D"/>
    <w:rsid w:val="00BF761A"/>
    <w:rsid w:val="00C179EB"/>
    <w:rsid w:val="00C22D3C"/>
    <w:rsid w:val="00C23EB9"/>
    <w:rsid w:val="00C35439"/>
    <w:rsid w:val="00C371FC"/>
    <w:rsid w:val="00C40219"/>
    <w:rsid w:val="00C551F8"/>
    <w:rsid w:val="00C55478"/>
    <w:rsid w:val="00C56A7A"/>
    <w:rsid w:val="00C728D9"/>
    <w:rsid w:val="00C81B75"/>
    <w:rsid w:val="00C81D1F"/>
    <w:rsid w:val="00C85C3E"/>
    <w:rsid w:val="00C972F9"/>
    <w:rsid w:val="00CA2765"/>
    <w:rsid w:val="00CA6F75"/>
    <w:rsid w:val="00CA7009"/>
    <w:rsid w:val="00CC3FB0"/>
    <w:rsid w:val="00CC49B4"/>
    <w:rsid w:val="00CD0701"/>
    <w:rsid w:val="00CD41DE"/>
    <w:rsid w:val="00CE3BBC"/>
    <w:rsid w:val="00CE4623"/>
    <w:rsid w:val="00CF2C02"/>
    <w:rsid w:val="00CF2D3E"/>
    <w:rsid w:val="00CF54DC"/>
    <w:rsid w:val="00D03220"/>
    <w:rsid w:val="00D07DEA"/>
    <w:rsid w:val="00D22A15"/>
    <w:rsid w:val="00D22E3B"/>
    <w:rsid w:val="00D25F8C"/>
    <w:rsid w:val="00D26D4D"/>
    <w:rsid w:val="00D357EC"/>
    <w:rsid w:val="00D6036E"/>
    <w:rsid w:val="00D6625C"/>
    <w:rsid w:val="00D67963"/>
    <w:rsid w:val="00D7417B"/>
    <w:rsid w:val="00D76209"/>
    <w:rsid w:val="00D8641D"/>
    <w:rsid w:val="00D93321"/>
    <w:rsid w:val="00D95871"/>
    <w:rsid w:val="00D95E5F"/>
    <w:rsid w:val="00DA1AA8"/>
    <w:rsid w:val="00DA1EA6"/>
    <w:rsid w:val="00DA2798"/>
    <w:rsid w:val="00DA300C"/>
    <w:rsid w:val="00DB0B79"/>
    <w:rsid w:val="00DB6785"/>
    <w:rsid w:val="00DC68B9"/>
    <w:rsid w:val="00DD254C"/>
    <w:rsid w:val="00DD3CD0"/>
    <w:rsid w:val="00DD6C2C"/>
    <w:rsid w:val="00DE1826"/>
    <w:rsid w:val="00DE437E"/>
    <w:rsid w:val="00DE6053"/>
    <w:rsid w:val="00DF19EE"/>
    <w:rsid w:val="00E128EF"/>
    <w:rsid w:val="00E1483A"/>
    <w:rsid w:val="00E366CB"/>
    <w:rsid w:val="00E379D0"/>
    <w:rsid w:val="00E40260"/>
    <w:rsid w:val="00E448F7"/>
    <w:rsid w:val="00E47118"/>
    <w:rsid w:val="00E5206B"/>
    <w:rsid w:val="00E53EFE"/>
    <w:rsid w:val="00E56FB0"/>
    <w:rsid w:val="00E673BB"/>
    <w:rsid w:val="00E6774B"/>
    <w:rsid w:val="00E67F2C"/>
    <w:rsid w:val="00E71DB0"/>
    <w:rsid w:val="00E73E27"/>
    <w:rsid w:val="00E749DF"/>
    <w:rsid w:val="00E80B07"/>
    <w:rsid w:val="00E826AD"/>
    <w:rsid w:val="00E850E1"/>
    <w:rsid w:val="00E92620"/>
    <w:rsid w:val="00E948A7"/>
    <w:rsid w:val="00E977C7"/>
    <w:rsid w:val="00EB41F6"/>
    <w:rsid w:val="00EB6640"/>
    <w:rsid w:val="00EB7B41"/>
    <w:rsid w:val="00EC0DB6"/>
    <w:rsid w:val="00EC2E99"/>
    <w:rsid w:val="00EC4F0E"/>
    <w:rsid w:val="00ED4D2B"/>
    <w:rsid w:val="00ED5D0E"/>
    <w:rsid w:val="00ED5FA1"/>
    <w:rsid w:val="00EE62B3"/>
    <w:rsid w:val="00EE7FB9"/>
    <w:rsid w:val="00EF2EC1"/>
    <w:rsid w:val="00EF57D3"/>
    <w:rsid w:val="00F0141B"/>
    <w:rsid w:val="00F06E6A"/>
    <w:rsid w:val="00F10D5E"/>
    <w:rsid w:val="00F14D96"/>
    <w:rsid w:val="00F14DEF"/>
    <w:rsid w:val="00F14E81"/>
    <w:rsid w:val="00F157B9"/>
    <w:rsid w:val="00F4281C"/>
    <w:rsid w:val="00F445A3"/>
    <w:rsid w:val="00F56CF3"/>
    <w:rsid w:val="00F60501"/>
    <w:rsid w:val="00F60638"/>
    <w:rsid w:val="00F61008"/>
    <w:rsid w:val="00F6379B"/>
    <w:rsid w:val="00F709C1"/>
    <w:rsid w:val="00F72F30"/>
    <w:rsid w:val="00F73226"/>
    <w:rsid w:val="00F771E2"/>
    <w:rsid w:val="00F77A49"/>
    <w:rsid w:val="00F81DDF"/>
    <w:rsid w:val="00FA15F6"/>
    <w:rsid w:val="00FA3484"/>
    <w:rsid w:val="00FA6626"/>
    <w:rsid w:val="00FA69CB"/>
    <w:rsid w:val="00FA76A2"/>
    <w:rsid w:val="00FB15D4"/>
    <w:rsid w:val="00FC0016"/>
    <w:rsid w:val="00FC3401"/>
    <w:rsid w:val="00FC60CE"/>
    <w:rsid w:val="00FC72D2"/>
    <w:rsid w:val="00FD66FD"/>
    <w:rsid w:val="00FE1B40"/>
    <w:rsid w:val="00FE2AB0"/>
    <w:rsid w:val="00FF68B5"/>
    <w:rsid w:val="01B576A0"/>
    <w:rsid w:val="0295774F"/>
    <w:rsid w:val="0383262B"/>
    <w:rsid w:val="059D1949"/>
    <w:rsid w:val="05AB1BFB"/>
    <w:rsid w:val="05B14D5B"/>
    <w:rsid w:val="06CD082A"/>
    <w:rsid w:val="08603F52"/>
    <w:rsid w:val="095306EF"/>
    <w:rsid w:val="0B827A6C"/>
    <w:rsid w:val="0EDC4568"/>
    <w:rsid w:val="0FB05FD9"/>
    <w:rsid w:val="0FB7422B"/>
    <w:rsid w:val="108D53D8"/>
    <w:rsid w:val="10F34DD4"/>
    <w:rsid w:val="12851EC3"/>
    <w:rsid w:val="12A4530C"/>
    <w:rsid w:val="13831DF1"/>
    <w:rsid w:val="154E7ABE"/>
    <w:rsid w:val="15E223B1"/>
    <w:rsid w:val="16A87182"/>
    <w:rsid w:val="16B24575"/>
    <w:rsid w:val="16C34C92"/>
    <w:rsid w:val="175A5851"/>
    <w:rsid w:val="188B3FAB"/>
    <w:rsid w:val="1BD815BE"/>
    <w:rsid w:val="1C1B4176"/>
    <w:rsid w:val="1EB3224E"/>
    <w:rsid w:val="21DC1DD4"/>
    <w:rsid w:val="23565A7E"/>
    <w:rsid w:val="238B30B1"/>
    <w:rsid w:val="243B289C"/>
    <w:rsid w:val="24A42772"/>
    <w:rsid w:val="253B2D06"/>
    <w:rsid w:val="267A55B4"/>
    <w:rsid w:val="270C5331"/>
    <w:rsid w:val="272F01F7"/>
    <w:rsid w:val="27694616"/>
    <w:rsid w:val="27B92596"/>
    <w:rsid w:val="29FB0865"/>
    <w:rsid w:val="2A97058D"/>
    <w:rsid w:val="2B2B2285"/>
    <w:rsid w:val="2BA56CDA"/>
    <w:rsid w:val="2CA60F5C"/>
    <w:rsid w:val="2D2765C4"/>
    <w:rsid w:val="2DFE0DA8"/>
    <w:rsid w:val="2EA9105A"/>
    <w:rsid w:val="2F522A3D"/>
    <w:rsid w:val="2FCC5877"/>
    <w:rsid w:val="3008511A"/>
    <w:rsid w:val="305C7BC8"/>
    <w:rsid w:val="30881BCD"/>
    <w:rsid w:val="32990901"/>
    <w:rsid w:val="340C1162"/>
    <w:rsid w:val="364610BA"/>
    <w:rsid w:val="3A064027"/>
    <w:rsid w:val="3AE02979"/>
    <w:rsid w:val="3CCA65A0"/>
    <w:rsid w:val="408A47F1"/>
    <w:rsid w:val="40FF4A9C"/>
    <w:rsid w:val="418D5DBE"/>
    <w:rsid w:val="46DA31F8"/>
    <w:rsid w:val="472C3F90"/>
    <w:rsid w:val="4742208F"/>
    <w:rsid w:val="479F6871"/>
    <w:rsid w:val="47AB0EB3"/>
    <w:rsid w:val="48D77AA7"/>
    <w:rsid w:val="4A1B2521"/>
    <w:rsid w:val="4A275032"/>
    <w:rsid w:val="4EA01FA5"/>
    <w:rsid w:val="4ED61C91"/>
    <w:rsid w:val="4F0F6373"/>
    <w:rsid w:val="4F5E329D"/>
    <w:rsid w:val="509F25DC"/>
    <w:rsid w:val="51FD48CA"/>
    <w:rsid w:val="526C4FB9"/>
    <w:rsid w:val="53516F33"/>
    <w:rsid w:val="53F64465"/>
    <w:rsid w:val="5524059C"/>
    <w:rsid w:val="5786566A"/>
    <w:rsid w:val="597F6263"/>
    <w:rsid w:val="59AF7BF7"/>
    <w:rsid w:val="5A10328C"/>
    <w:rsid w:val="5B45318E"/>
    <w:rsid w:val="5DD456E3"/>
    <w:rsid w:val="5DE33506"/>
    <w:rsid w:val="5FEF0AA4"/>
    <w:rsid w:val="61017DF9"/>
    <w:rsid w:val="616E7612"/>
    <w:rsid w:val="64C25354"/>
    <w:rsid w:val="64FB4DDA"/>
    <w:rsid w:val="65351476"/>
    <w:rsid w:val="655A2EB6"/>
    <w:rsid w:val="65FC1773"/>
    <w:rsid w:val="66577A0E"/>
    <w:rsid w:val="676034DA"/>
    <w:rsid w:val="679E56E3"/>
    <w:rsid w:val="68501880"/>
    <w:rsid w:val="68586B4C"/>
    <w:rsid w:val="6985290D"/>
    <w:rsid w:val="699658D9"/>
    <w:rsid w:val="69E72135"/>
    <w:rsid w:val="6A400097"/>
    <w:rsid w:val="6AA917A7"/>
    <w:rsid w:val="6BBA26E8"/>
    <w:rsid w:val="70237CFC"/>
    <w:rsid w:val="708C2560"/>
    <w:rsid w:val="711B2066"/>
    <w:rsid w:val="71752DEB"/>
    <w:rsid w:val="71F016D3"/>
    <w:rsid w:val="723D2699"/>
    <w:rsid w:val="735F4853"/>
    <w:rsid w:val="739E406F"/>
    <w:rsid w:val="73F6144E"/>
    <w:rsid w:val="74573D8F"/>
    <w:rsid w:val="746F271D"/>
    <w:rsid w:val="74D70F58"/>
    <w:rsid w:val="75D34EDE"/>
    <w:rsid w:val="7810461F"/>
    <w:rsid w:val="7883527A"/>
    <w:rsid w:val="78D95971"/>
    <w:rsid w:val="7C403AAF"/>
    <w:rsid w:val="7C585FC1"/>
    <w:rsid w:val="7D4A45B8"/>
    <w:rsid w:val="7DE20B53"/>
    <w:rsid w:val="7E142CC9"/>
    <w:rsid w:val="7EA2311D"/>
    <w:rsid w:val="7EB4211E"/>
    <w:rsid w:val="7F6E64A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nhideWhenUsed="0" w:uiPriority="0" w:semiHidden="0" w:name="heading 3"/>
    <w:lsdException w:qFormat="1" w:unhideWhenUsed="0" w:uiPriority="0"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qFormat="1" w:unhideWhenUsed="0" w:uiPriority="39" w:semiHidden="0" w:name="toc 2"/>
    <w:lsdException w:qFormat="1" w:unhideWhenUsed="0"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99" w:semiHidden="0"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qFormat="1" w:unhideWhenUsed="0" w:uiPriority="0" w:semiHidden="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qFormat="1" w:uiPriority="99" w:semiHidden="0" w:name="Body Text First Indent 2"/>
    <w:lsdException w:uiPriority="99" w:name="Note Heading"/>
    <w:lsdException w:uiPriority="99" w:name="Body Text 2"/>
    <w:lsdException w:uiPriority="99" w:name="Body Text 3"/>
    <w:lsdException w:qFormat="1" w:unhideWhenUsed="0" w:uiPriority="0" w:semiHidden="0" w:name="Body Text Indent 2"/>
    <w:lsdException w:uiPriority="99" w:name="Body Text Indent 3"/>
    <w:lsdException w:uiPriority="99" w:name="Block Text"/>
    <w:lsdException w:qFormat="1" w:unhideWhenUsed="0"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1"/>
      <w:lang w:val="en-US" w:eastAsia="zh-CN" w:bidi="ar-SA"/>
    </w:rPr>
  </w:style>
  <w:style w:type="paragraph" w:styleId="3">
    <w:name w:val="heading 1"/>
    <w:basedOn w:val="1"/>
    <w:next w:val="1"/>
    <w:qFormat/>
    <w:uiPriority w:val="9"/>
    <w:pPr>
      <w:spacing w:before="0" w:beforeAutospacing="1" w:after="0" w:afterAutospacing="1"/>
      <w:jc w:val="left"/>
    </w:pPr>
    <w:rPr>
      <w:rFonts w:hint="eastAsia" w:ascii="宋体" w:hAnsi="宋体" w:eastAsia="宋体" w:cs="宋体"/>
      <w:b/>
      <w:bCs/>
      <w:kern w:val="44"/>
      <w:sz w:val="48"/>
      <w:szCs w:val="48"/>
      <w:lang w:val="en-US" w:eastAsia="zh-CN" w:bidi="ar"/>
    </w:rPr>
  </w:style>
  <w:style w:type="paragraph" w:styleId="4">
    <w:name w:val="heading 3"/>
    <w:basedOn w:val="1"/>
    <w:next w:val="5"/>
    <w:qFormat/>
    <w:uiPriority w:val="0"/>
    <w:pPr>
      <w:keepNext/>
      <w:keepLines/>
      <w:spacing w:before="260" w:after="260" w:line="416" w:lineRule="auto"/>
      <w:outlineLvl w:val="2"/>
    </w:pPr>
    <w:rPr>
      <w:b/>
      <w:bCs/>
      <w:kern w:val="0"/>
      <w:szCs w:val="32"/>
    </w:rPr>
  </w:style>
  <w:style w:type="paragraph" w:styleId="2">
    <w:name w:val="heading 4"/>
    <w:basedOn w:val="1"/>
    <w:next w:val="1"/>
    <w:qFormat/>
    <w:uiPriority w:val="0"/>
    <w:pPr>
      <w:keepNext/>
      <w:keepLines/>
      <w:spacing w:before="280" w:beforeLines="0" w:beforeAutospacing="0" w:after="290" w:afterLines="0" w:afterAutospacing="0" w:line="374" w:lineRule="auto"/>
      <w:outlineLvl w:val="3"/>
    </w:pPr>
    <w:rPr>
      <w:rFonts w:ascii="Arial" w:hAnsi="Arial" w:eastAsia="黑体"/>
      <w:b/>
      <w:sz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5">
    <w:name w:val="Normal Indent"/>
    <w:basedOn w:val="1"/>
    <w:link w:val="35"/>
    <w:qFormat/>
    <w:uiPriority w:val="99"/>
    <w:pPr>
      <w:ind w:firstLine="420"/>
    </w:pPr>
    <w:rPr>
      <w:sz w:val="32"/>
      <w:szCs w:val="20"/>
    </w:rPr>
  </w:style>
  <w:style w:type="paragraph" w:styleId="6">
    <w:name w:val="toa heading"/>
    <w:basedOn w:val="1"/>
    <w:next w:val="1"/>
    <w:qFormat/>
    <w:uiPriority w:val="0"/>
    <w:pPr>
      <w:spacing w:before="120" w:beforeLines="0" w:beforeAutospacing="0"/>
    </w:pPr>
    <w:rPr>
      <w:rFonts w:ascii="Arial" w:hAnsi="Arial"/>
      <w:sz w:val="24"/>
    </w:rPr>
  </w:style>
  <w:style w:type="paragraph" w:styleId="7">
    <w:name w:val="annotation text"/>
    <w:basedOn w:val="1"/>
    <w:link w:val="43"/>
    <w:semiHidden/>
    <w:unhideWhenUsed/>
    <w:qFormat/>
    <w:uiPriority w:val="99"/>
    <w:pPr>
      <w:jc w:val="left"/>
    </w:pPr>
  </w:style>
  <w:style w:type="paragraph" w:styleId="8">
    <w:name w:val="Body Text"/>
    <w:basedOn w:val="1"/>
    <w:next w:val="9"/>
    <w:qFormat/>
    <w:uiPriority w:val="0"/>
    <w:pPr>
      <w:spacing w:after="120"/>
    </w:pPr>
  </w:style>
  <w:style w:type="paragraph" w:styleId="9">
    <w:name w:val="Body Text Indent"/>
    <w:basedOn w:val="1"/>
    <w:next w:val="10"/>
    <w:qFormat/>
    <w:uiPriority w:val="0"/>
    <w:pPr>
      <w:spacing w:after="120"/>
      <w:ind w:left="420" w:leftChars="200"/>
    </w:pPr>
  </w:style>
  <w:style w:type="paragraph" w:styleId="10">
    <w:name w:val="Body Text First Indent 2"/>
    <w:basedOn w:val="9"/>
    <w:next w:val="1"/>
    <w:unhideWhenUsed/>
    <w:qFormat/>
    <w:uiPriority w:val="99"/>
    <w:pPr>
      <w:ind w:firstLine="420" w:firstLineChars="200"/>
    </w:pPr>
  </w:style>
  <w:style w:type="paragraph" w:styleId="11">
    <w:name w:val="toc 3"/>
    <w:basedOn w:val="1"/>
    <w:next w:val="1"/>
    <w:qFormat/>
    <w:uiPriority w:val="39"/>
    <w:pPr>
      <w:adjustRightInd w:val="0"/>
      <w:ind w:left="840" w:leftChars="400"/>
      <w:textAlignment w:val="baseline"/>
    </w:pPr>
    <w:rPr>
      <w:szCs w:val="20"/>
    </w:rPr>
  </w:style>
  <w:style w:type="paragraph" w:styleId="12">
    <w:name w:val="Plain Text"/>
    <w:basedOn w:val="1"/>
    <w:qFormat/>
    <w:uiPriority w:val="0"/>
    <w:pPr>
      <w:jc w:val="center"/>
    </w:pPr>
    <w:rPr>
      <w:rFonts w:ascii="宋体" w:hAnsi="Courier New"/>
      <w:szCs w:val="20"/>
    </w:rPr>
  </w:style>
  <w:style w:type="paragraph" w:styleId="13">
    <w:name w:val="Body Text Indent 2"/>
    <w:basedOn w:val="1"/>
    <w:qFormat/>
    <w:uiPriority w:val="0"/>
    <w:pPr>
      <w:spacing w:line="440" w:lineRule="exact"/>
      <w:ind w:firstLine="500" w:firstLineChars="200"/>
    </w:pPr>
    <w:rPr>
      <w:rFonts w:ascii="宋体"/>
      <w:b/>
      <w:spacing w:val="4"/>
      <w:sz w:val="24"/>
    </w:rPr>
  </w:style>
  <w:style w:type="paragraph" w:styleId="14">
    <w:name w:val="footer"/>
    <w:basedOn w:val="1"/>
    <w:link w:val="31"/>
    <w:unhideWhenUsed/>
    <w:qFormat/>
    <w:uiPriority w:val="99"/>
    <w:pPr>
      <w:tabs>
        <w:tab w:val="center" w:pos="4153"/>
        <w:tab w:val="right" w:pos="8306"/>
      </w:tabs>
      <w:snapToGrid w:val="0"/>
      <w:jc w:val="left"/>
    </w:pPr>
    <w:rPr>
      <w:sz w:val="18"/>
      <w:szCs w:val="18"/>
    </w:rPr>
  </w:style>
  <w:style w:type="paragraph" w:styleId="15">
    <w:name w:val="header"/>
    <w:basedOn w:val="1"/>
    <w:next w:val="16"/>
    <w:link w:val="30"/>
    <w:unhideWhenUsed/>
    <w:qFormat/>
    <w:uiPriority w:val="99"/>
    <w:pPr>
      <w:pBdr>
        <w:bottom w:val="single" w:color="auto" w:sz="6" w:space="1"/>
      </w:pBdr>
      <w:tabs>
        <w:tab w:val="center" w:pos="4153"/>
        <w:tab w:val="right" w:pos="8306"/>
      </w:tabs>
      <w:snapToGrid w:val="0"/>
      <w:jc w:val="center"/>
    </w:pPr>
    <w:rPr>
      <w:sz w:val="18"/>
      <w:szCs w:val="18"/>
    </w:rPr>
  </w:style>
  <w:style w:type="paragraph" w:customStyle="1" w:styleId="16">
    <w:name w:val="样式5"/>
    <w:basedOn w:val="17"/>
    <w:qFormat/>
    <w:uiPriority w:val="0"/>
    <w:pPr>
      <w:tabs>
        <w:tab w:val="left" w:pos="720"/>
        <w:tab w:val="left" w:pos="780"/>
      </w:tabs>
      <w:spacing w:before="0" w:after="0" w:line="480" w:lineRule="exact"/>
      <w:ind w:left="200" w:leftChars="200" w:hanging="200" w:hangingChars="200"/>
    </w:pPr>
    <w:rPr>
      <w:rFonts w:ascii="Times New Roman" w:hAnsi="Times New Roman" w:eastAsia="Arial"/>
      <w:bCs/>
      <w:szCs w:val="28"/>
    </w:rPr>
  </w:style>
  <w:style w:type="paragraph" w:customStyle="1" w:styleId="17">
    <w:name w:val="正文1"/>
    <w:basedOn w:val="1"/>
    <w:next w:val="1"/>
    <w:qFormat/>
    <w:uiPriority w:val="0"/>
    <w:pPr>
      <w:adjustRightInd w:val="0"/>
      <w:snapToGrid w:val="0"/>
      <w:spacing w:line="500" w:lineRule="atLeast"/>
      <w:ind w:firstLine="567"/>
    </w:pPr>
    <w:rPr>
      <w:sz w:val="28"/>
    </w:rPr>
  </w:style>
  <w:style w:type="paragraph" w:styleId="18">
    <w:name w:val="toc 2"/>
    <w:basedOn w:val="1"/>
    <w:next w:val="1"/>
    <w:qFormat/>
    <w:uiPriority w:val="39"/>
    <w:pPr>
      <w:adjustRightInd w:val="0"/>
      <w:ind w:left="420" w:leftChars="200"/>
      <w:textAlignment w:val="baseline"/>
    </w:pPr>
    <w:rPr>
      <w:szCs w:val="20"/>
    </w:rPr>
  </w:style>
  <w:style w:type="paragraph" w:styleId="19">
    <w:name w:val="Normal (Web)"/>
    <w:basedOn w:val="1"/>
    <w:link w:val="34"/>
    <w:unhideWhenUsed/>
    <w:qFormat/>
    <w:uiPriority w:val="0"/>
    <w:pPr>
      <w:widowControl/>
      <w:spacing w:before="100" w:beforeAutospacing="1" w:after="100" w:afterAutospacing="1"/>
      <w:jc w:val="left"/>
    </w:pPr>
    <w:rPr>
      <w:rFonts w:ascii="宋体" w:hAnsi="宋体" w:cs="宋体"/>
      <w:kern w:val="0"/>
      <w:sz w:val="24"/>
      <w:szCs w:val="24"/>
    </w:rPr>
  </w:style>
  <w:style w:type="paragraph" w:styleId="20">
    <w:name w:val="annotation subject"/>
    <w:basedOn w:val="7"/>
    <w:next w:val="7"/>
    <w:link w:val="44"/>
    <w:semiHidden/>
    <w:unhideWhenUsed/>
    <w:qFormat/>
    <w:uiPriority w:val="99"/>
    <w:rPr>
      <w:b/>
      <w:bCs/>
    </w:rPr>
  </w:style>
  <w:style w:type="table" w:styleId="22">
    <w:name w:val="Table Grid"/>
    <w:basedOn w:val="21"/>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Hyperlink"/>
    <w:qFormat/>
    <w:uiPriority w:val="99"/>
    <w:rPr>
      <w:rFonts w:ascii="宋体" w:hAnsi="宋体" w:cs="宋体"/>
      <w:color w:val="136EC2"/>
      <w:sz w:val="24"/>
      <w:u w:val="single"/>
    </w:rPr>
  </w:style>
  <w:style w:type="character" w:styleId="25">
    <w:name w:val="annotation reference"/>
    <w:basedOn w:val="23"/>
    <w:semiHidden/>
    <w:unhideWhenUsed/>
    <w:qFormat/>
    <w:uiPriority w:val="99"/>
    <w:rPr>
      <w:sz w:val="21"/>
      <w:szCs w:val="21"/>
    </w:rPr>
  </w:style>
  <w:style w:type="paragraph" w:customStyle="1" w:styleId="26">
    <w:name w:val="Default"/>
    <w:basedOn w:val="1"/>
    <w:qFormat/>
    <w:uiPriority w:val="0"/>
    <w:pPr>
      <w:autoSpaceDE w:val="0"/>
      <w:autoSpaceDN w:val="0"/>
      <w:adjustRightInd w:val="0"/>
      <w:jc w:val="left"/>
    </w:pPr>
    <w:rPr>
      <w:rFonts w:ascii="宋体" w:hAnsi="宋体" w:cs="宋体"/>
      <w:color w:val="000000"/>
      <w:kern w:val="0"/>
      <w:sz w:val="24"/>
      <w:szCs w:val="24"/>
    </w:rPr>
  </w:style>
  <w:style w:type="paragraph" w:customStyle="1" w:styleId="27">
    <w:name w:val="表格标题"/>
    <w:basedOn w:val="1"/>
    <w:qFormat/>
    <w:uiPriority w:val="0"/>
    <w:pPr>
      <w:spacing w:before="120" w:after="100" w:afterAutospacing="1" w:line="320" w:lineRule="atLeast"/>
      <w:jc w:val="center"/>
    </w:pPr>
  </w:style>
  <w:style w:type="paragraph" w:customStyle="1" w:styleId="28">
    <w:name w:val="表格"/>
    <w:basedOn w:val="1"/>
    <w:next w:val="1"/>
    <w:link w:val="39"/>
    <w:qFormat/>
    <w:uiPriority w:val="0"/>
    <w:pPr>
      <w:adjustRightInd w:val="0"/>
      <w:snapToGrid w:val="0"/>
      <w:spacing w:beforeLines="10" w:afterLines="10" w:line="256" w:lineRule="auto"/>
      <w:jc w:val="center"/>
    </w:pPr>
    <w:rPr>
      <w:rFonts w:ascii="宋体" w:hAnsi="宋体" w:cs="宋体"/>
      <w:kern w:val="0"/>
      <w:sz w:val="20"/>
      <w:szCs w:val="20"/>
    </w:rPr>
  </w:style>
  <w:style w:type="paragraph" w:customStyle="1" w:styleId="29">
    <w:name w:val="样式2"/>
    <w:basedOn w:val="1"/>
    <w:qFormat/>
    <w:uiPriority w:val="0"/>
    <w:pPr>
      <w:spacing w:line="400" w:lineRule="exact"/>
      <w:ind w:firstLine="200" w:firstLineChars="200"/>
    </w:pPr>
    <w:rPr>
      <w:sz w:val="24"/>
      <w:szCs w:val="24"/>
    </w:rPr>
  </w:style>
  <w:style w:type="character" w:customStyle="1" w:styleId="30">
    <w:name w:val="页眉 字符"/>
    <w:basedOn w:val="23"/>
    <w:link w:val="15"/>
    <w:qFormat/>
    <w:uiPriority w:val="99"/>
    <w:rPr>
      <w:rFonts w:ascii="Times New Roman" w:hAnsi="Times New Roman" w:eastAsia="宋体" w:cs="Times New Roman"/>
      <w:sz w:val="18"/>
      <w:szCs w:val="18"/>
    </w:rPr>
  </w:style>
  <w:style w:type="character" w:customStyle="1" w:styleId="31">
    <w:name w:val="页脚 字符"/>
    <w:basedOn w:val="23"/>
    <w:link w:val="14"/>
    <w:qFormat/>
    <w:uiPriority w:val="99"/>
    <w:rPr>
      <w:rFonts w:ascii="Times New Roman" w:hAnsi="Times New Roman" w:eastAsia="宋体" w:cs="Times New Roman"/>
      <w:sz w:val="18"/>
      <w:szCs w:val="18"/>
    </w:rPr>
  </w:style>
  <w:style w:type="character" w:customStyle="1" w:styleId="32">
    <w:name w:val="环评2018 Char"/>
    <w:link w:val="33"/>
    <w:qFormat/>
    <w:uiPriority w:val="0"/>
    <w:rPr>
      <w:rFonts w:ascii="Times new romon" w:hAnsi="Times new romon" w:eastAsia="仿宋"/>
      <w:color w:val="0000FF"/>
      <w:sz w:val="28"/>
      <w:szCs w:val="28"/>
    </w:rPr>
  </w:style>
  <w:style w:type="paragraph" w:customStyle="1" w:styleId="33">
    <w:name w:val="环评2018"/>
    <w:basedOn w:val="1"/>
    <w:link w:val="32"/>
    <w:qFormat/>
    <w:uiPriority w:val="0"/>
    <w:pPr>
      <w:autoSpaceDE w:val="0"/>
      <w:autoSpaceDN w:val="0"/>
      <w:adjustRightInd w:val="0"/>
      <w:spacing w:line="440" w:lineRule="exact"/>
      <w:ind w:firstLine="560" w:firstLineChars="200"/>
    </w:pPr>
    <w:rPr>
      <w:rFonts w:ascii="Times new romon" w:hAnsi="Times new romon" w:eastAsia="仿宋" w:cstheme="minorBidi"/>
      <w:color w:val="0000FF"/>
      <w:sz w:val="28"/>
      <w:szCs w:val="28"/>
    </w:rPr>
  </w:style>
  <w:style w:type="character" w:customStyle="1" w:styleId="34">
    <w:name w:val="普通(网站) 字符1"/>
    <w:link w:val="19"/>
    <w:qFormat/>
    <w:locked/>
    <w:uiPriority w:val="99"/>
    <w:rPr>
      <w:rFonts w:ascii="宋体" w:hAnsi="宋体" w:eastAsia="宋体" w:cs="宋体"/>
      <w:kern w:val="0"/>
      <w:sz w:val="24"/>
      <w:szCs w:val="24"/>
    </w:rPr>
  </w:style>
  <w:style w:type="character" w:customStyle="1" w:styleId="35">
    <w:name w:val="正文缩进 字符"/>
    <w:basedOn w:val="23"/>
    <w:link w:val="5"/>
    <w:qFormat/>
    <w:uiPriority w:val="0"/>
    <w:rPr>
      <w:rFonts w:ascii="Times New Roman" w:hAnsi="Times New Roman" w:eastAsia="宋体" w:cs="Times New Roman"/>
      <w:sz w:val="32"/>
      <w:szCs w:val="20"/>
    </w:rPr>
  </w:style>
  <w:style w:type="paragraph" w:customStyle="1" w:styleId="36">
    <w:name w:val="表格文字"/>
    <w:basedOn w:val="1"/>
    <w:next w:val="1"/>
    <w:link w:val="37"/>
    <w:qFormat/>
    <w:uiPriority w:val="99"/>
    <w:pPr>
      <w:snapToGrid w:val="0"/>
    </w:pPr>
  </w:style>
  <w:style w:type="character" w:customStyle="1" w:styleId="37">
    <w:name w:val="表格文字 Char Char"/>
    <w:link w:val="36"/>
    <w:qFormat/>
    <w:uiPriority w:val="0"/>
    <w:rPr>
      <w:rFonts w:ascii="Times New Roman" w:hAnsi="Times New Roman" w:eastAsia="宋体" w:cs="Times New Roman"/>
      <w:szCs w:val="21"/>
    </w:rPr>
  </w:style>
  <w:style w:type="character" w:customStyle="1" w:styleId="38">
    <w:name w:val="普通(网站) 字符"/>
    <w:qFormat/>
    <w:locked/>
    <w:uiPriority w:val="0"/>
    <w:rPr>
      <w:rFonts w:ascii="宋体" w:hAnsi="宋体" w:eastAsia="宋体"/>
      <w:sz w:val="24"/>
    </w:rPr>
  </w:style>
  <w:style w:type="character" w:customStyle="1" w:styleId="39">
    <w:name w:val="表格 Char"/>
    <w:link w:val="28"/>
    <w:qFormat/>
    <w:locked/>
    <w:uiPriority w:val="0"/>
    <w:rPr>
      <w:rFonts w:ascii="宋体" w:hAnsi="宋体" w:eastAsia="宋体" w:cs="宋体"/>
      <w:kern w:val="0"/>
      <w:sz w:val="20"/>
      <w:szCs w:val="20"/>
    </w:rPr>
  </w:style>
  <w:style w:type="paragraph" w:customStyle="1" w:styleId="40">
    <w:name w:val="Table Paragraph"/>
    <w:basedOn w:val="1"/>
    <w:qFormat/>
    <w:uiPriority w:val="0"/>
    <w:pPr>
      <w:autoSpaceDE w:val="0"/>
      <w:autoSpaceDN w:val="0"/>
      <w:adjustRightInd w:val="0"/>
      <w:jc w:val="left"/>
    </w:pPr>
    <w:rPr>
      <w:kern w:val="0"/>
      <w:sz w:val="24"/>
      <w:szCs w:val="24"/>
    </w:rPr>
  </w:style>
  <w:style w:type="paragraph" w:customStyle="1" w:styleId="41">
    <w:name w:val="密封件正文"/>
    <w:basedOn w:val="1"/>
    <w:link w:val="42"/>
    <w:qFormat/>
    <w:uiPriority w:val="0"/>
    <w:pPr>
      <w:tabs>
        <w:tab w:val="left" w:pos="1455"/>
      </w:tabs>
      <w:spacing w:line="480" w:lineRule="exact"/>
      <w:ind w:firstLine="496" w:firstLineChars="200"/>
    </w:pPr>
    <w:rPr>
      <w:rFonts w:cs="宋体"/>
      <w:spacing w:val="4"/>
      <w:sz w:val="24"/>
      <w:szCs w:val="24"/>
    </w:rPr>
  </w:style>
  <w:style w:type="character" w:customStyle="1" w:styleId="42">
    <w:name w:val="密封件正文 字符"/>
    <w:link w:val="41"/>
    <w:qFormat/>
    <w:uiPriority w:val="0"/>
    <w:rPr>
      <w:rFonts w:ascii="Times New Roman" w:hAnsi="Times New Roman" w:eastAsia="宋体" w:cs="宋体"/>
      <w:spacing w:val="4"/>
      <w:sz w:val="24"/>
      <w:szCs w:val="24"/>
    </w:rPr>
  </w:style>
  <w:style w:type="character" w:customStyle="1" w:styleId="43">
    <w:name w:val="批注文字 字符"/>
    <w:basedOn w:val="23"/>
    <w:link w:val="7"/>
    <w:semiHidden/>
    <w:qFormat/>
    <w:uiPriority w:val="99"/>
    <w:rPr>
      <w:rFonts w:ascii="Times New Roman" w:hAnsi="Times New Roman" w:eastAsia="宋体" w:cs="Times New Roman"/>
      <w:szCs w:val="21"/>
    </w:rPr>
  </w:style>
  <w:style w:type="character" w:customStyle="1" w:styleId="44">
    <w:name w:val="批注主题 字符"/>
    <w:basedOn w:val="43"/>
    <w:link w:val="20"/>
    <w:semiHidden/>
    <w:qFormat/>
    <w:uiPriority w:val="99"/>
    <w:rPr>
      <w:rFonts w:ascii="Times New Roman" w:hAnsi="Times New Roman" w:eastAsia="宋体" w:cs="Times New Roman"/>
      <w:b/>
      <w:bCs/>
      <w:szCs w:val="21"/>
    </w:rPr>
  </w:style>
  <w:style w:type="paragraph" w:customStyle="1" w:styleId="45">
    <w:name w:val="表格文字1"/>
    <w:basedOn w:val="1"/>
    <w:qFormat/>
    <w:uiPriority w:val="0"/>
    <w:pPr>
      <w:adjustRightInd/>
      <w:spacing w:line="400" w:lineRule="exact"/>
      <w:jc w:val="center"/>
      <w:textAlignment w:val="auto"/>
    </w:pPr>
    <w:rPr>
      <w:szCs w:val="21"/>
    </w:rPr>
  </w:style>
  <w:style w:type="paragraph" w:customStyle="1" w:styleId="46">
    <w:name w:val="！正文"/>
    <w:basedOn w:val="1"/>
    <w:qFormat/>
    <w:uiPriority w:val="0"/>
    <w:pPr>
      <w:widowControl w:val="0"/>
      <w:spacing w:line="360" w:lineRule="auto"/>
      <w:ind w:firstLine="480" w:firstLineChars="200"/>
      <w:jc w:val="both"/>
    </w:pPr>
    <w:rPr>
      <w:rFonts w:ascii="Times New Roman" w:hAnsi="Times New Roman" w:eastAsia="宋体"/>
      <w:kern w:val="2"/>
      <w:sz w:val="24"/>
      <w:szCs w:val="20"/>
      <w:lang w:eastAsia="zh-CN" w:bidi="ar-SA"/>
    </w:rPr>
  </w:style>
  <w:style w:type="paragraph" w:customStyle="1" w:styleId="47">
    <w:name w:val="正文 New New"/>
    <w:qFormat/>
    <w:uiPriority w:val="0"/>
    <w:pPr>
      <w:widowControl w:val="0"/>
      <w:spacing w:line="360" w:lineRule="auto"/>
      <w:ind w:firstLine="200" w:firstLineChars="200"/>
      <w:jc w:val="both"/>
    </w:pPr>
    <w:rPr>
      <w:rFonts w:ascii="Calibri" w:hAnsi="Calibri" w:eastAsia="宋体" w:cs="Times New Roman"/>
      <w:kern w:val="2"/>
      <w:sz w:val="24"/>
      <w:szCs w:val="24"/>
      <w:lang w:val="en-US" w:eastAsia="zh-CN" w:bidi="ar-SA"/>
    </w:rPr>
  </w:style>
  <w:style w:type="paragraph" w:customStyle="1" w:styleId="48">
    <w:name w:val="_Style 5"/>
    <w:basedOn w:val="3"/>
    <w:next w:val="1"/>
    <w:unhideWhenUsed/>
    <w:qFormat/>
    <w:uiPriority w:val="39"/>
    <w:pPr>
      <w:keepLines/>
      <w:widowControl/>
      <w:overflowPunct/>
      <w:snapToGrid/>
      <w:spacing w:before="240" w:after="0"/>
      <w:ind w:left="0" w:firstLine="0"/>
      <w:jc w:val="left"/>
      <w:outlineLvl w:val="9"/>
    </w:pPr>
    <w:rPr>
      <w:rFonts w:ascii="等线 Light" w:hAnsi="等线 Light" w:eastAsia="等线 Light"/>
      <w:b w:val="0"/>
      <w:bCs w:val="0"/>
      <w:color w:val="2F5496"/>
      <w:kern w:val="0"/>
      <w:sz w:val="32"/>
      <w:szCs w:val="32"/>
    </w:rPr>
  </w:style>
  <w:style w:type="paragraph" w:customStyle="1" w:styleId="49">
    <w:name w:val="0正文"/>
    <w:basedOn w:val="9"/>
    <w:qFormat/>
    <w:uiPriority w:val="0"/>
    <w:pPr>
      <w:adjustRightInd w:val="0"/>
      <w:snapToGrid w:val="0"/>
      <w:spacing w:after="0" w:line="300" w:lineRule="auto"/>
      <w:ind w:left="0" w:leftChars="0" w:firstLine="200" w:firstLineChars="200"/>
    </w:pPr>
    <w:rPr>
      <w:rFonts w:cs="宋体"/>
      <w:kern w:val="0"/>
      <w:sz w:val="24"/>
      <w:szCs w:val="20"/>
    </w:rPr>
  </w:style>
  <w:style w:type="paragraph" w:customStyle="1" w:styleId="50">
    <w:name w:val="表内容"/>
    <w:basedOn w:val="1"/>
    <w:qFormat/>
    <w:uiPriority w:val="0"/>
    <w:pPr>
      <w:spacing w:line="280" w:lineRule="exact"/>
      <w:jc w:val="center"/>
    </w:pPr>
    <w:rPr>
      <w:rFonts w:cs="宋体"/>
      <w:sz w:val="18"/>
      <w:szCs w:val="20"/>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4.xml"/><Relationship Id="rId70" Type="http://schemas.openxmlformats.org/officeDocument/2006/relationships/fontTable" Target="fontTable.xml"/><Relationship Id="rId7" Type="http://schemas.openxmlformats.org/officeDocument/2006/relationships/footer" Target="footer3.xml"/><Relationship Id="rId69" Type="http://schemas.openxmlformats.org/officeDocument/2006/relationships/customXml" Target="../customXml/item2.xml"/><Relationship Id="rId68" Type="http://schemas.openxmlformats.org/officeDocument/2006/relationships/numbering" Target="numbering.xml"/><Relationship Id="rId67" Type="http://schemas.openxmlformats.org/officeDocument/2006/relationships/customXml" Target="../customXml/item1.xml"/><Relationship Id="rId66" Type="http://schemas.openxmlformats.org/officeDocument/2006/relationships/image" Target="media/image42.png"/><Relationship Id="rId65" Type="http://schemas.openxmlformats.org/officeDocument/2006/relationships/image" Target="media/image41.png"/><Relationship Id="rId64" Type="http://schemas.openxmlformats.org/officeDocument/2006/relationships/image" Target="media/image40.png"/><Relationship Id="rId63" Type="http://schemas.openxmlformats.org/officeDocument/2006/relationships/image" Target="media/image39.png"/><Relationship Id="rId62" Type="http://schemas.openxmlformats.org/officeDocument/2006/relationships/image" Target="media/image38.png"/><Relationship Id="rId61" Type="http://schemas.openxmlformats.org/officeDocument/2006/relationships/image" Target="media/image37.png"/><Relationship Id="rId60" Type="http://schemas.openxmlformats.org/officeDocument/2006/relationships/image" Target="media/image36.png"/><Relationship Id="rId6" Type="http://schemas.openxmlformats.org/officeDocument/2006/relationships/header" Target="header2.xml"/><Relationship Id="rId59" Type="http://schemas.openxmlformats.org/officeDocument/2006/relationships/image" Target="media/image35.png"/><Relationship Id="rId58" Type="http://schemas.openxmlformats.org/officeDocument/2006/relationships/image" Target="media/image34.png"/><Relationship Id="rId57" Type="http://schemas.openxmlformats.org/officeDocument/2006/relationships/image" Target="media/image33.png"/><Relationship Id="rId56" Type="http://schemas.openxmlformats.org/officeDocument/2006/relationships/image" Target="media/image32.png"/><Relationship Id="rId55" Type="http://schemas.openxmlformats.org/officeDocument/2006/relationships/image" Target="media/image31.png"/><Relationship Id="rId54" Type="http://schemas.openxmlformats.org/officeDocument/2006/relationships/image" Target="media/image30.jpeg"/><Relationship Id="rId53" Type="http://schemas.openxmlformats.org/officeDocument/2006/relationships/image" Target="media/image29.wmf"/><Relationship Id="rId52" Type="http://schemas.openxmlformats.org/officeDocument/2006/relationships/image" Target="media/image28.wmf"/><Relationship Id="rId51" Type="http://schemas.openxmlformats.org/officeDocument/2006/relationships/image" Target="media/image27.wmf"/><Relationship Id="rId50" Type="http://schemas.openxmlformats.org/officeDocument/2006/relationships/oleObject" Target="embeddings/oleObject15.bin"/><Relationship Id="rId5" Type="http://schemas.openxmlformats.org/officeDocument/2006/relationships/footer" Target="footer2.xml"/><Relationship Id="rId49" Type="http://schemas.openxmlformats.org/officeDocument/2006/relationships/image" Target="media/image26.wmf"/><Relationship Id="rId48" Type="http://schemas.openxmlformats.org/officeDocument/2006/relationships/oleObject" Target="embeddings/oleObject14.bin"/><Relationship Id="rId47" Type="http://schemas.openxmlformats.org/officeDocument/2006/relationships/image" Target="media/image25.wmf"/><Relationship Id="rId46" Type="http://schemas.openxmlformats.org/officeDocument/2006/relationships/oleObject" Target="embeddings/oleObject13.bin"/><Relationship Id="rId45" Type="http://schemas.openxmlformats.org/officeDocument/2006/relationships/image" Target="media/image24.wmf"/><Relationship Id="rId44" Type="http://schemas.openxmlformats.org/officeDocument/2006/relationships/oleObject" Target="embeddings/oleObject12.bin"/><Relationship Id="rId43" Type="http://schemas.openxmlformats.org/officeDocument/2006/relationships/image" Target="media/image23.wmf"/><Relationship Id="rId42" Type="http://schemas.openxmlformats.org/officeDocument/2006/relationships/oleObject" Target="embeddings/oleObject11.bin"/><Relationship Id="rId41" Type="http://schemas.openxmlformats.org/officeDocument/2006/relationships/image" Target="media/image22.wmf"/><Relationship Id="rId40" Type="http://schemas.openxmlformats.org/officeDocument/2006/relationships/oleObject" Target="embeddings/oleObject10.bin"/><Relationship Id="rId4" Type="http://schemas.openxmlformats.org/officeDocument/2006/relationships/header" Target="header1.xml"/><Relationship Id="rId39" Type="http://schemas.openxmlformats.org/officeDocument/2006/relationships/image" Target="media/image21.wmf"/><Relationship Id="rId38" Type="http://schemas.openxmlformats.org/officeDocument/2006/relationships/image" Target="media/image20.wmf"/><Relationship Id="rId37" Type="http://schemas.openxmlformats.org/officeDocument/2006/relationships/image" Target="media/image19.wmf"/><Relationship Id="rId36" Type="http://schemas.openxmlformats.org/officeDocument/2006/relationships/image" Target="media/image18.wmf"/><Relationship Id="rId35" Type="http://schemas.openxmlformats.org/officeDocument/2006/relationships/oleObject" Target="embeddings/oleObject9.bin"/><Relationship Id="rId34" Type="http://schemas.openxmlformats.org/officeDocument/2006/relationships/image" Target="media/image17.jpeg"/><Relationship Id="rId33" Type="http://schemas.openxmlformats.org/officeDocument/2006/relationships/image" Target="media/image16.wmf"/><Relationship Id="rId32" Type="http://schemas.openxmlformats.org/officeDocument/2006/relationships/oleObject" Target="embeddings/oleObject8.bin"/><Relationship Id="rId31" Type="http://schemas.openxmlformats.org/officeDocument/2006/relationships/image" Target="media/image15.wmf"/><Relationship Id="rId30" Type="http://schemas.openxmlformats.org/officeDocument/2006/relationships/oleObject" Target="embeddings/oleObject7.bin"/><Relationship Id="rId3" Type="http://schemas.openxmlformats.org/officeDocument/2006/relationships/footer" Target="footer1.xml"/><Relationship Id="rId29" Type="http://schemas.openxmlformats.org/officeDocument/2006/relationships/image" Target="media/image14.wmf"/><Relationship Id="rId28" Type="http://schemas.openxmlformats.org/officeDocument/2006/relationships/oleObject" Target="embeddings/oleObject6.bin"/><Relationship Id="rId27" Type="http://schemas.openxmlformats.org/officeDocument/2006/relationships/image" Target="media/image13.wmf"/><Relationship Id="rId26" Type="http://schemas.openxmlformats.org/officeDocument/2006/relationships/oleObject" Target="embeddings/oleObject5.bin"/><Relationship Id="rId25" Type="http://schemas.openxmlformats.org/officeDocument/2006/relationships/oleObject" Target="embeddings/oleObject4.bin"/><Relationship Id="rId24" Type="http://schemas.openxmlformats.org/officeDocument/2006/relationships/oleObject" Target="embeddings/oleObject3.bin"/><Relationship Id="rId23" Type="http://schemas.openxmlformats.org/officeDocument/2006/relationships/image" Target="media/image12.wmf"/><Relationship Id="rId22" Type="http://schemas.openxmlformats.org/officeDocument/2006/relationships/oleObject" Target="embeddings/oleObject2.bin"/><Relationship Id="rId21" Type="http://schemas.openxmlformats.org/officeDocument/2006/relationships/image" Target="media/image11.wmf"/><Relationship Id="rId20" Type="http://schemas.openxmlformats.org/officeDocument/2006/relationships/oleObject" Target="embeddings/oleObject1.bin"/><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image" Target="media/image1.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30C20C5-4C28-48C3-AB9C-67C92811E37E}">
  <ds:schemaRefs/>
</ds:datastoreItem>
</file>

<file path=docProps/app.xml><?xml version="1.0" encoding="utf-8"?>
<Properties xmlns="http://schemas.openxmlformats.org/officeDocument/2006/extended-properties" xmlns:vt="http://schemas.openxmlformats.org/officeDocument/2006/docPropsVTypes">
  <Template>Normal.dotm</Template>
  <Pages>211</Pages>
  <Words>82394</Words>
  <Characters>95451</Characters>
  <Lines>443</Lines>
  <Paragraphs>124</Paragraphs>
  <TotalTime>4</TotalTime>
  <ScaleCrop>false</ScaleCrop>
  <LinksUpToDate>false</LinksUpToDate>
  <CharactersWithSpaces>96057</CharactersWithSpaces>
  <Application>WPS Office_11.1.0.13703_F1E327BC-269C-435d-A152-05C5408002CA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2021-12-26T11:34:00Z</dcterms:created>
  <dc:creator>Z GL</dc:creator>
  <cp:lastModifiedBy>777</cp:lastModifiedBy>
  <dcterms:modified xsi:type="dcterms:W3CDTF">2023-03-20T03:23:22Z</dcterms:modified>
  <cp:revision>458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2052-11.1.0.13703</vt:lpwstr>
  </property>
  <property fmtid="{D5CDD505-2E9C-101B-9397-08002B2CF9AE}" pid="3" name="ICV">
    <vt:lpwstr>4AFB13D5E5644F64AC7B2E2DC80CD475</vt:lpwstr>
  </property>
</Properties>
</file>