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五台县行政审批服务管理局</w:t>
      </w:r>
    </w:p>
    <w:p>
      <w:pPr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拟对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五台县宏泰建材有限公司干粉砂浆制砂</w:t>
      </w:r>
      <w:r>
        <w:rPr>
          <w:rFonts w:hint="eastAsia" w:ascii="宋体" w:hAnsi="宋体" w:cs="宋体"/>
          <w:b/>
          <w:bCs/>
          <w:sz w:val="40"/>
          <w:szCs w:val="40"/>
        </w:rPr>
        <w:t>建设项目环境影响评价文件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sz w:val="40"/>
          <w:szCs w:val="40"/>
        </w:rPr>
        <w:t>作出审批意见的公示</w:t>
      </w:r>
    </w:p>
    <w:tbl>
      <w:tblPr>
        <w:tblStyle w:val="2"/>
        <w:tblW w:w="15027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719"/>
        <w:gridCol w:w="789"/>
        <w:gridCol w:w="750"/>
        <w:gridCol w:w="803"/>
        <w:gridCol w:w="1730"/>
        <w:gridCol w:w="9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建设地点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建设单位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环境影响评价机构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建设项目概况</w:t>
            </w:r>
          </w:p>
        </w:tc>
        <w:tc>
          <w:tcPr>
            <w:tcW w:w="98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lang w:val="en-US" w:eastAsia="zh-CN"/>
              </w:rPr>
              <w:t>干粉砂浆制砂建设项目</w:t>
            </w:r>
          </w:p>
        </w:tc>
        <w:tc>
          <w:tcPr>
            <w:tcW w:w="78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lang w:eastAsia="zh-CN"/>
              </w:rPr>
              <w:t>五台县蒋坊乡殿军村南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1100m</w:t>
            </w:r>
            <w:r>
              <w:rPr>
                <w:rFonts w:hint="eastAsia"/>
                <w:color w:val="auto"/>
                <w:sz w:val="22"/>
                <w:szCs w:val="28"/>
                <w:lang w:val="en-US" w:eastAsia="zh-CN"/>
              </w:rPr>
              <w:t>处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lang w:val="en-US" w:eastAsia="zh-CN"/>
              </w:rPr>
              <w:t>五台县宏泰建材有限公司</w:t>
            </w:r>
          </w:p>
        </w:tc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lang w:val="en-US" w:eastAsia="zh-CN"/>
              </w:rPr>
              <w:t>山西清韵环保科技有限公司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项目占地面积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7300m²,建设内容为新建生产加工环保车间、石料加工生产线1条、机制砂生产线1条和干粉砂浆生产线1套，配套建设办公用房、库房、配电室等设施。项目总投资1500万元，其中环保投资80万元。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26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废气防治措施。合理安排工期，禁止大风天气作业，施工场地边界围挡设置防尘网，定期洒水降尘。裸露地面采取覆盖或临时绿化措施，易扬尘材料防水隔尘布完全覆盖或密闭存储。厂区运输道路硬化，定期清扫洒水降尘，道路两侧种植绿化带。车辆运输限速行驶，严禁超载、夜间运输，车辆顶部加盖篷布，进出厂区进行冲洗。物料堆放在全封闭原料库、石子库内，顶部安装喷淋洒水装置，物料装卸时洒水降尘。生产车间全封闭，地面硬化防渗，物料运输转运采用全封闭皮带、斗式输送机、螺旋输送机,输送机机头溜槽加设盖罩；给料机、颚式破碎机、锤式破碎机、筛分机、制砂机、振动筛料口设置集气罩收集粉尘，经引风管引入布袋除尘器处理后由排气筒排放；烘干机上方连接除尘器风管，废气处理后由排气筒排出；搅拌机排风口、装车仓排风口分别连接集气管，包装机口安装集气罩，粉尘经处理后排气筒排出；5个密闭筒仓仓顶分别安装一台袋式除尘器，废气处理后经各自排气筒外排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废水防治措施。施工废水、生活污水沉淀后回用于场地、道路洒水抑尘，不外排。厂区进出口处设置一座洗车平台，配套沉淀池、清水池，洗车废水经沉淀池处理后回用于车辆冲洗。洗砂废水经浓密罐沉淀后上清液循环用于洗砂，底泥进入脱水筛+压滤机处理，不外排。厂区最低处设置80m³初期雨水收集池，雨水沉淀后用于厂区道路降尘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三、噪声防治措施。施工时序合理安排，禁止夜间施工。选用低噪声设备定期进行维护和保养；产噪设备合理布置于生产车间内，采取基础减振、厂房隔声、减震、消音等措施,施工期满足《建筑施工厂界环境噪声排放标准》，运营期满足《工业企业厂界环境噪声排放标准》（GB12348-2008）2类标准。运输车辆途径村庄低速行驶，禁止鸣笛。加强厂区周边绿化，削弱噪声传播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四、固废防治措施。建筑垃圾密闭堆存，及时运至环卫部门处理；设置封闭式垃圾收集箱，生活垃圾收集后由环卫部门集中处置；除尘灰收集后与产品混合外售；设置10m²危废暂存间，废机油、废油桶、废棉纱暂存于危废暂存间，及时交由有资质的单位处理；洗车平台、雨水收集池沉淀底泥风干后外售；尾砂烘干后用于干粉砂浆生产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五、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严格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执行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各项环境风险防范措施，制定环境风险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事故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应急预案，提高环境风险防范意识与应急能力，定期开展环境风险应急演练，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将事故风险降低到最小。你公司生产所需原材料必须从原材料供货合同中供货方外购，禁止采挖山体、河道中石料。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027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听证权利告知：依据《中华人民共和国行政许可法》，自公示起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日内申请人、利害关系人可提出听证申请。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5027" w:type="dxa"/>
            <w:gridSpan w:val="7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公众反馈意见联系电话：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五台县行政审批服务管理局生态环境股     0350-8759020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27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公示时间：202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日-202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12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日（3个工作日）</w:t>
            </w:r>
          </w:p>
        </w:tc>
      </w:tr>
    </w:tbl>
    <w:p>
      <w:pPr>
        <w:rPr>
          <w:sz w:val="24"/>
          <w:szCs w:val="32"/>
        </w:rPr>
      </w:pPr>
    </w:p>
    <w:p/>
    <w:p/>
    <w:sectPr>
      <w:pgSz w:w="16783" w:h="11850" w:orient="landscape"/>
      <w:pgMar w:top="1134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AF1AD"/>
    <w:multiLevelType w:val="singleLevel"/>
    <w:tmpl w:val="FFDAF1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85F7E"/>
    <w:rsid w:val="0AF83468"/>
    <w:rsid w:val="103E0CF3"/>
    <w:rsid w:val="1C30154C"/>
    <w:rsid w:val="2103013C"/>
    <w:rsid w:val="229345ED"/>
    <w:rsid w:val="24222D76"/>
    <w:rsid w:val="2A863B8A"/>
    <w:rsid w:val="3D721EB1"/>
    <w:rsid w:val="40FD49AF"/>
    <w:rsid w:val="45D85F7E"/>
    <w:rsid w:val="56AE73B5"/>
    <w:rsid w:val="67FF65FC"/>
    <w:rsid w:val="6B9E67AD"/>
    <w:rsid w:val="74C768FE"/>
    <w:rsid w:val="78FD2068"/>
    <w:rsid w:val="79B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1307</Words>
  <Characters>1356</Characters>
  <Lines>0</Lines>
  <Paragraphs>0</Paragraphs>
  <TotalTime>20</TotalTime>
  <ScaleCrop>false</ScaleCrop>
  <LinksUpToDate>false</LinksUpToDate>
  <CharactersWithSpaces>1673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2022-03-08T07:07:00Z</dcterms:created>
  <dc:creator>张家诚</dc:creator>
  <cp:lastModifiedBy>横折弯钩</cp:lastModifiedBy>
  <cp:lastPrinted>2022-04-02T00:18:00Z</cp:lastPrinted>
  <dcterms:modified xsi:type="dcterms:W3CDTF">2022-04-11T00:19:11Z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CD48EA1E2F4643EF80DF32D110853622</vt:lpwstr>
  </property>
</Properties>
</file>