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spacing w:line="288" w:lineRule="auto"/>
        <w:jc w:val="center"/>
        <w:outlineLvl w:val="0"/>
        <w:rPr>
          <w:rFonts w:ascii="华文仿宋" w:hAnsi="华文仿宋" w:eastAsia="华文仿宋" w:cs="华文仿宋"/>
          <w:kern w:val="44"/>
          <w:sz w:val="44"/>
          <w:szCs w:val="44"/>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五台县殡仪馆项目 </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五台县民政局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2021</w:t>
      </w:r>
      <w:r>
        <w:rPr>
          <w:rFonts w:hint="eastAsia" w:ascii="仿宋_GB2312" w:eastAsia="仿宋_GB2312"/>
          <w:sz w:val="36"/>
          <w:szCs w:val="36"/>
          <w:u w:val="single"/>
        </w:rPr>
        <w:t>年7月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r>
        <w:rPr>
          <w:rFonts w:hint="eastAsia" w:ascii="楷体_GB2312" w:eastAsia="楷体_GB2312"/>
          <w:sz w:val="36"/>
          <w:szCs w:val="36"/>
        </w:rPr>
        <w:t>中华人民共和国生态环境部制</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6"/>
        <w:gridCol w:w="6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26485" cy="2720340"/>
                  <wp:effectExtent l="0" t="0" r="0" b="3810"/>
                  <wp:docPr id="2" name="图片 2" descr="绿色的田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绿色的田地&#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9320" cy="2729565"/>
                          </a:xfrm>
                          <a:prstGeom prst="rect">
                            <a:avLst/>
                          </a:prstGeom>
                        </pic:spPr>
                      </pic:pic>
                    </a:graphicData>
                  </a:graphic>
                </wp:inline>
              </w:drawing>
            </w:r>
          </w:p>
        </w:tc>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27120" cy="2720340"/>
                  <wp:effectExtent l="0" t="0" r="0" b="3810"/>
                  <wp:docPr id="4" name="图片 4" descr="山上有一些绿色的植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山上有一些绿色的植物&#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3506" cy="272520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拟建场址</w:t>
            </w:r>
          </w:p>
        </w:tc>
        <w:tc>
          <w:tcPr>
            <w:tcW w:w="6996" w:type="dxa"/>
          </w:tcPr>
          <w:p>
            <w:pPr>
              <w:adjustRightInd w:val="0"/>
              <w:snapToGrid w:val="0"/>
              <w:jc w:val="center"/>
              <w:rPr>
                <w:rFonts w:ascii="宋体" w:hAnsi="宋体"/>
                <w:b/>
                <w:bCs/>
                <w:sz w:val="24"/>
              </w:rPr>
            </w:pPr>
            <w:r>
              <w:rPr>
                <w:rFonts w:hint="eastAsia" w:ascii="宋体" w:hAnsi="宋体"/>
                <w:b/>
                <w:bCs/>
                <w:sz w:val="24"/>
              </w:rPr>
              <w:t>拟建场址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77920" cy="2758440"/>
                  <wp:effectExtent l="0" t="0" r="0" b="3810"/>
                  <wp:docPr id="5" name="图片 5" descr="山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山上的风景&#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89532" cy="2767225"/>
                          </a:xfrm>
                          <a:prstGeom prst="rect">
                            <a:avLst/>
                          </a:prstGeom>
                        </pic:spPr>
                      </pic:pic>
                    </a:graphicData>
                  </a:graphic>
                </wp:inline>
              </w:drawing>
            </w:r>
          </w:p>
        </w:tc>
        <w:tc>
          <w:tcPr>
            <w:tcW w:w="6996" w:type="dxa"/>
          </w:tcPr>
          <w:p>
            <w:pPr>
              <w:adjustRightInd w:val="0"/>
              <w:snapToGrid w:val="0"/>
              <w:jc w:val="center"/>
              <w:rPr>
                <w:rFonts w:ascii="楷体_GB2312" w:eastAsia="楷体_GB2312"/>
                <w:sz w:val="24"/>
              </w:rPr>
            </w:pPr>
            <w:r>
              <w:rPr>
                <w:rFonts w:ascii="楷体_GB2312" w:eastAsia="楷体_GB2312"/>
                <w:sz w:val="24"/>
              </w:rPr>
              <w:drawing>
                <wp:inline distT="0" distB="0" distL="0" distR="0">
                  <wp:extent cx="3676650" cy="2757170"/>
                  <wp:effectExtent l="0" t="0" r="0" b="5080"/>
                  <wp:docPr id="6" name="图片 6" descr="草地旁的路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草地旁的路上&#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1557" cy="27612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6" w:type="dxa"/>
          </w:tcPr>
          <w:p>
            <w:pPr>
              <w:adjustRightInd w:val="0"/>
              <w:snapToGrid w:val="0"/>
              <w:jc w:val="center"/>
              <w:rPr>
                <w:rFonts w:ascii="宋体" w:hAnsi="宋体"/>
                <w:b/>
                <w:bCs/>
                <w:sz w:val="24"/>
              </w:rPr>
            </w:pPr>
            <w:r>
              <w:rPr>
                <w:rFonts w:hint="eastAsia" w:ascii="宋体" w:hAnsi="宋体"/>
                <w:b/>
                <w:bCs/>
                <w:sz w:val="24"/>
              </w:rPr>
              <w:t>拟建场址南侧道路</w:t>
            </w:r>
          </w:p>
        </w:tc>
        <w:tc>
          <w:tcPr>
            <w:tcW w:w="6996" w:type="dxa"/>
          </w:tcPr>
          <w:p>
            <w:pPr>
              <w:adjustRightInd w:val="0"/>
              <w:snapToGrid w:val="0"/>
              <w:jc w:val="center"/>
              <w:rPr>
                <w:rFonts w:ascii="宋体" w:hAnsi="宋体"/>
                <w:b/>
                <w:bCs/>
                <w:sz w:val="24"/>
              </w:rPr>
            </w:pPr>
            <w:r>
              <w:rPr>
                <w:rFonts w:hint="eastAsia" w:ascii="宋体" w:hAnsi="宋体"/>
                <w:b/>
                <w:bCs/>
                <w:sz w:val="24"/>
              </w:rPr>
              <w:t>拟建场址南侧道路及西南侧治超站</w:t>
            </w:r>
          </w:p>
        </w:tc>
      </w:tr>
    </w:tbl>
    <w:p>
      <w:pPr>
        <w:adjustRightInd w:val="0"/>
        <w:snapToGrid w:val="0"/>
        <w:spacing w:line="14" w:lineRule="exact"/>
        <w:jc w:val="center"/>
        <w:rPr>
          <w:rFonts w:ascii="楷体_GB2312" w:eastAsia="楷体_GB2312"/>
          <w:sz w:val="24"/>
        </w:rPr>
      </w:pPr>
    </w:p>
    <w:p>
      <w:pPr>
        <w:adjustRightInd w:val="0"/>
        <w:snapToGrid w:val="0"/>
        <w:spacing w:line="480" w:lineRule="exact"/>
        <w:jc w:val="center"/>
        <w:rPr>
          <w:rFonts w:ascii="楷体_GB2312" w:eastAsia="楷体_GB2312"/>
          <w:sz w:val="24"/>
        </w:rPr>
        <w:sectPr>
          <w:pgSz w:w="16838" w:h="11906" w:orient="landscape"/>
          <w:pgMar w:top="1247" w:right="1418" w:bottom="1247" w:left="1418" w:header="851" w:footer="964" w:gutter="0"/>
          <w:pgNumType w:start="3"/>
          <w:cols w:space="720" w:num="1"/>
          <w:docGrid w:linePitch="312" w:charSpace="0"/>
        </w:sectPr>
      </w:pPr>
    </w:p>
    <w:p>
      <w:pPr>
        <w:adjustRightInd w:val="0"/>
        <w:snapToGrid w:val="0"/>
        <w:spacing w:line="480" w:lineRule="exact"/>
        <w:jc w:val="center"/>
        <w:rPr>
          <w:rFonts w:ascii="宋体" w:hAnsi="宋体"/>
          <w:sz w:val="24"/>
        </w:rPr>
      </w:pPr>
      <w:r>
        <w:rPr>
          <w:rFonts w:hint="eastAsia" w:ascii="宋体" w:hAnsi="宋体"/>
          <w:sz w:val="24"/>
        </w:rPr>
        <w:t>《五台县殡仪馆项目环境影响报告表》修改说明</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6095"/>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序号</w:t>
            </w:r>
          </w:p>
        </w:tc>
        <w:tc>
          <w:tcPr>
            <w:tcW w:w="6095" w:type="dxa"/>
            <w:vAlign w:val="center"/>
          </w:tcPr>
          <w:p>
            <w:pPr>
              <w:adjustRightInd w:val="0"/>
              <w:snapToGrid w:val="0"/>
              <w:jc w:val="center"/>
              <w:rPr>
                <w:sz w:val="24"/>
              </w:rPr>
            </w:pPr>
            <w:r>
              <w:rPr>
                <w:sz w:val="24"/>
              </w:rPr>
              <w:t>审查意见</w:t>
            </w:r>
          </w:p>
        </w:tc>
        <w:tc>
          <w:tcPr>
            <w:tcW w:w="6909" w:type="dxa"/>
            <w:vAlign w:val="center"/>
          </w:tcPr>
          <w:p>
            <w:pPr>
              <w:adjustRightInd w:val="0"/>
              <w:snapToGrid w:val="0"/>
              <w:jc w:val="center"/>
              <w:rPr>
                <w:sz w:val="24"/>
              </w:rPr>
            </w:pPr>
            <w:r>
              <w:rPr>
                <w:sz w:val="24"/>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1</w:t>
            </w:r>
          </w:p>
        </w:tc>
        <w:tc>
          <w:tcPr>
            <w:tcW w:w="6095" w:type="dxa"/>
            <w:vAlign w:val="center"/>
          </w:tcPr>
          <w:p>
            <w:pPr>
              <w:adjustRightInd w:val="0"/>
              <w:snapToGrid w:val="0"/>
              <w:rPr>
                <w:bCs/>
                <w:sz w:val="24"/>
              </w:rPr>
            </w:pPr>
            <w:r>
              <w:rPr>
                <w:bCs/>
                <w:sz w:val="24"/>
              </w:rPr>
              <w:t>明确与《五台县城市总体规划》（2012-2030）中心城区边界、建成区边界以及常年主导风向的位置关系；补充忻州市人民政府忻政发[2021]12号《关于印发忻州市“三线一单”生态环境分区管控实施方案的通知》及其附件，明确场址所处生态环境管控单元，对照生态环境总体准入清单，分析项目选址的符合性。</w:t>
            </w:r>
          </w:p>
          <w:p>
            <w:pPr>
              <w:adjustRightInd w:val="0"/>
              <w:snapToGrid w:val="0"/>
              <w:rPr>
                <w:bCs/>
                <w:sz w:val="24"/>
              </w:rPr>
            </w:pPr>
            <w:r>
              <w:rPr>
                <w:bCs/>
                <w:sz w:val="24"/>
              </w:rPr>
              <w:t>进一步明确用地性质，调查当地土地利用规划，分析和规划的符合性。</w:t>
            </w:r>
          </w:p>
          <w:p>
            <w:pPr>
              <w:adjustRightInd w:val="0"/>
              <w:snapToGrid w:val="0"/>
              <w:rPr>
                <w:sz w:val="24"/>
              </w:rPr>
            </w:pPr>
            <w:r>
              <w:rPr>
                <w:bCs/>
                <w:sz w:val="24"/>
              </w:rPr>
              <w:t>进一步明确两区区划的禁止、限制、环境保护要求，逐条分析符合性。</w:t>
            </w:r>
          </w:p>
        </w:tc>
        <w:tc>
          <w:tcPr>
            <w:tcW w:w="6909" w:type="dxa"/>
            <w:vAlign w:val="center"/>
          </w:tcPr>
          <w:p>
            <w:pPr>
              <w:adjustRightInd w:val="0"/>
              <w:snapToGrid w:val="0"/>
              <w:rPr>
                <w:bCs/>
                <w:sz w:val="24"/>
              </w:rPr>
            </w:pPr>
            <w:r>
              <w:rPr>
                <w:bCs/>
                <w:sz w:val="24"/>
              </w:rPr>
              <w:t>明确与《五台县城市总体规划》（2012-2030）中心城区边界、建成区边界以及常年主导风向的位置关系；</w:t>
            </w:r>
            <w:r>
              <w:rPr>
                <w:rFonts w:hint="eastAsia"/>
                <w:bCs/>
                <w:sz w:val="24"/>
              </w:rPr>
              <w:t>本项目与五台县中心城区边界、建成区边界约1</w:t>
            </w:r>
            <w:r>
              <w:rPr>
                <w:bCs/>
                <w:sz w:val="24"/>
              </w:rPr>
              <w:t>0</w:t>
            </w:r>
            <w:r>
              <w:rPr>
                <w:rFonts w:hint="eastAsia"/>
                <w:bCs/>
                <w:sz w:val="24"/>
              </w:rPr>
              <w:t>km；</w:t>
            </w:r>
            <w:r>
              <w:rPr>
                <w:bCs/>
                <w:sz w:val="24"/>
              </w:rPr>
              <w:t>补充</w:t>
            </w:r>
            <w:r>
              <w:rPr>
                <w:rFonts w:hint="eastAsia"/>
                <w:bCs/>
                <w:sz w:val="24"/>
              </w:rPr>
              <w:t>了</w:t>
            </w:r>
            <w:r>
              <w:rPr>
                <w:bCs/>
                <w:sz w:val="24"/>
              </w:rPr>
              <w:t>忻州市人民政府忻政发[2021]12号《关于印发忻州市“三线一单”生态环境分区管控实施方案的通知》及其附件，明确</w:t>
            </w:r>
            <w:r>
              <w:rPr>
                <w:rFonts w:hint="eastAsia"/>
                <w:bCs/>
                <w:sz w:val="24"/>
              </w:rPr>
              <w:t>了</w:t>
            </w:r>
            <w:r>
              <w:rPr>
                <w:bCs/>
                <w:sz w:val="24"/>
              </w:rPr>
              <w:t>场址所处生态环境管控单元，对照生态环境总体准入清单，分析</w:t>
            </w:r>
            <w:r>
              <w:rPr>
                <w:rFonts w:hint="eastAsia"/>
                <w:bCs/>
                <w:sz w:val="24"/>
              </w:rPr>
              <w:t>了</w:t>
            </w:r>
            <w:r>
              <w:rPr>
                <w:bCs/>
                <w:sz w:val="24"/>
              </w:rPr>
              <w:t>项目选址的符合性。</w:t>
            </w:r>
          </w:p>
          <w:p>
            <w:pPr>
              <w:adjustRightInd w:val="0"/>
              <w:snapToGrid w:val="0"/>
              <w:rPr>
                <w:bCs/>
                <w:sz w:val="24"/>
              </w:rPr>
            </w:pPr>
            <w:r>
              <w:rPr>
                <w:bCs/>
                <w:sz w:val="24"/>
              </w:rPr>
              <w:t>进一步明确用地性质，调查当地土地利用规划，分析</w:t>
            </w:r>
            <w:r>
              <w:rPr>
                <w:rFonts w:hint="eastAsia"/>
                <w:bCs/>
                <w:sz w:val="24"/>
              </w:rPr>
              <w:t>了</w:t>
            </w:r>
            <w:r>
              <w:rPr>
                <w:bCs/>
                <w:sz w:val="24"/>
              </w:rPr>
              <w:t>和规划的符合性。</w:t>
            </w:r>
          </w:p>
          <w:p>
            <w:pPr>
              <w:adjustRightInd w:val="0"/>
              <w:snapToGrid w:val="0"/>
              <w:rPr>
                <w:sz w:val="24"/>
              </w:rPr>
            </w:pPr>
            <w:r>
              <w:rPr>
                <w:bCs/>
                <w:sz w:val="24"/>
              </w:rPr>
              <w:t>进一步明确</w:t>
            </w:r>
            <w:r>
              <w:rPr>
                <w:rFonts w:hint="eastAsia"/>
                <w:bCs/>
                <w:sz w:val="24"/>
              </w:rPr>
              <w:t>了</w:t>
            </w:r>
            <w:r>
              <w:rPr>
                <w:bCs/>
                <w:sz w:val="24"/>
              </w:rPr>
              <w:t>两区区划的禁止、限制、环境保护要求，逐条分析</w:t>
            </w:r>
            <w:r>
              <w:rPr>
                <w:rFonts w:hint="eastAsia"/>
                <w:bCs/>
                <w:sz w:val="24"/>
              </w:rPr>
              <w:t>了</w:t>
            </w:r>
            <w:r>
              <w:rPr>
                <w:bCs/>
                <w:sz w:val="24"/>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2</w:t>
            </w:r>
          </w:p>
        </w:tc>
        <w:tc>
          <w:tcPr>
            <w:tcW w:w="6095" w:type="dxa"/>
            <w:vAlign w:val="center"/>
          </w:tcPr>
          <w:p>
            <w:pPr>
              <w:adjustRightInd w:val="0"/>
              <w:snapToGrid w:val="0"/>
              <w:rPr>
                <w:sz w:val="24"/>
              </w:rPr>
            </w:pPr>
            <w:r>
              <w:rPr>
                <w:bCs/>
                <w:sz w:val="24"/>
              </w:rPr>
              <w:t>根据当地殡葬需求等，从“三沿六区”、建筑面积、面积指标、容积率、绿地率建筑设施及专用设备等方面，细化本项目与《山西省殡葬基础设施建设指南》的符合性分析。</w:t>
            </w:r>
          </w:p>
        </w:tc>
        <w:tc>
          <w:tcPr>
            <w:tcW w:w="6909" w:type="dxa"/>
            <w:vAlign w:val="center"/>
          </w:tcPr>
          <w:p>
            <w:pPr>
              <w:adjustRightInd w:val="0"/>
              <w:snapToGrid w:val="0"/>
              <w:rPr>
                <w:sz w:val="24"/>
              </w:rPr>
            </w:pPr>
            <w:r>
              <w:rPr>
                <w:bCs/>
                <w:sz w:val="24"/>
              </w:rPr>
              <w:t>根据当地殡葬需求等，从“三沿六区”、建筑面积、面积指标、容积率、绿地率建筑设施及专用设备等方面，细化</w:t>
            </w:r>
            <w:r>
              <w:rPr>
                <w:rFonts w:hint="eastAsia"/>
                <w:bCs/>
                <w:sz w:val="24"/>
              </w:rPr>
              <w:t>了</w:t>
            </w:r>
            <w:r>
              <w:rPr>
                <w:bCs/>
                <w:sz w:val="24"/>
              </w:rPr>
              <w:t>本项目与《山西省殡葬基础设施建设指南》的符合性分析。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3</w:t>
            </w:r>
          </w:p>
        </w:tc>
        <w:tc>
          <w:tcPr>
            <w:tcW w:w="6095" w:type="dxa"/>
            <w:vAlign w:val="center"/>
          </w:tcPr>
          <w:p>
            <w:pPr>
              <w:adjustRightInd w:val="0"/>
              <w:snapToGrid w:val="0"/>
              <w:rPr>
                <w:sz w:val="24"/>
              </w:rPr>
            </w:pPr>
            <w:r>
              <w:rPr>
                <w:bCs/>
                <w:sz w:val="24"/>
              </w:rPr>
              <w:t>细化柴油罐区工程建设内容，明确储罐结构及密封方式等；补充柴油发电机工程建设内容；细化绿化工程、提升绿地率；核实冷藏柜数量，应原则上符合最低数量50个以上的要求；核实殡仪专用车数量；完善原辅材料一览表（种类、数量等），确定燃油牌号，补充成分、含硫量等；核实用水指标、用排水量，补充冷却水定排量、冷凝水，核实水平衡。</w:t>
            </w:r>
          </w:p>
        </w:tc>
        <w:tc>
          <w:tcPr>
            <w:tcW w:w="6909" w:type="dxa"/>
            <w:vAlign w:val="center"/>
          </w:tcPr>
          <w:p>
            <w:pPr>
              <w:adjustRightInd w:val="0"/>
              <w:snapToGrid w:val="0"/>
              <w:rPr>
                <w:sz w:val="24"/>
              </w:rPr>
            </w:pPr>
            <w:r>
              <w:rPr>
                <w:bCs/>
                <w:sz w:val="24"/>
              </w:rPr>
              <w:t>细化</w:t>
            </w:r>
            <w:r>
              <w:rPr>
                <w:rFonts w:hint="eastAsia"/>
                <w:bCs/>
                <w:sz w:val="24"/>
              </w:rPr>
              <w:t>了</w:t>
            </w:r>
            <w:r>
              <w:rPr>
                <w:bCs/>
                <w:sz w:val="24"/>
              </w:rPr>
              <w:t>柴油罐区工程建设内容，明确</w:t>
            </w:r>
            <w:r>
              <w:rPr>
                <w:rFonts w:hint="eastAsia"/>
                <w:bCs/>
                <w:sz w:val="24"/>
              </w:rPr>
              <w:t>了</w:t>
            </w:r>
            <w:r>
              <w:rPr>
                <w:bCs/>
                <w:sz w:val="24"/>
              </w:rPr>
              <w:t>储罐结构及密封方式等；补充</w:t>
            </w:r>
            <w:r>
              <w:rPr>
                <w:rFonts w:hint="eastAsia"/>
                <w:bCs/>
                <w:sz w:val="24"/>
              </w:rPr>
              <w:t>了</w:t>
            </w:r>
            <w:r>
              <w:rPr>
                <w:bCs/>
                <w:sz w:val="24"/>
              </w:rPr>
              <w:t>柴油发电机工程建设内容；细化</w:t>
            </w:r>
            <w:r>
              <w:rPr>
                <w:rFonts w:hint="eastAsia"/>
                <w:bCs/>
                <w:sz w:val="24"/>
              </w:rPr>
              <w:t>了</w:t>
            </w:r>
            <w:r>
              <w:rPr>
                <w:bCs/>
                <w:sz w:val="24"/>
              </w:rPr>
              <w:t>绿化工程、提升</w:t>
            </w:r>
            <w:r>
              <w:rPr>
                <w:rFonts w:hint="eastAsia"/>
                <w:bCs/>
                <w:sz w:val="24"/>
              </w:rPr>
              <w:t>了</w:t>
            </w:r>
            <w:r>
              <w:rPr>
                <w:bCs/>
                <w:sz w:val="24"/>
              </w:rPr>
              <w:t>绿地率；核实</w:t>
            </w:r>
            <w:r>
              <w:rPr>
                <w:rFonts w:hint="eastAsia"/>
                <w:bCs/>
                <w:sz w:val="24"/>
              </w:rPr>
              <w:t>了</w:t>
            </w:r>
            <w:r>
              <w:rPr>
                <w:bCs/>
                <w:sz w:val="24"/>
              </w:rPr>
              <w:t>冷藏柜数量，符合最低数量50个以上的要求；核实殡仪专用车数量；完善</w:t>
            </w:r>
            <w:r>
              <w:rPr>
                <w:rFonts w:hint="eastAsia"/>
                <w:bCs/>
                <w:sz w:val="24"/>
              </w:rPr>
              <w:t>了</w:t>
            </w:r>
            <w:r>
              <w:rPr>
                <w:bCs/>
                <w:sz w:val="24"/>
              </w:rPr>
              <w:t>原辅材料一览表（种类、数量等），确定</w:t>
            </w:r>
            <w:r>
              <w:rPr>
                <w:rFonts w:hint="eastAsia"/>
                <w:bCs/>
                <w:sz w:val="24"/>
              </w:rPr>
              <w:t>了</w:t>
            </w:r>
            <w:r>
              <w:rPr>
                <w:bCs/>
                <w:sz w:val="24"/>
              </w:rPr>
              <w:t>燃油牌号，补充成分、含硫量等；核实</w:t>
            </w:r>
            <w:r>
              <w:rPr>
                <w:rFonts w:hint="eastAsia"/>
                <w:bCs/>
                <w:sz w:val="24"/>
              </w:rPr>
              <w:t>了</w:t>
            </w:r>
            <w:r>
              <w:rPr>
                <w:bCs/>
                <w:sz w:val="24"/>
              </w:rPr>
              <w:t>用水指标、用排水量，补充</w:t>
            </w:r>
            <w:r>
              <w:rPr>
                <w:rFonts w:hint="eastAsia"/>
                <w:bCs/>
                <w:sz w:val="24"/>
              </w:rPr>
              <w:t>了</w:t>
            </w:r>
            <w:r>
              <w:rPr>
                <w:bCs/>
                <w:sz w:val="24"/>
              </w:rPr>
              <w:t>冷却水定排量、冷凝水，核实</w:t>
            </w:r>
            <w:r>
              <w:rPr>
                <w:rFonts w:hint="eastAsia"/>
                <w:bCs/>
                <w:sz w:val="24"/>
              </w:rPr>
              <w:t>了</w:t>
            </w:r>
            <w:r>
              <w:rPr>
                <w:bCs/>
                <w:sz w:val="24"/>
              </w:rPr>
              <w:t>水平衡。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4</w:t>
            </w:r>
          </w:p>
        </w:tc>
        <w:tc>
          <w:tcPr>
            <w:tcW w:w="6095" w:type="dxa"/>
            <w:vAlign w:val="center"/>
          </w:tcPr>
          <w:p>
            <w:pPr>
              <w:adjustRightInd w:val="0"/>
              <w:snapToGrid w:val="0"/>
              <w:rPr>
                <w:bCs/>
                <w:sz w:val="24"/>
              </w:rPr>
            </w:pPr>
            <w:r>
              <w:rPr>
                <w:bCs/>
                <w:sz w:val="24"/>
              </w:rPr>
              <w:t>细化工艺流程，完善工艺“3T”控制技术，说清项目从工艺环节减少污染物的产生情况；补充遗物祭品焚烧炉的入炉要求，根据入炉物品种类、理化特性等，明确特征污染物种类。</w:t>
            </w:r>
          </w:p>
          <w:p>
            <w:pPr>
              <w:adjustRightInd w:val="0"/>
              <w:snapToGrid w:val="0"/>
              <w:rPr>
                <w:bCs/>
                <w:sz w:val="24"/>
              </w:rPr>
            </w:pPr>
            <w:r>
              <w:rPr>
                <w:bCs/>
                <w:sz w:val="24"/>
              </w:rPr>
              <w:t>补充当季主导风向，说明补充监测点位设置的合理性，明确两种炉型特征污染物，说明TSP、VOCs有机废气等不进行补充监测的理由；说明土壤现状监测不设场内监测点的原因。</w:t>
            </w:r>
          </w:p>
          <w:p>
            <w:pPr>
              <w:adjustRightInd w:val="0"/>
              <w:snapToGrid w:val="0"/>
              <w:rPr>
                <w:bCs/>
                <w:sz w:val="24"/>
              </w:rPr>
            </w:pPr>
            <w:r>
              <w:rPr>
                <w:bCs/>
                <w:sz w:val="24"/>
              </w:rPr>
              <w:t>细化敏感因素的调查，完善环境保护目标。</w:t>
            </w:r>
          </w:p>
          <w:p>
            <w:pPr>
              <w:adjustRightInd w:val="0"/>
              <w:snapToGrid w:val="0"/>
              <w:rPr>
                <w:sz w:val="24"/>
              </w:rPr>
            </w:pPr>
            <w:r>
              <w:rPr>
                <w:bCs/>
                <w:sz w:val="24"/>
              </w:rPr>
              <w:t>更新《城市污水再生利用 城市杂用水水质》，修正相应评价内容。</w:t>
            </w:r>
          </w:p>
        </w:tc>
        <w:tc>
          <w:tcPr>
            <w:tcW w:w="6909" w:type="dxa"/>
            <w:vAlign w:val="center"/>
          </w:tcPr>
          <w:p>
            <w:pPr>
              <w:adjustRightInd w:val="0"/>
              <w:snapToGrid w:val="0"/>
              <w:rPr>
                <w:bCs/>
                <w:sz w:val="24"/>
              </w:rPr>
            </w:pPr>
            <w:r>
              <w:rPr>
                <w:bCs/>
                <w:sz w:val="24"/>
              </w:rPr>
              <w:t>细化</w:t>
            </w:r>
            <w:r>
              <w:rPr>
                <w:rFonts w:hint="eastAsia"/>
                <w:bCs/>
                <w:sz w:val="24"/>
              </w:rPr>
              <w:t>了</w:t>
            </w:r>
            <w:r>
              <w:rPr>
                <w:bCs/>
                <w:sz w:val="24"/>
              </w:rPr>
              <w:t>工艺流程，完善工艺</w:t>
            </w:r>
            <w:r>
              <w:rPr>
                <w:rFonts w:hint="eastAsia"/>
                <w:bCs/>
                <w:sz w:val="24"/>
              </w:rPr>
              <w:t>了</w:t>
            </w:r>
            <w:r>
              <w:rPr>
                <w:bCs/>
                <w:sz w:val="24"/>
              </w:rPr>
              <w:t>“3T”控制技术，说清</w:t>
            </w:r>
            <w:r>
              <w:rPr>
                <w:rFonts w:hint="eastAsia"/>
                <w:bCs/>
                <w:sz w:val="24"/>
              </w:rPr>
              <w:t>了</w:t>
            </w:r>
            <w:r>
              <w:rPr>
                <w:bCs/>
                <w:sz w:val="24"/>
              </w:rPr>
              <w:t>项目从工艺环节减少污染物的产生情况；补充</w:t>
            </w:r>
            <w:r>
              <w:rPr>
                <w:rFonts w:hint="eastAsia"/>
                <w:bCs/>
                <w:sz w:val="24"/>
              </w:rPr>
              <w:t>了</w:t>
            </w:r>
            <w:r>
              <w:rPr>
                <w:bCs/>
                <w:sz w:val="24"/>
              </w:rPr>
              <w:t>遗物祭品焚烧炉的入炉要求，根据入炉物品种类、理化特性等，明确</w:t>
            </w:r>
            <w:r>
              <w:rPr>
                <w:rFonts w:hint="eastAsia"/>
                <w:bCs/>
                <w:sz w:val="24"/>
              </w:rPr>
              <w:t>了</w:t>
            </w:r>
            <w:r>
              <w:rPr>
                <w:bCs/>
                <w:sz w:val="24"/>
              </w:rPr>
              <w:t>特征污染物种类。</w:t>
            </w:r>
          </w:p>
          <w:p>
            <w:pPr>
              <w:adjustRightInd w:val="0"/>
              <w:snapToGrid w:val="0"/>
              <w:rPr>
                <w:bCs/>
                <w:sz w:val="24"/>
              </w:rPr>
            </w:pPr>
            <w:r>
              <w:rPr>
                <w:bCs/>
                <w:sz w:val="24"/>
              </w:rPr>
              <w:t>补充</w:t>
            </w:r>
            <w:r>
              <w:rPr>
                <w:rFonts w:hint="eastAsia"/>
                <w:bCs/>
                <w:sz w:val="24"/>
              </w:rPr>
              <w:t>了</w:t>
            </w:r>
            <w:r>
              <w:rPr>
                <w:bCs/>
                <w:sz w:val="24"/>
              </w:rPr>
              <w:t>当季主导风向，说明补充监测点位设置的合理性，明确两种炉型特征污染物，说明TSP、VOCs有机废气等不进行补充监测的理由；说明</w:t>
            </w:r>
            <w:r>
              <w:rPr>
                <w:rFonts w:hint="eastAsia"/>
                <w:bCs/>
                <w:sz w:val="24"/>
              </w:rPr>
              <w:t>了</w:t>
            </w:r>
            <w:r>
              <w:rPr>
                <w:bCs/>
                <w:sz w:val="24"/>
              </w:rPr>
              <w:t>土壤现状监测不设场内监测点的原因。</w:t>
            </w:r>
          </w:p>
          <w:p>
            <w:pPr>
              <w:adjustRightInd w:val="0"/>
              <w:snapToGrid w:val="0"/>
              <w:rPr>
                <w:bCs/>
                <w:sz w:val="24"/>
              </w:rPr>
            </w:pPr>
            <w:r>
              <w:rPr>
                <w:bCs/>
                <w:sz w:val="24"/>
              </w:rPr>
              <w:t>细化</w:t>
            </w:r>
            <w:r>
              <w:rPr>
                <w:rFonts w:hint="eastAsia"/>
                <w:bCs/>
                <w:sz w:val="24"/>
              </w:rPr>
              <w:t>了</w:t>
            </w:r>
            <w:r>
              <w:rPr>
                <w:bCs/>
                <w:sz w:val="24"/>
              </w:rPr>
              <w:t>敏感因素的调查，完善环境保护目标。</w:t>
            </w:r>
          </w:p>
          <w:p>
            <w:pPr>
              <w:adjustRightInd w:val="0"/>
              <w:snapToGrid w:val="0"/>
              <w:rPr>
                <w:sz w:val="24"/>
              </w:rPr>
            </w:pPr>
            <w:r>
              <w:rPr>
                <w:bCs/>
                <w:sz w:val="24"/>
              </w:rPr>
              <w:t>更新《城市污水再生利用 城市杂用水水质》，修正相应评价内容。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5</w:t>
            </w:r>
          </w:p>
        </w:tc>
        <w:tc>
          <w:tcPr>
            <w:tcW w:w="6095" w:type="dxa"/>
            <w:vAlign w:val="center"/>
          </w:tcPr>
          <w:p>
            <w:pPr>
              <w:adjustRightInd w:val="0"/>
              <w:snapToGrid w:val="0"/>
              <w:rPr>
                <w:sz w:val="24"/>
              </w:rPr>
            </w:pPr>
            <w:r>
              <w:rPr>
                <w:sz w:val="24"/>
              </w:rPr>
              <w:t>核实废气污染物排放源一栏表，补充生产设施开停炉（机）等非正常情况的频次、排放浓度、持续时间、排放量及措施。</w:t>
            </w:r>
          </w:p>
          <w:p>
            <w:pPr>
              <w:adjustRightInd w:val="0"/>
              <w:snapToGrid w:val="0"/>
              <w:rPr>
                <w:sz w:val="24"/>
              </w:rPr>
            </w:pPr>
            <w:r>
              <w:rPr>
                <w:sz w:val="24"/>
              </w:rPr>
              <w:t>明确火化机运行时数，根据核准后的燃油量，核对火化机废气产生量，核实废气治理措施，并应保持全篇统一，补充末端连续稳定作业的保障措施，核实污染物产排浓度、产排量；根据完善后入炉物品种类，说明是否产生有机废气等其他污染物，进一步确定遗物祭品焚烧炉烟气的污染物种类、治理措施；明确备用柴油发电机自带的烟气净化装置种类、处理原理、处理效果等，分析可行性；补充各污染防治设施设备的技术参数；根据周边200米内建筑物高度，核实各排气筒高度，并保持一致。强化污水处理站恶臭防治措施。</w:t>
            </w:r>
          </w:p>
        </w:tc>
        <w:tc>
          <w:tcPr>
            <w:tcW w:w="6909" w:type="dxa"/>
            <w:vAlign w:val="center"/>
          </w:tcPr>
          <w:p>
            <w:pPr>
              <w:adjustRightInd w:val="0"/>
              <w:snapToGrid w:val="0"/>
              <w:rPr>
                <w:sz w:val="24"/>
              </w:rPr>
            </w:pPr>
            <w:r>
              <w:rPr>
                <w:sz w:val="24"/>
              </w:rPr>
              <w:t>核实</w:t>
            </w:r>
            <w:r>
              <w:rPr>
                <w:rFonts w:hint="eastAsia"/>
                <w:bCs/>
                <w:sz w:val="24"/>
              </w:rPr>
              <w:t>了</w:t>
            </w:r>
            <w:r>
              <w:rPr>
                <w:sz w:val="24"/>
              </w:rPr>
              <w:t>废气污染物排放源一栏表，补充</w:t>
            </w:r>
            <w:r>
              <w:rPr>
                <w:rFonts w:hint="eastAsia"/>
                <w:bCs/>
                <w:sz w:val="24"/>
              </w:rPr>
              <w:t>了</w:t>
            </w:r>
            <w:r>
              <w:rPr>
                <w:sz w:val="24"/>
              </w:rPr>
              <w:t>生产设施开停炉（机）等非正常情况的频次、排放浓度、持续时间、排放量及措施。</w:t>
            </w:r>
          </w:p>
          <w:p>
            <w:pPr>
              <w:adjustRightInd w:val="0"/>
              <w:snapToGrid w:val="0"/>
              <w:rPr>
                <w:sz w:val="24"/>
              </w:rPr>
            </w:pPr>
            <w:r>
              <w:rPr>
                <w:sz w:val="24"/>
              </w:rPr>
              <w:t>明确火化机运行时数，根据核准后的燃油量，核对火化机废气产生量，核实废气治理措施，并应保持全篇统一，补充末端连续稳定作业的保障措施，核实污染物产排浓度、产排量；根据完善后入炉物品种类，说明是否产生有机废气等其他污染物，进一步确定遗物祭品焚烧炉烟气的污染物种类、治理措施；明确备用柴油发电机自带的烟气净化装置种类、处理原理、处理效果等，分析可行性；补充各污染防治设施设备的技术参数；根据周边200米内建筑物高度，核实各排气筒高度，并保持一致。强化污水处理站恶臭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6</w:t>
            </w:r>
          </w:p>
        </w:tc>
        <w:tc>
          <w:tcPr>
            <w:tcW w:w="6095" w:type="dxa"/>
            <w:vAlign w:val="center"/>
          </w:tcPr>
          <w:p>
            <w:pPr>
              <w:adjustRightInd w:val="0"/>
              <w:snapToGrid w:val="0"/>
              <w:rPr>
                <w:sz w:val="24"/>
              </w:rPr>
            </w:pPr>
            <w:r>
              <w:rPr>
                <w:bCs/>
                <w:sz w:val="24"/>
              </w:rPr>
              <w:t>补充各废水收集系统、水质，根据核实后的种类、水量，核实污水处理站处理规模，强化处理工艺，补充出水水质，对照修正后的回用水标准，细化消纳性分析，补充冬季抽送设备、管理要求、可行性、可靠性等分析，并从处理能力、处理工艺、设计进出水水质等方面，分析依托的下游集中污水处理厂的可行性。补充地表水环境影响评价结论。</w:t>
            </w:r>
          </w:p>
        </w:tc>
        <w:tc>
          <w:tcPr>
            <w:tcW w:w="6909" w:type="dxa"/>
            <w:vAlign w:val="center"/>
          </w:tcPr>
          <w:p>
            <w:pPr>
              <w:adjustRightInd w:val="0"/>
              <w:snapToGrid w:val="0"/>
              <w:rPr>
                <w:sz w:val="24"/>
              </w:rPr>
            </w:pPr>
            <w:r>
              <w:rPr>
                <w:bCs/>
                <w:sz w:val="24"/>
              </w:rPr>
              <w:t>补充</w:t>
            </w:r>
            <w:r>
              <w:rPr>
                <w:rFonts w:hint="eastAsia"/>
                <w:bCs/>
                <w:sz w:val="24"/>
              </w:rPr>
              <w:t>了</w:t>
            </w:r>
            <w:r>
              <w:rPr>
                <w:bCs/>
                <w:sz w:val="24"/>
              </w:rPr>
              <w:t>各废水收集系统、水质，根据核实后的种类、水量，核实污水处理站处理规模，强化处理工艺，补充出水水质，对照修正后的回用水标准，细化消纳性分析，补充冬季抽送设备、管理要求、可行性、可靠性等分析，并从处理能力、处理工艺、设计进出水水质等方面，分析依托的下游集中污水处理厂的可行性。补充地表水环境影响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7</w:t>
            </w:r>
          </w:p>
        </w:tc>
        <w:tc>
          <w:tcPr>
            <w:tcW w:w="6095" w:type="dxa"/>
            <w:vAlign w:val="center"/>
          </w:tcPr>
          <w:p>
            <w:pPr>
              <w:adjustRightInd w:val="0"/>
              <w:snapToGrid w:val="0"/>
              <w:rPr>
                <w:bCs/>
                <w:sz w:val="24"/>
              </w:rPr>
            </w:pPr>
            <w:r>
              <w:rPr>
                <w:bCs/>
                <w:sz w:val="24"/>
              </w:rPr>
              <w:t>核实固废种类、数量，核准固废属性，完善代码、理化特性；细化污泥干化，补充含水率，明确最终去向，补充处置单位相应情况介绍等，分析是否符合要求。细化危废库的建设要求、收集、管理、转运、台账、标识标牌等内容。</w:t>
            </w:r>
          </w:p>
          <w:p>
            <w:pPr>
              <w:adjustRightInd w:val="0"/>
              <w:snapToGrid w:val="0"/>
              <w:rPr>
                <w:sz w:val="24"/>
              </w:rPr>
            </w:pPr>
            <w:r>
              <w:rPr>
                <w:bCs/>
                <w:sz w:val="24"/>
              </w:rPr>
              <w:t>补充备用柴油发电机运行时的噪声源项、源强、防治措施、厂界及环境保护目标的达标和影响分析内容。</w:t>
            </w:r>
          </w:p>
        </w:tc>
        <w:tc>
          <w:tcPr>
            <w:tcW w:w="6909" w:type="dxa"/>
            <w:vAlign w:val="center"/>
          </w:tcPr>
          <w:p>
            <w:pPr>
              <w:adjustRightInd w:val="0"/>
              <w:snapToGrid w:val="0"/>
              <w:rPr>
                <w:bCs/>
                <w:sz w:val="24"/>
              </w:rPr>
            </w:pPr>
            <w:r>
              <w:rPr>
                <w:bCs/>
                <w:sz w:val="24"/>
              </w:rPr>
              <w:t>核实固废种类、数量，核准固废属性，完善代码、理化特性；细化污泥干化，补充含水率，明确最终去向，补充处置单位相应情况介绍等，分析是否符合要求。细化危废库的建设要求、收集、管理、转运、台账、标识标牌等内容。</w:t>
            </w:r>
          </w:p>
          <w:p>
            <w:pPr>
              <w:adjustRightInd w:val="0"/>
              <w:snapToGrid w:val="0"/>
              <w:rPr>
                <w:sz w:val="24"/>
              </w:rPr>
            </w:pPr>
            <w:r>
              <w:rPr>
                <w:bCs/>
                <w:sz w:val="24"/>
              </w:rPr>
              <w:t>补充备用柴油发电机运行时的噪声源项、源强、防治措施、厂界及环境保护目标的达标和影响分析内容。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vAlign w:val="center"/>
          </w:tcPr>
          <w:p>
            <w:pPr>
              <w:adjustRightInd w:val="0"/>
              <w:snapToGrid w:val="0"/>
              <w:jc w:val="center"/>
              <w:rPr>
                <w:sz w:val="24"/>
              </w:rPr>
            </w:pPr>
            <w:r>
              <w:rPr>
                <w:sz w:val="24"/>
              </w:rPr>
              <w:t>8</w:t>
            </w:r>
          </w:p>
        </w:tc>
        <w:tc>
          <w:tcPr>
            <w:tcW w:w="6095" w:type="dxa"/>
            <w:vAlign w:val="center"/>
          </w:tcPr>
          <w:p>
            <w:pPr>
              <w:adjustRightInd w:val="0"/>
              <w:snapToGrid w:val="0"/>
              <w:rPr>
                <w:sz w:val="24"/>
              </w:rPr>
            </w:pPr>
            <w:r>
              <w:rPr>
                <w:sz w:val="24"/>
              </w:rPr>
              <w:t>补充土壤理化特性。核实柴油等危险物质和风险源种类、场内存在量以及分布情况、可能影响途径，并提出相应环境风险防范措施。</w:t>
            </w:r>
          </w:p>
          <w:p>
            <w:pPr>
              <w:adjustRightInd w:val="0"/>
              <w:snapToGrid w:val="0"/>
              <w:rPr>
                <w:sz w:val="24"/>
              </w:rPr>
            </w:pPr>
            <w:r>
              <w:rPr>
                <w:sz w:val="24"/>
              </w:rPr>
              <w:t>核实环保投资，修正环境保护措施监督检查清单、建设项目污染物排放量汇总表。</w:t>
            </w:r>
          </w:p>
        </w:tc>
        <w:tc>
          <w:tcPr>
            <w:tcW w:w="6909" w:type="dxa"/>
            <w:vAlign w:val="center"/>
          </w:tcPr>
          <w:p>
            <w:pPr>
              <w:adjustRightInd w:val="0"/>
              <w:snapToGrid w:val="0"/>
              <w:rPr>
                <w:sz w:val="24"/>
              </w:rPr>
            </w:pPr>
            <w:r>
              <w:rPr>
                <w:sz w:val="24"/>
              </w:rPr>
              <w:t>补充</w:t>
            </w:r>
            <w:r>
              <w:rPr>
                <w:rFonts w:hint="eastAsia"/>
                <w:bCs/>
                <w:sz w:val="24"/>
              </w:rPr>
              <w:t>了</w:t>
            </w:r>
            <w:r>
              <w:rPr>
                <w:sz w:val="24"/>
              </w:rPr>
              <w:t>土壤理化特性。核实柴油等危险物质和风险源种类、场内存在量以及分布情况、可能影响途径，并提出相应环境风险防范措施。</w:t>
            </w:r>
          </w:p>
          <w:p>
            <w:pPr>
              <w:adjustRightInd w:val="0"/>
              <w:snapToGrid w:val="0"/>
              <w:rPr>
                <w:sz w:val="24"/>
              </w:rPr>
            </w:pPr>
            <w:r>
              <w:rPr>
                <w:sz w:val="24"/>
              </w:rPr>
              <w:t>核实</w:t>
            </w:r>
            <w:r>
              <w:rPr>
                <w:rFonts w:hint="eastAsia"/>
                <w:bCs/>
                <w:sz w:val="24"/>
              </w:rPr>
              <w:t>了</w:t>
            </w:r>
            <w:r>
              <w:rPr>
                <w:sz w:val="24"/>
              </w:rPr>
              <w:t>环保投资，修正</w:t>
            </w:r>
            <w:r>
              <w:rPr>
                <w:rFonts w:hint="eastAsia"/>
                <w:bCs/>
                <w:sz w:val="24"/>
              </w:rPr>
              <w:t>了</w:t>
            </w:r>
            <w:r>
              <w:rPr>
                <w:sz w:val="24"/>
              </w:rPr>
              <w:t>环境保护措施监督检查清单、建设项目污染物排放量汇总表。</w:t>
            </w:r>
          </w:p>
        </w:tc>
      </w:tr>
    </w:tbl>
    <w:p>
      <w:pPr>
        <w:adjustRightInd w:val="0"/>
        <w:snapToGrid w:val="0"/>
        <w:spacing w:line="480" w:lineRule="exact"/>
        <w:jc w:val="center"/>
        <w:rPr>
          <w:rFonts w:ascii="楷体_GB2312" w:eastAsia="楷体_GB2312"/>
          <w:sz w:val="24"/>
        </w:rPr>
      </w:pPr>
    </w:p>
    <w:p>
      <w:pPr>
        <w:adjustRightInd w:val="0"/>
        <w:snapToGrid w:val="0"/>
        <w:spacing w:line="288" w:lineRule="auto"/>
        <w:ind w:firstLine="1040"/>
        <w:rPr>
          <w:rFonts w:ascii="仿宋_GB2312" w:eastAsia="仿宋_GB2312"/>
          <w:sz w:val="36"/>
          <w:szCs w:val="36"/>
        </w:rPr>
        <w:sectPr>
          <w:pgSz w:w="16838" w:h="11906" w:orient="landscape"/>
          <w:pgMar w:top="1247" w:right="1418" w:bottom="1247" w:left="1418" w:header="851" w:footer="964" w:gutter="0"/>
          <w:pgNumType w:start="3"/>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456"/>
        <w:gridCol w:w="2009"/>
        <w:gridCol w:w="1755"/>
        <w:gridCol w:w="1883"/>
        <w:gridCol w:w="29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建设项目名称</w:t>
            </w:r>
          </w:p>
        </w:tc>
        <w:tc>
          <w:tcPr>
            <w:tcW w:w="3657" w:type="pct"/>
            <w:gridSpan w:val="3"/>
            <w:vAlign w:val="center"/>
          </w:tcPr>
          <w:p>
            <w:pPr>
              <w:adjustRightInd w:val="0"/>
              <w:snapToGrid w:val="0"/>
              <w:jc w:val="center"/>
              <w:rPr>
                <w:sz w:val="24"/>
              </w:rPr>
            </w:pPr>
            <w:r>
              <w:rPr>
                <w:sz w:val="24"/>
              </w:rPr>
              <w:t>五台县殡仪馆项目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项目代码</w:t>
            </w:r>
          </w:p>
        </w:tc>
        <w:tc>
          <w:tcPr>
            <w:tcW w:w="3657" w:type="pct"/>
            <w:gridSpan w:val="3"/>
            <w:vAlign w:val="center"/>
          </w:tcPr>
          <w:p>
            <w:pPr>
              <w:adjustRightInd w:val="0"/>
              <w:snapToGrid w:val="0"/>
              <w:jc w:val="center"/>
              <w:rPr>
                <w:sz w:val="24"/>
              </w:rPr>
            </w:pPr>
            <w:r>
              <w:rPr>
                <w:sz w:val="24"/>
              </w:rPr>
              <w:t>2020-140922-80-01-009606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建设单位联系人</w:t>
            </w:r>
          </w:p>
        </w:tc>
        <w:tc>
          <w:tcPr>
            <w:tcW w:w="969" w:type="pct"/>
            <w:vAlign w:val="center"/>
          </w:tcPr>
          <w:p>
            <w:pPr>
              <w:adjustRightInd w:val="0"/>
              <w:snapToGrid w:val="0"/>
              <w:jc w:val="center"/>
              <w:rPr>
                <w:sz w:val="24"/>
              </w:rPr>
            </w:pPr>
            <w:r>
              <w:rPr>
                <w:rFonts w:hint="eastAsia"/>
                <w:sz w:val="24"/>
              </w:rPr>
              <w:t>王荣伟</w:t>
            </w:r>
          </w:p>
        </w:tc>
        <w:tc>
          <w:tcPr>
            <w:tcW w:w="1039" w:type="pct"/>
            <w:vAlign w:val="center"/>
          </w:tcPr>
          <w:p>
            <w:pPr>
              <w:adjustRightInd w:val="0"/>
              <w:snapToGrid w:val="0"/>
              <w:jc w:val="center"/>
              <w:rPr>
                <w:sz w:val="24"/>
              </w:rPr>
            </w:pPr>
            <w:r>
              <w:rPr>
                <w:sz w:val="24"/>
              </w:rPr>
              <w:t>联系方式</w:t>
            </w:r>
          </w:p>
        </w:tc>
        <w:tc>
          <w:tcPr>
            <w:tcW w:w="1649" w:type="pct"/>
            <w:vAlign w:val="center"/>
          </w:tcPr>
          <w:p>
            <w:pPr>
              <w:adjustRightInd w:val="0"/>
              <w:snapToGrid w:val="0"/>
              <w:jc w:val="center"/>
              <w:rPr>
                <w:sz w:val="24"/>
              </w:rPr>
            </w:pPr>
            <w:r>
              <w:rPr>
                <w:sz w:val="24"/>
              </w:rPr>
              <w:t>13403509169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建设地点</w:t>
            </w:r>
          </w:p>
        </w:tc>
        <w:tc>
          <w:tcPr>
            <w:tcW w:w="3657" w:type="pct"/>
            <w:gridSpan w:val="3"/>
            <w:vAlign w:val="center"/>
          </w:tcPr>
          <w:p>
            <w:pPr>
              <w:adjustRightInd w:val="0"/>
              <w:snapToGrid w:val="0"/>
              <w:jc w:val="center"/>
              <w:rPr>
                <w:sz w:val="24"/>
              </w:rPr>
            </w:pPr>
            <w:r>
              <w:rPr>
                <w:sz w:val="24"/>
              </w:rPr>
              <w:t>山西省忻州市五台县茹村乡东茹村恶山坪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地理坐标</w:t>
            </w:r>
          </w:p>
        </w:tc>
        <w:tc>
          <w:tcPr>
            <w:tcW w:w="3657" w:type="pct"/>
            <w:gridSpan w:val="3"/>
            <w:vAlign w:val="center"/>
          </w:tcPr>
          <w:p>
            <w:pPr>
              <w:jc w:val="center"/>
              <w:rPr>
                <w:sz w:val="24"/>
              </w:rPr>
            </w:pPr>
            <w:r>
              <w:rPr>
                <w:sz w:val="24"/>
              </w:rPr>
              <w:t>（</w:t>
            </w:r>
            <w:r>
              <w:rPr>
                <w:sz w:val="24"/>
                <w:u w:val="single"/>
              </w:rPr>
              <w:t xml:space="preserve"> 113 </w:t>
            </w:r>
            <w:r>
              <w:rPr>
                <w:sz w:val="24"/>
              </w:rPr>
              <w:t>度</w:t>
            </w:r>
            <w:r>
              <w:rPr>
                <w:sz w:val="24"/>
                <w:u w:val="single"/>
              </w:rPr>
              <w:t xml:space="preserve"> 22 </w:t>
            </w:r>
            <w:r>
              <w:rPr>
                <w:sz w:val="24"/>
              </w:rPr>
              <w:t>分</w:t>
            </w:r>
            <w:r>
              <w:rPr>
                <w:sz w:val="24"/>
                <w:u w:val="single"/>
              </w:rPr>
              <w:t xml:space="preserve"> 55.801 </w:t>
            </w:r>
            <w:r>
              <w:rPr>
                <w:sz w:val="24"/>
              </w:rPr>
              <w:t>秒，</w:t>
            </w:r>
            <w:r>
              <w:rPr>
                <w:sz w:val="24"/>
                <w:u w:val="single"/>
              </w:rPr>
              <w:t xml:space="preserve"> 38 </w:t>
            </w:r>
            <w:r>
              <w:rPr>
                <w:sz w:val="24"/>
              </w:rPr>
              <w:t>度</w:t>
            </w:r>
            <w:r>
              <w:rPr>
                <w:sz w:val="24"/>
                <w:u w:val="single"/>
              </w:rPr>
              <w:t xml:space="preserve"> 44 </w:t>
            </w:r>
            <w:r>
              <w:rPr>
                <w:sz w:val="24"/>
              </w:rPr>
              <w:t>分</w:t>
            </w:r>
            <w:r>
              <w:rPr>
                <w:sz w:val="24"/>
                <w:u w:val="single"/>
              </w:rPr>
              <w:t xml:space="preserve"> 9.293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国民经济</w:t>
            </w:r>
          </w:p>
          <w:p>
            <w:pPr>
              <w:adjustRightInd w:val="0"/>
              <w:snapToGrid w:val="0"/>
              <w:jc w:val="center"/>
              <w:rPr>
                <w:rFonts w:ascii="宋体" w:hAnsi="宋体" w:cs="宋体"/>
                <w:sz w:val="24"/>
              </w:rPr>
            </w:pPr>
            <w:r>
              <w:rPr>
                <w:rFonts w:hint="eastAsia" w:ascii="宋体" w:hAnsi="宋体" w:cs="宋体"/>
                <w:sz w:val="24"/>
              </w:rPr>
              <w:t>行业类别</w:t>
            </w:r>
          </w:p>
        </w:tc>
        <w:tc>
          <w:tcPr>
            <w:tcW w:w="969" w:type="pct"/>
            <w:vAlign w:val="center"/>
          </w:tcPr>
          <w:p>
            <w:pPr>
              <w:adjustRightInd w:val="0"/>
              <w:snapToGrid w:val="0"/>
              <w:jc w:val="center"/>
              <w:rPr>
                <w:sz w:val="24"/>
              </w:rPr>
            </w:pPr>
            <w:r>
              <w:rPr>
                <w:sz w:val="24"/>
              </w:rPr>
              <w:t>8080殡葬服务</w:t>
            </w:r>
          </w:p>
        </w:tc>
        <w:tc>
          <w:tcPr>
            <w:tcW w:w="1039" w:type="pct"/>
            <w:vAlign w:val="center"/>
          </w:tcPr>
          <w:p>
            <w:pPr>
              <w:adjustRightInd w:val="0"/>
              <w:snapToGrid w:val="0"/>
              <w:jc w:val="center"/>
              <w:rPr>
                <w:sz w:val="24"/>
              </w:rPr>
            </w:pPr>
            <w:bookmarkStart w:id="1" w:name="_Hlk49843745"/>
            <w:r>
              <w:rPr>
                <w:sz w:val="24"/>
              </w:rPr>
              <w:t>建设项目</w:t>
            </w:r>
          </w:p>
          <w:p>
            <w:pPr>
              <w:adjustRightInd w:val="0"/>
              <w:snapToGrid w:val="0"/>
              <w:jc w:val="center"/>
              <w:rPr>
                <w:sz w:val="24"/>
              </w:rPr>
            </w:pPr>
            <w:r>
              <w:rPr>
                <w:sz w:val="24"/>
              </w:rPr>
              <w:t>行业类别</w:t>
            </w:r>
            <w:bookmarkEnd w:id="1"/>
          </w:p>
        </w:tc>
        <w:tc>
          <w:tcPr>
            <w:tcW w:w="1649" w:type="pct"/>
            <w:vAlign w:val="center"/>
          </w:tcPr>
          <w:p>
            <w:pPr>
              <w:adjustRightInd w:val="0"/>
              <w:snapToGrid w:val="0"/>
              <w:rPr>
                <w:sz w:val="24"/>
              </w:rPr>
            </w:pPr>
            <w:r>
              <w:rPr>
                <w:sz w:val="24"/>
              </w:rPr>
              <w:t>113殡仪馆、陵园、公墓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建设性质</w:t>
            </w:r>
          </w:p>
        </w:tc>
        <w:tc>
          <w:tcPr>
            <w:tcW w:w="969" w:type="pct"/>
            <w:vAlign w:val="center"/>
          </w:tcPr>
          <w:p>
            <w:pPr>
              <w:jc w:val="left"/>
              <w:rPr>
                <w:rFonts w:ascii="宋体" w:hAnsi="宋体" w:cs="宋体"/>
                <w:sz w:val="24"/>
              </w:rPr>
            </w:pPr>
            <w:r>
              <w:rPr>
                <w:rFonts w:ascii="宋体" w:hAnsi="宋体" w:cs="宋体"/>
                <w:sz w:val="24"/>
              </w:rPr>
              <w:sym w:font="Wingdings 2" w:char="0052"/>
            </w:r>
            <w:r>
              <w:rPr>
                <w:rFonts w:hint="eastAsia" w:ascii="宋体" w:hAnsi="宋体" w:cs="宋体"/>
                <w:sz w:val="24"/>
              </w:rPr>
              <w:t>新建（迁建）</w:t>
            </w:r>
          </w:p>
          <w:p>
            <w:pPr>
              <w:jc w:val="left"/>
              <w:rPr>
                <w:rFonts w:ascii="宋体" w:hAnsi="宋体" w:cs="宋体"/>
                <w:sz w:val="24"/>
              </w:rPr>
            </w:pPr>
            <w:r>
              <w:rPr>
                <w:rFonts w:hint="eastAsia" w:ascii="宋体" w:hAnsi="宋体" w:cs="宋体"/>
                <w:sz w:val="24"/>
              </w:rPr>
              <w:t>□改建</w:t>
            </w:r>
          </w:p>
          <w:p>
            <w:pPr>
              <w:jc w:val="left"/>
              <w:rPr>
                <w:rFonts w:ascii="宋体" w:hAnsi="宋体" w:cs="宋体"/>
                <w:sz w:val="24"/>
              </w:rPr>
            </w:pPr>
            <w:r>
              <w:rPr>
                <w:rFonts w:hint="eastAsia" w:ascii="宋体" w:hAnsi="宋体" w:cs="宋体"/>
                <w:sz w:val="24"/>
              </w:rPr>
              <w:t>□扩建</w:t>
            </w:r>
          </w:p>
          <w:p>
            <w:pPr>
              <w:jc w:val="left"/>
              <w:rPr>
                <w:rFonts w:ascii="宋体" w:hAnsi="宋体" w:cs="宋体"/>
                <w:sz w:val="24"/>
              </w:rPr>
            </w:pPr>
            <w:r>
              <w:rPr>
                <w:rFonts w:hint="eastAsia" w:ascii="宋体" w:hAnsi="宋体" w:cs="宋体"/>
                <w:sz w:val="24"/>
              </w:rPr>
              <w:t>□技术改造</w:t>
            </w:r>
          </w:p>
        </w:tc>
        <w:tc>
          <w:tcPr>
            <w:tcW w:w="1039" w:type="pct"/>
            <w:vAlign w:val="center"/>
          </w:tcPr>
          <w:p>
            <w:pPr>
              <w:adjustRightInd w:val="0"/>
              <w:snapToGrid w:val="0"/>
              <w:jc w:val="center"/>
              <w:rPr>
                <w:rFonts w:ascii="宋体" w:hAnsi="宋体" w:cs="宋体"/>
                <w:sz w:val="24"/>
              </w:rPr>
            </w:pPr>
            <w:r>
              <w:rPr>
                <w:rFonts w:hint="eastAsia" w:ascii="宋体" w:hAnsi="宋体" w:cs="宋体"/>
                <w:sz w:val="24"/>
              </w:rPr>
              <w:t>建设项目</w:t>
            </w:r>
          </w:p>
          <w:p>
            <w:pPr>
              <w:adjustRightInd w:val="0"/>
              <w:snapToGrid w:val="0"/>
              <w:jc w:val="center"/>
              <w:rPr>
                <w:rFonts w:ascii="宋体" w:hAnsi="宋体" w:cs="宋体"/>
                <w:sz w:val="24"/>
              </w:rPr>
            </w:pPr>
            <w:r>
              <w:rPr>
                <w:rFonts w:hint="eastAsia" w:ascii="宋体" w:hAnsi="宋体" w:cs="宋体"/>
                <w:sz w:val="24"/>
              </w:rPr>
              <w:t>申报情形</w:t>
            </w:r>
          </w:p>
        </w:tc>
        <w:tc>
          <w:tcPr>
            <w:tcW w:w="1649" w:type="pct"/>
            <w:vAlign w:val="center"/>
          </w:tcPr>
          <w:p>
            <w:pPr>
              <w:jc w:val="left"/>
              <w:rPr>
                <w:rFonts w:ascii="宋体" w:hAnsi="宋体" w:cs="宋体"/>
                <w:sz w:val="24"/>
              </w:rPr>
            </w:pPr>
            <w:r>
              <w:rPr>
                <w:rFonts w:ascii="宋体" w:hAnsi="宋体" w:cs="宋体"/>
                <w:sz w:val="24"/>
              </w:rPr>
              <w:sym w:font="Wingdings 2" w:char="0052"/>
            </w:r>
            <w:r>
              <w:rPr>
                <w:rFonts w:hint="eastAsia" w:ascii="宋体" w:hAnsi="宋体" w:cs="宋体"/>
                <w:sz w:val="24"/>
              </w:rPr>
              <w:t>首次申报项目</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sym w:font="Wingdings 2" w:char="00A3"/>
            </w:r>
            <w:r>
              <w:rPr>
                <w:rFonts w:hint="eastAsia" w:ascii="宋体" w:hAnsi="宋体" w:cs="宋体"/>
                <w:sz w:val="24"/>
              </w:rPr>
              <w:t>超五年重新审核项目</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项目审批（核准</w:t>
            </w:r>
            <w:r>
              <w:rPr>
                <w:rFonts w:ascii="宋体" w:hAnsi="宋体" w:cs="宋体"/>
                <w:sz w:val="24"/>
              </w:rPr>
              <w:t>/</w:t>
            </w:r>
          </w:p>
          <w:p>
            <w:pPr>
              <w:adjustRightInd w:val="0"/>
              <w:snapToGrid w:val="0"/>
              <w:jc w:val="center"/>
              <w:rPr>
                <w:rFonts w:ascii="宋体" w:hAnsi="宋体" w:cs="宋体"/>
                <w:sz w:val="24"/>
              </w:rPr>
            </w:pPr>
            <w:r>
              <w:rPr>
                <w:rFonts w:hint="eastAsia" w:ascii="宋体" w:hAnsi="宋体" w:cs="宋体"/>
                <w:sz w:val="24"/>
              </w:rPr>
              <w:t>备案）部门（选填）</w:t>
            </w:r>
          </w:p>
        </w:tc>
        <w:tc>
          <w:tcPr>
            <w:tcW w:w="969" w:type="pct"/>
            <w:vAlign w:val="center"/>
          </w:tcPr>
          <w:p>
            <w:pPr>
              <w:adjustRightInd w:val="0"/>
              <w:snapToGrid w:val="0"/>
              <w:jc w:val="center"/>
              <w:rPr>
                <w:sz w:val="24"/>
              </w:rPr>
            </w:pPr>
            <w:r>
              <w:rPr>
                <w:sz w:val="24"/>
              </w:rPr>
              <w:t>五台县行政审批服务管理局</w:t>
            </w:r>
          </w:p>
        </w:tc>
        <w:tc>
          <w:tcPr>
            <w:tcW w:w="1039" w:type="pct"/>
            <w:vAlign w:val="center"/>
          </w:tcPr>
          <w:p>
            <w:pPr>
              <w:adjustRightInd w:val="0"/>
              <w:snapToGrid w:val="0"/>
              <w:jc w:val="center"/>
              <w:rPr>
                <w:sz w:val="24"/>
              </w:rPr>
            </w:pPr>
            <w:r>
              <w:rPr>
                <w:sz w:val="24"/>
              </w:rPr>
              <w:t>项目审批（核准/</w:t>
            </w:r>
          </w:p>
          <w:p>
            <w:pPr>
              <w:adjustRightInd w:val="0"/>
              <w:snapToGrid w:val="0"/>
              <w:jc w:val="center"/>
              <w:rPr>
                <w:sz w:val="24"/>
              </w:rPr>
            </w:pPr>
            <w:r>
              <w:rPr>
                <w:sz w:val="24"/>
              </w:rPr>
              <w:t>备案）文号（选填）</w:t>
            </w:r>
          </w:p>
        </w:tc>
        <w:tc>
          <w:tcPr>
            <w:tcW w:w="1649" w:type="pct"/>
            <w:vAlign w:val="center"/>
          </w:tcPr>
          <w:p>
            <w:pPr>
              <w:adjustRightInd w:val="0"/>
              <w:snapToGrid w:val="0"/>
              <w:jc w:val="center"/>
              <w:rPr>
                <w:sz w:val="24"/>
              </w:rPr>
            </w:pPr>
            <w:r>
              <w:rPr>
                <w:sz w:val="24"/>
              </w:rPr>
              <w:t>五审管函[2021]72号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总投资（万元）</w:t>
            </w:r>
          </w:p>
        </w:tc>
        <w:tc>
          <w:tcPr>
            <w:tcW w:w="969" w:type="pct"/>
            <w:vAlign w:val="center"/>
          </w:tcPr>
          <w:p>
            <w:pPr>
              <w:adjustRightInd w:val="0"/>
              <w:snapToGrid w:val="0"/>
              <w:jc w:val="center"/>
              <w:rPr>
                <w:sz w:val="24"/>
              </w:rPr>
            </w:pPr>
            <w:r>
              <w:rPr>
                <w:sz w:val="24"/>
              </w:rPr>
              <w:t>3885.13</w:t>
            </w:r>
          </w:p>
        </w:tc>
        <w:tc>
          <w:tcPr>
            <w:tcW w:w="1039" w:type="pct"/>
            <w:tcMar>
              <w:top w:w="16" w:type="dxa"/>
              <w:left w:w="16" w:type="dxa"/>
              <w:right w:w="16" w:type="dxa"/>
            </w:tcMar>
            <w:vAlign w:val="center"/>
          </w:tcPr>
          <w:p>
            <w:pPr>
              <w:adjustRightInd w:val="0"/>
              <w:snapToGrid w:val="0"/>
              <w:jc w:val="center"/>
              <w:rPr>
                <w:sz w:val="24"/>
              </w:rPr>
            </w:pPr>
            <w:r>
              <w:rPr>
                <w:sz w:val="24"/>
              </w:rPr>
              <w:t>环保投资（万元）</w:t>
            </w:r>
          </w:p>
        </w:tc>
        <w:tc>
          <w:tcPr>
            <w:tcW w:w="1649" w:type="pct"/>
            <w:vAlign w:val="center"/>
          </w:tcPr>
          <w:p>
            <w:pPr>
              <w:adjustRightInd w:val="0"/>
              <w:snapToGrid w:val="0"/>
              <w:jc w:val="center"/>
              <w:rPr>
                <w:sz w:val="24"/>
              </w:rPr>
            </w:pPr>
            <w:r>
              <w:rPr>
                <w:rFonts w:hint="eastAsia"/>
                <w:sz w:val="24"/>
              </w:rPr>
              <w:t>7</w:t>
            </w:r>
            <w:r>
              <w:rPr>
                <w:sz w:val="24"/>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环保投资占比（</w:t>
            </w:r>
            <w:r>
              <w:rPr>
                <w:rFonts w:ascii="宋体" w:hAnsi="宋体" w:cs="宋体"/>
                <w:sz w:val="24"/>
              </w:rPr>
              <w:t>%</w:t>
            </w:r>
            <w:r>
              <w:rPr>
                <w:rFonts w:hint="eastAsia" w:ascii="宋体" w:hAnsi="宋体" w:cs="宋体"/>
                <w:sz w:val="24"/>
              </w:rPr>
              <w:t>）</w:t>
            </w:r>
          </w:p>
        </w:tc>
        <w:tc>
          <w:tcPr>
            <w:tcW w:w="969" w:type="pct"/>
            <w:vAlign w:val="center"/>
          </w:tcPr>
          <w:p>
            <w:pPr>
              <w:adjustRightInd w:val="0"/>
              <w:snapToGrid w:val="0"/>
              <w:jc w:val="center"/>
              <w:rPr>
                <w:sz w:val="24"/>
              </w:rPr>
            </w:pPr>
            <w:r>
              <w:rPr>
                <w:rFonts w:hint="eastAsia"/>
                <w:sz w:val="24"/>
              </w:rPr>
              <w:t>1</w:t>
            </w:r>
            <w:r>
              <w:rPr>
                <w:sz w:val="24"/>
              </w:rPr>
              <w:t>.93</w:t>
            </w:r>
          </w:p>
        </w:tc>
        <w:tc>
          <w:tcPr>
            <w:tcW w:w="1039" w:type="pct"/>
            <w:tcMar>
              <w:top w:w="16" w:type="dxa"/>
              <w:left w:w="16" w:type="dxa"/>
              <w:right w:w="16" w:type="dxa"/>
            </w:tcMar>
            <w:vAlign w:val="center"/>
          </w:tcPr>
          <w:p>
            <w:pPr>
              <w:adjustRightInd w:val="0"/>
              <w:snapToGrid w:val="0"/>
              <w:jc w:val="center"/>
              <w:rPr>
                <w:sz w:val="24"/>
              </w:rPr>
            </w:pPr>
            <w:r>
              <w:rPr>
                <w:sz w:val="24"/>
              </w:rPr>
              <w:t>施工工期</w:t>
            </w:r>
          </w:p>
        </w:tc>
        <w:tc>
          <w:tcPr>
            <w:tcW w:w="1649" w:type="pct"/>
            <w:vAlign w:val="center"/>
          </w:tcPr>
          <w:p>
            <w:pPr>
              <w:adjustRightInd w:val="0"/>
              <w:snapToGrid w:val="0"/>
              <w:jc w:val="center"/>
              <w:rPr>
                <w:sz w:val="24"/>
              </w:rPr>
            </w:pPr>
            <w:r>
              <w:rPr>
                <w:sz w:val="24"/>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3" w:type="pct"/>
            <w:gridSpan w:val="2"/>
            <w:tcMar>
              <w:top w:w="16" w:type="dxa"/>
              <w:left w:w="16" w:type="dxa"/>
              <w:right w:w="16" w:type="dxa"/>
            </w:tcMar>
            <w:vAlign w:val="center"/>
          </w:tcPr>
          <w:p>
            <w:pPr>
              <w:adjustRightInd w:val="0"/>
              <w:snapToGrid w:val="0"/>
              <w:jc w:val="center"/>
              <w:rPr>
                <w:rFonts w:ascii="宋体" w:hAnsi="宋体" w:cs="宋体"/>
                <w:sz w:val="24"/>
              </w:rPr>
            </w:pPr>
            <w:r>
              <w:rPr>
                <w:rFonts w:hint="eastAsia" w:ascii="宋体" w:hAnsi="宋体" w:cs="宋体"/>
                <w:sz w:val="24"/>
              </w:rPr>
              <w:t>是否开工建设</w:t>
            </w:r>
          </w:p>
        </w:tc>
        <w:tc>
          <w:tcPr>
            <w:tcW w:w="969" w:type="pct"/>
            <w:vAlign w:val="center"/>
          </w:tcPr>
          <w:p>
            <w:pPr>
              <w:adjustRightInd w:val="0"/>
              <w:snapToGrid w:val="0"/>
              <w:rPr>
                <w:sz w:val="24"/>
              </w:rPr>
            </w:pPr>
            <w:r>
              <w:rPr>
                <w:sz w:val="24"/>
              </w:rPr>
              <w:sym w:font="Wingdings 2" w:char="0052"/>
            </w:r>
            <w:r>
              <w:rPr>
                <w:sz w:val="24"/>
              </w:rPr>
              <w:t>否</w:t>
            </w:r>
          </w:p>
          <w:p>
            <w:pPr>
              <w:adjustRightInd w:val="0"/>
              <w:snapToGrid w:val="0"/>
              <w:rPr>
                <w:sz w:val="24"/>
              </w:rPr>
            </w:pPr>
            <w:r>
              <w:rPr>
                <w:sz w:val="24"/>
              </w:rPr>
              <w:sym w:font="Wingdings 2" w:char="00A3"/>
            </w:r>
            <w:r>
              <w:rPr>
                <w:sz w:val="24"/>
              </w:rPr>
              <w:t>是：</w:t>
            </w:r>
            <w:r>
              <w:rPr>
                <w:sz w:val="24"/>
                <w:u w:val="single"/>
              </w:rPr>
              <w:t xml:space="preserve">             </w:t>
            </w:r>
          </w:p>
        </w:tc>
        <w:tc>
          <w:tcPr>
            <w:tcW w:w="1039" w:type="pct"/>
            <w:tcMar>
              <w:top w:w="16" w:type="dxa"/>
              <w:left w:w="16" w:type="dxa"/>
              <w:right w:w="16" w:type="dxa"/>
            </w:tcMar>
            <w:vAlign w:val="center"/>
          </w:tcPr>
          <w:p>
            <w:pPr>
              <w:adjustRightInd w:val="0"/>
              <w:snapToGrid w:val="0"/>
              <w:jc w:val="center"/>
              <w:rPr>
                <w:spacing w:val="-6"/>
                <w:sz w:val="24"/>
              </w:rPr>
            </w:pPr>
            <w:r>
              <w:rPr>
                <w:spacing w:val="-6"/>
                <w:sz w:val="24"/>
              </w:rPr>
              <w:t>用地（用海）</w:t>
            </w:r>
          </w:p>
          <w:p>
            <w:pPr>
              <w:adjustRightInd w:val="0"/>
              <w:snapToGrid w:val="0"/>
              <w:jc w:val="center"/>
              <w:rPr>
                <w:sz w:val="24"/>
              </w:rPr>
            </w:pPr>
            <w:r>
              <w:rPr>
                <w:spacing w:val="-6"/>
                <w:sz w:val="24"/>
              </w:rPr>
              <w:t>面积（m</w:t>
            </w:r>
            <w:r>
              <w:rPr>
                <w:spacing w:val="-6"/>
                <w:sz w:val="24"/>
                <w:vertAlign w:val="superscript"/>
              </w:rPr>
              <w:t>2</w:t>
            </w:r>
            <w:r>
              <w:rPr>
                <w:spacing w:val="-6"/>
                <w:sz w:val="24"/>
              </w:rPr>
              <w:t>）</w:t>
            </w:r>
          </w:p>
        </w:tc>
        <w:tc>
          <w:tcPr>
            <w:tcW w:w="1649" w:type="pct"/>
            <w:vAlign w:val="center"/>
          </w:tcPr>
          <w:p>
            <w:pPr>
              <w:adjustRightInd w:val="0"/>
              <w:snapToGrid w:val="0"/>
              <w:jc w:val="center"/>
              <w:rPr>
                <w:sz w:val="24"/>
              </w:rPr>
            </w:pPr>
            <w:r>
              <w:rPr>
                <w:sz w:val="24"/>
              </w:rPr>
              <w:t>21954.68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343" w:type="pct"/>
            <w:gridSpan w:val="2"/>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专项评价设置情况</w:t>
            </w:r>
          </w:p>
        </w:tc>
        <w:tc>
          <w:tcPr>
            <w:tcW w:w="3657" w:type="pct"/>
            <w:gridSpan w:val="3"/>
            <w:vAlign w:val="center"/>
          </w:tcPr>
          <w:p>
            <w:pPr>
              <w:autoSpaceDE w:val="0"/>
              <w:autoSpaceDN w:val="0"/>
              <w:adjustRightInd w:val="0"/>
              <w:snapToGrid w:val="0"/>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343" w:type="pct"/>
            <w:gridSpan w:val="2"/>
            <w:vAlign w:val="center"/>
          </w:tcPr>
          <w:p>
            <w:pPr>
              <w:autoSpaceDE w:val="0"/>
              <w:autoSpaceDN w:val="0"/>
              <w:adjustRightInd w:val="0"/>
              <w:snapToGrid w:val="0"/>
              <w:jc w:val="center"/>
              <w:rPr>
                <w:rFonts w:ascii="宋体" w:hAnsi="宋体" w:cs="宋体"/>
                <w:kern w:val="0"/>
                <w:sz w:val="24"/>
              </w:rPr>
            </w:pPr>
            <w:r>
              <w:rPr>
                <w:rFonts w:hint="eastAsia" w:ascii="宋体" w:hAnsi="宋体" w:cs="宋体"/>
                <w:sz w:val="24"/>
              </w:rPr>
              <w:t>规划情况</w:t>
            </w:r>
          </w:p>
        </w:tc>
        <w:tc>
          <w:tcPr>
            <w:tcW w:w="3657" w:type="pct"/>
            <w:gridSpan w:val="3"/>
            <w:vAlign w:val="center"/>
          </w:tcPr>
          <w:p>
            <w:pPr>
              <w:autoSpaceDE w:val="0"/>
              <w:autoSpaceDN w:val="0"/>
              <w:adjustRightInd w:val="0"/>
              <w:snapToGrid w:val="0"/>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343" w:type="pct"/>
            <w:gridSpan w:val="2"/>
            <w:vAlign w:val="center"/>
          </w:tcPr>
          <w:p>
            <w:pPr>
              <w:adjustRightInd w:val="0"/>
              <w:snapToGrid w:val="0"/>
              <w:jc w:val="center"/>
              <w:rPr>
                <w:rFonts w:ascii="宋体" w:hAnsi="宋体" w:cs="宋体"/>
                <w:sz w:val="24"/>
              </w:rPr>
            </w:pPr>
            <w:r>
              <w:rPr>
                <w:rFonts w:hint="eastAsia" w:ascii="宋体" w:hAnsi="宋体" w:cs="宋体"/>
                <w:sz w:val="24"/>
              </w:rPr>
              <w:t>规划环境影响</w:t>
            </w:r>
          </w:p>
          <w:p>
            <w:pPr>
              <w:adjustRightInd w:val="0"/>
              <w:snapToGrid w:val="0"/>
              <w:jc w:val="center"/>
              <w:rPr>
                <w:rFonts w:ascii="宋体" w:hAnsi="宋体" w:cs="宋体"/>
                <w:kern w:val="0"/>
                <w:sz w:val="24"/>
              </w:rPr>
            </w:pPr>
            <w:r>
              <w:rPr>
                <w:rFonts w:hint="eastAsia" w:ascii="宋体" w:hAnsi="宋体" w:cs="宋体"/>
                <w:sz w:val="24"/>
              </w:rPr>
              <w:t>评价情况</w:t>
            </w:r>
          </w:p>
        </w:tc>
        <w:tc>
          <w:tcPr>
            <w:tcW w:w="3657" w:type="pct"/>
            <w:gridSpan w:val="3"/>
            <w:vAlign w:val="center"/>
          </w:tcPr>
          <w:p>
            <w:pPr>
              <w:autoSpaceDE w:val="0"/>
              <w:autoSpaceDN w:val="0"/>
              <w:adjustRightInd w:val="0"/>
              <w:snapToGrid w:val="0"/>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343" w:type="pct"/>
            <w:gridSpan w:val="2"/>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规划及规划环境</w:t>
            </w:r>
          </w:p>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影响评价符合性分析</w:t>
            </w:r>
          </w:p>
        </w:tc>
        <w:tc>
          <w:tcPr>
            <w:tcW w:w="3657" w:type="pct"/>
            <w:gridSpan w:val="3"/>
            <w:vAlign w:val="center"/>
          </w:tcPr>
          <w:p>
            <w:pPr>
              <w:autoSpaceDE w:val="0"/>
              <w:autoSpaceDN w:val="0"/>
              <w:adjustRightInd w:val="0"/>
              <w:snapToGrid w:val="0"/>
              <w:jc w:val="left"/>
              <w:rPr>
                <w:rFonts w:ascii="宋体" w:hAnsi="宋体" w:cs="宋体"/>
                <w:kern w:val="0"/>
                <w:sz w:val="24"/>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4" w:type="pct"/>
            <w:vAlign w:val="center"/>
          </w:tcPr>
          <w:p>
            <w:pPr>
              <w:autoSpaceDE w:val="0"/>
              <w:autoSpaceDN w:val="0"/>
              <w:adjustRightInd w:val="0"/>
              <w:snapToGrid w:val="0"/>
              <w:jc w:val="center"/>
              <w:rPr>
                <w:rFonts w:ascii="宋体" w:hAnsi="宋体" w:cs="宋体"/>
                <w:kern w:val="0"/>
                <w:sz w:val="24"/>
              </w:rPr>
            </w:pPr>
            <w:r>
              <w:rPr>
                <w:rFonts w:hint="eastAsia" w:ascii="宋体" w:hAnsi="宋体" w:cs="宋体"/>
                <w:kern w:val="0"/>
                <w:sz w:val="24"/>
              </w:rPr>
              <w:t>其他符合性分析</w:t>
            </w:r>
          </w:p>
        </w:tc>
        <w:tc>
          <w:tcPr>
            <w:tcW w:w="4766" w:type="pct"/>
            <w:gridSpan w:val="4"/>
            <w:vAlign w:val="center"/>
          </w:tcPr>
          <w:p>
            <w:pPr>
              <w:autoSpaceDE w:val="0"/>
              <w:autoSpaceDN w:val="0"/>
              <w:adjustRightInd w:val="0"/>
              <w:snapToGrid w:val="0"/>
              <w:spacing w:line="480" w:lineRule="exact"/>
              <w:ind w:firstLine="482" w:firstLineChars="200"/>
              <w:rPr>
                <w:b/>
                <w:bCs/>
                <w:kern w:val="0"/>
                <w:sz w:val="24"/>
              </w:rPr>
            </w:pPr>
            <w:r>
              <w:rPr>
                <w:b/>
                <w:bCs/>
                <w:kern w:val="0"/>
                <w:sz w:val="24"/>
              </w:rPr>
              <w:t>1、“三线一单”符合性分析</w:t>
            </w:r>
          </w:p>
          <w:p>
            <w:pPr>
              <w:autoSpaceDE w:val="0"/>
              <w:autoSpaceDN w:val="0"/>
              <w:adjustRightInd w:val="0"/>
              <w:snapToGrid w:val="0"/>
              <w:spacing w:line="480" w:lineRule="exact"/>
              <w:ind w:firstLine="482" w:firstLineChars="200"/>
              <w:rPr>
                <w:b/>
                <w:bCs/>
                <w:kern w:val="0"/>
                <w:sz w:val="24"/>
              </w:rPr>
            </w:pPr>
            <w:r>
              <w:rPr>
                <w:b/>
                <w:bCs/>
                <w:kern w:val="0"/>
                <w:sz w:val="24"/>
              </w:rPr>
              <w:t>（1）与生态保护红线的符合性分析</w:t>
            </w:r>
          </w:p>
          <w:p>
            <w:pPr>
              <w:autoSpaceDE w:val="0"/>
              <w:autoSpaceDN w:val="0"/>
              <w:adjustRightInd w:val="0"/>
              <w:snapToGrid w:val="0"/>
              <w:spacing w:line="480" w:lineRule="exact"/>
              <w:ind w:firstLine="480" w:firstLineChars="200"/>
              <w:rPr>
                <w:kern w:val="0"/>
                <w:sz w:val="24"/>
              </w:rPr>
            </w:pPr>
            <w:r>
              <w:rPr>
                <w:rFonts w:cs="宋体"/>
                <w:kern w:val="0"/>
                <w:sz w:val="24"/>
              </w:rPr>
              <w:t>根据《生态保护红线划定技术指南》，山西省生态保护红线可能涉及的区域主要包括水源涵养区、水土保持区、防风固沙区、生物多样性维护区等陆地重要生态功能区，或水土流失敏感区、土地沙化敏感区、石漠化敏感区、高寒生态脆弱区、干旱、半干旱生态脆弱区等陆地生态环境敏感区和脆弱区、国家级自然保护区、世界文化自然遗产、国家级风景名胜区、国家森林公园和国家地质公园等禁止开发区。</w:t>
            </w:r>
          </w:p>
          <w:p>
            <w:pPr>
              <w:autoSpaceDE w:val="0"/>
              <w:autoSpaceDN w:val="0"/>
              <w:adjustRightInd w:val="0"/>
              <w:snapToGrid w:val="0"/>
              <w:spacing w:line="480" w:lineRule="exact"/>
              <w:ind w:firstLine="480" w:firstLineChars="200"/>
              <w:rPr>
                <w:sz w:val="24"/>
              </w:rPr>
            </w:pPr>
            <w:r>
              <w:rPr>
                <w:rFonts w:hint="eastAsia"/>
                <w:sz w:val="24"/>
              </w:rPr>
              <w:t>本项目位于</w:t>
            </w:r>
            <w:r>
              <w:rPr>
                <w:sz w:val="24"/>
              </w:rPr>
              <w:t>山西省忻州市五台县茹村乡东茹村恶山坪，</w:t>
            </w:r>
            <w:r>
              <w:rPr>
                <w:rFonts w:hint="eastAsia"/>
                <w:sz w:val="24"/>
              </w:rPr>
              <w:t>根据山西省“三线一单”图集中的忻州市五台县综合管控单元图，本</w:t>
            </w:r>
            <w:r>
              <w:rPr>
                <w:sz w:val="24"/>
              </w:rPr>
              <w:t>项目</w:t>
            </w:r>
            <w:r>
              <w:rPr>
                <w:rFonts w:hint="eastAsia"/>
                <w:sz w:val="24"/>
              </w:rPr>
              <w:t>位于优先保护单元中的五台县五台山水源涵养生态保护红线优先保护单元，属于优先保护单元区域。</w:t>
            </w:r>
          </w:p>
          <w:p>
            <w:pPr>
              <w:autoSpaceDE w:val="0"/>
              <w:autoSpaceDN w:val="0"/>
              <w:adjustRightInd w:val="0"/>
              <w:snapToGrid w:val="0"/>
              <w:spacing w:line="480" w:lineRule="exact"/>
              <w:ind w:firstLine="480" w:firstLineChars="200"/>
              <w:rPr>
                <w:kern w:val="0"/>
                <w:sz w:val="24"/>
              </w:rPr>
            </w:pPr>
            <w:r>
              <w:rPr>
                <w:sz w:val="24"/>
              </w:rPr>
              <w:t>根据《山西省人民政府关于实施“三线一单”生态环境分区管控的意见》（晋政发</w:t>
            </w:r>
            <w:r>
              <w:rPr>
                <w:rFonts w:hint="eastAsia"/>
                <w:sz w:val="24"/>
              </w:rPr>
              <w:t>[</w:t>
            </w:r>
            <w:r>
              <w:rPr>
                <w:sz w:val="24"/>
              </w:rPr>
              <w:t>2020]26号）</w:t>
            </w:r>
            <w:r>
              <w:rPr>
                <w:rFonts w:hint="eastAsia"/>
                <w:sz w:val="24"/>
              </w:rPr>
              <w:t>以及《忻州市人民政府关于印发忻州市“三线一单”生态环境分区管控实施方案的通知》（忻政发[</w:t>
            </w:r>
            <w:r>
              <w:rPr>
                <w:sz w:val="24"/>
              </w:rPr>
              <w:t>2021]12</w:t>
            </w:r>
            <w:r>
              <w:rPr>
                <w:rFonts w:hint="eastAsia"/>
                <w:sz w:val="24"/>
              </w:rPr>
              <w:t>号），本项目与生态保护红线的符合性分析见下表。忻州市五台县综合管控单元图见附图4。</w:t>
            </w:r>
          </w:p>
          <w:p>
            <w:pPr>
              <w:autoSpaceDE w:val="0"/>
              <w:autoSpaceDN w:val="0"/>
              <w:adjustRightInd w:val="0"/>
              <w:snapToGrid w:val="0"/>
              <w:spacing w:line="480" w:lineRule="exact"/>
              <w:jc w:val="center"/>
              <w:rPr>
                <w:rFonts w:ascii="黑体" w:hAnsi="黑体" w:eastAsia="黑体" w:cs="宋体"/>
                <w:kern w:val="0"/>
                <w:sz w:val="24"/>
              </w:rPr>
            </w:pPr>
            <w:r>
              <w:rPr>
                <w:rFonts w:hint="eastAsia" w:ascii="黑体" w:hAnsi="黑体" w:eastAsia="黑体" w:cs="宋体"/>
                <w:kern w:val="0"/>
                <w:sz w:val="24"/>
              </w:rPr>
              <w:t>表1</w:t>
            </w:r>
            <w:r>
              <w:rPr>
                <w:rFonts w:ascii="黑体" w:hAnsi="黑体" w:eastAsia="黑体" w:cs="宋体"/>
                <w:kern w:val="0"/>
                <w:sz w:val="24"/>
              </w:rPr>
              <w:t xml:space="preserve">-1  </w:t>
            </w:r>
            <w:r>
              <w:rPr>
                <w:rFonts w:hint="eastAsia" w:ascii="黑体" w:hAnsi="黑体" w:eastAsia="黑体" w:cs="宋体"/>
                <w:kern w:val="0"/>
                <w:sz w:val="24"/>
              </w:rPr>
              <w:t>与《山西省人民政府关于实施“三线一单”生态环境分区管控的意见》中优先保护单元的符合性分析</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1"/>
              <w:gridCol w:w="3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trPr>
              <w:tc>
                <w:tcPr>
                  <w:tcW w:w="2764"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优先保护单元要求</w:t>
                  </w:r>
                </w:p>
              </w:tc>
              <w:tc>
                <w:tcPr>
                  <w:tcW w:w="2236" w:type="pct"/>
                  <w:shd w:val="clear" w:color="auto" w:fill="auto"/>
                  <w:vAlign w:val="center"/>
                </w:tcPr>
                <w:p>
                  <w:pPr>
                    <w:autoSpaceDE w:val="0"/>
                    <w:autoSpaceDN w:val="0"/>
                    <w:adjustRightInd w:val="0"/>
                    <w:snapToGrid w:val="0"/>
                    <w:spacing w:line="360" w:lineRule="exact"/>
                    <w:jc w:val="center"/>
                    <w:rPr>
                      <w:rFonts w:cs="宋体"/>
                      <w:kern w:val="0"/>
                      <w:szCs w:val="21"/>
                    </w:rPr>
                  </w:pPr>
                  <w:r>
                    <w:rPr>
                      <w:rFonts w:hint="eastAsia" w:cs="宋体"/>
                      <w:kern w:val="0"/>
                      <w:szCs w:val="21"/>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764"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依法禁止或限制大规模、高强度的工业和城镇开发建设，在功能受损的优先保护单元优先开展生态保护修复活动，恢复生态系统服务功能。加强太行山、吕梁山和沿黄水土流失生态脆弱区域生态保护红线和重要生态空间的保护，依法禁止或限制大规模开发，严格矿山开采等产业准入，加强矿区的生态治理与修复，提高水源涵养能力，保护森林生态系统，有效减少泥沙入河。在汾河、桑干河、大清河、滹沱河、漳河、沁河和涑水河等河流谷地，晋阳湖、漳泽湖、云竹湖、盐湖、伍姓湖等“五湖”生态保护与修复区域，“黄河、长城、太行”旅游产业布局区以及人居环境敏感区，严控重污染行业产能规模，推进产业布局与生态空间协调发展。</w:t>
                  </w:r>
                </w:p>
              </w:tc>
              <w:tc>
                <w:tcPr>
                  <w:tcW w:w="2236" w:type="pct"/>
                  <w:shd w:val="clear" w:color="auto" w:fill="auto"/>
                  <w:vAlign w:val="center"/>
                </w:tcPr>
                <w:p>
                  <w:pPr>
                    <w:autoSpaceDE w:val="0"/>
                    <w:autoSpaceDN w:val="0"/>
                    <w:adjustRightInd w:val="0"/>
                    <w:snapToGrid w:val="0"/>
                    <w:spacing w:line="360" w:lineRule="exact"/>
                    <w:rPr>
                      <w:rFonts w:cs="宋体"/>
                      <w:kern w:val="0"/>
                      <w:szCs w:val="21"/>
                    </w:rPr>
                  </w:pPr>
                  <w:r>
                    <w:rPr>
                      <w:rFonts w:hint="eastAsia" w:cs="宋体"/>
                      <w:kern w:val="0"/>
                      <w:szCs w:val="21"/>
                    </w:rPr>
                    <w:t>本项目为殡仪馆建设项目，不属于大规模、高强度的工业和城镇开发建设；项目建设地点占地为一般耕地，项目的建设对现有生态环境影响较小。</w:t>
                  </w:r>
                </w:p>
                <w:p>
                  <w:pPr>
                    <w:autoSpaceDE w:val="0"/>
                    <w:autoSpaceDN w:val="0"/>
                    <w:adjustRightInd w:val="0"/>
                    <w:snapToGrid w:val="0"/>
                    <w:spacing w:line="360" w:lineRule="exact"/>
                    <w:rPr>
                      <w:rFonts w:cs="宋体"/>
                      <w:kern w:val="0"/>
                      <w:szCs w:val="21"/>
                    </w:rPr>
                  </w:pPr>
                  <w:r>
                    <w:rPr>
                      <w:rFonts w:hint="eastAsia" w:cs="宋体"/>
                      <w:kern w:val="0"/>
                      <w:szCs w:val="21"/>
                    </w:rPr>
                    <w:t>本项目不属于大规模开发、矿山开采等产业，项目建设不涉及矿区；项目距离最近的清水河</w:t>
                  </w:r>
                  <w:r>
                    <w:rPr>
                      <w:rFonts w:cs="宋体"/>
                      <w:kern w:val="0"/>
                      <w:szCs w:val="21"/>
                    </w:rPr>
                    <w:t>7.2km</w:t>
                  </w:r>
                  <w:r>
                    <w:rPr>
                      <w:rFonts w:hint="eastAsia" w:cs="宋体"/>
                      <w:kern w:val="0"/>
                      <w:szCs w:val="21"/>
                    </w:rPr>
                    <w:t>，项目的建设对水源涵养能力影响较小。</w:t>
                  </w:r>
                </w:p>
                <w:p>
                  <w:pPr>
                    <w:autoSpaceDE w:val="0"/>
                    <w:autoSpaceDN w:val="0"/>
                    <w:adjustRightInd w:val="0"/>
                    <w:snapToGrid w:val="0"/>
                    <w:spacing w:line="360" w:lineRule="exact"/>
                    <w:rPr>
                      <w:rFonts w:cs="宋体"/>
                      <w:kern w:val="0"/>
                      <w:szCs w:val="21"/>
                    </w:rPr>
                  </w:pPr>
                  <w:r>
                    <w:rPr>
                      <w:rFonts w:hint="eastAsia" w:cs="宋体"/>
                      <w:kern w:val="0"/>
                      <w:szCs w:val="21"/>
                    </w:rPr>
                    <w:t>项目位于滹沱河流谷地，项目不属于重污染行业。</w:t>
                  </w:r>
                </w:p>
              </w:tc>
            </w:tr>
          </w:tbl>
          <w:p>
            <w:pPr>
              <w:autoSpaceDE w:val="0"/>
              <w:autoSpaceDN w:val="0"/>
              <w:adjustRightInd w:val="0"/>
              <w:snapToGrid w:val="0"/>
              <w:spacing w:line="480" w:lineRule="exact"/>
              <w:ind w:firstLine="480" w:firstLineChars="200"/>
              <w:rPr>
                <w:kern w:val="0"/>
                <w:sz w:val="24"/>
              </w:rPr>
            </w:pPr>
            <w:r>
              <w:rPr>
                <w:rFonts w:hint="eastAsia" w:cs="宋体"/>
                <w:kern w:val="0"/>
                <w:sz w:val="24"/>
              </w:rPr>
              <w:t>综上所述，</w:t>
            </w:r>
            <w:r>
              <w:rPr>
                <w:rFonts w:cs="宋体"/>
                <w:kern w:val="0"/>
                <w:sz w:val="24"/>
              </w:rPr>
              <w:t>本项目建设不违背</w:t>
            </w:r>
            <w:r>
              <w:rPr>
                <w:rFonts w:hint="eastAsia" w:cs="宋体"/>
                <w:kern w:val="0"/>
                <w:sz w:val="24"/>
              </w:rPr>
              <w:t>山西省以及忻州市五台县“三线一单”生态环境分区管控的</w:t>
            </w:r>
            <w:r>
              <w:rPr>
                <w:rFonts w:cs="宋体"/>
                <w:kern w:val="0"/>
                <w:sz w:val="24"/>
              </w:rPr>
              <w:t>要求。</w:t>
            </w:r>
          </w:p>
          <w:p>
            <w:pPr>
              <w:autoSpaceDE w:val="0"/>
              <w:autoSpaceDN w:val="0"/>
              <w:adjustRightInd w:val="0"/>
              <w:snapToGrid w:val="0"/>
              <w:spacing w:line="480" w:lineRule="exact"/>
              <w:ind w:firstLine="482" w:firstLineChars="200"/>
              <w:rPr>
                <w:b/>
                <w:bCs/>
                <w:kern w:val="0"/>
                <w:sz w:val="24"/>
              </w:rPr>
            </w:pPr>
            <w:r>
              <w:rPr>
                <w:b/>
                <w:bCs/>
                <w:kern w:val="0"/>
                <w:sz w:val="24"/>
              </w:rPr>
              <w:t>（2）与环境质量底线的符合性分析</w:t>
            </w:r>
          </w:p>
          <w:p>
            <w:pPr>
              <w:autoSpaceDE w:val="0"/>
              <w:autoSpaceDN w:val="0"/>
              <w:adjustRightInd w:val="0"/>
              <w:snapToGrid w:val="0"/>
              <w:spacing w:line="480" w:lineRule="exact"/>
              <w:ind w:firstLine="480" w:firstLineChars="200"/>
              <w:rPr>
                <w:kern w:val="0"/>
                <w:sz w:val="24"/>
              </w:rPr>
            </w:pPr>
            <w:r>
              <w:rPr>
                <w:kern w:val="0"/>
                <w:sz w:val="24"/>
              </w:rPr>
              <w:t>环境空气：本次环评引用《</w:t>
            </w:r>
            <w:r>
              <w:rPr>
                <w:rFonts w:hint="eastAsia"/>
                <w:kern w:val="0"/>
                <w:sz w:val="24"/>
              </w:rPr>
              <w:t>2020年1-12月份全省县（市、区）环境空气质量主要污染物浓度及同比改善情况</w:t>
            </w:r>
            <w:r>
              <w:rPr>
                <w:kern w:val="0"/>
                <w:sz w:val="24"/>
              </w:rPr>
              <w:t>》</w:t>
            </w:r>
            <w:r>
              <w:rPr>
                <w:rFonts w:hint="eastAsia"/>
                <w:kern w:val="0"/>
                <w:sz w:val="24"/>
              </w:rPr>
              <w:t>报告</w:t>
            </w:r>
            <w:r>
              <w:rPr>
                <w:kern w:val="0"/>
                <w:sz w:val="24"/>
              </w:rPr>
              <w:t>中例行监测数据，忻州市五台县2020年SO</w:t>
            </w:r>
            <w:r>
              <w:rPr>
                <w:kern w:val="0"/>
                <w:sz w:val="24"/>
                <w:vertAlign w:val="subscript"/>
              </w:rPr>
              <w:t>2</w:t>
            </w:r>
            <w:r>
              <w:rPr>
                <w:kern w:val="0"/>
                <w:sz w:val="24"/>
              </w:rPr>
              <w:t>、NO</w:t>
            </w:r>
            <w:r>
              <w:rPr>
                <w:kern w:val="0"/>
                <w:sz w:val="24"/>
                <w:vertAlign w:val="subscript"/>
              </w:rPr>
              <w:t>2</w:t>
            </w:r>
            <w:r>
              <w:rPr>
                <w:kern w:val="0"/>
                <w:sz w:val="24"/>
              </w:rPr>
              <w:t>、PM</w:t>
            </w:r>
            <w:r>
              <w:rPr>
                <w:kern w:val="0"/>
                <w:sz w:val="24"/>
                <w:vertAlign w:val="subscript"/>
              </w:rPr>
              <w:t>10</w:t>
            </w:r>
            <w:r>
              <w:rPr>
                <w:kern w:val="0"/>
                <w:sz w:val="24"/>
              </w:rPr>
              <w:t>、PM</w:t>
            </w:r>
            <w:r>
              <w:rPr>
                <w:kern w:val="0"/>
                <w:sz w:val="24"/>
                <w:vertAlign w:val="subscript"/>
              </w:rPr>
              <w:t>2.5</w:t>
            </w:r>
            <w:r>
              <w:rPr>
                <w:kern w:val="0"/>
                <w:sz w:val="24"/>
              </w:rPr>
              <w:t>、CO和O</w:t>
            </w:r>
            <w:r>
              <w:rPr>
                <w:kern w:val="0"/>
                <w:sz w:val="24"/>
                <w:vertAlign w:val="subscript"/>
              </w:rPr>
              <w:t>3</w:t>
            </w:r>
            <w:r>
              <w:rPr>
                <w:kern w:val="0"/>
                <w:sz w:val="24"/>
              </w:rPr>
              <w:t>浓度均达标，区域空气质量达标。</w:t>
            </w:r>
          </w:p>
          <w:p>
            <w:pPr>
              <w:autoSpaceDE w:val="0"/>
              <w:autoSpaceDN w:val="0"/>
              <w:adjustRightInd w:val="0"/>
              <w:snapToGrid w:val="0"/>
              <w:spacing w:line="480" w:lineRule="exact"/>
              <w:ind w:firstLine="480" w:firstLineChars="200"/>
              <w:rPr>
                <w:kern w:val="0"/>
                <w:sz w:val="24"/>
              </w:rPr>
            </w:pPr>
            <w:r>
              <w:rPr>
                <w:rFonts w:hint="eastAsia"/>
                <w:kern w:val="0"/>
                <w:sz w:val="24"/>
              </w:rPr>
              <w:t>补充监测：</w:t>
            </w:r>
            <w:r>
              <w:rPr>
                <w:rFonts w:hint="eastAsia"/>
                <w:sz w:val="24"/>
                <w:szCs w:val="32"/>
              </w:rPr>
              <w:t>监测期间，东茹村环境空气中</w:t>
            </w:r>
            <w:r>
              <w:rPr>
                <w:sz w:val="24"/>
                <w:szCs w:val="32"/>
              </w:rPr>
              <w:t>Hg</w:t>
            </w:r>
            <w:r>
              <w:rPr>
                <w:rFonts w:hint="eastAsia"/>
                <w:sz w:val="24"/>
                <w:szCs w:val="32"/>
              </w:rPr>
              <w:t>为未检出；氯化氢小时浓度范围在0</w:t>
            </w:r>
            <w:r>
              <w:rPr>
                <w:sz w:val="24"/>
                <w:szCs w:val="32"/>
              </w:rPr>
              <w:t>.021-0.024</w:t>
            </w:r>
            <w:r>
              <w:rPr>
                <w:rFonts w:hint="eastAsia"/>
                <w:sz w:val="24"/>
                <w:szCs w:val="32"/>
              </w:rPr>
              <w:t>mg</w:t>
            </w:r>
            <w:r>
              <w:rPr>
                <w:sz w:val="24"/>
                <w:szCs w:val="32"/>
              </w:rPr>
              <w:t>/m</w:t>
            </w:r>
            <w:r>
              <w:rPr>
                <w:sz w:val="24"/>
                <w:szCs w:val="32"/>
                <w:vertAlign w:val="superscript"/>
              </w:rPr>
              <w:t>3</w:t>
            </w:r>
            <w:r>
              <w:rPr>
                <w:rFonts w:hint="eastAsia"/>
                <w:sz w:val="24"/>
                <w:szCs w:val="32"/>
              </w:rPr>
              <w:t>之间，最大浓度占标率为4</w:t>
            </w:r>
            <w:r>
              <w:rPr>
                <w:sz w:val="24"/>
                <w:szCs w:val="32"/>
              </w:rPr>
              <w:t>8.0</w:t>
            </w:r>
            <w:r>
              <w:rPr>
                <w:rFonts w:hint="eastAsia"/>
                <w:sz w:val="24"/>
                <w:szCs w:val="32"/>
              </w:rPr>
              <w:t>%，满足《环境影响评价技术导则 大气环境》（HJ 2.2-2018）附录D</w:t>
            </w:r>
            <w:r>
              <w:rPr>
                <w:sz w:val="24"/>
                <w:szCs w:val="32"/>
              </w:rPr>
              <w:t>中</w:t>
            </w:r>
            <w:r>
              <w:rPr>
                <w:rFonts w:hint="eastAsia"/>
                <w:sz w:val="24"/>
                <w:szCs w:val="32"/>
              </w:rPr>
              <w:t>氯化氢小时浓度限值（</w:t>
            </w:r>
            <w:r>
              <w:rPr>
                <w:sz w:val="24"/>
                <w:szCs w:val="32"/>
              </w:rPr>
              <w:t>50</w:t>
            </w:r>
            <w:r>
              <w:t>μ</w:t>
            </w:r>
            <w:r>
              <w:rPr>
                <w:rFonts w:hint="eastAsia"/>
                <w:sz w:val="24"/>
                <w:szCs w:val="32"/>
              </w:rPr>
              <w:t>g</w:t>
            </w:r>
            <w:r>
              <w:rPr>
                <w:sz w:val="24"/>
                <w:szCs w:val="32"/>
              </w:rPr>
              <w:t>/m</w:t>
            </w:r>
            <w:r>
              <w:rPr>
                <w:sz w:val="24"/>
                <w:szCs w:val="32"/>
                <w:vertAlign w:val="superscript"/>
              </w:rPr>
              <w:t>3</w:t>
            </w:r>
            <w:r>
              <w:rPr>
                <w:rFonts w:hint="eastAsia"/>
                <w:sz w:val="24"/>
                <w:szCs w:val="32"/>
              </w:rPr>
              <w:t>）要求；二噁英类</w:t>
            </w:r>
            <w:r>
              <w:rPr>
                <w:rFonts w:hint="eastAsia"/>
                <w:bCs/>
                <w:sz w:val="24"/>
                <w:szCs w:val="32"/>
              </w:rPr>
              <w:t>总毒性当量</w:t>
            </w:r>
            <w:r>
              <w:rPr>
                <w:bCs/>
                <w:sz w:val="24"/>
                <w:szCs w:val="32"/>
              </w:rPr>
              <w:t>范围为</w:t>
            </w:r>
            <w:r>
              <w:rPr>
                <w:sz w:val="24"/>
                <w:szCs w:val="32"/>
              </w:rPr>
              <w:t>0.022-0.077</w:t>
            </w:r>
            <w:r>
              <w:rPr>
                <w:rFonts w:hint="eastAsia"/>
                <w:sz w:val="24"/>
                <w:szCs w:val="32"/>
              </w:rPr>
              <w:t>T</w:t>
            </w:r>
            <w:r>
              <w:rPr>
                <w:sz w:val="24"/>
                <w:szCs w:val="32"/>
              </w:rPr>
              <w:t>EQpg/m</w:t>
            </w:r>
            <w:r>
              <w:rPr>
                <w:sz w:val="24"/>
                <w:szCs w:val="32"/>
                <w:vertAlign w:val="superscript"/>
              </w:rPr>
              <w:t>3</w:t>
            </w:r>
            <w:r>
              <w:rPr>
                <w:sz w:val="24"/>
                <w:szCs w:val="32"/>
              </w:rPr>
              <w:t>之间</w:t>
            </w:r>
            <w:r>
              <w:rPr>
                <w:bCs/>
                <w:sz w:val="24"/>
                <w:szCs w:val="32"/>
              </w:rPr>
              <w:t>，最大浓度占标率为</w:t>
            </w:r>
            <w:r>
              <w:rPr>
                <w:sz w:val="24"/>
                <w:szCs w:val="32"/>
              </w:rPr>
              <w:t>12.8%</w:t>
            </w:r>
            <w:r>
              <w:rPr>
                <w:rFonts w:hint="eastAsia"/>
                <w:bCs/>
                <w:sz w:val="24"/>
                <w:szCs w:val="32"/>
              </w:rPr>
              <w:t>，</w:t>
            </w:r>
            <w:r>
              <w:rPr>
                <w:rFonts w:hint="eastAsia"/>
                <w:sz w:val="24"/>
                <w:szCs w:val="32"/>
              </w:rPr>
              <w:t>二噁英类</w:t>
            </w:r>
            <w:r>
              <w:rPr>
                <w:rFonts w:hint="eastAsia"/>
                <w:bCs/>
                <w:sz w:val="24"/>
                <w:szCs w:val="32"/>
              </w:rPr>
              <w:t>总毒性当量</w:t>
            </w:r>
            <w:r>
              <w:rPr>
                <w:rFonts w:hint="eastAsia"/>
                <w:sz w:val="24"/>
                <w:szCs w:val="32"/>
              </w:rPr>
              <w:t>均未超过评价标准限值要求（0</w:t>
            </w:r>
            <w:r>
              <w:rPr>
                <w:sz w:val="24"/>
                <w:szCs w:val="32"/>
              </w:rPr>
              <w:t>.6</w:t>
            </w:r>
            <w:r>
              <w:rPr>
                <w:rFonts w:hint="eastAsia"/>
                <w:sz w:val="24"/>
                <w:szCs w:val="32"/>
              </w:rPr>
              <w:t xml:space="preserve"> T</w:t>
            </w:r>
            <w:r>
              <w:rPr>
                <w:sz w:val="24"/>
                <w:szCs w:val="32"/>
              </w:rPr>
              <w:t>EQpg/Nm</w:t>
            </w:r>
            <w:r>
              <w:rPr>
                <w:sz w:val="24"/>
                <w:szCs w:val="32"/>
                <w:vertAlign w:val="superscript"/>
              </w:rPr>
              <w:t>3</w:t>
            </w:r>
            <w:r>
              <w:rPr>
                <w:rFonts w:hint="eastAsia"/>
                <w:sz w:val="24"/>
                <w:szCs w:val="32"/>
              </w:rPr>
              <w:t>）。区域大气污染物现状质量浓度达标。</w:t>
            </w:r>
          </w:p>
          <w:p>
            <w:pPr>
              <w:autoSpaceDE w:val="0"/>
              <w:autoSpaceDN w:val="0"/>
              <w:adjustRightInd w:val="0"/>
              <w:snapToGrid w:val="0"/>
              <w:spacing w:line="480" w:lineRule="exact"/>
              <w:ind w:firstLine="480" w:firstLineChars="200"/>
              <w:rPr>
                <w:kern w:val="0"/>
                <w:sz w:val="24"/>
              </w:rPr>
            </w:pPr>
            <w:r>
              <w:rPr>
                <w:kern w:val="0"/>
                <w:sz w:val="24"/>
              </w:rPr>
              <w:t>地表水环境：</w:t>
            </w:r>
            <w:r>
              <w:rPr>
                <w:rFonts w:hint="eastAsia"/>
                <w:bCs/>
                <w:sz w:val="24"/>
              </w:rPr>
              <w:t>本项目所在区域地表水系为海河流域-滹沱河山区-滹沱河水系-清水河河流（门限石至环椿坪段）。2020年1-12月水质状况中清水河坪上桥水质为I类，满足清水河坪上桥II类水质考核目标，因此，评价区域地表水水环境质量现状较好。本项目产生的废水经污水处理站处理后夏季可用于道路浇洒及绿化浇灌，冬季定期统一抽送至五台县生活污水处理厂。</w:t>
            </w:r>
          </w:p>
          <w:p>
            <w:pPr>
              <w:autoSpaceDE w:val="0"/>
              <w:autoSpaceDN w:val="0"/>
              <w:adjustRightInd w:val="0"/>
              <w:snapToGrid w:val="0"/>
              <w:spacing w:line="480" w:lineRule="exact"/>
              <w:ind w:firstLine="480" w:firstLineChars="200"/>
              <w:rPr>
                <w:kern w:val="0"/>
                <w:sz w:val="24"/>
              </w:rPr>
            </w:pPr>
            <w:r>
              <w:rPr>
                <w:kern w:val="0"/>
                <w:sz w:val="24"/>
              </w:rPr>
              <w:t>声环境：</w:t>
            </w:r>
            <w:r>
              <w:rPr>
                <w:rFonts w:hint="eastAsia"/>
                <w:kern w:val="0"/>
                <w:sz w:val="24"/>
              </w:rPr>
              <w:t>本项目厂址周边5</w:t>
            </w:r>
            <w:r>
              <w:rPr>
                <w:kern w:val="0"/>
                <w:sz w:val="24"/>
              </w:rPr>
              <w:t>0</w:t>
            </w:r>
            <w:r>
              <w:rPr>
                <w:rFonts w:hint="eastAsia"/>
                <w:kern w:val="0"/>
                <w:sz w:val="24"/>
              </w:rPr>
              <w:t>m范围内不存在居民区等声环境保护目标，因此本项目只进行厂界四周噪声监测，</w:t>
            </w:r>
            <w:r>
              <w:rPr>
                <w:rFonts w:hint="eastAsia"/>
                <w:sz w:val="24"/>
                <w:szCs w:val="20"/>
              </w:rPr>
              <w:t>监测期间项目厂界昼间噪声值在</w:t>
            </w:r>
            <w:r>
              <w:rPr>
                <w:sz w:val="24"/>
                <w:szCs w:val="20"/>
              </w:rPr>
              <w:t>54.9</w:t>
            </w:r>
            <w:r>
              <w:rPr>
                <w:rFonts w:hint="eastAsia"/>
                <w:sz w:val="24"/>
                <w:szCs w:val="20"/>
              </w:rPr>
              <w:t>-5</w:t>
            </w:r>
            <w:r>
              <w:rPr>
                <w:sz w:val="24"/>
                <w:szCs w:val="20"/>
              </w:rPr>
              <w:t>6.4dB(A)</w:t>
            </w:r>
            <w:r>
              <w:rPr>
                <w:rFonts w:hint="eastAsia"/>
                <w:sz w:val="24"/>
                <w:szCs w:val="20"/>
              </w:rPr>
              <w:t>，夜间噪声值在</w:t>
            </w:r>
            <w:r>
              <w:rPr>
                <w:sz w:val="24"/>
                <w:szCs w:val="20"/>
              </w:rPr>
              <w:t>44.6-47.1dB(A)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w:t>
            </w:r>
            <w:r>
              <w:rPr>
                <w:sz w:val="24"/>
                <w:szCs w:val="20"/>
              </w:rPr>
              <w:t>说明区域声环境质量良好。</w:t>
            </w:r>
          </w:p>
          <w:p>
            <w:pPr>
              <w:autoSpaceDE w:val="0"/>
              <w:autoSpaceDN w:val="0"/>
              <w:adjustRightInd w:val="0"/>
              <w:snapToGrid w:val="0"/>
              <w:spacing w:line="480" w:lineRule="exact"/>
              <w:ind w:firstLine="480" w:firstLineChars="200"/>
              <w:rPr>
                <w:kern w:val="0"/>
                <w:sz w:val="24"/>
              </w:rPr>
            </w:pPr>
            <w:r>
              <w:rPr>
                <w:kern w:val="0"/>
                <w:sz w:val="24"/>
              </w:rPr>
              <w:t>本项目在认真贯彻执行国家环保法律、法规，严格落实环评规定的各项环保措施，加强环境管理的情况下，排放的污染物对周边环境影响较小，本项目建设不会改变区域环境质量功能，因此，本项目建设不会超出环境质量底线，使区域环境质量降低。</w:t>
            </w:r>
          </w:p>
          <w:p>
            <w:pPr>
              <w:autoSpaceDE w:val="0"/>
              <w:autoSpaceDN w:val="0"/>
              <w:adjustRightInd w:val="0"/>
              <w:snapToGrid w:val="0"/>
              <w:spacing w:line="480" w:lineRule="exact"/>
              <w:ind w:firstLine="480" w:firstLineChars="200"/>
              <w:rPr>
                <w:kern w:val="0"/>
                <w:sz w:val="24"/>
              </w:rPr>
            </w:pPr>
            <w:r>
              <w:rPr>
                <w:kern w:val="0"/>
                <w:sz w:val="24"/>
              </w:rPr>
              <w:t>（3）与资源利用上线的符合性分析</w:t>
            </w:r>
          </w:p>
          <w:p>
            <w:pPr>
              <w:autoSpaceDE w:val="0"/>
              <w:autoSpaceDN w:val="0"/>
              <w:adjustRightInd w:val="0"/>
              <w:snapToGrid w:val="0"/>
              <w:spacing w:line="480" w:lineRule="exact"/>
              <w:ind w:firstLine="480" w:firstLineChars="200"/>
              <w:rPr>
                <w:kern w:val="0"/>
                <w:sz w:val="24"/>
              </w:rPr>
            </w:pPr>
            <w:r>
              <w:rPr>
                <w:kern w:val="0"/>
                <w:sz w:val="24"/>
              </w:rPr>
              <w:t>项目建设过程中所利用的资源主要为水、电，均为清洁能源，项目通过内部管理、设备选择的选用管理等措施，以</w:t>
            </w:r>
            <w:r>
              <w:rPr>
                <w:rFonts w:hint="eastAsia"/>
                <w:kern w:val="0"/>
                <w:sz w:val="24"/>
              </w:rPr>
              <w:t>“</w:t>
            </w:r>
            <w:r>
              <w:rPr>
                <w:kern w:val="0"/>
                <w:sz w:val="24"/>
              </w:rPr>
              <w:t>节能、降耗、减污</w:t>
            </w:r>
            <w:r>
              <w:rPr>
                <w:rFonts w:hint="eastAsia"/>
                <w:kern w:val="0"/>
                <w:sz w:val="24"/>
              </w:rPr>
              <w:t>”</w:t>
            </w:r>
            <w:r>
              <w:rPr>
                <w:kern w:val="0"/>
                <w:sz w:val="24"/>
              </w:rPr>
              <w:t>为目标，有效控制资源利用。项目的水、电等资源利用不会突破区域的资源利用上线。</w:t>
            </w:r>
          </w:p>
          <w:p>
            <w:pPr>
              <w:autoSpaceDE w:val="0"/>
              <w:autoSpaceDN w:val="0"/>
              <w:adjustRightInd w:val="0"/>
              <w:snapToGrid w:val="0"/>
              <w:spacing w:line="480" w:lineRule="exact"/>
              <w:ind w:firstLine="480" w:firstLineChars="200"/>
              <w:rPr>
                <w:kern w:val="0"/>
                <w:sz w:val="24"/>
              </w:rPr>
            </w:pPr>
            <w:r>
              <w:rPr>
                <w:rFonts w:hint="eastAsia"/>
                <w:kern w:val="0"/>
                <w:sz w:val="24"/>
              </w:rPr>
              <w:t>（</w:t>
            </w:r>
            <w:r>
              <w:rPr>
                <w:kern w:val="0"/>
                <w:sz w:val="24"/>
              </w:rPr>
              <w:t>4）与环境准入负面清单符合性分析</w:t>
            </w:r>
          </w:p>
          <w:p>
            <w:pPr>
              <w:autoSpaceDE w:val="0"/>
              <w:autoSpaceDN w:val="0"/>
              <w:adjustRightInd w:val="0"/>
              <w:snapToGrid w:val="0"/>
              <w:spacing w:line="480" w:lineRule="exact"/>
              <w:ind w:firstLine="480" w:firstLineChars="200"/>
              <w:rPr>
                <w:kern w:val="0"/>
                <w:sz w:val="24"/>
              </w:rPr>
            </w:pPr>
            <w:r>
              <w:rPr>
                <w:kern w:val="0"/>
                <w:sz w:val="24"/>
              </w:rPr>
              <w:t>本项目没有环境准入负面清单。根据《产业结构调整指导目录(2019年本)》，本项目未被列入淘汰类或限制类项目，属于允许类项目，符合国家产业政策。</w:t>
            </w:r>
          </w:p>
          <w:p>
            <w:pPr>
              <w:autoSpaceDE w:val="0"/>
              <w:autoSpaceDN w:val="0"/>
              <w:adjustRightInd w:val="0"/>
              <w:snapToGrid w:val="0"/>
              <w:spacing w:line="480" w:lineRule="exact"/>
              <w:ind w:firstLine="480" w:firstLineChars="200"/>
              <w:rPr>
                <w:kern w:val="0"/>
                <w:sz w:val="24"/>
              </w:rPr>
            </w:pPr>
            <w:r>
              <w:rPr>
                <w:kern w:val="0"/>
                <w:sz w:val="24"/>
              </w:rPr>
              <w:t>综上，本项目的建设符合国家</w:t>
            </w:r>
            <w:r>
              <w:rPr>
                <w:rFonts w:hint="eastAsia"/>
                <w:kern w:val="0"/>
                <w:sz w:val="24"/>
              </w:rPr>
              <w:t>“</w:t>
            </w:r>
            <w:r>
              <w:rPr>
                <w:kern w:val="0"/>
                <w:sz w:val="24"/>
              </w:rPr>
              <w:t>三线一单</w:t>
            </w:r>
            <w:r>
              <w:rPr>
                <w:rFonts w:hint="eastAsia"/>
                <w:kern w:val="0"/>
                <w:sz w:val="24"/>
              </w:rPr>
              <w:t>”</w:t>
            </w:r>
            <w:r>
              <w:rPr>
                <w:kern w:val="0"/>
                <w:sz w:val="24"/>
              </w:rPr>
              <w:t>的管控原则</w:t>
            </w:r>
            <w:r>
              <w:rPr>
                <w:rFonts w:hint="eastAsia" w:ascii="宋体" w:hAnsi="宋体" w:cs="宋体"/>
                <w:kern w:val="0"/>
                <w:sz w:val="24"/>
              </w:rPr>
              <w:t>。</w:t>
            </w:r>
          </w:p>
          <w:p>
            <w:pPr>
              <w:spacing w:line="480" w:lineRule="exact"/>
              <w:ind w:firstLine="482" w:firstLineChars="200"/>
              <w:rPr>
                <w:b/>
                <w:sz w:val="24"/>
              </w:rPr>
            </w:pPr>
            <w:r>
              <w:rPr>
                <w:b/>
                <w:bCs/>
                <w:sz w:val="24"/>
              </w:rPr>
              <w:t>2</w:t>
            </w:r>
            <w:r>
              <w:rPr>
                <w:rFonts w:hint="eastAsia"/>
                <w:b/>
                <w:bCs/>
                <w:sz w:val="24"/>
              </w:rPr>
              <w:t>、</w:t>
            </w:r>
            <w:r>
              <w:rPr>
                <w:b/>
                <w:sz w:val="24"/>
              </w:rPr>
              <w:t>五台县乡镇水源地</w:t>
            </w:r>
          </w:p>
          <w:p>
            <w:pPr>
              <w:spacing w:line="480" w:lineRule="exact"/>
              <w:ind w:firstLine="480" w:firstLineChars="200"/>
              <w:rPr>
                <w:sz w:val="24"/>
              </w:rPr>
            </w:pPr>
            <w:r>
              <w:rPr>
                <w:sz w:val="24"/>
              </w:rPr>
              <w:t>根据《忻州市五台县乡镇集中式饮用水源保护区划分技术报告》，</w:t>
            </w:r>
            <w:r>
              <w:rPr>
                <w:rFonts w:hint="eastAsia"/>
                <w:sz w:val="24"/>
              </w:rPr>
              <w:t>由</w:t>
            </w:r>
            <w:r>
              <w:rPr>
                <w:sz w:val="24"/>
              </w:rPr>
              <w:t>五台县乡镇集中式饮用水源地分布图可知，距离本项目最近的乡镇集中式水源地为项目</w:t>
            </w:r>
            <w:r>
              <w:rPr>
                <w:rFonts w:hint="eastAsia"/>
                <w:sz w:val="24"/>
              </w:rPr>
              <w:t>西</w:t>
            </w:r>
            <w:r>
              <w:rPr>
                <w:sz w:val="24"/>
              </w:rPr>
              <w:t>侧约1.5km处的</w:t>
            </w:r>
            <w:r>
              <w:rPr>
                <w:rFonts w:hint="eastAsia"/>
                <w:sz w:val="24"/>
              </w:rPr>
              <w:t>茹村乡</w:t>
            </w:r>
            <w:r>
              <w:rPr>
                <w:sz w:val="24"/>
              </w:rPr>
              <w:t>集中</w:t>
            </w:r>
            <w:r>
              <w:rPr>
                <w:rFonts w:hint="eastAsia"/>
                <w:sz w:val="24"/>
              </w:rPr>
              <w:t>供水</w:t>
            </w:r>
            <w:r>
              <w:rPr>
                <w:sz w:val="24"/>
              </w:rPr>
              <w:t>水源地。</w:t>
            </w:r>
            <w:r>
              <w:rPr>
                <w:rFonts w:hint="eastAsia"/>
                <w:sz w:val="24"/>
              </w:rPr>
              <w:t>茹村乡</w:t>
            </w:r>
            <w:r>
              <w:rPr>
                <w:sz w:val="24"/>
              </w:rPr>
              <w:t>集中供水井位于</w:t>
            </w:r>
            <w:r>
              <w:rPr>
                <w:rFonts w:hint="eastAsia"/>
                <w:sz w:val="24"/>
              </w:rPr>
              <w:t>东茹村中舞台对面，地面标高1</w:t>
            </w:r>
            <w:r>
              <w:rPr>
                <w:sz w:val="24"/>
              </w:rPr>
              <w:t>180</w:t>
            </w:r>
            <w:r>
              <w:rPr>
                <w:rFonts w:hint="eastAsia"/>
                <w:sz w:val="24"/>
              </w:rPr>
              <w:t>m，水文地质单元属于茹村小盆底冲洪积倾斜平原孔隙水。一级保护区半径1</w:t>
            </w:r>
            <w:r>
              <w:rPr>
                <w:sz w:val="24"/>
              </w:rPr>
              <w:t>20</w:t>
            </w:r>
            <w:r>
              <w:rPr>
                <w:rFonts w:hint="eastAsia"/>
                <w:sz w:val="24"/>
              </w:rPr>
              <w:t>m。</w:t>
            </w:r>
          </w:p>
          <w:p>
            <w:pPr>
              <w:autoSpaceDE w:val="0"/>
              <w:autoSpaceDN w:val="0"/>
              <w:adjustRightInd w:val="0"/>
              <w:snapToGrid w:val="0"/>
              <w:spacing w:line="480" w:lineRule="exact"/>
              <w:ind w:firstLine="480" w:firstLineChars="200"/>
              <w:rPr>
                <w:sz w:val="24"/>
              </w:rPr>
            </w:pPr>
            <w:r>
              <w:rPr>
                <w:sz w:val="24"/>
              </w:rPr>
              <w:t>本项目位于</w:t>
            </w:r>
            <w:r>
              <w:rPr>
                <w:rFonts w:hint="eastAsia"/>
                <w:sz w:val="24"/>
              </w:rPr>
              <w:t>茹村乡</w:t>
            </w:r>
            <w:r>
              <w:rPr>
                <w:sz w:val="24"/>
              </w:rPr>
              <w:t>集中</w:t>
            </w:r>
            <w:r>
              <w:rPr>
                <w:rFonts w:hint="eastAsia"/>
                <w:sz w:val="24"/>
              </w:rPr>
              <w:t>供水</w:t>
            </w:r>
            <w:r>
              <w:rPr>
                <w:sz w:val="24"/>
              </w:rPr>
              <w:t>水源地</w:t>
            </w:r>
            <w:r>
              <w:rPr>
                <w:rFonts w:hint="eastAsia"/>
                <w:sz w:val="24"/>
              </w:rPr>
              <w:t>西侧</w:t>
            </w:r>
            <w:r>
              <w:rPr>
                <w:sz w:val="24"/>
              </w:rPr>
              <w:t>方向约1.5km。</w:t>
            </w:r>
            <w:r>
              <w:rPr>
                <w:rFonts w:hint="eastAsia"/>
                <w:sz w:val="24"/>
              </w:rPr>
              <w:t>茹村乡</w:t>
            </w:r>
            <w:r>
              <w:rPr>
                <w:sz w:val="24"/>
              </w:rPr>
              <w:t>集中</w:t>
            </w:r>
            <w:r>
              <w:rPr>
                <w:rFonts w:hint="eastAsia"/>
                <w:sz w:val="24"/>
              </w:rPr>
              <w:t>供水</w:t>
            </w:r>
            <w:r>
              <w:rPr>
                <w:sz w:val="24"/>
              </w:rPr>
              <w:t>水源地</w:t>
            </w:r>
            <w:r>
              <w:rPr>
                <w:rFonts w:hint="eastAsia"/>
                <w:sz w:val="24"/>
              </w:rPr>
              <w:t>见附图</w:t>
            </w:r>
            <w:r>
              <w:rPr>
                <w:sz w:val="24"/>
              </w:rPr>
              <w:t>5</w:t>
            </w:r>
            <w:r>
              <w:rPr>
                <w:rFonts w:hint="eastAsia"/>
                <w:sz w:val="24"/>
              </w:rPr>
              <w:t>。</w:t>
            </w:r>
          </w:p>
          <w:p>
            <w:pPr>
              <w:spacing w:line="480" w:lineRule="exact"/>
              <w:ind w:firstLine="482" w:firstLineChars="200"/>
              <w:rPr>
                <w:b/>
                <w:sz w:val="24"/>
              </w:rPr>
            </w:pPr>
            <w:r>
              <w:rPr>
                <w:b/>
                <w:bCs/>
                <w:sz w:val="24"/>
              </w:rPr>
              <w:t>3</w:t>
            </w:r>
            <w:r>
              <w:rPr>
                <w:rFonts w:hint="eastAsia"/>
                <w:b/>
                <w:bCs/>
                <w:sz w:val="24"/>
              </w:rPr>
              <w:t>、</w:t>
            </w:r>
            <w:r>
              <w:rPr>
                <w:rFonts w:hint="eastAsia"/>
                <w:b/>
                <w:sz w:val="24"/>
              </w:rPr>
              <w:t>坪上泉域</w:t>
            </w:r>
          </w:p>
          <w:p>
            <w:pPr>
              <w:spacing w:line="480" w:lineRule="exact"/>
              <w:ind w:firstLine="480" w:firstLineChars="200"/>
              <w:rPr>
                <w:sz w:val="24"/>
              </w:rPr>
            </w:pPr>
            <w:r>
              <w:rPr>
                <w:rFonts w:hint="eastAsia"/>
                <w:sz w:val="24"/>
              </w:rPr>
              <w:t>坪上泉出露于五台县南部约30km的</w:t>
            </w:r>
            <w:r>
              <w:rPr>
                <w:rFonts w:hint="eastAsia"/>
                <w:bCs/>
                <w:sz w:val="24"/>
              </w:rPr>
              <w:t>滹</w:t>
            </w:r>
            <w:r>
              <w:rPr>
                <w:rFonts w:hint="eastAsia"/>
                <w:sz w:val="24"/>
              </w:rPr>
              <w:t>沱河、清水河会合口上下游河谷中，是以散泉群形式出流的岩溶水排泄带。据1994年调查，</w:t>
            </w:r>
            <w:r>
              <w:rPr>
                <w:rFonts w:hint="eastAsia"/>
                <w:bCs/>
                <w:sz w:val="24"/>
              </w:rPr>
              <w:t>滹</w:t>
            </w:r>
            <w:r>
              <w:rPr>
                <w:rFonts w:hint="eastAsia"/>
                <w:sz w:val="24"/>
              </w:rPr>
              <w:t>沱河甲子湾村以南、清水河胡家庄以西至戎家庄村东的泉域边界内，有大小泉点221个，构成4个泉组；其中</w:t>
            </w:r>
            <w:r>
              <w:rPr>
                <w:rFonts w:hint="eastAsia"/>
                <w:bCs/>
                <w:sz w:val="24"/>
              </w:rPr>
              <w:t>滹</w:t>
            </w:r>
            <w:r>
              <w:rPr>
                <w:rFonts w:hint="eastAsia"/>
                <w:sz w:val="24"/>
              </w:rPr>
              <w:t>沱河区有甲子湾、水泉湾、段家庄3个泉组；清水河区为李家庄泉组(含胡家庄、耿家会、李家庄、坪上散泉群)。此外，在泉域西南端水头沟有孤立出流的大湾泉，它们组成坪上泉。</w:t>
            </w:r>
            <w:r>
              <w:rPr>
                <w:rFonts w:hint="eastAsia"/>
                <w:bCs/>
                <w:sz w:val="24"/>
              </w:rPr>
              <w:t>滹</w:t>
            </w:r>
            <w:r>
              <w:rPr>
                <w:rFonts w:hint="eastAsia"/>
                <w:sz w:val="24"/>
              </w:rPr>
              <w:t>沱河在含水系统内三次切穿区域岩溶含水层底板，故坪上泉属侵蚀、接触、溢流全排型泉。</w:t>
            </w:r>
          </w:p>
          <w:p>
            <w:pPr>
              <w:spacing w:line="480" w:lineRule="exact"/>
              <w:ind w:firstLine="480" w:firstLineChars="200"/>
              <w:rPr>
                <w:sz w:val="24"/>
              </w:rPr>
            </w:pPr>
            <w:r>
              <w:rPr>
                <w:rFonts w:hint="eastAsia"/>
                <w:sz w:val="24"/>
              </w:rPr>
              <w:t>泉水多年平均总流量为4.10m</w:t>
            </w:r>
            <w:r>
              <w:rPr>
                <w:sz w:val="24"/>
                <w:vertAlign w:val="superscript"/>
              </w:rPr>
              <w:t>3</w:t>
            </w:r>
            <w:r>
              <w:rPr>
                <w:rFonts w:hint="eastAsia"/>
                <w:sz w:val="24"/>
              </w:rPr>
              <w:t>/s (1967~1992年)，各泉组流量据1994年观测资料，水泉湾泉纽0.75m</w:t>
            </w:r>
            <w:r>
              <w:rPr>
                <w:sz w:val="24"/>
                <w:vertAlign w:val="superscript"/>
              </w:rPr>
              <w:t>3</w:t>
            </w:r>
            <w:r>
              <w:rPr>
                <w:rFonts w:hint="eastAsia"/>
                <w:sz w:val="24"/>
              </w:rPr>
              <w:t>/s，段家庄泉组0.6</w:t>
            </w:r>
            <w:r>
              <w:rPr>
                <w:sz w:val="24"/>
              </w:rPr>
              <w:t>6</w:t>
            </w:r>
            <w:r>
              <w:rPr>
                <w:rFonts w:hint="eastAsia"/>
                <w:sz w:val="24"/>
              </w:rPr>
              <w:t>m</w:t>
            </w:r>
            <w:r>
              <w:rPr>
                <w:sz w:val="24"/>
                <w:vertAlign w:val="superscript"/>
              </w:rPr>
              <w:t>3</w:t>
            </w:r>
            <w:r>
              <w:rPr>
                <w:rFonts w:hint="eastAsia"/>
                <w:sz w:val="24"/>
              </w:rPr>
              <w:t>/s ，李家庄泉组0.94m</w:t>
            </w:r>
            <w:r>
              <w:rPr>
                <w:sz w:val="24"/>
                <w:vertAlign w:val="superscript"/>
              </w:rPr>
              <w:t>3</w:t>
            </w:r>
            <w:r>
              <w:rPr>
                <w:rFonts w:hint="eastAsia"/>
                <w:sz w:val="24"/>
              </w:rPr>
              <w:t>/s ，大湾泉0.20 m</w:t>
            </w:r>
            <w:r>
              <w:rPr>
                <w:sz w:val="24"/>
                <w:vertAlign w:val="superscript"/>
              </w:rPr>
              <w:t>3</w:t>
            </w:r>
            <w:r>
              <w:rPr>
                <w:rFonts w:hint="eastAsia"/>
                <w:sz w:val="24"/>
              </w:rPr>
              <w:t>/s，甲子湾泉0.12 m</w:t>
            </w:r>
            <w:r>
              <w:rPr>
                <w:sz w:val="24"/>
                <w:vertAlign w:val="superscript"/>
              </w:rPr>
              <w:t>3</w:t>
            </w:r>
            <w:r>
              <w:rPr>
                <w:rFonts w:hint="eastAsia"/>
                <w:sz w:val="24"/>
              </w:rPr>
              <w:t>/s 。水泉湾、段家庄、李家庄泉组是坪上泉主体。泉水出露标高：甲子湾泉组710.9～713.3m，水泉湾泉639.9 ~699.7m，段家庄泉组678.8~672.8m，李家庄泉组699～659.4m，大湾泉7</w:t>
            </w:r>
            <w:r>
              <w:rPr>
                <w:sz w:val="24"/>
              </w:rPr>
              <w:t>0</w:t>
            </w:r>
            <w:r>
              <w:rPr>
                <w:rFonts w:hint="eastAsia"/>
                <w:sz w:val="24"/>
              </w:rPr>
              <w:t>0m。泉水出露地层除水泉湾组为奥陶系中统下马家沟组外，其余均为寒武系上统或中统。</w:t>
            </w:r>
          </w:p>
          <w:p>
            <w:pPr>
              <w:spacing w:line="480" w:lineRule="exact"/>
              <w:ind w:firstLine="480" w:firstLineChars="200"/>
              <w:rPr>
                <w:sz w:val="24"/>
              </w:rPr>
            </w:pPr>
            <w:r>
              <w:rPr>
                <w:rFonts w:hint="eastAsia"/>
                <w:sz w:val="24"/>
              </w:rPr>
              <w:t>泉水水质优良，属HCO,-Cu·Mg型水，矿化度一般在212~ 333mg/l，个别415mg/1(甲子湾泉)，总硬度187.2~241.2mg/l，为良好的生活及工农业用水。</w:t>
            </w:r>
          </w:p>
          <w:p>
            <w:pPr>
              <w:spacing w:line="480" w:lineRule="exact"/>
              <w:ind w:firstLine="480" w:firstLineChars="200"/>
              <w:rPr>
                <w:sz w:val="24"/>
              </w:rPr>
            </w:pPr>
            <w:r>
              <w:rPr>
                <w:rFonts w:hint="eastAsia"/>
                <w:sz w:val="24"/>
              </w:rPr>
              <w:t>泉域地处山西省中东部的五台山区及系舟山区的北端，属中山地形，间夹山间盆地(茹村、五台、豆村盆地)和河流谷地，地形高程一般1000 ~.3000m，相对切割深度500 -~ 1000m，总地形是北高南低，北部最高峰北台顶3058m，南庄附近滤沱河谷最低590m。</w:t>
            </w:r>
          </w:p>
          <w:p>
            <w:pPr>
              <w:spacing w:line="480" w:lineRule="exact"/>
              <w:ind w:firstLine="480" w:firstLineChars="200"/>
              <w:rPr>
                <w:sz w:val="24"/>
              </w:rPr>
            </w:pPr>
            <w:r>
              <w:rPr>
                <w:rFonts w:hint="eastAsia"/>
                <w:sz w:val="24"/>
              </w:rPr>
              <w:t>泉域内主要河流有</w:t>
            </w:r>
            <w:r>
              <w:rPr>
                <w:rFonts w:hint="eastAsia"/>
                <w:bCs/>
                <w:sz w:val="24"/>
              </w:rPr>
              <w:t>滹</w:t>
            </w:r>
            <w:r>
              <w:rPr>
                <w:rFonts w:hint="eastAsia"/>
                <w:sz w:val="24"/>
              </w:rPr>
              <w:t>沱河及其支流清水河，属海河水系。</w:t>
            </w:r>
            <w:r>
              <w:rPr>
                <w:rFonts w:hint="eastAsia"/>
                <w:bCs/>
                <w:sz w:val="24"/>
              </w:rPr>
              <w:t>滹</w:t>
            </w:r>
            <w:r>
              <w:rPr>
                <w:rFonts w:hint="eastAsia"/>
                <w:sz w:val="24"/>
              </w:rPr>
              <w:t>沱河自北而南穿过本区为过境河流，区内河长38km，多年平均径流量14.87 m</w:t>
            </w:r>
            <w:r>
              <w:rPr>
                <w:sz w:val="24"/>
                <w:vertAlign w:val="superscript"/>
              </w:rPr>
              <w:t>3</w:t>
            </w:r>
            <w:r>
              <w:rPr>
                <w:rFonts w:hint="eastAsia"/>
                <w:sz w:val="24"/>
              </w:rPr>
              <w:t>/s (南庄站)。清水河发源于五台山中台，在坪上村汇入滹沱河，据南坡站资料，多年平均径流量3.78 m</w:t>
            </w:r>
            <w:r>
              <w:rPr>
                <w:sz w:val="24"/>
                <w:vertAlign w:val="superscript"/>
              </w:rPr>
              <w:t>3</w:t>
            </w:r>
            <w:r>
              <w:rPr>
                <w:rFonts w:hint="eastAsia"/>
                <w:sz w:val="24"/>
              </w:rPr>
              <w:t>/s 。其在岩溶区流长50km，因清水漏失，胡家庄以上大部分为干谷，以下因泉水出流时有清水。</w:t>
            </w:r>
          </w:p>
          <w:p>
            <w:pPr>
              <w:spacing w:line="480" w:lineRule="exact"/>
              <w:ind w:firstLine="480" w:firstLineChars="200"/>
              <w:rPr>
                <w:sz w:val="24"/>
              </w:rPr>
            </w:pPr>
            <w:r>
              <w:rPr>
                <w:rFonts w:hint="eastAsia"/>
                <w:sz w:val="24"/>
              </w:rPr>
              <w:t>泉域属大陆性半干早气候，高寒微湿。降水量受地形影响变化大，山区迎风坡大，盆地河谷区小，多年平均降水量分别为537、463 mm。</w:t>
            </w:r>
          </w:p>
          <w:p>
            <w:pPr>
              <w:spacing w:line="480" w:lineRule="exact"/>
              <w:ind w:firstLine="480" w:firstLineChars="200"/>
              <w:rPr>
                <w:sz w:val="24"/>
              </w:rPr>
            </w:pPr>
            <w:r>
              <w:rPr>
                <w:rFonts w:hint="eastAsia"/>
                <w:sz w:val="24"/>
              </w:rPr>
              <w:t>泉域内出露地层有：(1)太古界、元古界深、浅变质岩，广泛分布于泉域北、东及东南部，是岩溶含水系统基底及补给岩溶水的地表水产流区；(2)下古生界寒武系、奥陶系碳酸盐岩，分布于五台山南部及系舟山区，组成轴向北东的复式向斜构造，构成坪上泉岩溶含水系统；(3)上古生界石碳系、二迭系碎屑岩，零星覆盖在奥陶系之上，使之成为埋藏型岩溶区；(4)新生界上第三系、第四系松散岩，覆盖于各时代之上，在碳酸盐岩之上都形成覆盖型岩溶区。</w:t>
            </w:r>
          </w:p>
          <w:p>
            <w:pPr>
              <w:spacing w:line="480" w:lineRule="exact"/>
              <w:ind w:firstLine="480" w:firstLineChars="200"/>
              <w:rPr>
                <w:sz w:val="24"/>
              </w:rPr>
            </w:pPr>
            <w:r>
              <w:rPr>
                <w:rFonts w:hint="eastAsia"/>
                <w:sz w:val="24"/>
              </w:rPr>
              <w:t>岩浴水含水岩组主要是奥陶系中统下马家沟组及寒武系上、中统，以寒武系最普遍。其中以下马家沟组及寒武系上统最强，中统次之。</w:t>
            </w:r>
          </w:p>
          <w:p>
            <w:pPr>
              <w:spacing w:line="480" w:lineRule="exact"/>
              <w:ind w:firstLine="480" w:firstLineChars="200"/>
              <w:rPr>
                <w:sz w:val="24"/>
              </w:rPr>
            </w:pPr>
            <w:r>
              <w:rPr>
                <w:rFonts w:hint="eastAsia"/>
                <w:sz w:val="24"/>
              </w:rPr>
              <w:t>岩溶水的补给来源主要是大气降水在灰岩裸露区的入渗，其次是清水河干、支流地表水的渗漏。地下水主要自东北、东、南方向向排泄区汇流，因河流侵蚀而成泉排泄。</w:t>
            </w:r>
          </w:p>
          <w:p>
            <w:pPr>
              <w:spacing w:line="480" w:lineRule="exact"/>
              <w:ind w:firstLine="480" w:firstLineChars="200"/>
              <w:rPr>
                <w:sz w:val="24"/>
              </w:rPr>
            </w:pPr>
            <w:r>
              <w:rPr>
                <w:rFonts w:hint="eastAsia"/>
                <w:sz w:val="24"/>
              </w:rPr>
              <w:t>泉域范围</w:t>
            </w:r>
          </w:p>
          <w:p>
            <w:pPr>
              <w:spacing w:line="480" w:lineRule="exact"/>
              <w:ind w:firstLine="480" w:firstLineChars="200"/>
              <w:rPr>
                <w:sz w:val="24"/>
              </w:rPr>
            </w:pPr>
            <w:r>
              <w:rPr>
                <w:rFonts w:hint="eastAsia"/>
                <w:sz w:val="24"/>
              </w:rPr>
              <w:t>南、东、北部边界及西北部边界：为清水河流域的地表分水岭。南起五台县陈家庄南分水岭、向东北经雷公顶-老虎头-南坨-长城岭-东台顶-北台顶-中台顶-香峪尖-凡支山-大柏山-娘娘垴，折向南沿小银河与滹沱河分水岭到黄土坡村的南山。</w:t>
            </w:r>
          </w:p>
          <w:p>
            <w:pPr>
              <w:spacing w:line="480" w:lineRule="exact"/>
              <w:ind w:firstLine="480" w:firstLineChars="200"/>
              <w:rPr>
                <w:sz w:val="24"/>
              </w:rPr>
            </w:pPr>
            <w:r>
              <w:rPr>
                <w:rFonts w:hint="eastAsia"/>
                <w:sz w:val="24"/>
              </w:rPr>
              <w:t>西部边界：由黄土坡村南山向西经南湾村、青山底至藏弧台村的系舟山麓，以寒武系下统与中统的地层线为界。</w:t>
            </w:r>
          </w:p>
          <w:p>
            <w:pPr>
              <w:spacing w:line="480" w:lineRule="exact"/>
              <w:ind w:firstLine="480" w:firstLineChars="200"/>
              <w:rPr>
                <w:sz w:val="24"/>
              </w:rPr>
            </w:pPr>
            <w:r>
              <w:rPr>
                <w:rFonts w:hint="eastAsia"/>
                <w:sz w:val="24"/>
              </w:rPr>
              <w:t>西南部边界：由藏孤台村南的系舟山北麓，沿黑小尖山-将军山(天翅垴) -白玉沟南山的地表分水岭再绕以南庄戎家庄以东滹沱河两岸山坡至陈家庄南地表分水岭。</w:t>
            </w:r>
          </w:p>
          <w:p>
            <w:pPr>
              <w:spacing w:line="480" w:lineRule="exact"/>
              <w:ind w:firstLine="480" w:firstLineChars="200"/>
              <w:rPr>
                <w:sz w:val="24"/>
              </w:rPr>
            </w:pPr>
            <w:r>
              <w:rPr>
                <w:rFonts w:hint="eastAsia"/>
                <w:sz w:val="24"/>
              </w:rPr>
              <w:t>由上述边界确定泉域面积3035km</w:t>
            </w:r>
            <w:r>
              <w:rPr>
                <w:sz w:val="24"/>
                <w:vertAlign w:val="superscript"/>
              </w:rPr>
              <w:t>2</w:t>
            </w:r>
            <w:r>
              <w:rPr>
                <w:rFonts w:hint="eastAsia"/>
                <w:sz w:val="24"/>
              </w:rPr>
              <w:t>，由寒武、奥陶系碳酸盐岩组成的含水系统面积855 km</w:t>
            </w:r>
            <w:r>
              <w:rPr>
                <w:sz w:val="24"/>
                <w:vertAlign w:val="superscript"/>
              </w:rPr>
              <w:t>2</w:t>
            </w:r>
            <w:r>
              <w:rPr>
                <w:rFonts w:hint="eastAsia"/>
                <w:sz w:val="24"/>
              </w:rPr>
              <w:t>,其中可溶岩裸露区面积750 km</w:t>
            </w:r>
            <w:r>
              <w:rPr>
                <w:sz w:val="24"/>
                <w:vertAlign w:val="superscript"/>
              </w:rPr>
              <w:t>2</w:t>
            </w:r>
            <w:r>
              <w:rPr>
                <w:rFonts w:hint="eastAsia"/>
                <w:sz w:val="24"/>
              </w:rPr>
              <w:t>，覆盖埋藏区105 km</w:t>
            </w:r>
            <w:r>
              <w:rPr>
                <w:sz w:val="24"/>
                <w:vertAlign w:val="superscript"/>
              </w:rPr>
              <w:t>2</w:t>
            </w:r>
            <w:r>
              <w:rPr>
                <w:rFonts w:hint="eastAsia"/>
                <w:sz w:val="24"/>
              </w:rPr>
              <w:t>。泉域以清水河流域为主体，行政区划上主要属忻州地区五台县，少部分为定襄县。</w:t>
            </w:r>
          </w:p>
          <w:p>
            <w:pPr>
              <w:spacing w:line="480" w:lineRule="exact"/>
              <w:ind w:firstLine="480" w:firstLineChars="200"/>
              <w:rPr>
                <w:sz w:val="24"/>
              </w:rPr>
            </w:pPr>
            <w:r>
              <w:rPr>
                <w:rFonts w:hint="eastAsia"/>
                <w:sz w:val="24"/>
              </w:rPr>
              <w:t>重点保护区范围</w:t>
            </w:r>
          </w:p>
          <w:p>
            <w:pPr>
              <w:spacing w:line="480" w:lineRule="exact"/>
              <w:ind w:firstLine="480" w:firstLineChars="200"/>
              <w:rPr>
                <w:sz w:val="24"/>
              </w:rPr>
            </w:pPr>
            <w:r>
              <w:rPr>
                <w:rFonts w:hint="eastAsia"/>
                <w:sz w:val="24"/>
              </w:rPr>
              <w:t>清水河、滹沱河河谷泉水集中出露带：其范围为滹沱河南湾村、清水河胡家庄以下至滹沱河戎家庄以东泉域边界的两河河谷地带，面积约8.0km</w:t>
            </w:r>
            <w:r>
              <w:rPr>
                <w:sz w:val="24"/>
                <w:vertAlign w:val="superscript"/>
              </w:rPr>
              <w:t>2</w:t>
            </w:r>
            <w:r>
              <w:rPr>
                <w:rFonts w:hint="eastAsia"/>
                <w:sz w:val="24"/>
              </w:rPr>
              <w:t>。</w:t>
            </w:r>
          </w:p>
          <w:p>
            <w:pPr>
              <w:spacing w:line="480" w:lineRule="exact"/>
              <w:ind w:firstLine="480" w:firstLineChars="200"/>
              <w:rPr>
                <w:sz w:val="24"/>
              </w:rPr>
            </w:pPr>
            <w:r>
              <w:rPr>
                <w:rFonts w:hint="eastAsia"/>
                <w:sz w:val="24"/>
              </w:rPr>
              <w:t>泉域岩溶地下水资源及其开发利用</w:t>
            </w:r>
          </w:p>
          <w:p>
            <w:pPr>
              <w:spacing w:line="480" w:lineRule="exact"/>
              <w:ind w:firstLine="480" w:firstLineChars="200"/>
              <w:rPr>
                <w:sz w:val="24"/>
              </w:rPr>
            </w:pPr>
            <w:r>
              <w:rPr>
                <w:rFonts w:hint="eastAsia"/>
                <w:sz w:val="24"/>
              </w:rPr>
              <w:t>根据滹沱河上下游济胜桥、南庄水文站及清水河南坡水文站多年观测资料，利用水文分割法计算坪上泉多年平均天然排泄最为</w:t>
            </w:r>
            <w:r>
              <w:rPr>
                <w:sz w:val="24"/>
              </w:rPr>
              <w:t>4.</w:t>
            </w:r>
            <w:r>
              <w:rPr>
                <w:rFonts w:hint="eastAsia"/>
                <w:sz w:val="24"/>
              </w:rPr>
              <w:t>10m</w:t>
            </w:r>
            <w:r>
              <w:rPr>
                <w:sz w:val="24"/>
                <w:vertAlign w:val="superscript"/>
              </w:rPr>
              <w:t>3</w:t>
            </w:r>
            <w:r>
              <w:rPr>
                <w:sz w:val="24"/>
              </w:rPr>
              <w:t>/s</w:t>
            </w:r>
            <w:r>
              <w:rPr>
                <w:rFonts w:hint="eastAsia"/>
                <w:sz w:val="24"/>
              </w:rPr>
              <w:t>(1967~ 1992年)，因该泉为全排型泉，其值为岩溶水天然资源。经计算，97%频率的泉水资源量为2.24m</w:t>
            </w:r>
            <w:r>
              <w:rPr>
                <w:sz w:val="24"/>
                <w:vertAlign w:val="superscript"/>
              </w:rPr>
              <w:t>3</w:t>
            </w:r>
            <w:r>
              <w:rPr>
                <w:rFonts w:hint="eastAsia"/>
                <w:sz w:val="24"/>
              </w:rPr>
              <w:t>/s。</w:t>
            </w:r>
          </w:p>
          <w:p>
            <w:pPr>
              <w:spacing w:line="480" w:lineRule="exact"/>
              <w:ind w:firstLine="480" w:firstLineChars="200"/>
              <w:rPr>
                <w:sz w:val="24"/>
              </w:rPr>
            </w:pPr>
            <w:r>
              <w:rPr>
                <w:rFonts w:hint="eastAsia"/>
                <w:sz w:val="24"/>
              </w:rPr>
              <w:t>泉域岩溶水开发利用程度很低，排泄带泉水除少量用作小型发电外，其人工开采井仪12眼，年采水量约</w:t>
            </w:r>
            <w:r>
              <w:rPr>
                <w:rFonts w:hint="eastAsia"/>
              </w:rPr>
              <w:t xml:space="preserve"> </w:t>
            </w:r>
            <w:r>
              <w:rPr>
                <w:rFonts w:hint="eastAsia"/>
                <w:sz w:val="24"/>
              </w:rPr>
              <w:t>180万m</w:t>
            </w:r>
            <w:r>
              <w:rPr>
                <w:sz w:val="24"/>
                <w:vertAlign w:val="superscript"/>
              </w:rPr>
              <w:t>3</w:t>
            </w:r>
            <w:r>
              <w:rPr>
                <w:rFonts w:hint="eastAsia"/>
                <w:sz w:val="24"/>
              </w:rPr>
              <w:t>，主要用于人畜供水。</w:t>
            </w:r>
            <w:r>
              <w:rPr>
                <w:rFonts w:hint="eastAsia"/>
                <w:spacing w:val="-4"/>
                <w:sz w:val="24"/>
              </w:rPr>
              <w:t>本项目不在泉域重点保护范围内，距泉域重点保护区约2</w:t>
            </w:r>
            <w:r>
              <w:rPr>
                <w:spacing w:val="-4"/>
                <w:sz w:val="24"/>
              </w:rPr>
              <w:t>0</w:t>
            </w:r>
            <w:r>
              <w:rPr>
                <w:rFonts w:hint="eastAsia"/>
                <w:spacing w:val="-4"/>
                <w:sz w:val="24"/>
              </w:rPr>
              <w:t>km。坪上泉域图</w:t>
            </w:r>
            <w:r>
              <w:rPr>
                <w:rFonts w:hint="eastAsia"/>
                <w:sz w:val="24"/>
              </w:rPr>
              <w:t>见附图</w:t>
            </w:r>
            <w:r>
              <w:rPr>
                <w:sz w:val="24"/>
              </w:rPr>
              <w:t>6</w:t>
            </w:r>
            <w:r>
              <w:rPr>
                <w:rFonts w:hint="eastAsia"/>
                <w:sz w:val="24"/>
              </w:rPr>
              <w:t>。</w:t>
            </w:r>
          </w:p>
          <w:p>
            <w:pPr>
              <w:spacing w:line="480" w:lineRule="exact"/>
              <w:ind w:firstLine="482" w:firstLineChars="200"/>
              <w:rPr>
                <w:b/>
                <w:sz w:val="24"/>
              </w:rPr>
            </w:pPr>
            <w:r>
              <w:rPr>
                <w:b/>
                <w:bCs/>
                <w:sz w:val="24"/>
              </w:rPr>
              <w:t>4</w:t>
            </w:r>
            <w:r>
              <w:rPr>
                <w:rFonts w:hint="eastAsia"/>
                <w:b/>
                <w:bCs/>
                <w:sz w:val="24"/>
              </w:rPr>
              <w:t>、</w:t>
            </w:r>
            <w:r>
              <w:rPr>
                <w:b/>
                <w:sz w:val="24"/>
              </w:rPr>
              <w:t>五台县城市总体规划</w:t>
            </w:r>
          </w:p>
          <w:p>
            <w:pPr>
              <w:autoSpaceDE w:val="0"/>
              <w:autoSpaceDN w:val="0"/>
              <w:adjustRightInd w:val="0"/>
              <w:snapToGrid w:val="0"/>
              <w:spacing w:line="480" w:lineRule="exact"/>
              <w:ind w:firstLine="480" w:firstLineChars="200"/>
              <w:rPr>
                <w:sz w:val="24"/>
              </w:rPr>
            </w:pPr>
            <w:r>
              <w:rPr>
                <w:rFonts w:hint="eastAsia"/>
                <w:sz w:val="24"/>
              </w:rPr>
              <w:t>根据《五台县城市总体规划》（2</w:t>
            </w:r>
            <w:r>
              <w:rPr>
                <w:sz w:val="24"/>
              </w:rPr>
              <w:t>012-2030</w:t>
            </w:r>
            <w:r>
              <w:rPr>
                <w:rFonts w:hint="eastAsia"/>
                <w:sz w:val="24"/>
              </w:rPr>
              <w:t>年），规划</w:t>
            </w:r>
            <w:r>
              <w:rPr>
                <w:sz w:val="24"/>
              </w:rPr>
              <w:t>以建设可持续发展为导向，将五台县建设成为山西省重要的旅游城市之一，大力发展循环经济，形成具有产业特色明显，生态宜居的城市，以加快城镇化为核心，以统筹发展为前提，推进社会主义新农村建设，缩小城乡差距，实现城乡经济社会一体化，构建人与自然、社会、环境更加协调的和谐共生，面向世界的新五台。</w:t>
            </w:r>
          </w:p>
          <w:p>
            <w:pPr>
              <w:autoSpaceDE w:val="0"/>
              <w:autoSpaceDN w:val="0"/>
              <w:adjustRightInd w:val="0"/>
              <w:snapToGrid w:val="0"/>
              <w:spacing w:line="480" w:lineRule="exact"/>
              <w:ind w:firstLine="480" w:firstLineChars="200"/>
              <w:rPr>
                <w:sz w:val="24"/>
              </w:rPr>
            </w:pPr>
            <w:r>
              <w:rPr>
                <w:sz w:val="24"/>
              </w:rPr>
              <w:t>五台县域城镇空间结构为：</w:t>
            </w:r>
            <w:r>
              <w:rPr>
                <w:rFonts w:hint="eastAsia"/>
                <w:sz w:val="24"/>
              </w:rPr>
              <w:t>“</w:t>
            </w:r>
            <w:r>
              <w:rPr>
                <w:sz w:val="24"/>
              </w:rPr>
              <w:t>一心、一带，二辅</w:t>
            </w:r>
            <w:r>
              <w:rPr>
                <w:rFonts w:hint="eastAsia"/>
                <w:sz w:val="24"/>
              </w:rPr>
              <w:t>”</w:t>
            </w:r>
            <w:r>
              <w:rPr>
                <w:sz w:val="24"/>
              </w:rPr>
              <w:t>。</w:t>
            </w:r>
          </w:p>
          <w:p>
            <w:pPr>
              <w:autoSpaceDE w:val="0"/>
              <w:autoSpaceDN w:val="0"/>
              <w:adjustRightInd w:val="0"/>
              <w:snapToGrid w:val="0"/>
              <w:spacing w:line="480" w:lineRule="exact"/>
              <w:ind w:firstLine="480" w:firstLineChars="200"/>
              <w:rPr>
                <w:sz w:val="24"/>
              </w:rPr>
            </w:pPr>
            <w:r>
              <w:rPr>
                <w:rFonts w:hint="eastAsia"/>
                <w:sz w:val="24"/>
              </w:rPr>
              <w:t>“</w:t>
            </w:r>
            <w:r>
              <w:rPr>
                <w:sz w:val="24"/>
              </w:rPr>
              <w:t>一心</w:t>
            </w:r>
            <w:r>
              <w:rPr>
                <w:rFonts w:hint="eastAsia"/>
                <w:sz w:val="24"/>
              </w:rPr>
              <w:t>”</w:t>
            </w:r>
            <w:r>
              <w:rPr>
                <w:sz w:val="24"/>
              </w:rPr>
              <w:t>即台城和沟南形成的中心城区。</w:t>
            </w:r>
          </w:p>
          <w:p>
            <w:pPr>
              <w:autoSpaceDE w:val="0"/>
              <w:autoSpaceDN w:val="0"/>
              <w:adjustRightInd w:val="0"/>
              <w:snapToGrid w:val="0"/>
              <w:spacing w:line="480" w:lineRule="exact"/>
              <w:ind w:firstLine="480" w:firstLineChars="200"/>
              <w:rPr>
                <w:sz w:val="24"/>
              </w:rPr>
            </w:pPr>
            <w:r>
              <w:rPr>
                <w:rFonts w:hint="eastAsia"/>
                <w:sz w:val="24"/>
              </w:rPr>
              <w:t>“</w:t>
            </w:r>
            <w:r>
              <w:rPr>
                <w:sz w:val="24"/>
              </w:rPr>
              <w:t>一带</w:t>
            </w:r>
            <w:r>
              <w:rPr>
                <w:rFonts w:hint="eastAsia"/>
                <w:sz w:val="24"/>
              </w:rPr>
              <w:t>”</w:t>
            </w:r>
            <w:r>
              <w:rPr>
                <w:sz w:val="24"/>
              </w:rPr>
              <w:t>即沿忻阜高速的经济发展带。</w:t>
            </w:r>
          </w:p>
          <w:p>
            <w:pPr>
              <w:autoSpaceDE w:val="0"/>
              <w:autoSpaceDN w:val="0"/>
              <w:adjustRightInd w:val="0"/>
              <w:snapToGrid w:val="0"/>
              <w:spacing w:line="480" w:lineRule="exact"/>
              <w:ind w:firstLine="480" w:firstLineChars="200"/>
              <w:rPr>
                <w:sz w:val="24"/>
              </w:rPr>
            </w:pPr>
            <w:r>
              <w:rPr>
                <w:rFonts w:hint="eastAsia"/>
                <w:sz w:val="24"/>
              </w:rPr>
              <w:t>“</w:t>
            </w:r>
            <w:r>
              <w:rPr>
                <w:sz w:val="24"/>
              </w:rPr>
              <w:t>二辅</w:t>
            </w:r>
            <w:r>
              <w:rPr>
                <w:rFonts w:hint="eastAsia"/>
                <w:sz w:val="24"/>
              </w:rPr>
              <w:t>”</w:t>
            </w:r>
            <w:r>
              <w:rPr>
                <w:sz w:val="24"/>
              </w:rPr>
              <w:t>即以东冶镇为代表的工业城镇和以旅游业为主的台怀镇，是未来五台县的东西两翼</w:t>
            </w:r>
            <w:r>
              <w:rPr>
                <w:rFonts w:hint="eastAsia"/>
                <w:sz w:val="24"/>
              </w:rPr>
              <w:t>。</w:t>
            </w:r>
          </w:p>
          <w:p>
            <w:pPr>
              <w:autoSpaceDE w:val="0"/>
              <w:autoSpaceDN w:val="0"/>
              <w:adjustRightInd w:val="0"/>
              <w:snapToGrid w:val="0"/>
              <w:spacing w:line="480" w:lineRule="exact"/>
              <w:ind w:firstLine="480" w:firstLineChars="200"/>
              <w:rPr>
                <w:sz w:val="24"/>
              </w:rPr>
            </w:pPr>
            <w:r>
              <w:rPr>
                <w:sz w:val="24"/>
              </w:rPr>
              <w:t>综合考虑各城镇的地位、区位、辐射能力、服务范围、发展前景及行政区划等因素，将县内各城镇形成各具特色的职能分工，与全县产业布局相适应。规划将城镇职能划分为综合型、工贸型、旅游型和农贸型四种。城镇职能结构详见表</w:t>
            </w:r>
            <w:r>
              <w:rPr>
                <w:rFonts w:hint="eastAsia"/>
                <w:sz w:val="24"/>
              </w:rPr>
              <w:t>1</w:t>
            </w:r>
            <w:r>
              <w:rPr>
                <w:sz w:val="24"/>
              </w:rPr>
              <w:t>-2。</w:t>
            </w:r>
          </w:p>
          <w:p>
            <w:pPr>
              <w:autoSpaceDE w:val="0"/>
              <w:autoSpaceDN w:val="0"/>
              <w:adjustRightInd w:val="0"/>
              <w:snapToGrid w:val="0"/>
              <w:spacing w:line="480" w:lineRule="exact"/>
              <w:jc w:val="center"/>
              <w:rPr>
                <w:rFonts w:ascii="黑体" w:hAnsi="黑体" w:eastAsia="黑体" w:cs="宋体"/>
                <w:bCs/>
                <w:kern w:val="0"/>
                <w:sz w:val="32"/>
                <w:szCs w:val="32"/>
              </w:rPr>
            </w:pPr>
            <w:r>
              <w:rPr>
                <w:rFonts w:ascii="黑体" w:hAnsi="黑体" w:eastAsia="黑体"/>
                <w:bCs/>
                <w:sz w:val="24"/>
              </w:rPr>
              <w:t>表</w:t>
            </w:r>
            <w:r>
              <w:rPr>
                <w:rFonts w:hint="eastAsia" w:ascii="黑体" w:hAnsi="黑体" w:eastAsia="黑体"/>
                <w:bCs/>
                <w:sz w:val="24"/>
              </w:rPr>
              <w:t>1</w:t>
            </w:r>
            <w:r>
              <w:rPr>
                <w:rFonts w:ascii="黑体" w:hAnsi="黑体" w:eastAsia="黑体"/>
                <w:bCs/>
                <w:sz w:val="24"/>
              </w:rPr>
              <w:t>-2  城镇职能结构规划</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43"/>
              <w:gridCol w:w="818"/>
              <w:gridCol w:w="1257"/>
              <w:gridCol w:w="1851"/>
              <w:gridCol w:w="998"/>
              <w:gridCol w:w="3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0" w:type="pct"/>
                  <w:gridSpan w:val="2"/>
                  <w:vAlign w:val="center"/>
                </w:tcPr>
                <w:p>
                  <w:pPr>
                    <w:jc w:val="center"/>
                    <w:rPr>
                      <w:szCs w:val="21"/>
                    </w:rPr>
                  </w:pPr>
                  <w:r>
                    <w:rPr>
                      <w:szCs w:val="21"/>
                    </w:rPr>
                    <w:t>等级</w:t>
                  </w:r>
                </w:p>
              </w:tc>
              <w:tc>
                <w:tcPr>
                  <w:tcW w:w="747" w:type="pct"/>
                  <w:tcMar>
                    <w:top w:w="15" w:type="dxa"/>
                    <w:left w:w="15" w:type="dxa"/>
                    <w:bottom w:w="0" w:type="dxa"/>
                    <w:right w:w="15" w:type="dxa"/>
                  </w:tcMar>
                  <w:vAlign w:val="center"/>
                </w:tcPr>
                <w:p>
                  <w:pPr>
                    <w:jc w:val="center"/>
                    <w:rPr>
                      <w:szCs w:val="21"/>
                    </w:rPr>
                  </w:pPr>
                  <w:r>
                    <w:rPr>
                      <w:szCs w:val="21"/>
                    </w:rPr>
                    <w:t>整合后城镇</w:t>
                  </w:r>
                </w:p>
              </w:tc>
              <w:tc>
                <w:tcPr>
                  <w:tcW w:w="1100" w:type="pct"/>
                  <w:tcMar>
                    <w:top w:w="15" w:type="dxa"/>
                    <w:left w:w="15" w:type="dxa"/>
                    <w:bottom w:w="0" w:type="dxa"/>
                    <w:right w:w="15" w:type="dxa"/>
                  </w:tcMar>
                  <w:vAlign w:val="center"/>
                </w:tcPr>
                <w:p>
                  <w:pPr>
                    <w:ind w:right="-105" w:rightChars="-50"/>
                    <w:jc w:val="center"/>
                    <w:rPr>
                      <w:szCs w:val="21"/>
                    </w:rPr>
                  </w:pPr>
                  <w:r>
                    <w:rPr>
                      <w:szCs w:val="21"/>
                    </w:rPr>
                    <w:t>整合现状乡镇</w:t>
                  </w:r>
                </w:p>
              </w:tc>
              <w:tc>
                <w:tcPr>
                  <w:tcW w:w="593" w:type="pct"/>
                  <w:tcMar>
                    <w:top w:w="15" w:type="dxa"/>
                    <w:left w:w="15" w:type="dxa"/>
                    <w:bottom w:w="0" w:type="dxa"/>
                    <w:right w:w="15" w:type="dxa"/>
                  </w:tcMar>
                  <w:vAlign w:val="center"/>
                </w:tcPr>
                <w:p>
                  <w:pPr>
                    <w:ind w:right="-105" w:rightChars="-50"/>
                    <w:jc w:val="center"/>
                    <w:rPr>
                      <w:szCs w:val="21"/>
                    </w:rPr>
                  </w:pPr>
                  <w:r>
                    <w:rPr>
                      <w:szCs w:val="21"/>
                    </w:rPr>
                    <w:t>职能类型</w:t>
                  </w:r>
                </w:p>
              </w:tc>
              <w:tc>
                <w:tcPr>
                  <w:tcW w:w="1870" w:type="pct"/>
                  <w:tcMar>
                    <w:top w:w="15" w:type="dxa"/>
                    <w:left w:w="15" w:type="dxa"/>
                    <w:bottom w:w="0" w:type="dxa"/>
                    <w:right w:w="15" w:type="dxa"/>
                  </w:tcMar>
                  <w:vAlign w:val="center"/>
                </w:tcPr>
                <w:p>
                  <w:pPr>
                    <w:jc w:val="center"/>
                    <w:rPr>
                      <w:szCs w:val="21"/>
                    </w:rPr>
                  </w:pPr>
                  <w:r>
                    <w:rPr>
                      <w:szCs w:val="21"/>
                    </w:rPr>
                    <w:t>产业发展方向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Align w:val="center"/>
                </w:tcPr>
                <w:p>
                  <w:pPr>
                    <w:jc w:val="center"/>
                    <w:rPr>
                      <w:szCs w:val="21"/>
                    </w:rPr>
                  </w:pPr>
                  <w:r>
                    <w:rPr>
                      <w:szCs w:val="21"/>
                    </w:rPr>
                    <w:t>I</w:t>
                  </w:r>
                </w:p>
              </w:tc>
              <w:tc>
                <w:tcPr>
                  <w:tcW w:w="486" w:type="pct"/>
                  <w:vAlign w:val="center"/>
                </w:tcPr>
                <w:p>
                  <w:pPr>
                    <w:jc w:val="center"/>
                    <w:rPr>
                      <w:szCs w:val="21"/>
                    </w:rPr>
                  </w:pPr>
                  <w:r>
                    <w:rPr>
                      <w:szCs w:val="21"/>
                    </w:rPr>
                    <w:t>中心城区</w:t>
                  </w:r>
                </w:p>
              </w:tc>
              <w:tc>
                <w:tcPr>
                  <w:tcW w:w="747" w:type="pct"/>
                  <w:tcMar>
                    <w:top w:w="15" w:type="dxa"/>
                    <w:left w:w="15" w:type="dxa"/>
                    <w:bottom w:w="0" w:type="dxa"/>
                    <w:right w:w="15" w:type="dxa"/>
                  </w:tcMar>
                  <w:vAlign w:val="center"/>
                </w:tcPr>
                <w:p>
                  <w:pPr>
                    <w:jc w:val="center"/>
                    <w:rPr>
                      <w:szCs w:val="21"/>
                    </w:rPr>
                  </w:pPr>
                  <w:r>
                    <w:rPr>
                      <w:szCs w:val="21"/>
                    </w:rPr>
                    <w:t>中心城区</w:t>
                  </w:r>
                </w:p>
              </w:tc>
              <w:tc>
                <w:tcPr>
                  <w:tcW w:w="1100" w:type="pct"/>
                  <w:tcMar>
                    <w:top w:w="15" w:type="dxa"/>
                    <w:left w:w="15" w:type="dxa"/>
                    <w:bottom w:w="0" w:type="dxa"/>
                    <w:right w:w="15" w:type="dxa"/>
                  </w:tcMar>
                  <w:vAlign w:val="center"/>
                </w:tcPr>
                <w:p>
                  <w:pPr>
                    <w:jc w:val="center"/>
                    <w:rPr>
                      <w:szCs w:val="21"/>
                    </w:rPr>
                  </w:pPr>
                  <w:r>
                    <w:rPr>
                      <w:szCs w:val="21"/>
                    </w:rPr>
                    <w:t>台城镇、沟南乡</w:t>
                  </w:r>
                </w:p>
              </w:tc>
              <w:tc>
                <w:tcPr>
                  <w:tcW w:w="593" w:type="pct"/>
                  <w:tcMar>
                    <w:top w:w="15" w:type="dxa"/>
                    <w:left w:w="15" w:type="dxa"/>
                    <w:bottom w:w="0" w:type="dxa"/>
                    <w:right w:w="15" w:type="dxa"/>
                  </w:tcMar>
                  <w:vAlign w:val="center"/>
                </w:tcPr>
                <w:p>
                  <w:pPr>
                    <w:jc w:val="center"/>
                    <w:rPr>
                      <w:szCs w:val="21"/>
                    </w:rPr>
                  </w:pPr>
                  <w:r>
                    <w:rPr>
                      <w:szCs w:val="21"/>
                    </w:rPr>
                    <w:t>综合型</w:t>
                  </w:r>
                </w:p>
              </w:tc>
              <w:tc>
                <w:tcPr>
                  <w:tcW w:w="1870" w:type="pct"/>
                  <w:tcMar>
                    <w:top w:w="15" w:type="dxa"/>
                    <w:left w:w="15" w:type="dxa"/>
                    <w:bottom w:w="0" w:type="dxa"/>
                    <w:right w:w="15" w:type="dxa"/>
                  </w:tcMar>
                  <w:vAlign w:val="center"/>
                </w:tcPr>
                <w:p>
                  <w:pPr>
                    <w:jc w:val="center"/>
                    <w:rPr>
                      <w:szCs w:val="21"/>
                    </w:rPr>
                  </w:pPr>
                  <w:r>
                    <w:rPr>
                      <w:szCs w:val="21"/>
                    </w:rPr>
                    <w:t>文化休闲、旅游接待、商贸物流、轻工业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Align w:val="center"/>
                </w:tcPr>
                <w:p>
                  <w:pPr>
                    <w:jc w:val="center"/>
                    <w:rPr>
                      <w:szCs w:val="21"/>
                    </w:rPr>
                  </w:pPr>
                  <w:r>
                    <w:rPr>
                      <w:szCs w:val="21"/>
                    </w:rPr>
                    <w:t>II</w:t>
                  </w:r>
                </w:p>
              </w:tc>
              <w:tc>
                <w:tcPr>
                  <w:tcW w:w="486" w:type="pct"/>
                  <w:vAlign w:val="center"/>
                </w:tcPr>
                <w:p>
                  <w:pPr>
                    <w:jc w:val="center"/>
                    <w:rPr>
                      <w:szCs w:val="21"/>
                    </w:rPr>
                  </w:pPr>
                  <w:r>
                    <w:rPr>
                      <w:szCs w:val="21"/>
                    </w:rPr>
                    <w:t>副中心重点镇</w:t>
                  </w:r>
                </w:p>
              </w:tc>
              <w:tc>
                <w:tcPr>
                  <w:tcW w:w="747" w:type="pct"/>
                  <w:tcMar>
                    <w:top w:w="15" w:type="dxa"/>
                    <w:left w:w="15" w:type="dxa"/>
                    <w:bottom w:w="0" w:type="dxa"/>
                    <w:right w:w="15" w:type="dxa"/>
                  </w:tcMar>
                  <w:vAlign w:val="center"/>
                </w:tcPr>
                <w:p>
                  <w:pPr>
                    <w:jc w:val="center"/>
                    <w:rPr>
                      <w:szCs w:val="21"/>
                    </w:rPr>
                  </w:pPr>
                  <w:r>
                    <w:rPr>
                      <w:szCs w:val="21"/>
                    </w:rPr>
                    <w:t>东冶镇</w:t>
                  </w:r>
                </w:p>
              </w:tc>
              <w:tc>
                <w:tcPr>
                  <w:tcW w:w="1100" w:type="pct"/>
                  <w:tcMar>
                    <w:top w:w="15" w:type="dxa"/>
                    <w:left w:w="15" w:type="dxa"/>
                    <w:bottom w:w="0" w:type="dxa"/>
                    <w:right w:w="15" w:type="dxa"/>
                  </w:tcMar>
                  <w:vAlign w:val="center"/>
                </w:tcPr>
                <w:p>
                  <w:pPr>
                    <w:jc w:val="center"/>
                    <w:rPr>
                      <w:szCs w:val="21"/>
                    </w:rPr>
                  </w:pPr>
                  <w:r>
                    <w:rPr>
                      <w:szCs w:val="21"/>
                    </w:rPr>
                    <w:t>东冶镇、建安乡、神西乡</w:t>
                  </w:r>
                </w:p>
              </w:tc>
              <w:tc>
                <w:tcPr>
                  <w:tcW w:w="593" w:type="pct"/>
                  <w:tcMar>
                    <w:top w:w="15" w:type="dxa"/>
                    <w:left w:w="15" w:type="dxa"/>
                    <w:bottom w:w="0" w:type="dxa"/>
                    <w:right w:w="15" w:type="dxa"/>
                  </w:tcMar>
                  <w:vAlign w:val="center"/>
                </w:tcPr>
                <w:p>
                  <w:pPr>
                    <w:jc w:val="center"/>
                    <w:rPr>
                      <w:szCs w:val="21"/>
                    </w:rPr>
                  </w:pPr>
                  <w:r>
                    <w:rPr>
                      <w:szCs w:val="21"/>
                    </w:rPr>
                    <w:t>综合型</w:t>
                  </w:r>
                </w:p>
              </w:tc>
              <w:tc>
                <w:tcPr>
                  <w:tcW w:w="1870" w:type="pct"/>
                  <w:tcMar>
                    <w:top w:w="15" w:type="dxa"/>
                    <w:left w:w="15" w:type="dxa"/>
                    <w:bottom w:w="0" w:type="dxa"/>
                    <w:right w:w="15" w:type="dxa"/>
                  </w:tcMar>
                  <w:vAlign w:val="center"/>
                </w:tcPr>
                <w:p>
                  <w:pPr>
                    <w:jc w:val="center"/>
                    <w:rPr>
                      <w:szCs w:val="21"/>
                    </w:rPr>
                  </w:pPr>
                  <w:r>
                    <w:rPr>
                      <w:szCs w:val="21"/>
                    </w:rPr>
                    <w:t>铝镁加工、商贸物流、教育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restart"/>
                  <w:vAlign w:val="center"/>
                </w:tcPr>
                <w:p>
                  <w:pPr>
                    <w:jc w:val="center"/>
                    <w:rPr>
                      <w:szCs w:val="21"/>
                    </w:rPr>
                  </w:pPr>
                  <w:r>
                    <w:rPr>
                      <w:szCs w:val="21"/>
                    </w:rPr>
                    <w:t>III</w:t>
                  </w:r>
                </w:p>
              </w:tc>
              <w:tc>
                <w:tcPr>
                  <w:tcW w:w="486" w:type="pct"/>
                  <w:vMerge w:val="restart"/>
                  <w:vAlign w:val="center"/>
                </w:tcPr>
                <w:p>
                  <w:pPr>
                    <w:jc w:val="center"/>
                    <w:rPr>
                      <w:szCs w:val="21"/>
                    </w:rPr>
                  </w:pPr>
                  <w:r>
                    <w:rPr>
                      <w:szCs w:val="21"/>
                    </w:rPr>
                    <w:t>重点镇</w:t>
                  </w:r>
                </w:p>
              </w:tc>
              <w:tc>
                <w:tcPr>
                  <w:tcW w:w="747" w:type="pct"/>
                  <w:tcMar>
                    <w:top w:w="15" w:type="dxa"/>
                    <w:left w:w="15" w:type="dxa"/>
                    <w:bottom w:w="0" w:type="dxa"/>
                    <w:right w:w="15" w:type="dxa"/>
                  </w:tcMar>
                  <w:vAlign w:val="center"/>
                </w:tcPr>
                <w:p>
                  <w:pPr>
                    <w:jc w:val="center"/>
                    <w:rPr>
                      <w:szCs w:val="21"/>
                    </w:rPr>
                  </w:pPr>
                  <w:r>
                    <w:rPr>
                      <w:szCs w:val="21"/>
                    </w:rPr>
                    <w:t>茹村</w:t>
                  </w:r>
                  <w:r>
                    <w:rPr>
                      <w:rFonts w:hint="eastAsia"/>
                      <w:szCs w:val="21"/>
                    </w:rPr>
                    <w:t>乡</w:t>
                  </w:r>
                </w:p>
              </w:tc>
              <w:tc>
                <w:tcPr>
                  <w:tcW w:w="1100" w:type="pct"/>
                  <w:tcMar>
                    <w:top w:w="15" w:type="dxa"/>
                    <w:left w:w="15" w:type="dxa"/>
                    <w:bottom w:w="0" w:type="dxa"/>
                    <w:right w:w="15" w:type="dxa"/>
                  </w:tcMar>
                  <w:vAlign w:val="center"/>
                </w:tcPr>
                <w:p>
                  <w:pPr>
                    <w:jc w:val="center"/>
                    <w:rPr>
                      <w:szCs w:val="21"/>
                    </w:rPr>
                  </w:pPr>
                  <w:r>
                    <w:rPr>
                      <w:szCs w:val="21"/>
                    </w:rPr>
                    <w:t>茹村乡</w:t>
                  </w:r>
                </w:p>
              </w:tc>
              <w:tc>
                <w:tcPr>
                  <w:tcW w:w="593" w:type="pct"/>
                  <w:tcMar>
                    <w:top w:w="15" w:type="dxa"/>
                    <w:left w:w="15" w:type="dxa"/>
                    <w:bottom w:w="0" w:type="dxa"/>
                    <w:right w:w="15" w:type="dxa"/>
                  </w:tcMar>
                  <w:vAlign w:val="center"/>
                </w:tcPr>
                <w:p>
                  <w:pPr>
                    <w:jc w:val="center"/>
                    <w:rPr>
                      <w:szCs w:val="21"/>
                    </w:rPr>
                  </w:pPr>
                  <w:r>
                    <w:rPr>
                      <w:szCs w:val="21"/>
                    </w:rPr>
                    <w:t>农贸型</w:t>
                  </w:r>
                </w:p>
              </w:tc>
              <w:tc>
                <w:tcPr>
                  <w:tcW w:w="1870" w:type="pct"/>
                  <w:tcMar>
                    <w:top w:w="15" w:type="dxa"/>
                    <w:left w:w="15" w:type="dxa"/>
                    <w:bottom w:w="0" w:type="dxa"/>
                    <w:right w:w="15" w:type="dxa"/>
                  </w:tcMar>
                  <w:vAlign w:val="center"/>
                </w:tcPr>
                <w:p>
                  <w:pPr>
                    <w:jc w:val="center"/>
                    <w:rPr>
                      <w:szCs w:val="21"/>
                    </w:rPr>
                  </w:pPr>
                  <w:r>
                    <w:rPr>
                      <w:szCs w:val="21"/>
                    </w:rPr>
                    <w:t>规模农业、绿色农业、人文旅游、铝加工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豆村镇</w:t>
                  </w:r>
                </w:p>
              </w:tc>
              <w:tc>
                <w:tcPr>
                  <w:tcW w:w="1100" w:type="pct"/>
                  <w:tcMar>
                    <w:top w:w="15" w:type="dxa"/>
                    <w:left w:w="15" w:type="dxa"/>
                    <w:bottom w:w="0" w:type="dxa"/>
                    <w:right w:w="15" w:type="dxa"/>
                  </w:tcMar>
                  <w:vAlign w:val="center"/>
                </w:tcPr>
                <w:p>
                  <w:pPr>
                    <w:jc w:val="center"/>
                    <w:rPr>
                      <w:szCs w:val="21"/>
                    </w:rPr>
                  </w:pPr>
                  <w:r>
                    <w:rPr>
                      <w:szCs w:val="21"/>
                    </w:rPr>
                    <w:t>豆村镇、蒋坊乡</w:t>
                  </w:r>
                </w:p>
              </w:tc>
              <w:tc>
                <w:tcPr>
                  <w:tcW w:w="593" w:type="pct"/>
                  <w:tcMar>
                    <w:top w:w="15" w:type="dxa"/>
                    <w:left w:w="15" w:type="dxa"/>
                    <w:bottom w:w="0" w:type="dxa"/>
                    <w:right w:w="15" w:type="dxa"/>
                  </w:tcMar>
                  <w:vAlign w:val="center"/>
                </w:tcPr>
                <w:p>
                  <w:pPr>
                    <w:jc w:val="center"/>
                    <w:rPr>
                      <w:szCs w:val="21"/>
                    </w:rPr>
                  </w:pPr>
                  <w:r>
                    <w:rPr>
                      <w:szCs w:val="21"/>
                    </w:rPr>
                    <w:t>农贸型</w:t>
                  </w:r>
                </w:p>
              </w:tc>
              <w:tc>
                <w:tcPr>
                  <w:tcW w:w="1870" w:type="pct"/>
                  <w:tcMar>
                    <w:top w:w="15" w:type="dxa"/>
                    <w:left w:w="15" w:type="dxa"/>
                    <w:bottom w:w="0" w:type="dxa"/>
                    <w:right w:w="15" w:type="dxa"/>
                  </w:tcMar>
                  <w:vAlign w:val="center"/>
                </w:tcPr>
                <w:p>
                  <w:pPr>
                    <w:jc w:val="center"/>
                    <w:rPr>
                      <w:szCs w:val="21"/>
                    </w:rPr>
                  </w:pPr>
                  <w:r>
                    <w:rPr>
                      <w:szCs w:val="21"/>
                    </w:rPr>
                    <w:t>特色种植、养殖业、铁加工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台怀镇</w:t>
                  </w:r>
                </w:p>
              </w:tc>
              <w:tc>
                <w:tcPr>
                  <w:tcW w:w="1100" w:type="pct"/>
                  <w:tcMar>
                    <w:top w:w="15" w:type="dxa"/>
                    <w:left w:w="15" w:type="dxa"/>
                    <w:bottom w:w="0" w:type="dxa"/>
                    <w:right w:w="15" w:type="dxa"/>
                  </w:tcMar>
                  <w:vAlign w:val="center"/>
                </w:tcPr>
                <w:p>
                  <w:pPr>
                    <w:jc w:val="center"/>
                    <w:rPr>
                      <w:szCs w:val="21"/>
                    </w:rPr>
                  </w:pPr>
                  <w:r>
                    <w:rPr>
                      <w:szCs w:val="21"/>
                    </w:rPr>
                    <w:t>台怀镇、灵境乡、金岗库乡、石咀乡</w:t>
                  </w:r>
                </w:p>
              </w:tc>
              <w:tc>
                <w:tcPr>
                  <w:tcW w:w="593" w:type="pct"/>
                  <w:tcMar>
                    <w:top w:w="15" w:type="dxa"/>
                    <w:left w:w="15" w:type="dxa"/>
                    <w:bottom w:w="0" w:type="dxa"/>
                    <w:right w:w="15" w:type="dxa"/>
                  </w:tcMar>
                  <w:vAlign w:val="center"/>
                </w:tcPr>
                <w:p>
                  <w:pPr>
                    <w:jc w:val="center"/>
                    <w:rPr>
                      <w:szCs w:val="21"/>
                    </w:rPr>
                  </w:pPr>
                  <w:r>
                    <w:rPr>
                      <w:szCs w:val="21"/>
                    </w:rPr>
                    <w:t>旅游型</w:t>
                  </w:r>
                </w:p>
              </w:tc>
              <w:tc>
                <w:tcPr>
                  <w:tcW w:w="1870" w:type="pct"/>
                  <w:tcMar>
                    <w:top w:w="15" w:type="dxa"/>
                    <w:left w:w="15" w:type="dxa"/>
                    <w:bottom w:w="0" w:type="dxa"/>
                    <w:right w:w="15" w:type="dxa"/>
                  </w:tcMar>
                  <w:vAlign w:val="center"/>
                </w:tcPr>
                <w:p>
                  <w:pPr>
                    <w:jc w:val="center"/>
                    <w:rPr>
                      <w:szCs w:val="21"/>
                    </w:rPr>
                  </w:pPr>
                  <w:r>
                    <w:rPr>
                      <w:szCs w:val="21"/>
                    </w:rPr>
                    <w:t>佛文化体验、自然观光、旅游服务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restart"/>
                  <w:vAlign w:val="center"/>
                </w:tcPr>
                <w:p>
                  <w:pPr>
                    <w:jc w:val="center"/>
                    <w:rPr>
                      <w:szCs w:val="21"/>
                    </w:rPr>
                  </w:pPr>
                  <w:r>
                    <w:rPr>
                      <w:szCs w:val="21"/>
                    </w:rPr>
                    <w:t>IV</w:t>
                  </w:r>
                </w:p>
              </w:tc>
              <w:tc>
                <w:tcPr>
                  <w:tcW w:w="486" w:type="pct"/>
                  <w:vMerge w:val="restart"/>
                  <w:vAlign w:val="center"/>
                </w:tcPr>
                <w:p>
                  <w:pPr>
                    <w:jc w:val="center"/>
                    <w:rPr>
                      <w:szCs w:val="21"/>
                    </w:rPr>
                  </w:pPr>
                  <w:r>
                    <w:rPr>
                      <w:szCs w:val="21"/>
                    </w:rPr>
                    <w:t>一般镇</w:t>
                  </w:r>
                </w:p>
              </w:tc>
              <w:tc>
                <w:tcPr>
                  <w:tcW w:w="747" w:type="pct"/>
                  <w:tcMar>
                    <w:top w:w="15" w:type="dxa"/>
                    <w:left w:w="15" w:type="dxa"/>
                    <w:bottom w:w="0" w:type="dxa"/>
                    <w:right w:w="15" w:type="dxa"/>
                  </w:tcMar>
                  <w:vAlign w:val="center"/>
                </w:tcPr>
                <w:p>
                  <w:pPr>
                    <w:jc w:val="center"/>
                    <w:rPr>
                      <w:szCs w:val="21"/>
                    </w:rPr>
                  </w:pPr>
                  <w:r>
                    <w:rPr>
                      <w:szCs w:val="21"/>
                    </w:rPr>
                    <w:t>白家庄镇</w:t>
                  </w:r>
                </w:p>
              </w:tc>
              <w:tc>
                <w:tcPr>
                  <w:tcW w:w="1100" w:type="pct"/>
                  <w:tcMar>
                    <w:top w:w="15" w:type="dxa"/>
                    <w:left w:w="15" w:type="dxa"/>
                    <w:bottom w:w="0" w:type="dxa"/>
                    <w:right w:w="15" w:type="dxa"/>
                  </w:tcMar>
                  <w:vAlign w:val="center"/>
                </w:tcPr>
                <w:p>
                  <w:pPr>
                    <w:jc w:val="center"/>
                    <w:rPr>
                      <w:szCs w:val="21"/>
                    </w:rPr>
                  </w:pPr>
                  <w:r>
                    <w:rPr>
                      <w:szCs w:val="21"/>
                    </w:rPr>
                    <w:t>白家庄镇</w:t>
                  </w:r>
                </w:p>
              </w:tc>
              <w:tc>
                <w:tcPr>
                  <w:tcW w:w="593" w:type="pct"/>
                  <w:tcMar>
                    <w:top w:w="15" w:type="dxa"/>
                    <w:left w:w="15" w:type="dxa"/>
                    <w:bottom w:w="0" w:type="dxa"/>
                    <w:right w:w="15" w:type="dxa"/>
                  </w:tcMar>
                  <w:vAlign w:val="center"/>
                </w:tcPr>
                <w:p>
                  <w:pPr>
                    <w:jc w:val="center"/>
                    <w:rPr>
                      <w:szCs w:val="21"/>
                    </w:rPr>
                  </w:pPr>
                  <w:r>
                    <w:rPr>
                      <w:szCs w:val="21"/>
                    </w:rPr>
                    <w:t>工贸型</w:t>
                  </w:r>
                </w:p>
              </w:tc>
              <w:tc>
                <w:tcPr>
                  <w:tcW w:w="1870" w:type="pct"/>
                  <w:tcMar>
                    <w:top w:w="15" w:type="dxa"/>
                    <w:left w:w="15" w:type="dxa"/>
                    <w:bottom w:w="0" w:type="dxa"/>
                    <w:right w:w="15" w:type="dxa"/>
                  </w:tcMar>
                  <w:vAlign w:val="center"/>
                </w:tcPr>
                <w:p>
                  <w:pPr>
                    <w:jc w:val="center"/>
                    <w:rPr>
                      <w:szCs w:val="21"/>
                    </w:rPr>
                  </w:pPr>
                  <w:r>
                    <w:rPr>
                      <w:szCs w:val="21"/>
                    </w:rPr>
                    <w:t>矿产开采加工、陶瓷、水电风电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阳白</w:t>
                  </w:r>
                  <w:r>
                    <w:rPr>
                      <w:rFonts w:hint="eastAsia"/>
                      <w:szCs w:val="21"/>
                    </w:rPr>
                    <w:t>乡</w:t>
                  </w:r>
                </w:p>
              </w:tc>
              <w:tc>
                <w:tcPr>
                  <w:tcW w:w="1100" w:type="pct"/>
                  <w:tcMar>
                    <w:top w:w="15" w:type="dxa"/>
                    <w:left w:w="15" w:type="dxa"/>
                    <w:bottom w:w="0" w:type="dxa"/>
                    <w:right w:w="15" w:type="dxa"/>
                  </w:tcMar>
                  <w:vAlign w:val="center"/>
                </w:tcPr>
                <w:p>
                  <w:pPr>
                    <w:jc w:val="center"/>
                    <w:rPr>
                      <w:szCs w:val="21"/>
                    </w:rPr>
                  </w:pPr>
                  <w:r>
                    <w:rPr>
                      <w:szCs w:val="21"/>
                    </w:rPr>
                    <w:t>阳白乡</w:t>
                  </w:r>
                </w:p>
              </w:tc>
              <w:tc>
                <w:tcPr>
                  <w:tcW w:w="593" w:type="pct"/>
                  <w:tcMar>
                    <w:top w:w="15" w:type="dxa"/>
                    <w:left w:w="15" w:type="dxa"/>
                    <w:bottom w:w="0" w:type="dxa"/>
                    <w:right w:w="15" w:type="dxa"/>
                  </w:tcMar>
                  <w:vAlign w:val="center"/>
                </w:tcPr>
                <w:p>
                  <w:pPr>
                    <w:jc w:val="center"/>
                    <w:rPr>
                      <w:szCs w:val="21"/>
                    </w:rPr>
                  </w:pPr>
                  <w:r>
                    <w:rPr>
                      <w:szCs w:val="21"/>
                    </w:rPr>
                    <w:t>工贸型</w:t>
                  </w:r>
                </w:p>
              </w:tc>
              <w:tc>
                <w:tcPr>
                  <w:tcW w:w="1870" w:type="pct"/>
                  <w:tcMar>
                    <w:top w:w="15" w:type="dxa"/>
                    <w:left w:w="15" w:type="dxa"/>
                    <w:bottom w:w="0" w:type="dxa"/>
                    <w:right w:w="15" w:type="dxa"/>
                  </w:tcMar>
                  <w:vAlign w:val="center"/>
                </w:tcPr>
                <w:p>
                  <w:pPr>
                    <w:jc w:val="center"/>
                    <w:rPr>
                      <w:szCs w:val="21"/>
                    </w:rPr>
                  </w:pPr>
                  <w:r>
                    <w:rPr>
                      <w:szCs w:val="21"/>
                    </w:rPr>
                    <w:t>资源开发及加工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东雷</w:t>
                  </w:r>
                  <w:r>
                    <w:rPr>
                      <w:rFonts w:hint="eastAsia"/>
                      <w:szCs w:val="21"/>
                    </w:rPr>
                    <w:t>乡</w:t>
                  </w:r>
                </w:p>
              </w:tc>
              <w:tc>
                <w:tcPr>
                  <w:tcW w:w="1100" w:type="pct"/>
                  <w:tcMar>
                    <w:top w:w="15" w:type="dxa"/>
                    <w:left w:w="15" w:type="dxa"/>
                    <w:bottom w:w="0" w:type="dxa"/>
                    <w:right w:w="15" w:type="dxa"/>
                  </w:tcMar>
                  <w:vAlign w:val="center"/>
                </w:tcPr>
                <w:p>
                  <w:pPr>
                    <w:jc w:val="center"/>
                    <w:rPr>
                      <w:szCs w:val="21"/>
                    </w:rPr>
                  </w:pPr>
                  <w:r>
                    <w:rPr>
                      <w:szCs w:val="21"/>
                    </w:rPr>
                    <w:t>东雷乡</w:t>
                  </w:r>
                </w:p>
              </w:tc>
              <w:tc>
                <w:tcPr>
                  <w:tcW w:w="593" w:type="pct"/>
                  <w:tcMar>
                    <w:top w:w="15" w:type="dxa"/>
                    <w:left w:w="15" w:type="dxa"/>
                    <w:bottom w:w="0" w:type="dxa"/>
                    <w:right w:w="15" w:type="dxa"/>
                  </w:tcMar>
                  <w:vAlign w:val="center"/>
                </w:tcPr>
                <w:p>
                  <w:pPr>
                    <w:jc w:val="center"/>
                    <w:rPr>
                      <w:szCs w:val="21"/>
                    </w:rPr>
                  </w:pPr>
                  <w:r>
                    <w:rPr>
                      <w:szCs w:val="21"/>
                    </w:rPr>
                    <w:t>农贸型</w:t>
                  </w:r>
                </w:p>
              </w:tc>
              <w:tc>
                <w:tcPr>
                  <w:tcW w:w="1870" w:type="pct"/>
                  <w:tcMar>
                    <w:top w:w="15" w:type="dxa"/>
                    <w:left w:w="15" w:type="dxa"/>
                    <w:bottom w:w="0" w:type="dxa"/>
                    <w:right w:w="15" w:type="dxa"/>
                  </w:tcMar>
                  <w:vAlign w:val="center"/>
                </w:tcPr>
                <w:p>
                  <w:pPr>
                    <w:jc w:val="center"/>
                    <w:rPr>
                      <w:szCs w:val="21"/>
                    </w:rPr>
                  </w:pPr>
                  <w:r>
                    <w:rPr>
                      <w:szCs w:val="21"/>
                    </w:rPr>
                    <w:t>特色种植、农副产品加工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陈家庄</w:t>
                  </w:r>
                  <w:r>
                    <w:rPr>
                      <w:rFonts w:hint="eastAsia"/>
                      <w:szCs w:val="21"/>
                    </w:rPr>
                    <w:t>乡</w:t>
                  </w:r>
                </w:p>
              </w:tc>
              <w:tc>
                <w:tcPr>
                  <w:tcW w:w="1100" w:type="pct"/>
                  <w:tcMar>
                    <w:top w:w="15" w:type="dxa"/>
                    <w:left w:w="15" w:type="dxa"/>
                    <w:bottom w:w="0" w:type="dxa"/>
                    <w:right w:w="15" w:type="dxa"/>
                  </w:tcMar>
                  <w:vAlign w:val="center"/>
                </w:tcPr>
                <w:p>
                  <w:pPr>
                    <w:jc w:val="center"/>
                    <w:rPr>
                      <w:szCs w:val="21"/>
                    </w:rPr>
                  </w:pPr>
                  <w:r>
                    <w:rPr>
                      <w:szCs w:val="21"/>
                    </w:rPr>
                    <w:t>陈家庄乡</w:t>
                  </w:r>
                </w:p>
              </w:tc>
              <w:tc>
                <w:tcPr>
                  <w:tcW w:w="593" w:type="pct"/>
                  <w:tcMar>
                    <w:top w:w="15" w:type="dxa"/>
                    <w:left w:w="15" w:type="dxa"/>
                    <w:bottom w:w="0" w:type="dxa"/>
                    <w:right w:w="15" w:type="dxa"/>
                  </w:tcMar>
                  <w:vAlign w:val="center"/>
                </w:tcPr>
                <w:p>
                  <w:pPr>
                    <w:jc w:val="center"/>
                    <w:rPr>
                      <w:szCs w:val="21"/>
                    </w:rPr>
                  </w:pPr>
                  <w:r>
                    <w:rPr>
                      <w:szCs w:val="21"/>
                    </w:rPr>
                    <w:t>农贸型</w:t>
                  </w:r>
                </w:p>
              </w:tc>
              <w:tc>
                <w:tcPr>
                  <w:tcW w:w="1870" w:type="pct"/>
                  <w:tcMar>
                    <w:top w:w="15" w:type="dxa"/>
                    <w:left w:w="15" w:type="dxa"/>
                    <w:bottom w:w="0" w:type="dxa"/>
                    <w:right w:w="15" w:type="dxa"/>
                  </w:tcMar>
                  <w:vAlign w:val="center"/>
                </w:tcPr>
                <w:p>
                  <w:pPr>
                    <w:jc w:val="center"/>
                    <w:rPr>
                      <w:szCs w:val="21"/>
                    </w:rPr>
                  </w:pPr>
                  <w:r>
                    <w:rPr>
                      <w:szCs w:val="21"/>
                    </w:rPr>
                    <w:t>特色种植、农副产品加工、生态旅游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耿镇镇</w:t>
                  </w:r>
                </w:p>
              </w:tc>
              <w:tc>
                <w:tcPr>
                  <w:tcW w:w="1100" w:type="pct"/>
                  <w:tcMar>
                    <w:top w:w="15" w:type="dxa"/>
                    <w:left w:w="15" w:type="dxa"/>
                    <w:bottom w:w="0" w:type="dxa"/>
                    <w:right w:w="15" w:type="dxa"/>
                  </w:tcMar>
                  <w:vAlign w:val="center"/>
                </w:tcPr>
                <w:p>
                  <w:pPr>
                    <w:jc w:val="center"/>
                    <w:rPr>
                      <w:szCs w:val="21"/>
                    </w:rPr>
                  </w:pPr>
                  <w:r>
                    <w:rPr>
                      <w:szCs w:val="21"/>
                    </w:rPr>
                    <w:t>耿镇镇</w:t>
                  </w:r>
                </w:p>
                <w:p>
                  <w:pPr>
                    <w:jc w:val="center"/>
                    <w:rPr>
                      <w:szCs w:val="21"/>
                    </w:rPr>
                  </w:pPr>
                  <w:r>
                    <w:rPr>
                      <w:szCs w:val="21"/>
                    </w:rPr>
                    <w:t>高洪口乡</w:t>
                  </w:r>
                </w:p>
              </w:tc>
              <w:tc>
                <w:tcPr>
                  <w:tcW w:w="593" w:type="pct"/>
                  <w:tcMar>
                    <w:top w:w="15" w:type="dxa"/>
                    <w:left w:w="15" w:type="dxa"/>
                    <w:bottom w:w="0" w:type="dxa"/>
                    <w:right w:w="15" w:type="dxa"/>
                  </w:tcMar>
                  <w:vAlign w:val="center"/>
                </w:tcPr>
                <w:p>
                  <w:pPr>
                    <w:jc w:val="center"/>
                    <w:rPr>
                      <w:szCs w:val="21"/>
                    </w:rPr>
                  </w:pPr>
                  <w:r>
                    <w:rPr>
                      <w:szCs w:val="21"/>
                    </w:rPr>
                    <w:t>农贸型</w:t>
                  </w:r>
                </w:p>
              </w:tc>
              <w:tc>
                <w:tcPr>
                  <w:tcW w:w="1870" w:type="pct"/>
                  <w:tcMar>
                    <w:top w:w="15" w:type="dxa"/>
                    <w:left w:w="15" w:type="dxa"/>
                    <w:bottom w:w="0" w:type="dxa"/>
                    <w:right w:w="15" w:type="dxa"/>
                  </w:tcMar>
                  <w:vAlign w:val="center"/>
                </w:tcPr>
                <w:p>
                  <w:pPr>
                    <w:jc w:val="center"/>
                    <w:rPr>
                      <w:szCs w:val="21"/>
                    </w:rPr>
                  </w:pPr>
                  <w:r>
                    <w:rPr>
                      <w:szCs w:val="21"/>
                    </w:rPr>
                    <w:t>林牧业、特色种植、养殖业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04" w:type="pct"/>
                  <w:vMerge w:val="continue"/>
                  <w:vAlign w:val="center"/>
                </w:tcPr>
                <w:p>
                  <w:pPr>
                    <w:widowControl/>
                    <w:jc w:val="center"/>
                    <w:rPr>
                      <w:szCs w:val="21"/>
                    </w:rPr>
                  </w:pPr>
                </w:p>
              </w:tc>
              <w:tc>
                <w:tcPr>
                  <w:tcW w:w="486" w:type="pct"/>
                  <w:vMerge w:val="continue"/>
                  <w:vAlign w:val="center"/>
                </w:tcPr>
                <w:p>
                  <w:pPr>
                    <w:widowControl/>
                    <w:jc w:val="center"/>
                    <w:rPr>
                      <w:szCs w:val="21"/>
                    </w:rPr>
                  </w:pPr>
                </w:p>
              </w:tc>
              <w:tc>
                <w:tcPr>
                  <w:tcW w:w="747" w:type="pct"/>
                  <w:tcMar>
                    <w:top w:w="15" w:type="dxa"/>
                    <w:left w:w="15" w:type="dxa"/>
                    <w:bottom w:w="0" w:type="dxa"/>
                    <w:right w:w="15" w:type="dxa"/>
                  </w:tcMar>
                  <w:vAlign w:val="center"/>
                </w:tcPr>
                <w:p>
                  <w:pPr>
                    <w:jc w:val="center"/>
                    <w:rPr>
                      <w:szCs w:val="21"/>
                    </w:rPr>
                  </w:pPr>
                  <w:r>
                    <w:rPr>
                      <w:szCs w:val="21"/>
                    </w:rPr>
                    <w:t>门限石</w:t>
                  </w:r>
                  <w:r>
                    <w:rPr>
                      <w:rFonts w:hint="eastAsia"/>
                      <w:szCs w:val="21"/>
                    </w:rPr>
                    <w:t>乡</w:t>
                  </w:r>
                </w:p>
              </w:tc>
              <w:tc>
                <w:tcPr>
                  <w:tcW w:w="1100" w:type="pct"/>
                  <w:tcMar>
                    <w:top w:w="15" w:type="dxa"/>
                    <w:left w:w="15" w:type="dxa"/>
                    <w:bottom w:w="0" w:type="dxa"/>
                    <w:right w:w="15" w:type="dxa"/>
                  </w:tcMar>
                  <w:vAlign w:val="center"/>
                </w:tcPr>
                <w:p>
                  <w:pPr>
                    <w:jc w:val="center"/>
                    <w:rPr>
                      <w:szCs w:val="21"/>
                    </w:rPr>
                  </w:pPr>
                  <w:r>
                    <w:rPr>
                      <w:szCs w:val="21"/>
                    </w:rPr>
                    <w:t>门限石乡</w:t>
                  </w:r>
                </w:p>
              </w:tc>
              <w:tc>
                <w:tcPr>
                  <w:tcW w:w="593" w:type="pct"/>
                  <w:tcMar>
                    <w:top w:w="15" w:type="dxa"/>
                    <w:left w:w="15" w:type="dxa"/>
                    <w:bottom w:w="0" w:type="dxa"/>
                    <w:right w:w="15" w:type="dxa"/>
                  </w:tcMar>
                  <w:vAlign w:val="center"/>
                </w:tcPr>
                <w:p>
                  <w:pPr>
                    <w:jc w:val="center"/>
                    <w:rPr>
                      <w:szCs w:val="21"/>
                    </w:rPr>
                  </w:pPr>
                  <w:r>
                    <w:rPr>
                      <w:szCs w:val="21"/>
                    </w:rPr>
                    <w:t>旅游型</w:t>
                  </w:r>
                </w:p>
              </w:tc>
              <w:tc>
                <w:tcPr>
                  <w:tcW w:w="1870" w:type="pct"/>
                  <w:tcMar>
                    <w:top w:w="15" w:type="dxa"/>
                    <w:left w:w="15" w:type="dxa"/>
                    <w:bottom w:w="0" w:type="dxa"/>
                    <w:right w:w="15" w:type="dxa"/>
                  </w:tcMar>
                  <w:vAlign w:val="center"/>
                </w:tcPr>
                <w:p>
                  <w:pPr>
                    <w:jc w:val="center"/>
                    <w:rPr>
                      <w:szCs w:val="21"/>
                    </w:rPr>
                  </w:pPr>
                  <w:r>
                    <w:rPr>
                      <w:szCs w:val="21"/>
                    </w:rPr>
                    <w:t>自然观光、生态休闲、旅游服务</w:t>
                  </w:r>
                </w:p>
              </w:tc>
            </w:tr>
          </w:tbl>
          <w:p>
            <w:pPr>
              <w:pStyle w:val="73"/>
              <w:spacing w:line="480" w:lineRule="exact"/>
              <w:ind w:firstLine="480"/>
              <w:rPr>
                <w:rFonts w:ascii="Times New Roman" w:hAnsi="Times New Roman"/>
                <w:sz w:val="24"/>
              </w:rPr>
            </w:pPr>
            <w:r>
              <w:rPr>
                <w:rFonts w:ascii="Times New Roman" w:hAnsi="Times New Roman"/>
                <w:sz w:val="24"/>
              </w:rPr>
              <w:t>根据县域内各个城镇的资源特色和产业发展优势，从东到西划分为三大经济分区，每个经济分区重点发展相应的产业。</w:t>
            </w:r>
          </w:p>
          <w:p>
            <w:pPr>
              <w:pStyle w:val="73"/>
              <w:spacing w:line="480" w:lineRule="exact"/>
              <w:ind w:firstLine="480"/>
              <w:rPr>
                <w:sz w:val="24"/>
              </w:rPr>
            </w:pPr>
            <w:r>
              <w:rPr>
                <w:sz w:val="24"/>
              </w:rPr>
              <w:t>西部工贸经济区：</w:t>
            </w:r>
          </w:p>
          <w:p>
            <w:pPr>
              <w:pStyle w:val="73"/>
              <w:spacing w:line="480" w:lineRule="exact"/>
              <w:ind w:firstLine="480"/>
              <w:rPr>
                <w:rFonts w:ascii="Times New Roman" w:hAnsi="Times New Roman"/>
                <w:sz w:val="24"/>
              </w:rPr>
            </w:pPr>
            <w:r>
              <w:rPr>
                <w:rFonts w:ascii="Times New Roman" w:hAnsi="Times New Roman"/>
                <w:sz w:val="24"/>
              </w:rPr>
              <w:t xml:space="preserve">包括中心城区、东冶、阳白、白家庄等镇，依托交通和资源优势，重点发展资源加工、能源、商贸物流等产业： </w:t>
            </w:r>
          </w:p>
          <w:p>
            <w:pPr>
              <w:pStyle w:val="73"/>
              <w:spacing w:line="480" w:lineRule="exact"/>
              <w:ind w:firstLine="480"/>
              <w:rPr>
                <w:rFonts w:ascii="Times New Roman" w:hAnsi="Times New Roman"/>
                <w:sz w:val="24"/>
              </w:rPr>
            </w:pPr>
            <w:r>
              <w:rPr>
                <w:rFonts w:ascii="Times New Roman" w:hAnsi="Times New Roman"/>
                <w:sz w:val="24"/>
              </w:rPr>
              <w:t>中心城区：轻工业、镁加工、商贸市场；</w:t>
            </w:r>
          </w:p>
          <w:p>
            <w:pPr>
              <w:pStyle w:val="73"/>
              <w:spacing w:line="480" w:lineRule="exact"/>
              <w:ind w:firstLine="480"/>
              <w:rPr>
                <w:rFonts w:ascii="Times New Roman" w:hAnsi="Times New Roman"/>
                <w:sz w:val="24"/>
              </w:rPr>
            </w:pPr>
            <w:r>
              <w:rPr>
                <w:rFonts w:ascii="Times New Roman" w:hAnsi="Times New Roman"/>
                <w:sz w:val="24"/>
              </w:rPr>
              <w:t>东冶—阳白：铝镁加工、矿产资源开发及深加工、仓储物流；</w:t>
            </w:r>
          </w:p>
          <w:p>
            <w:pPr>
              <w:pStyle w:val="73"/>
              <w:spacing w:line="480" w:lineRule="exact"/>
              <w:ind w:firstLine="480"/>
              <w:rPr>
                <w:rFonts w:ascii="Times New Roman" w:hAnsi="Times New Roman"/>
                <w:sz w:val="24"/>
              </w:rPr>
            </w:pPr>
            <w:r>
              <w:rPr>
                <w:rFonts w:ascii="Times New Roman" w:hAnsi="Times New Roman"/>
                <w:sz w:val="24"/>
              </w:rPr>
              <w:t>白家庄：能源、特色建材、矿产资源开发利用。</w:t>
            </w:r>
          </w:p>
          <w:p>
            <w:pPr>
              <w:autoSpaceDE w:val="0"/>
              <w:autoSpaceDN w:val="0"/>
              <w:adjustRightInd w:val="0"/>
              <w:snapToGrid w:val="0"/>
              <w:spacing w:line="480" w:lineRule="exact"/>
              <w:ind w:firstLine="480" w:firstLineChars="200"/>
              <w:rPr>
                <w:sz w:val="24"/>
              </w:rPr>
            </w:pPr>
            <w:r>
              <w:rPr>
                <w:rFonts w:cs="宋体"/>
                <w:kern w:val="0"/>
                <w:sz w:val="24"/>
              </w:rPr>
              <w:t>本项目位于</w:t>
            </w:r>
            <w:r>
              <w:rPr>
                <w:sz w:val="24"/>
              </w:rPr>
              <w:t>山西省忻州市五台县茹村乡东茹村恶山坪</w:t>
            </w:r>
            <w:r>
              <w:rPr>
                <w:rFonts w:hint="eastAsia"/>
                <w:sz w:val="24"/>
                <w:szCs w:val="20"/>
              </w:rPr>
              <w:t>，不在五台县城市规划范围内，本项目距中心城区边界及建成区边界约1</w:t>
            </w:r>
            <w:r>
              <w:rPr>
                <w:sz w:val="24"/>
                <w:szCs w:val="20"/>
              </w:rPr>
              <w:t>0</w:t>
            </w:r>
            <w:r>
              <w:rPr>
                <w:rFonts w:hint="eastAsia"/>
                <w:sz w:val="24"/>
                <w:szCs w:val="20"/>
              </w:rPr>
              <w:t>km。</w:t>
            </w:r>
            <w:r>
              <w:rPr>
                <w:rFonts w:hint="eastAsia"/>
                <w:sz w:val="24"/>
              </w:rPr>
              <w:t>本项目为殡仪馆建设项目，对区域建立布局合理、功能完善、生态文明的殡葬服务体系，实现殡葬公共服务覆盖全体城乡居民，实现殡葬习俗文明化和殡葬设施现代化具有重要意义，</w:t>
            </w:r>
            <w:r>
              <w:rPr>
                <w:rFonts w:hint="eastAsia"/>
                <w:spacing w:val="-4"/>
                <w:sz w:val="24"/>
                <w:szCs w:val="20"/>
              </w:rPr>
              <w:t>不违背五台县城市发展规划。五台县城市总体规划图见附图</w:t>
            </w:r>
            <w:r>
              <w:rPr>
                <w:spacing w:val="-4"/>
                <w:sz w:val="24"/>
                <w:szCs w:val="20"/>
              </w:rPr>
              <w:t>7</w:t>
            </w:r>
            <w:r>
              <w:rPr>
                <w:rFonts w:hint="eastAsia"/>
                <w:spacing w:val="-4"/>
                <w:sz w:val="24"/>
                <w:szCs w:val="20"/>
              </w:rPr>
              <w:t>。</w:t>
            </w:r>
          </w:p>
          <w:p>
            <w:pPr>
              <w:spacing w:line="480" w:lineRule="exact"/>
              <w:ind w:firstLine="482" w:firstLineChars="200"/>
              <w:rPr>
                <w:b/>
                <w:sz w:val="24"/>
              </w:rPr>
            </w:pPr>
            <w:r>
              <w:rPr>
                <w:b/>
                <w:bCs/>
                <w:sz w:val="24"/>
              </w:rPr>
              <w:t>5</w:t>
            </w:r>
            <w:r>
              <w:rPr>
                <w:rFonts w:hint="eastAsia"/>
                <w:b/>
                <w:bCs/>
                <w:sz w:val="24"/>
              </w:rPr>
              <w:t>、</w:t>
            </w:r>
            <w:r>
              <w:rPr>
                <w:rFonts w:hint="eastAsia" w:ascii="宋体" w:hAnsi="宋体" w:cs="宋体"/>
                <w:b/>
                <w:bCs/>
                <w:kern w:val="0"/>
                <w:sz w:val="24"/>
              </w:rPr>
              <w:t>五台县生态功能区划</w:t>
            </w:r>
          </w:p>
          <w:p>
            <w:pPr>
              <w:autoSpaceDE w:val="0"/>
              <w:autoSpaceDN w:val="0"/>
              <w:adjustRightInd w:val="0"/>
              <w:snapToGrid w:val="0"/>
              <w:spacing w:line="480" w:lineRule="exact"/>
              <w:ind w:firstLine="480" w:firstLineChars="200"/>
              <w:rPr>
                <w:sz w:val="24"/>
              </w:rPr>
            </w:pPr>
            <w:r>
              <w:rPr>
                <w:kern w:val="0"/>
                <w:sz w:val="24"/>
              </w:rPr>
              <w:t>根据《五台县生态功能区划》，项目区位于</w:t>
            </w:r>
            <w:r>
              <w:rPr>
                <w:rFonts w:hint="eastAsia"/>
                <w:kern w:val="0"/>
                <w:sz w:val="24"/>
              </w:rPr>
              <w:t>Ⅳ五台山坳陷盆地水土保持生态功能区；该区包括台城镇、东雷、阳白、沟南西部、东冶镇中部及北部、茹村中部及北部、蒋坊中西部及南部、豆村镇南部，总面积6</w:t>
            </w:r>
            <w:r>
              <w:rPr>
                <w:kern w:val="0"/>
                <w:sz w:val="24"/>
              </w:rPr>
              <w:t>91.8</w:t>
            </w:r>
            <w:r>
              <w:rPr>
                <w:rFonts w:hint="eastAsia"/>
                <w:kern w:val="0"/>
                <w:sz w:val="24"/>
              </w:rPr>
              <w:t>km</w:t>
            </w:r>
            <w:r>
              <w:rPr>
                <w:kern w:val="0"/>
                <w:sz w:val="24"/>
                <w:vertAlign w:val="superscript"/>
              </w:rPr>
              <w:t>2</w:t>
            </w:r>
            <w:r>
              <w:rPr>
                <w:rFonts w:hint="eastAsia"/>
                <w:kern w:val="0"/>
                <w:sz w:val="24"/>
              </w:rPr>
              <w:t>。占县域面积2</w:t>
            </w:r>
            <w:r>
              <w:rPr>
                <w:kern w:val="0"/>
                <w:sz w:val="24"/>
              </w:rPr>
              <w:t>4.2</w:t>
            </w:r>
            <w:r>
              <w:rPr>
                <w:rFonts w:hint="eastAsia"/>
                <w:kern w:val="0"/>
                <w:sz w:val="24"/>
              </w:rPr>
              <w:t>%。</w:t>
            </w:r>
          </w:p>
          <w:p>
            <w:pPr>
              <w:autoSpaceDE w:val="0"/>
              <w:autoSpaceDN w:val="0"/>
              <w:adjustRightInd w:val="0"/>
              <w:snapToGrid w:val="0"/>
              <w:spacing w:line="480" w:lineRule="exact"/>
              <w:ind w:firstLine="480" w:firstLineChars="200"/>
              <w:rPr>
                <w:sz w:val="24"/>
              </w:rPr>
            </w:pPr>
            <w:r>
              <w:rPr>
                <w:rFonts w:hint="eastAsia"/>
                <w:sz w:val="24"/>
              </w:rPr>
              <w:t>该区生态系统的保护措施和发展方向：①城区要确保一定比例的公共绿地和生态用地，加强县城公园、绿化带、片林、草坪的建设与保护，大力推广庭院绿化和美化；②加大对城区环保基础设施建设的投入，集中财力物力，尽快完成集中供气供热工程并发挥效益，改善城区大气环境质量；③加快区内排污管网和垃圾无害化处置场建设，为污水处理厂正常运行和垃圾有序堆存提供条件；④依据水源地环境保护规划及保护区划分登记对水源地进行严格保护；⑤对于水土流失相对较重的区域，实施小流域治理和植树造林等生态恢复工程，加强植草、植树护岸林带建设注重效果，对已完成的工程要加大管护力度；⑥河岸两侧的耕地尽快实施测土配方施肥、施药工程，合理的使用化肥和农药；⑦科学实施种植养殖业，推动沼气与太阳能清洁能源的建设工程，并将其作为新农村建设的基础性工作，为解决农村环境污染和实现农村经济高效增长创造条件。</w:t>
            </w:r>
          </w:p>
          <w:p>
            <w:pPr>
              <w:autoSpaceDE w:val="0"/>
              <w:autoSpaceDN w:val="0"/>
              <w:adjustRightInd w:val="0"/>
              <w:snapToGrid w:val="0"/>
              <w:spacing w:line="480" w:lineRule="exact"/>
              <w:ind w:firstLine="480" w:firstLineChars="200"/>
              <w:rPr>
                <w:sz w:val="24"/>
              </w:rPr>
            </w:pPr>
            <w:r>
              <w:rPr>
                <w:rFonts w:hint="eastAsia"/>
                <w:sz w:val="24"/>
              </w:rPr>
              <w:t>本项目为殡仪馆建设项目，项目采取了有效的污染防治措施，对周围环境影响小，同时场区内绿化面积</w:t>
            </w:r>
            <w:r>
              <w:rPr>
                <w:rFonts w:hint="eastAsia"/>
                <w:bCs/>
                <w:sz w:val="24"/>
              </w:rPr>
              <w:t>6</w:t>
            </w:r>
            <w:r>
              <w:rPr>
                <w:bCs/>
                <w:sz w:val="24"/>
              </w:rPr>
              <w:t>781.99</w:t>
            </w:r>
            <w:r>
              <w:rPr>
                <w:rFonts w:hint="eastAsia"/>
                <w:bCs/>
                <w:sz w:val="24"/>
              </w:rPr>
              <w:t>m</w:t>
            </w:r>
            <w:r>
              <w:rPr>
                <w:bCs/>
                <w:sz w:val="24"/>
                <w:vertAlign w:val="superscript"/>
              </w:rPr>
              <w:t>2</w:t>
            </w:r>
            <w:r>
              <w:rPr>
                <w:rFonts w:hint="eastAsia"/>
                <w:bCs/>
                <w:sz w:val="24"/>
              </w:rPr>
              <w:t>，绿地率3</w:t>
            </w:r>
            <w:r>
              <w:rPr>
                <w:bCs/>
                <w:sz w:val="24"/>
              </w:rPr>
              <w:t>0.89</w:t>
            </w:r>
            <w:r>
              <w:rPr>
                <w:rFonts w:hint="eastAsia"/>
                <w:bCs/>
                <w:sz w:val="24"/>
              </w:rPr>
              <w:t>%，不违背</w:t>
            </w:r>
            <w:r>
              <w:rPr>
                <w:rFonts w:hint="eastAsia"/>
                <w:kern w:val="0"/>
                <w:sz w:val="24"/>
              </w:rPr>
              <w:t>Ⅳ五台山坳陷盆地水土保持生态功能区的保护要求。</w:t>
            </w:r>
          </w:p>
          <w:p>
            <w:pPr>
              <w:autoSpaceDE w:val="0"/>
              <w:autoSpaceDN w:val="0"/>
              <w:adjustRightInd w:val="0"/>
              <w:snapToGrid w:val="0"/>
              <w:spacing w:line="480" w:lineRule="exact"/>
              <w:ind w:firstLine="482" w:firstLineChars="200"/>
              <w:rPr>
                <w:sz w:val="24"/>
              </w:rPr>
            </w:pPr>
            <w:r>
              <w:rPr>
                <w:rFonts w:ascii="宋体" w:hAnsi="宋体" w:cs="宋体"/>
                <w:b/>
                <w:bCs/>
                <w:kern w:val="0"/>
                <w:sz w:val="24"/>
              </w:rPr>
              <w:t>6</w:t>
            </w:r>
            <w:r>
              <w:rPr>
                <w:rFonts w:hint="eastAsia" w:ascii="宋体" w:hAnsi="宋体" w:cs="宋体"/>
                <w:b/>
                <w:bCs/>
                <w:kern w:val="0"/>
                <w:sz w:val="24"/>
              </w:rPr>
              <w:t>、五台县生态经济区划</w:t>
            </w:r>
          </w:p>
          <w:p>
            <w:pPr>
              <w:autoSpaceDE w:val="0"/>
              <w:autoSpaceDN w:val="0"/>
              <w:adjustRightInd w:val="0"/>
              <w:snapToGrid w:val="0"/>
              <w:spacing w:line="480" w:lineRule="exact"/>
              <w:ind w:firstLine="480" w:firstLineChars="200"/>
              <w:rPr>
                <w:sz w:val="24"/>
              </w:rPr>
            </w:pPr>
            <w:r>
              <w:rPr>
                <w:kern w:val="0"/>
                <w:sz w:val="24"/>
                <w:szCs w:val="22"/>
              </w:rPr>
              <w:t>根据《五台县生态经济区划》</w:t>
            </w:r>
            <w:r>
              <w:rPr>
                <w:rFonts w:hint="eastAsia"/>
                <w:kern w:val="0"/>
                <w:sz w:val="24"/>
                <w:szCs w:val="22"/>
              </w:rPr>
              <w:t>，项目位于Ⅲ1豆村工业级畜牧养殖经济区；该区位于豆村、蒋坊北部及中部地区，面积约4</w:t>
            </w:r>
            <w:r>
              <w:rPr>
                <w:kern w:val="0"/>
                <w:sz w:val="24"/>
                <w:szCs w:val="22"/>
              </w:rPr>
              <w:t>31</w:t>
            </w:r>
            <w:r>
              <w:rPr>
                <w:rFonts w:hint="eastAsia"/>
                <w:kern w:val="0"/>
                <w:sz w:val="24"/>
                <w:szCs w:val="22"/>
              </w:rPr>
              <w:t>km</w:t>
            </w:r>
            <w:r>
              <w:rPr>
                <w:kern w:val="0"/>
                <w:sz w:val="24"/>
                <w:szCs w:val="22"/>
                <w:vertAlign w:val="superscript"/>
              </w:rPr>
              <w:t>2</w:t>
            </w:r>
            <w:r>
              <w:rPr>
                <w:rFonts w:hint="eastAsia"/>
                <w:kern w:val="0"/>
                <w:sz w:val="24"/>
                <w:szCs w:val="22"/>
              </w:rPr>
              <w:t>。</w:t>
            </w:r>
          </w:p>
          <w:p>
            <w:pPr>
              <w:autoSpaceDE w:val="0"/>
              <w:autoSpaceDN w:val="0"/>
              <w:adjustRightInd w:val="0"/>
              <w:snapToGrid w:val="0"/>
              <w:spacing w:line="480" w:lineRule="exact"/>
              <w:ind w:firstLine="480" w:firstLineChars="200"/>
              <w:rPr>
                <w:sz w:val="24"/>
              </w:rPr>
            </w:pPr>
            <w:r>
              <w:rPr>
                <w:rFonts w:hint="eastAsia"/>
                <w:sz w:val="24"/>
              </w:rPr>
              <w:t>该区的生态环境保护要求为：①对林草地水土流失现象严重的区域实现植树种草，限采伐和放牧；②矿产资源开采索索的一切污染防治措施，必须高标准要求、高标准设计与高质量施工，投用后必须保证正常稳定运行；③采选过程中造成的生态破坏问题，要制定恢复方案，实施高标准工程恢复；并要随着国家产业正常和相关技术规范与标准的改变或更新，进行及时的调整；④生态补充重点支持当地政府及村委会自然生态恢复、水土保持、小流域治理及实施生态农业、新农村建设等方面，以促进区域环境质量与生态环境的改善。</w:t>
            </w:r>
          </w:p>
          <w:p>
            <w:pPr>
              <w:autoSpaceDE w:val="0"/>
              <w:autoSpaceDN w:val="0"/>
              <w:adjustRightInd w:val="0"/>
              <w:snapToGrid w:val="0"/>
              <w:spacing w:line="480" w:lineRule="exact"/>
              <w:ind w:firstLine="480" w:firstLineChars="200"/>
              <w:rPr>
                <w:sz w:val="24"/>
              </w:rPr>
            </w:pPr>
            <w:r>
              <w:rPr>
                <w:rFonts w:hint="eastAsia"/>
                <w:sz w:val="24"/>
              </w:rPr>
              <w:t>本项目为殡仪馆建设项目，项目采取了有效的污染防治措施，对周围环境影响小，同时场区内绿化面积</w:t>
            </w:r>
            <w:r>
              <w:rPr>
                <w:rFonts w:hint="eastAsia"/>
                <w:bCs/>
                <w:sz w:val="24"/>
              </w:rPr>
              <w:t>6</w:t>
            </w:r>
            <w:r>
              <w:rPr>
                <w:bCs/>
                <w:sz w:val="24"/>
              </w:rPr>
              <w:t>781.99</w:t>
            </w:r>
            <w:r>
              <w:rPr>
                <w:rFonts w:hint="eastAsia"/>
                <w:bCs/>
                <w:sz w:val="24"/>
              </w:rPr>
              <w:t>m</w:t>
            </w:r>
            <w:r>
              <w:rPr>
                <w:bCs/>
                <w:sz w:val="24"/>
                <w:vertAlign w:val="superscript"/>
              </w:rPr>
              <w:t>2</w:t>
            </w:r>
            <w:r>
              <w:rPr>
                <w:rFonts w:hint="eastAsia"/>
                <w:bCs/>
                <w:sz w:val="24"/>
              </w:rPr>
              <w:t>，绿地率3</w:t>
            </w:r>
            <w:r>
              <w:rPr>
                <w:bCs/>
                <w:sz w:val="24"/>
              </w:rPr>
              <w:t>0.89</w:t>
            </w:r>
            <w:r>
              <w:rPr>
                <w:rFonts w:hint="eastAsia"/>
                <w:bCs/>
                <w:sz w:val="24"/>
              </w:rPr>
              <w:t>%，不违背</w:t>
            </w:r>
            <w:r>
              <w:rPr>
                <w:rFonts w:hint="eastAsia"/>
                <w:kern w:val="0"/>
                <w:sz w:val="24"/>
                <w:szCs w:val="22"/>
              </w:rPr>
              <w:t>Ⅲ1豆村工业级畜牧养殖经济区</w:t>
            </w:r>
            <w:r>
              <w:rPr>
                <w:rFonts w:hint="eastAsia"/>
                <w:kern w:val="0"/>
                <w:sz w:val="24"/>
              </w:rPr>
              <w:t>的保护要求。</w:t>
            </w:r>
          </w:p>
          <w:p>
            <w:pPr>
              <w:autoSpaceDE w:val="0"/>
              <w:autoSpaceDN w:val="0"/>
              <w:adjustRightInd w:val="0"/>
              <w:snapToGrid w:val="0"/>
              <w:spacing w:line="480" w:lineRule="exact"/>
              <w:ind w:firstLine="482" w:firstLineChars="200"/>
              <w:rPr>
                <w:b/>
                <w:bCs/>
                <w:kern w:val="0"/>
                <w:sz w:val="24"/>
              </w:rPr>
            </w:pPr>
            <w:r>
              <w:rPr>
                <w:b/>
                <w:bCs/>
                <w:kern w:val="0"/>
                <w:sz w:val="24"/>
              </w:rPr>
              <w:t>7、</w:t>
            </w:r>
            <w:r>
              <w:rPr>
                <w:rFonts w:hint="eastAsia"/>
                <w:b/>
                <w:bCs/>
                <w:kern w:val="0"/>
                <w:sz w:val="24"/>
              </w:rPr>
              <w:t>与《山西省殡葬基础设施建设指南》</w:t>
            </w:r>
            <w:r>
              <w:rPr>
                <w:b/>
                <w:bCs/>
                <w:kern w:val="0"/>
                <w:sz w:val="24"/>
              </w:rPr>
              <w:t>符合性分析</w:t>
            </w:r>
          </w:p>
          <w:p>
            <w:pPr>
              <w:autoSpaceDE w:val="0"/>
              <w:autoSpaceDN w:val="0"/>
              <w:adjustRightInd w:val="0"/>
              <w:snapToGrid w:val="0"/>
              <w:spacing w:line="480" w:lineRule="exact"/>
              <w:ind w:firstLine="480" w:firstLineChars="200"/>
              <w:rPr>
                <w:kern w:val="0"/>
                <w:sz w:val="24"/>
              </w:rPr>
            </w:pPr>
            <w:r>
              <w:rPr>
                <w:rFonts w:hint="eastAsia"/>
                <w:kern w:val="0"/>
                <w:sz w:val="24"/>
              </w:rPr>
              <w:t>山西省民政厅、山西省发展和改革委员会、山西省工业和信息化厅、山西省自然资源厅、山西省林业和草原局、山西省住房和城乡建设厅、山西省交通运输厅、山西省生态环境厅于2</w:t>
            </w:r>
            <w:r>
              <w:rPr>
                <w:kern w:val="0"/>
                <w:sz w:val="24"/>
              </w:rPr>
              <w:t>020</w:t>
            </w:r>
            <w:r>
              <w:rPr>
                <w:rFonts w:hint="eastAsia"/>
                <w:kern w:val="0"/>
                <w:sz w:val="24"/>
              </w:rPr>
              <w:t>年1</w:t>
            </w:r>
            <w:r>
              <w:rPr>
                <w:kern w:val="0"/>
                <w:sz w:val="24"/>
              </w:rPr>
              <w:t>1</w:t>
            </w:r>
            <w:r>
              <w:rPr>
                <w:rFonts w:hint="eastAsia"/>
                <w:kern w:val="0"/>
                <w:sz w:val="24"/>
              </w:rPr>
              <w:t>月1</w:t>
            </w:r>
            <w:r>
              <w:rPr>
                <w:kern w:val="0"/>
                <w:sz w:val="24"/>
              </w:rPr>
              <w:t>3</w:t>
            </w:r>
            <w:r>
              <w:rPr>
                <w:rFonts w:hint="eastAsia"/>
                <w:kern w:val="0"/>
                <w:sz w:val="24"/>
              </w:rPr>
              <w:t>日以晋民发[</w:t>
            </w:r>
            <w:r>
              <w:rPr>
                <w:kern w:val="0"/>
                <w:sz w:val="24"/>
              </w:rPr>
              <w:t>2020]60</w:t>
            </w:r>
            <w:r>
              <w:rPr>
                <w:rFonts w:hint="eastAsia"/>
                <w:kern w:val="0"/>
                <w:sz w:val="24"/>
              </w:rPr>
              <w:t>号文发布了“关于印发《山西省殡葬基础设施建设指南》的通知”以加快推进殡葬改革促进殡葬事业发展，加快殡葬基础设施建设。</w:t>
            </w:r>
          </w:p>
          <w:p>
            <w:pPr>
              <w:autoSpaceDE w:val="0"/>
              <w:autoSpaceDN w:val="0"/>
              <w:adjustRightInd w:val="0"/>
              <w:snapToGrid w:val="0"/>
              <w:spacing w:line="480" w:lineRule="exact"/>
              <w:ind w:firstLine="480" w:firstLineChars="200"/>
              <w:rPr>
                <w:kern w:val="0"/>
                <w:sz w:val="24"/>
              </w:rPr>
            </w:pPr>
            <w:r>
              <w:rPr>
                <w:rFonts w:hint="eastAsia"/>
                <w:kern w:val="0"/>
                <w:sz w:val="24"/>
              </w:rPr>
              <w:t>根据《山西省殡葬基础设施建设指南-山西省殡仪馆建设指南》中项目选址、规划布局、建设规模、专用设备等方面的要求，</w:t>
            </w:r>
            <w:r>
              <w:rPr>
                <w:bCs/>
                <w:sz w:val="24"/>
              </w:rPr>
              <w:t>五台县殡仪馆项目</w:t>
            </w:r>
            <w:r>
              <w:rPr>
                <w:rFonts w:hint="eastAsia"/>
                <w:bCs/>
                <w:sz w:val="24"/>
              </w:rPr>
              <w:t>与该指南的符合型分析见下表。</w:t>
            </w:r>
          </w:p>
          <w:p>
            <w:pPr>
              <w:autoSpaceDE w:val="0"/>
              <w:autoSpaceDN w:val="0"/>
              <w:adjustRightInd w:val="0"/>
              <w:snapToGrid w:val="0"/>
              <w:spacing w:line="480" w:lineRule="exact"/>
              <w:jc w:val="center"/>
              <w:rPr>
                <w:rFonts w:ascii="黑体" w:hAnsi="黑体" w:eastAsia="黑体"/>
                <w:kern w:val="0"/>
                <w:sz w:val="24"/>
              </w:rPr>
            </w:pPr>
            <w:r>
              <w:rPr>
                <w:rFonts w:hint="eastAsia" w:ascii="黑体" w:hAnsi="黑体" w:eastAsia="黑体"/>
                <w:kern w:val="0"/>
                <w:sz w:val="24"/>
              </w:rPr>
              <w:t>表1</w:t>
            </w:r>
            <w:r>
              <w:rPr>
                <w:rFonts w:ascii="黑体" w:hAnsi="黑体" w:eastAsia="黑体"/>
                <w:kern w:val="0"/>
                <w:sz w:val="24"/>
              </w:rPr>
              <w:t xml:space="preserve">-3  </w:t>
            </w:r>
            <w:r>
              <w:rPr>
                <w:rFonts w:hint="eastAsia" w:ascii="黑体" w:hAnsi="黑体" w:eastAsia="黑体"/>
                <w:kern w:val="0"/>
                <w:sz w:val="24"/>
              </w:rPr>
              <w:t>五台县殡仪馆与《山西省殡葬基础设施建设指南》符合性分析表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3556"/>
              <w:gridCol w:w="3119"/>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91" w:type="dxa"/>
                  <w:gridSpan w:val="2"/>
                  <w:vAlign w:val="center"/>
                </w:tcPr>
                <w:p>
                  <w:pPr>
                    <w:autoSpaceDE w:val="0"/>
                    <w:autoSpaceDN w:val="0"/>
                    <w:adjustRightInd w:val="0"/>
                    <w:snapToGrid w:val="0"/>
                    <w:jc w:val="center"/>
                    <w:rPr>
                      <w:kern w:val="0"/>
                      <w:szCs w:val="21"/>
                    </w:rPr>
                  </w:pPr>
                  <w:r>
                    <w:rPr>
                      <w:rFonts w:hint="eastAsia"/>
                      <w:kern w:val="0"/>
                      <w:szCs w:val="21"/>
                    </w:rPr>
                    <w:t>《山西省殡葬基础设施建设指南》</w:t>
                  </w:r>
                </w:p>
              </w:tc>
              <w:tc>
                <w:tcPr>
                  <w:tcW w:w="3119" w:type="dxa"/>
                  <w:vAlign w:val="center"/>
                </w:tcPr>
                <w:p>
                  <w:pPr>
                    <w:autoSpaceDE w:val="0"/>
                    <w:autoSpaceDN w:val="0"/>
                    <w:adjustRightInd w:val="0"/>
                    <w:snapToGrid w:val="0"/>
                    <w:jc w:val="center"/>
                    <w:rPr>
                      <w:kern w:val="0"/>
                      <w:szCs w:val="21"/>
                    </w:rPr>
                  </w:pPr>
                  <w:r>
                    <w:rPr>
                      <w:rFonts w:hint="eastAsia"/>
                      <w:kern w:val="0"/>
                      <w:szCs w:val="21"/>
                    </w:rPr>
                    <w:t>五台县殡仪馆建设内容</w:t>
                  </w:r>
                </w:p>
              </w:tc>
              <w:tc>
                <w:tcPr>
                  <w:tcW w:w="1118" w:type="dxa"/>
                  <w:vAlign w:val="center"/>
                </w:tcPr>
                <w:p>
                  <w:pPr>
                    <w:autoSpaceDE w:val="0"/>
                    <w:autoSpaceDN w:val="0"/>
                    <w:adjustRightInd w:val="0"/>
                    <w:snapToGrid w:val="0"/>
                    <w:jc w:val="center"/>
                    <w:rPr>
                      <w:kern w:val="0"/>
                      <w:szCs w:val="21"/>
                    </w:rPr>
                  </w:pPr>
                  <w:r>
                    <w:rPr>
                      <w:rFonts w:hint="eastAsia"/>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Align w:val="center"/>
                </w:tcPr>
                <w:p>
                  <w:pPr>
                    <w:autoSpaceDE w:val="0"/>
                    <w:autoSpaceDN w:val="0"/>
                    <w:adjustRightInd w:val="0"/>
                    <w:snapToGrid w:val="0"/>
                    <w:jc w:val="center"/>
                    <w:rPr>
                      <w:kern w:val="0"/>
                      <w:szCs w:val="21"/>
                    </w:rPr>
                  </w:pPr>
                  <w:r>
                    <w:rPr>
                      <w:rFonts w:hint="eastAsia"/>
                      <w:kern w:val="0"/>
                      <w:szCs w:val="21"/>
                    </w:rPr>
                    <w:t>项目选址</w:t>
                  </w:r>
                </w:p>
              </w:tc>
              <w:tc>
                <w:tcPr>
                  <w:tcW w:w="3556" w:type="dxa"/>
                  <w:vAlign w:val="center"/>
                </w:tcPr>
                <w:p>
                  <w:pPr>
                    <w:autoSpaceDE w:val="0"/>
                    <w:autoSpaceDN w:val="0"/>
                    <w:adjustRightInd w:val="0"/>
                    <w:snapToGrid w:val="0"/>
                    <w:rPr>
                      <w:kern w:val="0"/>
                      <w:szCs w:val="21"/>
                    </w:rPr>
                  </w:pPr>
                  <w:r>
                    <w:rPr>
                      <w:rFonts w:hint="eastAsia"/>
                      <w:kern w:val="0"/>
                      <w:szCs w:val="21"/>
                    </w:rPr>
                    <w:t>殡仪馆选址应符合城乡规划和土地利用总体规划（国土空间规划），不得占用永久基本农田，避开“三沿六区”以及各类自然保护地，应建在当地常年主导风向的下风侧，应有利于排水和空气扩散，尽量选择周边单位和居民较少、相对独立、交通便利的地域，并处理好与周边单位及居民的关系，符合《火葬场卫生防护距离标准》（G</w:t>
                  </w:r>
                  <w:r>
                    <w:rPr>
                      <w:kern w:val="0"/>
                      <w:szCs w:val="21"/>
                    </w:rPr>
                    <w:t>B18081</w:t>
                  </w:r>
                  <w:r>
                    <w:rPr>
                      <w:rFonts w:hint="eastAsia"/>
                      <w:kern w:val="0"/>
                      <w:szCs w:val="21"/>
                    </w:rPr>
                    <w:t>）规定。</w:t>
                  </w:r>
                </w:p>
              </w:tc>
              <w:tc>
                <w:tcPr>
                  <w:tcW w:w="3119" w:type="dxa"/>
                  <w:vAlign w:val="center"/>
                </w:tcPr>
                <w:p>
                  <w:pPr>
                    <w:autoSpaceDE w:val="0"/>
                    <w:autoSpaceDN w:val="0"/>
                    <w:adjustRightInd w:val="0"/>
                    <w:snapToGrid w:val="0"/>
                    <w:rPr>
                      <w:kern w:val="0"/>
                      <w:szCs w:val="21"/>
                    </w:rPr>
                  </w:pPr>
                  <w:r>
                    <w:rPr>
                      <w:rFonts w:hint="eastAsia"/>
                      <w:kern w:val="0"/>
                      <w:szCs w:val="21"/>
                    </w:rPr>
                    <w:t>本项目符合城乡规划和土地利用总体规划，未占用永久基本农田，未建设在“三沿六区”以及各类自然保护地范围内，场址位于常年主导风向下风向，场址较开阔，有</w:t>
                  </w:r>
                  <w:r>
                    <w:rPr>
                      <w:rFonts w:hint="eastAsia"/>
                      <w:kern w:val="0"/>
                      <w:szCs w:val="21"/>
                      <w:highlight w:val="none"/>
                    </w:rPr>
                    <w:t>利</w:t>
                  </w:r>
                  <w:r>
                    <w:rPr>
                      <w:rFonts w:hint="eastAsia"/>
                      <w:kern w:val="0"/>
                      <w:szCs w:val="21"/>
                      <w:highlight w:val="none"/>
                      <w:lang w:eastAsia="zh-CN"/>
                    </w:rPr>
                    <w:t>于</w:t>
                  </w:r>
                  <w:r>
                    <w:rPr>
                      <w:rFonts w:hint="eastAsia"/>
                      <w:kern w:val="0"/>
                      <w:szCs w:val="21"/>
                      <w:highlight w:val="none"/>
                    </w:rPr>
                    <w:t>空</w:t>
                  </w:r>
                  <w:r>
                    <w:rPr>
                      <w:rFonts w:hint="eastAsia"/>
                      <w:kern w:val="0"/>
                      <w:szCs w:val="21"/>
                    </w:rPr>
                    <w:t>气扩散；</w:t>
                  </w:r>
                  <w:r>
                    <w:rPr>
                      <w:rFonts w:hint="eastAsia"/>
                      <w:bCs/>
                      <w:kern w:val="0"/>
                      <w:szCs w:val="21"/>
                    </w:rPr>
                    <w:t>本项目产生的废水经污水处理站处理后夏季可用于道路浇洒及绿化浇灌，冬季定期统一抽送至五台县生活污水处理厂。本项目距最近的村庄为</w:t>
                  </w:r>
                  <w:r>
                    <w:rPr>
                      <w:bCs/>
                      <w:kern w:val="0"/>
                      <w:szCs w:val="21"/>
                    </w:rPr>
                    <w:t>场址西侧约700m的东茹村</w:t>
                  </w:r>
                  <w:r>
                    <w:rPr>
                      <w:rFonts w:hint="eastAsia"/>
                      <w:bCs/>
                      <w:kern w:val="0"/>
                      <w:szCs w:val="21"/>
                    </w:rPr>
                    <w:t>，符合《火葬场卫生防护距离标准》（G</w:t>
                  </w:r>
                  <w:r>
                    <w:rPr>
                      <w:bCs/>
                      <w:kern w:val="0"/>
                      <w:szCs w:val="21"/>
                    </w:rPr>
                    <w:t>B18081</w:t>
                  </w:r>
                  <w:r>
                    <w:rPr>
                      <w:rFonts w:hint="eastAsia"/>
                      <w:bCs/>
                      <w:kern w:val="0"/>
                      <w:szCs w:val="21"/>
                    </w:rPr>
                    <w:t>）规定。</w:t>
                  </w:r>
                </w:p>
              </w:tc>
              <w:tc>
                <w:tcPr>
                  <w:tcW w:w="1118"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Align w:val="center"/>
                </w:tcPr>
                <w:p>
                  <w:pPr>
                    <w:autoSpaceDE w:val="0"/>
                    <w:autoSpaceDN w:val="0"/>
                    <w:adjustRightInd w:val="0"/>
                    <w:snapToGrid w:val="0"/>
                    <w:jc w:val="center"/>
                    <w:rPr>
                      <w:kern w:val="0"/>
                      <w:szCs w:val="21"/>
                    </w:rPr>
                  </w:pPr>
                  <w:r>
                    <w:rPr>
                      <w:rFonts w:hint="eastAsia"/>
                      <w:kern w:val="0"/>
                      <w:szCs w:val="21"/>
                    </w:rPr>
                    <w:t>建设规模</w:t>
                  </w:r>
                </w:p>
              </w:tc>
              <w:tc>
                <w:tcPr>
                  <w:tcW w:w="3556" w:type="dxa"/>
                  <w:vAlign w:val="center"/>
                </w:tcPr>
                <w:p>
                  <w:pPr>
                    <w:autoSpaceDE w:val="0"/>
                    <w:autoSpaceDN w:val="0"/>
                    <w:adjustRightInd w:val="0"/>
                    <w:snapToGrid w:val="0"/>
                    <w:rPr>
                      <w:kern w:val="0"/>
                      <w:szCs w:val="21"/>
                    </w:rPr>
                  </w:pPr>
                  <w:r>
                    <w:rPr>
                      <w:rFonts w:hint="eastAsia"/>
                      <w:kern w:val="0"/>
                      <w:szCs w:val="21"/>
                    </w:rPr>
                    <w:t>常住人口1</w:t>
                  </w:r>
                  <w:r>
                    <w:rPr>
                      <w:kern w:val="0"/>
                      <w:szCs w:val="21"/>
                    </w:rPr>
                    <w:t>1-28</w:t>
                  </w:r>
                  <w:r>
                    <w:rPr>
                      <w:rFonts w:hint="eastAsia"/>
                      <w:kern w:val="0"/>
                      <w:szCs w:val="21"/>
                    </w:rPr>
                    <w:t>万以内，殡仪馆（五类），占地面积1</w:t>
                  </w:r>
                  <w:r>
                    <w:rPr>
                      <w:kern w:val="0"/>
                      <w:szCs w:val="21"/>
                    </w:rPr>
                    <w:t>5-33</w:t>
                  </w:r>
                  <w:r>
                    <w:rPr>
                      <w:rFonts w:hint="eastAsia"/>
                      <w:kern w:val="0"/>
                      <w:szCs w:val="21"/>
                    </w:rPr>
                    <w:t>亩，建筑面积2</w:t>
                  </w:r>
                  <w:r>
                    <w:rPr>
                      <w:kern w:val="0"/>
                      <w:szCs w:val="21"/>
                    </w:rPr>
                    <w:t>000-4400</w:t>
                  </w:r>
                  <w:r>
                    <w:rPr>
                      <w:rFonts w:hint="eastAsia"/>
                      <w:kern w:val="0"/>
                      <w:szCs w:val="21"/>
                    </w:rPr>
                    <w:t>m</w:t>
                  </w:r>
                  <w:r>
                    <w:rPr>
                      <w:kern w:val="0"/>
                      <w:szCs w:val="21"/>
                      <w:vertAlign w:val="superscript"/>
                    </w:rPr>
                    <w:t>2</w:t>
                  </w:r>
                  <w:r>
                    <w:rPr>
                      <w:rFonts w:hint="eastAsia"/>
                      <w:kern w:val="0"/>
                      <w:szCs w:val="21"/>
                    </w:rPr>
                    <w:t>。</w:t>
                  </w:r>
                </w:p>
              </w:tc>
              <w:tc>
                <w:tcPr>
                  <w:tcW w:w="3119" w:type="dxa"/>
                  <w:vAlign w:val="center"/>
                </w:tcPr>
                <w:p>
                  <w:pPr>
                    <w:autoSpaceDE w:val="0"/>
                    <w:autoSpaceDN w:val="0"/>
                    <w:adjustRightInd w:val="0"/>
                    <w:snapToGrid w:val="0"/>
                    <w:rPr>
                      <w:kern w:val="0"/>
                      <w:szCs w:val="21"/>
                    </w:rPr>
                  </w:pPr>
                  <w:r>
                    <w:rPr>
                      <w:rFonts w:hint="eastAsia"/>
                      <w:kern w:val="0"/>
                      <w:szCs w:val="21"/>
                    </w:rPr>
                    <w:t>根据五台县第七次全国人口普查公报，五台县常住人口2</w:t>
                  </w:r>
                  <w:r>
                    <w:rPr>
                      <w:kern w:val="0"/>
                      <w:szCs w:val="21"/>
                    </w:rPr>
                    <w:t>16178</w:t>
                  </w:r>
                  <w:r>
                    <w:rPr>
                      <w:rFonts w:hint="eastAsia"/>
                      <w:kern w:val="0"/>
                      <w:szCs w:val="21"/>
                    </w:rPr>
                    <w:t>人，</w:t>
                  </w:r>
                  <w:r>
                    <w:rPr>
                      <w:bCs/>
                      <w:kern w:val="0"/>
                      <w:szCs w:val="21"/>
                    </w:rPr>
                    <w:t>五台县殡仪馆</w:t>
                  </w:r>
                  <w:r>
                    <w:rPr>
                      <w:rFonts w:hint="eastAsia"/>
                      <w:bCs/>
                      <w:kern w:val="0"/>
                      <w:szCs w:val="21"/>
                    </w:rPr>
                    <w:t>以五类馆规模建设，项目占地面积3</w:t>
                  </w:r>
                  <w:r>
                    <w:rPr>
                      <w:bCs/>
                      <w:kern w:val="0"/>
                      <w:szCs w:val="21"/>
                    </w:rPr>
                    <w:t>2.98</w:t>
                  </w:r>
                  <w:r>
                    <w:rPr>
                      <w:rFonts w:hint="eastAsia"/>
                      <w:bCs/>
                      <w:kern w:val="0"/>
                      <w:szCs w:val="21"/>
                    </w:rPr>
                    <w:t>亩，建筑面积4</w:t>
                  </w:r>
                  <w:r>
                    <w:rPr>
                      <w:bCs/>
                      <w:kern w:val="0"/>
                      <w:szCs w:val="21"/>
                    </w:rPr>
                    <w:t>975.30</w:t>
                  </w:r>
                  <w:r>
                    <w:rPr>
                      <w:rFonts w:hint="eastAsia"/>
                      <w:bCs/>
                      <w:kern w:val="0"/>
                      <w:szCs w:val="21"/>
                    </w:rPr>
                    <w:t>m</w:t>
                  </w:r>
                  <w:r>
                    <w:rPr>
                      <w:bCs/>
                      <w:kern w:val="0"/>
                      <w:szCs w:val="21"/>
                      <w:vertAlign w:val="superscript"/>
                    </w:rPr>
                    <w:t>2</w:t>
                  </w:r>
                </w:p>
              </w:tc>
              <w:tc>
                <w:tcPr>
                  <w:tcW w:w="1118" w:type="dxa"/>
                  <w:vAlign w:val="center"/>
                </w:tcPr>
                <w:p>
                  <w:pPr>
                    <w:autoSpaceDE w:val="0"/>
                    <w:autoSpaceDN w:val="0"/>
                    <w:adjustRightInd w:val="0"/>
                    <w:snapToGrid w:val="0"/>
                    <w:jc w:val="center"/>
                    <w:rPr>
                      <w:kern w:val="0"/>
                      <w:szCs w:val="21"/>
                    </w:rPr>
                  </w:pPr>
                  <w:r>
                    <w:rPr>
                      <w:rFonts w:hint="eastAsia"/>
                      <w:kern w:val="0"/>
                      <w:szCs w:val="21"/>
                    </w:rPr>
                    <w:t>基本符合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Merge w:val="restart"/>
                  <w:vAlign w:val="center"/>
                </w:tcPr>
                <w:p>
                  <w:pPr>
                    <w:autoSpaceDE w:val="0"/>
                    <w:autoSpaceDN w:val="0"/>
                    <w:adjustRightInd w:val="0"/>
                    <w:snapToGrid w:val="0"/>
                    <w:jc w:val="center"/>
                    <w:rPr>
                      <w:kern w:val="0"/>
                      <w:szCs w:val="21"/>
                    </w:rPr>
                  </w:pPr>
                  <w:r>
                    <w:rPr>
                      <w:rFonts w:hint="eastAsia"/>
                      <w:kern w:val="0"/>
                      <w:szCs w:val="21"/>
                    </w:rPr>
                    <w:t>专用设备</w:t>
                  </w:r>
                </w:p>
              </w:tc>
              <w:tc>
                <w:tcPr>
                  <w:tcW w:w="3556" w:type="dxa"/>
                  <w:vAlign w:val="center"/>
                </w:tcPr>
                <w:p>
                  <w:pPr>
                    <w:autoSpaceDE w:val="0"/>
                    <w:autoSpaceDN w:val="0"/>
                    <w:adjustRightInd w:val="0"/>
                    <w:snapToGrid w:val="0"/>
                    <w:rPr>
                      <w:kern w:val="0"/>
                      <w:szCs w:val="21"/>
                    </w:rPr>
                  </w:pPr>
                  <w:r>
                    <w:rPr>
                      <w:rFonts w:hint="eastAsia"/>
                      <w:kern w:val="0"/>
                      <w:szCs w:val="21"/>
                    </w:rPr>
                    <w:t>火化机、遗物焚烧炉等的污染物排放检测值，特别是二噁英排放检测值宜按严于相应的国家、行业标准执行；专用焚烧设施应严格执行《火葬场大气污染物排放标准》（G</w:t>
                  </w:r>
                  <w:r>
                    <w:rPr>
                      <w:kern w:val="0"/>
                      <w:szCs w:val="21"/>
                    </w:rPr>
                    <w:t>B13801</w:t>
                  </w:r>
                  <w:r>
                    <w:rPr>
                      <w:rFonts w:hint="eastAsia"/>
                      <w:kern w:val="0"/>
                      <w:szCs w:val="21"/>
                    </w:rPr>
                    <w:t>），做到节约用地，处理工艺先进，不产生二次污染。</w:t>
                  </w:r>
                </w:p>
              </w:tc>
              <w:tc>
                <w:tcPr>
                  <w:tcW w:w="3119" w:type="dxa"/>
                  <w:vAlign w:val="center"/>
                </w:tcPr>
                <w:p>
                  <w:pPr>
                    <w:autoSpaceDE w:val="0"/>
                    <w:autoSpaceDN w:val="0"/>
                    <w:adjustRightInd w:val="0"/>
                    <w:snapToGrid w:val="0"/>
                    <w:rPr>
                      <w:kern w:val="0"/>
                      <w:szCs w:val="21"/>
                    </w:rPr>
                  </w:pPr>
                  <w:r>
                    <w:rPr>
                      <w:rFonts w:hint="eastAsia"/>
                      <w:kern w:val="0"/>
                      <w:szCs w:val="21"/>
                    </w:rPr>
                    <w:t>本项目火化机、遗物祭品焚烧炉烟气可满足《火葬场大气污染物排放标准》（G</w:t>
                  </w:r>
                  <w:r>
                    <w:rPr>
                      <w:kern w:val="0"/>
                      <w:szCs w:val="21"/>
                    </w:rPr>
                    <w:t>B13801-2015</w:t>
                  </w:r>
                  <w:r>
                    <w:rPr>
                      <w:rFonts w:hint="eastAsia"/>
                      <w:kern w:val="0"/>
                      <w:szCs w:val="21"/>
                    </w:rPr>
                    <w:t>）的限值要求。</w:t>
                  </w:r>
                </w:p>
              </w:tc>
              <w:tc>
                <w:tcPr>
                  <w:tcW w:w="1118"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Merge w:val="continue"/>
                  <w:vAlign w:val="center"/>
                </w:tcPr>
                <w:p>
                  <w:pPr>
                    <w:autoSpaceDE w:val="0"/>
                    <w:autoSpaceDN w:val="0"/>
                    <w:adjustRightInd w:val="0"/>
                    <w:snapToGrid w:val="0"/>
                    <w:jc w:val="center"/>
                    <w:rPr>
                      <w:kern w:val="0"/>
                      <w:szCs w:val="21"/>
                    </w:rPr>
                  </w:pPr>
                </w:p>
              </w:tc>
              <w:tc>
                <w:tcPr>
                  <w:tcW w:w="3556" w:type="dxa"/>
                  <w:vAlign w:val="center"/>
                </w:tcPr>
                <w:p>
                  <w:pPr>
                    <w:autoSpaceDE w:val="0"/>
                    <w:autoSpaceDN w:val="0"/>
                    <w:adjustRightInd w:val="0"/>
                    <w:snapToGrid w:val="0"/>
                    <w:rPr>
                      <w:kern w:val="0"/>
                      <w:szCs w:val="21"/>
                    </w:rPr>
                  </w:pPr>
                  <w:r>
                    <w:rPr>
                      <w:rFonts w:hint="eastAsia"/>
                      <w:kern w:val="0"/>
                      <w:szCs w:val="21"/>
                    </w:rPr>
                    <w:t>火化机炉型配置合理，能满足多种服务需求。火化机配置数量按殡仪馆类别确定：五类2</w:t>
                  </w:r>
                  <w:r>
                    <w:rPr>
                      <w:kern w:val="0"/>
                      <w:szCs w:val="21"/>
                    </w:rPr>
                    <w:t>-3</w:t>
                  </w:r>
                  <w:r>
                    <w:rPr>
                      <w:rFonts w:hint="eastAsia"/>
                      <w:kern w:val="0"/>
                      <w:szCs w:val="21"/>
                    </w:rPr>
                    <w:t>台。</w:t>
                  </w:r>
                </w:p>
              </w:tc>
              <w:tc>
                <w:tcPr>
                  <w:tcW w:w="3119" w:type="dxa"/>
                  <w:vAlign w:val="center"/>
                </w:tcPr>
                <w:p>
                  <w:pPr>
                    <w:autoSpaceDE w:val="0"/>
                    <w:autoSpaceDN w:val="0"/>
                    <w:adjustRightInd w:val="0"/>
                    <w:snapToGrid w:val="0"/>
                    <w:rPr>
                      <w:kern w:val="0"/>
                      <w:szCs w:val="21"/>
                    </w:rPr>
                  </w:pPr>
                  <w:r>
                    <w:rPr>
                      <w:rFonts w:hint="eastAsia"/>
                      <w:kern w:val="0"/>
                      <w:szCs w:val="21"/>
                    </w:rPr>
                    <w:t>本项目选用</w:t>
                  </w:r>
                  <w:r>
                    <w:rPr>
                      <w:kern w:val="0"/>
                      <w:szCs w:val="21"/>
                    </w:rPr>
                    <w:t>3</w:t>
                  </w:r>
                  <w:r>
                    <w:rPr>
                      <w:rFonts w:hint="eastAsia"/>
                      <w:kern w:val="0"/>
                      <w:szCs w:val="21"/>
                    </w:rPr>
                    <w:t>台火化炉。</w:t>
                  </w:r>
                </w:p>
              </w:tc>
              <w:tc>
                <w:tcPr>
                  <w:tcW w:w="1118"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Merge w:val="continue"/>
                  <w:vAlign w:val="center"/>
                </w:tcPr>
                <w:p>
                  <w:pPr>
                    <w:autoSpaceDE w:val="0"/>
                    <w:autoSpaceDN w:val="0"/>
                    <w:adjustRightInd w:val="0"/>
                    <w:snapToGrid w:val="0"/>
                    <w:jc w:val="center"/>
                    <w:rPr>
                      <w:kern w:val="0"/>
                      <w:szCs w:val="21"/>
                    </w:rPr>
                  </w:pPr>
                </w:p>
              </w:tc>
              <w:tc>
                <w:tcPr>
                  <w:tcW w:w="3556" w:type="dxa"/>
                  <w:vAlign w:val="center"/>
                </w:tcPr>
                <w:p>
                  <w:pPr>
                    <w:autoSpaceDE w:val="0"/>
                    <w:autoSpaceDN w:val="0"/>
                    <w:adjustRightInd w:val="0"/>
                    <w:snapToGrid w:val="0"/>
                    <w:rPr>
                      <w:kern w:val="0"/>
                      <w:szCs w:val="21"/>
                    </w:rPr>
                  </w:pPr>
                  <w:r>
                    <w:rPr>
                      <w:rFonts w:hint="eastAsia"/>
                      <w:kern w:val="0"/>
                      <w:szCs w:val="21"/>
                    </w:rPr>
                    <w:t>殡仪车配置数量按殡仪馆类别确定：五类2</w:t>
                  </w:r>
                  <w:r>
                    <w:rPr>
                      <w:kern w:val="0"/>
                      <w:szCs w:val="21"/>
                    </w:rPr>
                    <w:t>-3</w:t>
                  </w:r>
                  <w:r>
                    <w:rPr>
                      <w:rFonts w:hint="eastAsia"/>
                      <w:kern w:val="0"/>
                      <w:szCs w:val="21"/>
                    </w:rPr>
                    <w:t>台。偏远地区殡仪馆殡仪车的数量可适当增加，按需确定。</w:t>
                  </w:r>
                </w:p>
              </w:tc>
              <w:tc>
                <w:tcPr>
                  <w:tcW w:w="3119" w:type="dxa"/>
                  <w:vAlign w:val="center"/>
                </w:tcPr>
                <w:p>
                  <w:pPr>
                    <w:autoSpaceDE w:val="0"/>
                    <w:autoSpaceDN w:val="0"/>
                    <w:adjustRightInd w:val="0"/>
                    <w:snapToGrid w:val="0"/>
                    <w:rPr>
                      <w:kern w:val="0"/>
                      <w:szCs w:val="21"/>
                    </w:rPr>
                  </w:pPr>
                  <w:r>
                    <w:rPr>
                      <w:rFonts w:hint="eastAsia"/>
                      <w:kern w:val="0"/>
                      <w:szCs w:val="21"/>
                    </w:rPr>
                    <w:t>本项目选用</w:t>
                  </w:r>
                  <w:r>
                    <w:rPr>
                      <w:kern w:val="0"/>
                      <w:szCs w:val="21"/>
                    </w:rPr>
                    <w:t>5</w:t>
                  </w:r>
                  <w:r>
                    <w:rPr>
                      <w:rFonts w:hint="eastAsia"/>
                      <w:kern w:val="0"/>
                      <w:szCs w:val="21"/>
                    </w:rPr>
                    <w:t>台殡仪车。</w:t>
                  </w:r>
                </w:p>
              </w:tc>
              <w:tc>
                <w:tcPr>
                  <w:tcW w:w="1118" w:type="dxa"/>
                  <w:vAlign w:val="center"/>
                </w:tcPr>
                <w:p>
                  <w:pPr>
                    <w:autoSpaceDE w:val="0"/>
                    <w:autoSpaceDN w:val="0"/>
                    <w:adjustRightInd w:val="0"/>
                    <w:snapToGrid w:val="0"/>
                    <w:jc w:val="center"/>
                    <w:rPr>
                      <w:kern w:val="0"/>
                      <w:szCs w:val="21"/>
                    </w:rPr>
                  </w:pPr>
                  <w:r>
                    <w:rPr>
                      <w:rFonts w:hint="eastAsia"/>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5" w:type="dxa"/>
                  <w:vMerge w:val="continue"/>
                  <w:vAlign w:val="center"/>
                </w:tcPr>
                <w:p>
                  <w:pPr>
                    <w:autoSpaceDE w:val="0"/>
                    <w:autoSpaceDN w:val="0"/>
                    <w:adjustRightInd w:val="0"/>
                    <w:snapToGrid w:val="0"/>
                    <w:jc w:val="center"/>
                    <w:rPr>
                      <w:kern w:val="0"/>
                      <w:szCs w:val="21"/>
                    </w:rPr>
                  </w:pPr>
                </w:p>
              </w:tc>
              <w:tc>
                <w:tcPr>
                  <w:tcW w:w="3556" w:type="dxa"/>
                  <w:vAlign w:val="center"/>
                </w:tcPr>
                <w:p>
                  <w:pPr>
                    <w:autoSpaceDE w:val="0"/>
                    <w:autoSpaceDN w:val="0"/>
                    <w:adjustRightInd w:val="0"/>
                    <w:snapToGrid w:val="0"/>
                    <w:rPr>
                      <w:kern w:val="0"/>
                      <w:szCs w:val="21"/>
                    </w:rPr>
                  </w:pPr>
                  <w:r>
                    <w:rPr>
                      <w:rFonts w:hint="eastAsia"/>
                      <w:kern w:val="0"/>
                      <w:szCs w:val="21"/>
                    </w:rPr>
                    <w:t>遗体冷藏柜和骨灰寄存格位配置数量按实际需要配置。原则上遗体冷藏柜县级馆配置5</w:t>
                  </w:r>
                  <w:r>
                    <w:rPr>
                      <w:kern w:val="0"/>
                      <w:szCs w:val="21"/>
                    </w:rPr>
                    <w:t>0</w:t>
                  </w:r>
                  <w:r>
                    <w:rPr>
                      <w:rFonts w:hint="eastAsia"/>
                      <w:kern w:val="0"/>
                      <w:szCs w:val="21"/>
                    </w:rPr>
                    <w:t>个以上。</w:t>
                  </w:r>
                </w:p>
              </w:tc>
              <w:tc>
                <w:tcPr>
                  <w:tcW w:w="3119" w:type="dxa"/>
                  <w:vAlign w:val="center"/>
                </w:tcPr>
                <w:p>
                  <w:pPr>
                    <w:autoSpaceDE w:val="0"/>
                    <w:autoSpaceDN w:val="0"/>
                    <w:adjustRightInd w:val="0"/>
                    <w:snapToGrid w:val="0"/>
                    <w:rPr>
                      <w:kern w:val="0"/>
                      <w:szCs w:val="21"/>
                    </w:rPr>
                  </w:pPr>
                  <w:r>
                    <w:rPr>
                      <w:rFonts w:hint="eastAsia"/>
                      <w:kern w:val="0"/>
                      <w:szCs w:val="21"/>
                    </w:rPr>
                    <w:t>本项目设置有冷藏柜6</w:t>
                  </w:r>
                  <w:r>
                    <w:rPr>
                      <w:kern w:val="0"/>
                      <w:szCs w:val="21"/>
                    </w:rPr>
                    <w:t>0</w:t>
                  </w:r>
                  <w:r>
                    <w:rPr>
                      <w:rFonts w:hint="eastAsia"/>
                      <w:kern w:val="0"/>
                      <w:szCs w:val="21"/>
                    </w:rPr>
                    <w:t>个。</w:t>
                  </w:r>
                </w:p>
              </w:tc>
              <w:tc>
                <w:tcPr>
                  <w:tcW w:w="1118" w:type="dxa"/>
                  <w:vAlign w:val="center"/>
                </w:tcPr>
                <w:p>
                  <w:pPr>
                    <w:autoSpaceDE w:val="0"/>
                    <w:autoSpaceDN w:val="0"/>
                    <w:adjustRightInd w:val="0"/>
                    <w:snapToGrid w:val="0"/>
                    <w:jc w:val="center"/>
                    <w:rPr>
                      <w:kern w:val="0"/>
                      <w:szCs w:val="21"/>
                    </w:rPr>
                  </w:pPr>
                  <w:r>
                    <w:rPr>
                      <w:rFonts w:hint="eastAsia"/>
                      <w:kern w:val="0"/>
                      <w:szCs w:val="21"/>
                    </w:rPr>
                    <w:t>符合</w:t>
                  </w:r>
                </w:p>
              </w:tc>
            </w:tr>
          </w:tbl>
          <w:p>
            <w:pPr>
              <w:autoSpaceDE w:val="0"/>
              <w:autoSpaceDN w:val="0"/>
              <w:adjustRightInd w:val="0"/>
              <w:snapToGrid w:val="0"/>
              <w:spacing w:line="480" w:lineRule="exact"/>
              <w:ind w:firstLine="480" w:firstLineChars="200"/>
              <w:rPr>
                <w:kern w:val="0"/>
                <w:sz w:val="24"/>
              </w:rPr>
            </w:pPr>
            <w:r>
              <w:rPr>
                <w:rFonts w:hint="eastAsia"/>
                <w:kern w:val="0"/>
                <w:sz w:val="24"/>
              </w:rPr>
              <w:t>由上表可知，本项目符合《山西省殡葬基础设施建设指南-山西省殡仪馆建设指南》中项目选址、规划布局、建设规模、专用设备等方面的要求。</w:t>
            </w: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p>
            <w:pPr>
              <w:autoSpaceDE w:val="0"/>
              <w:autoSpaceDN w:val="0"/>
              <w:adjustRightInd w:val="0"/>
              <w:snapToGrid w:val="0"/>
              <w:spacing w:line="480" w:lineRule="exact"/>
              <w:ind w:firstLine="480" w:firstLineChars="200"/>
              <w:rPr>
                <w:kern w:val="0"/>
                <w:sz w:val="24"/>
              </w:rPr>
            </w:pPr>
          </w:p>
        </w:tc>
      </w:tr>
    </w:tbl>
    <w:p>
      <w:pPr>
        <w:spacing w:line="360" w:lineRule="auto"/>
        <w:outlineLvl w:val="0"/>
        <w:rPr>
          <w:rFonts w:eastAsia="黑体"/>
          <w:sz w:val="30"/>
        </w:rPr>
        <w:sectPr>
          <w:footerReference r:id="rId5" w:type="default"/>
          <w:pgSz w:w="11906" w:h="16838"/>
          <w:pgMar w:top="1418" w:right="1418" w:bottom="1418" w:left="1418" w:header="907" w:footer="964" w:gutter="0"/>
          <w:pgNumType w:fmt="numberInDash" w:start="1"/>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192"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4759" w:type="pct"/>
          </w:tcPr>
          <w:p>
            <w:pPr>
              <w:adjustRightInd w:val="0"/>
              <w:snapToGrid w:val="0"/>
              <w:spacing w:line="480" w:lineRule="exact"/>
              <w:ind w:firstLine="482" w:firstLineChars="200"/>
              <w:rPr>
                <w:b/>
                <w:sz w:val="24"/>
              </w:rPr>
            </w:pPr>
            <w:r>
              <w:rPr>
                <w:rFonts w:hint="eastAsia"/>
                <w:b/>
                <w:sz w:val="24"/>
              </w:rPr>
              <w:t>1</w:t>
            </w:r>
            <w:r>
              <w:rPr>
                <w:b/>
                <w:sz w:val="24"/>
              </w:rPr>
              <w:t>、项目概况</w:t>
            </w:r>
          </w:p>
          <w:p>
            <w:pPr>
              <w:adjustRightInd w:val="0"/>
              <w:snapToGrid w:val="0"/>
              <w:spacing w:line="480" w:lineRule="exact"/>
              <w:ind w:firstLine="482" w:firstLineChars="200"/>
              <w:rPr>
                <w:bCs/>
                <w:sz w:val="24"/>
              </w:rPr>
            </w:pPr>
            <w:r>
              <w:rPr>
                <w:b/>
                <w:sz w:val="24"/>
              </w:rPr>
              <w:t>项目名称：</w:t>
            </w:r>
            <w:bookmarkStart w:id="2" w:name="_Hlk77254574"/>
            <w:r>
              <w:rPr>
                <w:bCs/>
                <w:sz w:val="24"/>
              </w:rPr>
              <w:t>五台县殡仪馆项目</w:t>
            </w:r>
            <w:bookmarkEnd w:id="2"/>
            <w:r>
              <w:rPr>
                <w:bCs/>
                <w:sz w:val="24"/>
              </w:rPr>
              <w:t>；</w:t>
            </w:r>
          </w:p>
          <w:p>
            <w:pPr>
              <w:adjustRightInd w:val="0"/>
              <w:snapToGrid w:val="0"/>
              <w:spacing w:line="480" w:lineRule="exact"/>
              <w:ind w:firstLine="482" w:firstLineChars="200"/>
              <w:rPr>
                <w:bCs/>
                <w:sz w:val="24"/>
              </w:rPr>
            </w:pPr>
            <w:r>
              <w:rPr>
                <w:b/>
                <w:sz w:val="24"/>
              </w:rPr>
              <w:t>项目代码：</w:t>
            </w:r>
            <w:r>
              <w:rPr>
                <w:bCs/>
                <w:sz w:val="24"/>
              </w:rPr>
              <w:t>2020-140922-80-01-009606；</w:t>
            </w:r>
          </w:p>
          <w:p>
            <w:pPr>
              <w:adjustRightInd w:val="0"/>
              <w:snapToGrid w:val="0"/>
              <w:spacing w:line="480" w:lineRule="exact"/>
              <w:ind w:firstLine="482" w:firstLineChars="200"/>
              <w:rPr>
                <w:bCs/>
                <w:sz w:val="24"/>
              </w:rPr>
            </w:pPr>
            <w:r>
              <w:rPr>
                <w:b/>
                <w:sz w:val="24"/>
              </w:rPr>
              <w:t>建设单位：</w:t>
            </w:r>
            <w:bookmarkStart w:id="3" w:name="_Hlk77254638"/>
            <w:r>
              <w:rPr>
                <w:bCs/>
                <w:sz w:val="24"/>
              </w:rPr>
              <w:t>五台县民政局</w:t>
            </w:r>
            <w:bookmarkEnd w:id="3"/>
            <w:r>
              <w:rPr>
                <w:bCs/>
                <w:sz w:val="24"/>
              </w:rPr>
              <w:t>；</w:t>
            </w:r>
          </w:p>
          <w:p>
            <w:pPr>
              <w:adjustRightInd w:val="0"/>
              <w:snapToGrid w:val="0"/>
              <w:spacing w:line="480" w:lineRule="exact"/>
              <w:ind w:firstLine="482" w:firstLineChars="200"/>
              <w:rPr>
                <w:bCs/>
                <w:sz w:val="24"/>
              </w:rPr>
            </w:pPr>
            <w:r>
              <w:rPr>
                <w:b/>
                <w:sz w:val="24"/>
              </w:rPr>
              <w:t>建设性质：</w:t>
            </w:r>
            <w:r>
              <w:rPr>
                <w:bCs/>
                <w:sz w:val="24"/>
              </w:rPr>
              <w:t>新建；</w:t>
            </w:r>
          </w:p>
          <w:p>
            <w:pPr>
              <w:adjustRightInd w:val="0"/>
              <w:snapToGrid w:val="0"/>
              <w:spacing w:line="480" w:lineRule="exact"/>
              <w:ind w:firstLine="482" w:firstLineChars="200"/>
              <w:rPr>
                <w:sz w:val="24"/>
              </w:rPr>
            </w:pPr>
            <w:r>
              <w:rPr>
                <w:b/>
                <w:sz w:val="24"/>
              </w:rPr>
              <w:t>建设地点：</w:t>
            </w:r>
            <w:r>
              <w:rPr>
                <w:sz w:val="24"/>
              </w:rPr>
              <w:t>山西省忻州市五台县茹村乡东茹村恶山坪，土地使用权获得方式为划拨，土地手续正在办理中，目前，五台县自</w:t>
            </w:r>
            <w:r>
              <w:rPr>
                <w:rFonts w:hint="eastAsia"/>
                <w:sz w:val="24"/>
              </w:rPr>
              <w:t>然</w:t>
            </w:r>
            <w:r>
              <w:rPr>
                <w:sz w:val="24"/>
              </w:rPr>
              <w:t>资源局以</w:t>
            </w:r>
            <w:r>
              <w:rPr>
                <w:rFonts w:hint="eastAsia"/>
                <w:sz w:val="24"/>
              </w:rPr>
              <w:t>“</w:t>
            </w:r>
            <w:r>
              <w:rPr>
                <w:sz w:val="24"/>
              </w:rPr>
              <w:t>五自然资函[2021]52号</w:t>
            </w:r>
            <w:r>
              <w:rPr>
                <w:rFonts w:hint="eastAsia"/>
                <w:sz w:val="24"/>
              </w:rPr>
              <w:t>”</w:t>
            </w:r>
            <w:r>
              <w:rPr>
                <w:sz w:val="24"/>
              </w:rPr>
              <w:t>文同意五台县民政局开展后续工作；拟建场址占地面积21954.68m</w:t>
            </w:r>
            <w:r>
              <w:rPr>
                <w:sz w:val="24"/>
                <w:vertAlign w:val="superscript"/>
              </w:rPr>
              <w:t>2</w:t>
            </w:r>
            <w:r>
              <w:rPr>
                <w:sz w:val="24"/>
              </w:rPr>
              <w:t>，中心点坐标为E</w:t>
            </w:r>
            <w:r>
              <w:rPr>
                <w:sz w:val="24"/>
                <w:szCs w:val="32"/>
              </w:rPr>
              <w:t xml:space="preserve"> </w:t>
            </w:r>
            <w:r>
              <w:rPr>
                <w:sz w:val="24"/>
              </w:rPr>
              <w:t>113°22′55.801″，N</w:t>
            </w:r>
            <w:r>
              <w:rPr>
                <w:sz w:val="24"/>
                <w:szCs w:val="32"/>
              </w:rPr>
              <w:t xml:space="preserve"> </w:t>
            </w:r>
            <w:r>
              <w:rPr>
                <w:sz w:val="24"/>
              </w:rPr>
              <w:t>38°44′9.293″；拟建场址四周均为耕地，距本项目拟建场址最近的居住区为距场址西侧约700m的东茹村。</w:t>
            </w:r>
          </w:p>
          <w:p>
            <w:pPr>
              <w:adjustRightInd w:val="0"/>
              <w:snapToGrid w:val="0"/>
              <w:spacing w:line="480" w:lineRule="exact"/>
              <w:ind w:firstLine="480" w:firstLineChars="200"/>
              <w:rPr>
                <w:sz w:val="24"/>
              </w:rPr>
            </w:pPr>
            <w:r>
              <w:rPr>
                <w:sz w:val="24"/>
              </w:rPr>
              <w:t>项目地理位置见附图1，四邻关系见附图2。</w:t>
            </w:r>
          </w:p>
          <w:p>
            <w:pPr>
              <w:adjustRightInd w:val="0"/>
              <w:snapToGrid w:val="0"/>
              <w:spacing w:line="480" w:lineRule="exact"/>
              <w:ind w:firstLine="482" w:firstLineChars="200"/>
              <w:rPr>
                <w:bCs/>
                <w:sz w:val="24"/>
              </w:rPr>
            </w:pPr>
            <w:r>
              <w:rPr>
                <w:b/>
                <w:bCs/>
                <w:sz w:val="24"/>
              </w:rPr>
              <w:t>项目设计服务能力</w:t>
            </w:r>
            <w:r>
              <w:rPr>
                <w:rFonts w:hint="eastAsia"/>
                <w:b/>
                <w:bCs/>
                <w:sz w:val="24"/>
              </w:rPr>
              <w:t>：</w:t>
            </w:r>
            <w:r>
              <w:rPr>
                <w:rFonts w:hint="eastAsia"/>
                <w:sz w:val="24"/>
              </w:rPr>
              <w:t>根据五台县第七次全国人口普查公报，五台县常住人口2</w:t>
            </w:r>
            <w:r>
              <w:rPr>
                <w:sz w:val="24"/>
              </w:rPr>
              <w:t>16178</w:t>
            </w:r>
            <w:r>
              <w:rPr>
                <w:rFonts w:hint="eastAsia"/>
                <w:sz w:val="24"/>
              </w:rPr>
              <w:t>人，根据《山西省殡葬基础设施建设指南》，常住人口11-28万以内，殡仪馆以五类馆标准建设，其中火化机配置2</w:t>
            </w:r>
            <w:r>
              <w:rPr>
                <w:sz w:val="24"/>
              </w:rPr>
              <w:t>-3</w:t>
            </w:r>
            <w:r>
              <w:rPr>
                <w:rFonts w:hint="eastAsia"/>
                <w:sz w:val="24"/>
              </w:rPr>
              <w:t>台。本项目拟设置</w:t>
            </w:r>
            <w:r>
              <w:rPr>
                <w:sz w:val="24"/>
              </w:rPr>
              <w:t>3</w:t>
            </w:r>
            <w:r>
              <w:rPr>
                <w:rFonts w:hint="eastAsia"/>
                <w:sz w:val="24"/>
              </w:rPr>
              <w:t>台燃油火化机，</w:t>
            </w:r>
            <w:r>
              <w:rPr>
                <w:rFonts w:hint="eastAsia"/>
                <w:bCs/>
                <w:sz w:val="24"/>
              </w:rPr>
              <w:t>年最大服务能力为火化</w:t>
            </w:r>
            <w:r>
              <w:rPr>
                <w:bCs/>
                <w:sz w:val="24"/>
              </w:rPr>
              <w:t>2190</w:t>
            </w:r>
            <w:r>
              <w:rPr>
                <w:rFonts w:hint="eastAsia"/>
                <w:bCs/>
                <w:sz w:val="24"/>
              </w:rPr>
              <w:t>具遗体，每台火化机以每日火化两具遗体计。</w:t>
            </w:r>
          </w:p>
          <w:p>
            <w:pPr>
              <w:adjustRightInd w:val="0"/>
              <w:snapToGrid w:val="0"/>
              <w:spacing w:line="480" w:lineRule="exact"/>
              <w:ind w:firstLine="480" w:firstLineChars="200"/>
              <w:rPr>
                <w:sz w:val="24"/>
              </w:rPr>
            </w:pPr>
            <w:r>
              <w:rPr>
                <w:rFonts w:hint="eastAsia"/>
                <w:bCs/>
                <w:sz w:val="24"/>
              </w:rPr>
              <w:t>根据五台县2018年统计公报，2</w:t>
            </w:r>
            <w:r>
              <w:rPr>
                <w:bCs/>
                <w:sz w:val="24"/>
              </w:rPr>
              <w:t>018</w:t>
            </w:r>
            <w:r>
              <w:rPr>
                <w:rFonts w:hint="eastAsia"/>
                <w:bCs/>
                <w:sz w:val="24"/>
              </w:rPr>
              <w:t>年末全县死亡人口2</w:t>
            </w:r>
            <w:r>
              <w:rPr>
                <w:bCs/>
                <w:sz w:val="24"/>
              </w:rPr>
              <w:t>130</w:t>
            </w:r>
            <w:r>
              <w:rPr>
                <w:rFonts w:hint="eastAsia"/>
                <w:bCs/>
                <w:sz w:val="24"/>
              </w:rPr>
              <w:t>人，死亡率为6</w:t>
            </w:r>
            <w:r>
              <w:rPr>
                <w:bCs/>
                <w:sz w:val="24"/>
              </w:rPr>
              <w:t>.94</w:t>
            </w:r>
            <w:r>
              <w:rPr>
                <w:rFonts w:hint="eastAsia"/>
                <w:bCs/>
                <w:sz w:val="24"/>
              </w:rPr>
              <w:t>‰；根据五台县2</w:t>
            </w:r>
            <w:r>
              <w:rPr>
                <w:bCs/>
                <w:sz w:val="24"/>
              </w:rPr>
              <w:t>019</w:t>
            </w:r>
            <w:r>
              <w:rPr>
                <w:rFonts w:hint="eastAsia"/>
                <w:bCs/>
                <w:sz w:val="24"/>
              </w:rPr>
              <w:t>年统计公报，2</w:t>
            </w:r>
            <w:r>
              <w:rPr>
                <w:bCs/>
                <w:sz w:val="24"/>
              </w:rPr>
              <w:t>019</w:t>
            </w:r>
            <w:r>
              <w:rPr>
                <w:rFonts w:hint="eastAsia"/>
                <w:bCs/>
                <w:sz w:val="24"/>
              </w:rPr>
              <w:t>年全县死亡人口2</w:t>
            </w:r>
            <w:r>
              <w:rPr>
                <w:bCs/>
                <w:sz w:val="24"/>
              </w:rPr>
              <w:t>124</w:t>
            </w:r>
            <w:r>
              <w:rPr>
                <w:rFonts w:hint="eastAsia"/>
                <w:bCs/>
                <w:sz w:val="24"/>
              </w:rPr>
              <w:t>人，死亡率为6</w:t>
            </w:r>
            <w:r>
              <w:rPr>
                <w:bCs/>
                <w:sz w:val="24"/>
              </w:rPr>
              <w:t>.92</w:t>
            </w:r>
            <w:r>
              <w:rPr>
                <w:rFonts w:hint="eastAsia"/>
                <w:bCs/>
                <w:sz w:val="24"/>
              </w:rPr>
              <w:t>‰。本项目火化机配置可以满足全县死亡人员遗体火化需求。</w:t>
            </w:r>
          </w:p>
          <w:p>
            <w:pPr>
              <w:adjustRightInd w:val="0"/>
              <w:snapToGrid w:val="0"/>
              <w:spacing w:line="480" w:lineRule="exact"/>
              <w:ind w:firstLine="482" w:firstLineChars="200"/>
              <w:rPr>
                <w:sz w:val="24"/>
              </w:rPr>
            </w:pPr>
            <w:r>
              <w:rPr>
                <w:b/>
                <w:bCs/>
                <w:sz w:val="24"/>
              </w:rPr>
              <w:t>工作制度：</w:t>
            </w:r>
            <w:r>
              <w:rPr>
                <w:rFonts w:hint="eastAsia"/>
                <w:sz w:val="24"/>
              </w:rPr>
              <w:t>目前五台县尚未定编县级殡仪馆定员，环评时</w:t>
            </w:r>
            <w:r>
              <w:rPr>
                <w:sz w:val="24"/>
              </w:rPr>
              <w:t>项目运营期</w:t>
            </w:r>
            <w:r>
              <w:rPr>
                <w:rFonts w:hint="eastAsia"/>
                <w:sz w:val="24"/>
              </w:rPr>
              <w:t>暂</w:t>
            </w:r>
            <w:r>
              <w:rPr>
                <w:sz w:val="24"/>
              </w:rPr>
              <w:t>拟</w:t>
            </w:r>
            <w:r>
              <w:rPr>
                <w:rFonts w:hint="eastAsia"/>
                <w:sz w:val="24"/>
              </w:rPr>
              <w:t>按</w:t>
            </w:r>
            <w:r>
              <w:rPr>
                <w:sz w:val="24"/>
              </w:rPr>
              <w:t>工作人员20人</w:t>
            </w:r>
            <w:r>
              <w:rPr>
                <w:rFonts w:hint="eastAsia"/>
                <w:sz w:val="24"/>
              </w:rPr>
              <w:t>计算产排污量；本项目</w:t>
            </w:r>
            <w:r>
              <w:rPr>
                <w:sz w:val="24"/>
              </w:rPr>
              <w:t>全年运营365天，每天24小时值班。</w:t>
            </w:r>
          </w:p>
          <w:p>
            <w:pPr>
              <w:adjustRightInd w:val="0"/>
              <w:snapToGrid w:val="0"/>
              <w:spacing w:line="480" w:lineRule="exact"/>
              <w:ind w:firstLine="482" w:firstLineChars="200"/>
              <w:rPr>
                <w:sz w:val="24"/>
              </w:rPr>
            </w:pPr>
            <w:r>
              <w:rPr>
                <w:b/>
                <w:bCs/>
                <w:sz w:val="24"/>
              </w:rPr>
              <w:t>项目投资：</w:t>
            </w:r>
            <w:r>
              <w:rPr>
                <w:sz w:val="24"/>
              </w:rPr>
              <w:t>本项目总投资3885.13万元，其中建设工程费用2883.52万元，工程建设其他费用713.82万元，预备费287.79万元；资金来源为为上拨资金，县级财政配套。</w:t>
            </w:r>
          </w:p>
          <w:p>
            <w:pPr>
              <w:adjustRightInd w:val="0"/>
              <w:snapToGrid w:val="0"/>
              <w:spacing w:line="480" w:lineRule="exact"/>
              <w:ind w:firstLine="482" w:firstLineChars="200"/>
              <w:rPr>
                <w:b/>
                <w:sz w:val="24"/>
              </w:rPr>
            </w:pPr>
            <w:r>
              <w:rPr>
                <w:rFonts w:hint="eastAsia"/>
                <w:b/>
                <w:sz w:val="24"/>
              </w:rPr>
              <w:t>2</w:t>
            </w:r>
            <w:r>
              <w:rPr>
                <w:b/>
                <w:sz w:val="24"/>
              </w:rPr>
              <w:t>、建设内容</w:t>
            </w:r>
          </w:p>
          <w:p>
            <w:pPr>
              <w:adjustRightInd w:val="0"/>
              <w:snapToGrid w:val="0"/>
              <w:spacing w:line="480" w:lineRule="exact"/>
              <w:ind w:firstLine="480" w:firstLineChars="200"/>
              <w:rPr>
                <w:sz w:val="24"/>
              </w:rPr>
            </w:pPr>
            <w:r>
              <w:rPr>
                <w:rFonts w:hint="eastAsia"/>
                <w:sz w:val="24"/>
              </w:rPr>
              <w:t>五台县殡仪馆项目总用地面积</w:t>
            </w:r>
            <w:r>
              <w:rPr>
                <w:sz w:val="24"/>
              </w:rPr>
              <w:t>21954.68</w:t>
            </w:r>
            <w:r>
              <w:rPr>
                <w:rFonts w:hint="eastAsia"/>
                <w:sz w:val="24"/>
              </w:rPr>
              <w:t>m</w:t>
            </w:r>
            <w:r>
              <w:rPr>
                <w:sz w:val="24"/>
                <w:vertAlign w:val="superscript"/>
              </w:rPr>
              <w:t>2</w:t>
            </w:r>
            <w:r>
              <w:rPr>
                <w:rFonts w:hint="eastAsia"/>
                <w:sz w:val="24"/>
              </w:rPr>
              <w:t>（约合</w:t>
            </w:r>
            <w:r>
              <w:rPr>
                <w:sz w:val="24"/>
              </w:rPr>
              <w:t>32.93</w:t>
            </w:r>
            <w:r>
              <w:rPr>
                <w:rFonts w:hint="eastAsia"/>
                <w:sz w:val="24"/>
              </w:rPr>
              <w:t>亩），总建筑面积4</w:t>
            </w:r>
            <w:r>
              <w:rPr>
                <w:sz w:val="24"/>
              </w:rPr>
              <w:t>975.30</w:t>
            </w:r>
            <w:r>
              <w:rPr>
                <w:rFonts w:hint="eastAsia"/>
                <w:sz w:val="24"/>
              </w:rPr>
              <w:t>m</w:t>
            </w:r>
            <w:r>
              <w:rPr>
                <w:sz w:val="24"/>
                <w:vertAlign w:val="superscript"/>
              </w:rPr>
              <w:t>2</w:t>
            </w:r>
            <w:r>
              <w:rPr>
                <w:rFonts w:hint="eastAsia"/>
                <w:sz w:val="24"/>
              </w:rPr>
              <w:t>；规划建设包括</w:t>
            </w:r>
            <w:r>
              <w:rPr>
                <w:sz w:val="24"/>
              </w:rPr>
              <w:t>1</w:t>
            </w:r>
            <w:r>
              <w:rPr>
                <w:rFonts w:hint="eastAsia"/>
                <w:sz w:val="24"/>
              </w:rPr>
              <w:t>栋告别楼、</w:t>
            </w:r>
            <w:r>
              <w:rPr>
                <w:sz w:val="24"/>
              </w:rPr>
              <w:t>1</w:t>
            </w:r>
            <w:r>
              <w:rPr>
                <w:rFonts w:hint="eastAsia"/>
                <w:sz w:val="24"/>
              </w:rPr>
              <w:t>栋后勤管理用房、</w:t>
            </w:r>
            <w:r>
              <w:rPr>
                <w:sz w:val="24"/>
              </w:rPr>
              <w:t>1</w:t>
            </w:r>
            <w:r>
              <w:rPr>
                <w:rFonts w:hint="eastAsia"/>
                <w:sz w:val="24"/>
              </w:rPr>
              <w:t>栋办公用房、</w:t>
            </w:r>
            <w:r>
              <w:rPr>
                <w:sz w:val="24"/>
              </w:rPr>
              <w:t>1</w:t>
            </w:r>
            <w:r>
              <w:rPr>
                <w:rFonts w:hint="eastAsia"/>
                <w:sz w:val="24"/>
              </w:rPr>
              <w:t>栋火化间、</w:t>
            </w:r>
            <w:r>
              <w:rPr>
                <w:sz w:val="24"/>
              </w:rPr>
              <w:t>1</w:t>
            </w:r>
            <w:r>
              <w:rPr>
                <w:rFonts w:hint="eastAsia"/>
                <w:sz w:val="24"/>
              </w:rPr>
              <w:t>栋骨灰寄存室、</w:t>
            </w:r>
            <w:r>
              <w:rPr>
                <w:sz w:val="24"/>
              </w:rPr>
              <w:t>1</w:t>
            </w:r>
            <w:r>
              <w:rPr>
                <w:rFonts w:hint="eastAsia"/>
                <w:sz w:val="24"/>
              </w:rPr>
              <w:t>栋遗体处理室、</w:t>
            </w:r>
            <w:r>
              <w:rPr>
                <w:sz w:val="24"/>
              </w:rPr>
              <w:t>1</w:t>
            </w:r>
            <w:r>
              <w:rPr>
                <w:rFonts w:hint="eastAsia"/>
                <w:sz w:val="24"/>
              </w:rPr>
              <w:t>栋遗物焚烧间、车库、</w:t>
            </w:r>
            <w:r>
              <w:rPr>
                <w:sz w:val="24"/>
              </w:rPr>
              <w:t>1</w:t>
            </w:r>
            <w:r>
              <w:rPr>
                <w:rFonts w:hint="eastAsia"/>
                <w:sz w:val="24"/>
              </w:rPr>
              <w:t>栋室外厕所、</w:t>
            </w:r>
            <w:r>
              <w:rPr>
                <w:sz w:val="24"/>
              </w:rPr>
              <w:t>1</w:t>
            </w:r>
            <w:r>
              <w:rPr>
                <w:rFonts w:hint="eastAsia"/>
                <w:sz w:val="24"/>
              </w:rPr>
              <w:t>栋门卫以及其它附属基础配套设施工程（道路、绿化工程、供水、供电、排水、暖通、通信等项目）。</w:t>
            </w:r>
          </w:p>
          <w:p>
            <w:pPr>
              <w:adjustRightInd w:val="0"/>
              <w:snapToGrid w:val="0"/>
              <w:spacing w:line="480" w:lineRule="exact"/>
              <w:ind w:firstLine="480" w:firstLineChars="200"/>
              <w:rPr>
                <w:sz w:val="24"/>
              </w:rPr>
            </w:pPr>
            <w:r>
              <w:rPr>
                <w:sz w:val="24"/>
              </w:rPr>
              <w:t>项目主要建设内容见表2-1</w:t>
            </w:r>
            <w:r>
              <w:rPr>
                <w:rFonts w:hint="eastAsia"/>
                <w:sz w:val="24"/>
              </w:rPr>
              <w:t>，</w:t>
            </w:r>
            <w:r>
              <w:rPr>
                <w:sz w:val="24"/>
              </w:rPr>
              <w:t>主要经济技术一览表见表2-2。</w:t>
            </w:r>
          </w:p>
          <w:p>
            <w:pPr>
              <w:adjustRightInd w:val="0"/>
              <w:snapToGrid w:val="0"/>
              <w:spacing w:line="480" w:lineRule="exact"/>
              <w:jc w:val="center"/>
              <w:rPr>
                <w:rFonts w:ascii="黑体" w:hAnsi="黑体" w:eastAsia="黑体"/>
                <w:bCs/>
                <w:sz w:val="24"/>
              </w:rPr>
            </w:pPr>
            <w:r>
              <w:rPr>
                <w:rFonts w:ascii="黑体" w:hAnsi="黑体" w:eastAsia="黑体"/>
                <w:bCs/>
                <w:sz w:val="24"/>
              </w:rPr>
              <w:t>表2-1  项目主要建设内容一览表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791"/>
              <w:gridCol w:w="5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pPr>
                    <w:spacing w:line="320" w:lineRule="exact"/>
                    <w:jc w:val="center"/>
                    <w:rPr>
                      <w:szCs w:val="21"/>
                    </w:rPr>
                  </w:pPr>
                  <w:r>
                    <w:rPr>
                      <w:szCs w:val="21"/>
                    </w:rPr>
                    <w:t>类别</w:t>
                  </w:r>
                </w:p>
              </w:tc>
              <w:tc>
                <w:tcPr>
                  <w:tcW w:w="1040" w:type="pct"/>
                  <w:vAlign w:val="center"/>
                </w:tcPr>
                <w:p>
                  <w:pPr>
                    <w:spacing w:line="320" w:lineRule="exact"/>
                    <w:jc w:val="center"/>
                  </w:pPr>
                  <w:r>
                    <w:t>名称</w:t>
                  </w:r>
                </w:p>
              </w:tc>
              <w:tc>
                <w:tcPr>
                  <w:tcW w:w="3476" w:type="pct"/>
                  <w:vAlign w:val="center"/>
                </w:tcPr>
                <w:p>
                  <w:pPr>
                    <w:spacing w:line="320" w:lineRule="exact"/>
                    <w:jc w:val="center"/>
                  </w:pPr>
                  <w: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spacing w:line="320" w:lineRule="exact"/>
                    <w:jc w:val="center"/>
                  </w:pPr>
                  <w:r>
                    <w:t>主体工程</w:t>
                  </w:r>
                </w:p>
              </w:tc>
              <w:tc>
                <w:tcPr>
                  <w:tcW w:w="1040" w:type="pct"/>
                  <w:vAlign w:val="center"/>
                </w:tcPr>
                <w:p>
                  <w:pPr>
                    <w:spacing w:line="320" w:lineRule="exact"/>
                    <w:jc w:val="center"/>
                  </w:pPr>
                  <w:r>
                    <w:rPr>
                      <w:rFonts w:hint="eastAsia"/>
                    </w:rPr>
                    <w:t>火化间</w:t>
                  </w:r>
                </w:p>
              </w:tc>
              <w:tc>
                <w:tcPr>
                  <w:tcW w:w="3476" w:type="pct"/>
                  <w:vAlign w:val="center"/>
                </w:tcPr>
                <w:p>
                  <w:pPr>
                    <w:spacing w:line="320" w:lineRule="exact"/>
                    <w:rPr>
                      <w:bCs/>
                      <w:szCs w:val="21"/>
                    </w:rPr>
                  </w:pPr>
                  <w:r>
                    <w:rPr>
                      <w:rFonts w:hint="eastAsia"/>
                      <w:szCs w:val="21"/>
                    </w:rPr>
                    <w:t>面积</w:t>
                  </w:r>
                  <w:r>
                    <w:rPr>
                      <w:szCs w:val="21"/>
                    </w:rPr>
                    <w:t>建筑</w:t>
                  </w:r>
                  <w:r>
                    <w:rPr>
                      <w:rFonts w:hint="eastAsia"/>
                      <w:szCs w:val="21"/>
                    </w:rPr>
                    <w:t>5</w:t>
                  </w:r>
                  <w:r>
                    <w:rPr>
                      <w:szCs w:val="21"/>
                    </w:rPr>
                    <w:t>30.63m</w:t>
                  </w:r>
                  <w:r>
                    <w:rPr>
                      <w:szCs w:val="21"/>
                      <w:vertAlign w:val="superscript"/>
                    </w:rPr>
                    <w:t>2</w:t>
                  </w:r>
                  <w:r>
                    <w:rPr>
                      <w:szCs w:val="21"/>
                    </w:rPr>
                    <w:t>，</w:t>
                  </w:r>
                  <w:r>
                    <w:rPr>
                      <w:rFonts w:hint="eastAsia"/>
                      <w:szCs w:val="21"/>
                    </w:rPr>
                    <w:t>1层；内</w:t>
                  </w:r>
                  <w:r>
                    <w:rPr>
                      <w:szCs w:val="21"/>
                    </w:rPr>
                    <w:t>设3台燃油再燃式火化机，配套烟气处理设施。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spacing w:line="320" w:lineRule="exact"/>
                    <w:jc w:val="center"/>
                  </w:pPr>
                </w:p>
              </w:tc>
              <w:tc>
                <w:tcPr>
                  <w:tcW w:w="1040" w:type="pct"/>
                  <w:vAlign w:val="center"/>
                </w:tcPr>
                <w:p>
                  <w:pPr>
                    <w:spacing w:line="320" w:lineRule="exact"/>
                    <w:jc w:val="center"/>
                  </w:pPr>
                  <w:r>
                    <w:rPr>
                      <w:rFonts w:hint="eastAsia"/>
                    </w:rPr>
                    <w:t>遗物祭品焚烧间</w:t>
                  </w:r>
                </w:p>
              </w:tc>
              <w:tc>
                <w:tcPr>
                  <w:tcW w:w="3476" w:type="pct"/>
                  <w:vAlign w:val="center"/>
                </w:tcPr>
                <w:p>
                  <w:pPr>
                    <w:spacing w:line="320" w:lineRule="exact"/>
                    <w:rPr>
                      <w:bCs/>
                      <w:szCs w:val="21"/>
                    </w:rPr>
                  </w:pPr>
                  <w:r>
                    <w:rPr>
                      <w:rFonts w:hint="eastAsia"/>
                      <w:szCs w:val="21"/>
                    </w:rPr>
                    <w:t>面积</w:t>
                  </w:r>
                  <w:r>
                    <w:rPr>
                      <w:szCs w:val="21"/>
                    </w:rPr>
                    <w:t>建筑69.96m</w:t>
                  </w:r>
                  <w:r>
                    <w:rPr>
                      <w:szCs w:val="21"/>
                      <w:vertAlign w:val="superscript"/>
                    </w:rPr>
                    <w:t>2</w:t>
                  </w:r>
                  <w:r>
                    <w:rPr>
                      <w:szCs w:val="21"/>
                    </w:rPr>
                    <w:t>，</w:t>
                  </w:r>
                  <w:r>
                    <w:rPr>
                      <w:rFonts w:hint="eastAsia"/>
                      <w:szCs w:val="21"/>
                    </w:rPr>
                    <w:t>1层；内</w:t>
                  </w:r>
                  <w:r>
                    <w:rPr>
                      <w:szCs w:val="21"/>
                    </w:rPr>
                    <w:t>设1台</w:t>
                  </w:r>
                  <w:r>
                    <w:rPr>
                      <w:rFonts w:hint="eastAsia"/>
                      <w:szCs w:val="21"/>
                    </w:rPr>
                    <w:t>遗物祭品焚烧炉</w:t>
                  </w:r>
                  <w:r>
                    <w:rPr>
                      <w:szCs w:val="21"/>
                    </w:rPr>
                    <w:t>，配套烟气处理设施</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spacing w:line="320" w:lineRule="exact"/>
                    <w:jc w:val="center"/>
                  </w:pPr>
                </w:p>
              </w:tc>
              <w:tc>
                <w:tcPr>
                  <w:tcW w:w="1040" w:type="pct"/>
                  <w:vAlign w:val="center"/>
                </w:tcPr>
                <w:p>
                  <w:pPr>
                    <w:spacing w:line="320" w:lineRule="exact"/>
                    <w:jc w:val="center"/>
                  </w:pPr>
                  <w:r>
                    <w:rPr>
                      <w:rFonts w:hint="eastAsia"/>
                    </w:rPr>
                    <w:t>遗体处理用房</w:t>
                  </w:r>
                </w:p>
              </w:tc>
              <w:tc>
                <w:tcPr>
                  <w:tcW w:w="3476" w:type="pct"/>
                  <w:vAlign w:val="center"/>
                </w:tcPr>
                <w:p>
                  <w:pPr>
                    <w:spacing w:line="320" w:lineRule="exact"/>
                    <w:rPr>
                      <w:bCs/>
                      <w:szCs w:val="21"/>
                    </w:rPr>
                  </w:pPr>
                  <w:r>
                    <w:rPr>
                      <w:szCs w:val="21"/>
                    </w:rPr>
                    <w:t>建筑面积分别为612.88m</w:t>
                  </w:r>
                  <w:r>
                    <w:rPr>
                      <w:szCs w:val="21"/>
                      <w:vertAlign w:val="superscript"/>
                    </w:rPr>
                    <w:t>2</w:t>
                  </w:r>
                  <w:r>
                    <w:rPr>
                      <w:szCs w:val="21"/>
                    </w:rPr>
                    <w:t>，</w:t>
                  </w:r>
                  <w:r>
                    <w:rPr>
                      <w:rFonts w:hint="eastAsia"/>
                      <w:szCs w:val="21"/>
                    </w:rPr>
                    <w:t>1层；</w:t>
                  </w:r>
                  <w:r>
                    <w:rPr>
                      <w:rFonts w:hint="eastAsia"/>
                    </w:rPr>
                    <w:t>遗体处理用房</w:t>
                  </w:r>
                  <w:r>
                    <w:rPr>
                      <w:szCs w:val="21"/>
                    </w:rPr>
                    <w:t>内设冷冻间、遗体接收间、遗体处置房(含消毒、防腐、整容等)。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spacing w:line="320" w:lineRule="exact"/>
                    <w:jc w:val="center"/>
                  </w:pPr>
                </w:p>
              </w:tc>
              <w:tc>
                <w:tcPr>
                  <w:tcW w:w="1040" w:type="pct"/>
                  <w:vAlign w:val="center"/>
                </w:tcPr>
                <w:p>
                  <w:pPr>
                    <w:spacing w:line="320" w:lineRule="exact"/>
                    <w:jc w:val="center"/>
                  </w:pPr>
                  <w:r>
                    <w:rPr>
                      <w:rFonts w:hint="eastAsia"/>
                    </w:rPr>
                    <w:t>骨灰寄存用房</w:t>
                  </w:r>
                </w:p>
              </w:tc>
              <w:tc>
                <w:tcPr>
                  <w:tcW w:w="3476" w:type="pct"/>
                  <w:vAlign w:val="center"/>
                </w:tcPr>
                <w:p>
                  <w:pPr>
                    <w:spacing w:line="320" w:lineRule="exact"/>
                    <w:rPr>
                      <w:bCs/>
                      <w:szCs w:val="21"/>
                    </w:rPr>
                  </w:pPr>
                  <w:r>
                    <w:rPr>
                      <w:szCs w:val="21"/>
                    </w:rPr>
                    <w:t>建筑面积391.04m</w:t>
                  </w:r>
                  <w:r>
                    <w:rPr>
                      <w:szCs w:val="21"/>
                      <w:vertAlign w:val="superscript"/>
                    </w:rPr>
                    <w:t>2</w:t>
                  </w:r>
                  <w:r>
                    <w:rPr>
                      <w:szCs w:val="21"/>
                    </w:rPr>
                    <w:t>，</w:t>
                  </w:r>
                  <w:r>
                    <w:rPr>
                      <w:rFonts w:hint="eastAsia"/>
                      <w:szCs w:val="21"/>
                    </w:rPr>
                    <w:t>1层；</w:t>
                  </w:r>
                  <w:r>
                    <w:rPr>
                      <w:szCs w:val="21"/>
                    </w:rPr>
                    <w:t>骨灰寄存</w:t>
                  </w:r>
                  <w:r>
                    <w:rPr>
                      <w:rFonts w:hint="eastAsia"/>
                    </w:rPr>
                    <w:t>用房</w:t>
                  </w:r>
                  <w:r>
                    <w:rPr>
                      <w:szCs w:val="21"/>
                    </w:rPr>
                    <w:t>由骨灰寄堂、祭奠厅、管理人员办公用房和洗手间组成。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spacing w:line="320" w:lineRule="exact"/>
                    <w:jc w:val="center"/>
                  </w:pPr>
                </w:p>
              </w:tc>
              <w:tc>
                <w:tcPr>
                  <w:tcW w:w="1040" w:type="pct"/>
                  <w:vAlign w:val="center"/>
                </w:tcPr>
                <w:p>
                  <w:pPr>
                    <w:spacing w:line="320" w:lineRule="exact"/>
                    <w:jc w:val="center"/>
                  </w:pPr>
                  <w:r>
                    <w:rPr>
                      <w:rFonts w:hint="eastAsia"/>
                    </w:rPr>
                    <w:t>告别楼</w:t>
                  </w:r>
                </w:p>
              </w:tc>
              <w:tc>
                <w:tcPr>
                  <w:tcW w:w="3476" w:type="pct"/>
                  <w:vAlign w:val="center"/>
                </w:tcPr>
                <w:p>
                  <w:pPr>
                    <w:spacing w:line="320" w:lineRule="exact"/>
                    <w:rPr>
                      <w:bCs/>
                      <w:szCs w:val="21"/>
                    </w:rPr>
                  </w:pPr>
                  <w:r>
                    <w:rPr>
                      <w:szCs w:val="21"/>
                    </w:rPr>
                    <w:t>建筑面积分别为1855.56m</w:t>
                  </w:r>
                  <w:r>
                    <w:rPr>
                      <w:szCs w:val="21"/>
                      <w:vertAlign w:val="superscript"/>
                    </w:rPr>
                    <w:t>2</w:t>
                  </w:r>
                  <w:r>
                    <w:rPr>
                      <w:szCs w:val="21"/>
                    </w:rPr>
                    <w:t>，</w:t>
                  </w:r>
                  <w:r>
                    <w:rPr>
                      <w:rFonts w:hint="eastAsia"/>
                      <w:szCs w:val="21"/>
                    </w:rPr>
                    <w:t>1层；</w:t>
                  </w:r>
                  <w:r>
                    <w:rPr>
                      <w:szCs w:val="21"/>
                    </w:rPr>
                    <w:t>共设置3个悼念厅（一大</w:t>
                  </w:r>
                  <w:r>
                    <w:rPr>
                      <w:rFonts w:hint="eastAsia"/>
                      <w:szCs w:val="21"/>
                    </w:rPr>
                    <w:t>二</w:t>
                  </w:r>
                  <w:r>
                    <w:rPr>
                      <w:szCs w:val="21"/>
                    </w:rPr>
                    <w:t>中），连为一体，悼念厅</w:t>
                  </w:r>
                  <w:r>
                    <w:rPr>
                      <w:rFonts w:hint="eastAsia"/>
                      <w:szCs w:val="21"/>
                    </w:rPr>
                    <w:t>两</w:t>
                  </w:r>
                  <w:r>
                    <w:rPr>
                      <w:szCs w:val="21"/>
                    </w:rPr>
                    <w:t>侧设有2个悼念广场；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Align w:val="center"/>
                </w:tcPr>
                <w:p>
                  <w:pPr>
                    <w:spacing w:line="320" w:lineRule="exact"/>
                    <w:jc w:val="center"/>
                  </w:pPr>
                  <w:r>
                    <w:t>储运工程</w:t>
                  </w:r>
                </w:p>
              </w:tc>
              <w:tc>
                <w:tcPr>
                  <w:tcW w:w="1040" w:type="pct"/>
                  <w:vAlign w:val="center"/>
                </w:tcPr>
                <w:p>
                  <w:pPr>
                    <w:widowControl/>
                    <w:spacing w:line="320" w:lineRule="exact"/>
                    <w:jc w:val="center"/>
                  </w:pPr>
                  <w:r>
                    <w:rPr>
                      <w:rFonts w:hint="eastAsia"/>
                    </w:rPr>
                    <w:t>柴油储罐</w:t>
                  </w:r>
                </w:p>
              </w:tc>
              <w:tc>
                <w:tcPr>
                  <w:tcW w:w="3476" w:type="pct"/>
                  <w:vAlign w:val="center"/>
                </w:tcPr>
                <w:p>
                  <w:pPr>
                    <w:spacing w:line="320" w:lineRule="exact"/>
                  </w:pPr>
                  <w:r>
                    <w:rPr>
                      <w:rFonts w:hint="eastAsia"/>
                    </w:rPr>
                    <w:t>柴油储罐容量为1</w:t>
                  </w:r>
                  <w:r>
                    <w:t>0</w:t>
                  </w:r>
                  <w:r>
                    <w:rPr>
                      <w:rFonts w:hint="eastAsia"/>
                    </w:rPr>
                    <w:t>t，位于火化间内，柴油用于火化机。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restart"/>
                  <w:vAlign w:val="center"/>
                </w:tcPr>
                <w:p>
                  <w:pPr>
                    <w:spacing w:line="320" w:lineRule="exact"/>
                    <w:jc w:val="center"/>
                  </w:pPr>
                  <w:r>
                    <w:t>辅助工程</w:t>
                  </w:r>
                </w:p>
              </w:tc>
              <w:tc>
                <w:tcPr>
                  <w:tcW w:w="1040" w:type="pct"/>
                  <w:vAlign w:val="center"/>
                </w:tcPr>
                <w:p>
                  <w:pPr>
                    <w:spacing w:line="320" w:lineRule="exact"/>
                    <w:jc w:val="center"/>
                  </w:pPr>
                  <w:r>
                    <w:rPr>
                      <w:szCs w:val="21"/>
                    </w:rPr>
                    <w:t>办公</w:t>
                  </w:r>
                  <w:r>
                    <w:rPr>
                      <w:rFonts w:hint="eastAsia"/>
                      <w:szCs w:val="21"/>
                    </w:rPr>
                    <w:t>用房</w:t>
                  </w:r>
                </w:p>
              </w:tc>
              <w:tc>
                <w:tcPr>
                  <w:tcW w:w="3476" w:type="pct"/>
                  <w:vAlign w:val="center"/>
                </w:tcPr>
                <w:p>
                  <w:pPr>
                    <w:spacing w:line="320" w:lineRule="exact"/>
                  </w:pPr>
                  <w:r>
                    <w:rPr>
                      <w:szCs w:val="21"/>
                    </w:rPr>
                    <w:t>建筑面积663.30m</w:t>
                  </w:r>
                  <w:r>
                    <w:rPr>
                      <w:szCs w:val="21"/>
                      <w:vertAlign w:val="superscript"/>
                    </w:rPr>
                    <w:t>2</w:t>
                  </w:r>
                  <w:r>
                    <w:rPr>
                      <w:szCs w:val="21"/>
                    </w:rPr>
                    <w:t>，2</w:t>
                  </w:r>
                  <w:r>
                    <w:rPr>
                      <w:rFonts w:hint="eastAsia"/>
                      <w:szCs w:val="21"/>
                    </w:rPr>
                    <w:t>层；</w:t>
                  </w:r>
                  <w:r>
                    <w:rPr>
                      <w:szCs w:val="21"/>
                    </w:rPr>
                    <w:t>内有业务大厅、丧葬用品销售、挽联书写、值班室、洗手间、办公室等功能区组成。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后勤管理用房</w:t>
                  </w:r>
                </w:p>
              </w:tc>
              <w:tc>
                <w:tcPr>
                  <w:tcW w:w="3476" w:type="pct"/>
                  <w:vAlign w:val="center"/>
                </w:tcPr>
                <w:p>
                  <w:pPr>
                    <w:spacing w:line="320" w:lineRule="exact"/>
                  </w:pPr>
                  <w:r>
                    <w:rPr>
                      <w:szCs w:val="21"/>
                    </w:rPr>
                    <w:t>建筑面积663.30m</w:t>
                  </w:r>
                  <w:r>
                    <w:rPr>
                      <w:szCs w:val="21"/>
                      <w:vertAlign w:val="superscript"/>
                    </w:rPr>
                    <w:t>2</w:t>
                  </w:r>
                  <w:r>
                    <w:rPr>
                      <w:szCs w:val="21"/>
                    </w:rPr>
                    <w:t>，2</w:t>
                  </w:r>
                  <w:r>
                    <w:rPr>
                      <w:rFonts w:hint="eastAsia"/>
                      <w:szCs w:val="21"/>
                    </w:rPr>
                    <w:t>层；主要功能为殡仪馆后勤物资储备用房。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车库</w:t>
                  </w:r>
                </w:p>
              </w:tc>
              <w:tc>
                <w:tcPr>
                  <w:tcW w:w="3476" w:type="pct"/>
                  <w:vAlign w:val="center"/>
                </w:tcPr>
                <w:p>
                  <w:pPr>
                    <w:spacing w:line="320" w:lineRule="exact"/>
                    <w:rPr>
                      <w:szCs w:val="21"/>
                    </w:rPr>
                  </w:pPr>
                  <w:r>
                    <w:rPr>
                      <w:szCs w:val="21"/>
                    </w:rPr>
                    <w:t>建筑面积69.96m</w:t>
                  </w:r>
                  <w:r>
                    <w:rPr>
                      <w:szCs w:val="21"/>
                      <w:vertAlign w:val="superscript"/>
                    </w:rPr>
                    <w:t>2</w:t>
                  </w:r>
                  <w:r>
                    <w:rPr>
                      <w:szCs w:val="21"/>
                    </w:rPr>
                    <w:t>，1</w:t>
                  </w:r>
                  <w:r>
                    <w:rPr>
                      <w:rFonts w:hint="eastAsia"/>
                      <w:szCs w:val="21"/>
                    </w:rPr>
                    <w:t>层；用于停放专用殡仪车辆，停车位5个。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szCs w:val="21"/>
                    </w:rPr>
                    <w:t>停车场</w:t>
                  </w:r>
                </w:p>
              </w:tc>
              <w:tc>
                <w:tcPr>
                  <w:tcW w:w="3476" w:type="pct"/>
                  <w:vAlign w:val="center"/>
                </w:tcPr>
                <w:p>
                  <w:pPr>
                    <w:spacing w:line="320" w:lineRule="exact"/>
                  </w:pPr>
                  <w:r>
                    <w:rPr>
                      <w:szCs w:val="21"/>
                    </w:rPr>
                    <w:t>共设有89个停车位，其中小车停车位85个，</w:t>
                  </w:r>
                  <w:r>
                    <w:rPr>
                      <w:rFonts w:hint="eastAsia"/>
                      <w:szCs w:val="21"/>
                    </w:rPr>
                    <w:t>大</w:t>
                  </w:r>
                  <w:r>
                    <w:rPr>
                      <w:szCs w:val="21"/>
                    </w:rPr>
                    <w:t>巴停车位4个</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室外厕所</w:t>
                  </w:r>
                </w:p>
              </w:tc>
              <w:tc>
                <w:tcPr>
                  <w:tcW w:w="3476" w:type="pct"/>
                  <w:vAlign w:val="center"/>
                </w:tcPr>
                <w:p>
                  <w:pPr>
                    <w:spacing w:line="320" w:lineRule="exact"/>
                  </w:pPr>
                  <w:r>
                    <w:rPr>
                      <w:szCs w:val="21"/>
                    </w:rPr>
                    <w:t>建筑面积62.07m</w:t>
                  </w:r>
                  <w:r>
                    <w:rPr>
                      <w:szCs w:val="21"/>
                      <w:vertAlign w:val="superscript"/>
                    </w:rPr>
                    <w:t>2</w:t>
                  </w:r>
                  <w:r>
                    <w:rPr>
                      <w:szCs w:val="21"/>
                    </w:rPr>
                    <w:t>，1</w:t>
                  </w:r>
                  <w:r>
                    <w:rPr>
                      <w:rFonts w:hint="eastAsia"/>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门卫</w:t>
                  </w:r>
                </w:p>
              </w:tc>
              <w:tc>
                <w:tcPr>
                  <w:tcW w:w="3476" w:type="pct"/>
                  <w:vAlign w:val="center"/>
                </w:tcPr>
                <w:p>
                  <w:pPr>
                    <w:spacing w:line="320" w:lineRule="exact"/>
                  </w:pPr>
                  <w:r>
                    <w:rPr>
                      <w:rFonts w:hint="eastAsia"/>
                    </w:rPr>
                    <w:t>建筑面积</w:t>
                  </w:r>
                  <w:r>
                    <w:rPr>
                      <w:szCs w:val="21"/>
                    </w:rPr>
                    <w:t>60m</w:t>
                  </w:r>
                  <w:r>
                    <w:rPr>
                      <w:szCs w:val="21"/>
                      <w:vertAlign w:val="superscript"/>
                    </w:rPr>
                    <w:t>2</w:t>
                  </w:r>
                  <w:r>
                    <w:rPr>
                      <w:szCs w:val="21"/>
                    </w:rPr>
                    <w:t>，1</w:t>
                  </w:r>
                  <w:r>
                    <w:rPr>
                      <w:rFonts w:hint="eastAsia"/>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restart"/>
                  <w:vAlign w:val="center"/>
                </w:tcPr>
                <w:p>
                  <w:pPr>
                    <w:widowControl/>
                    <w:spacing w:line="320" w:lineRule="exact"/>
                    <w:jc w:val="center"/>
                    <w:rPr>
                      <w:szCs w:val="21"/>
                    </w:rPr>
                  </w:pPr>
                  <w:r>
                    <w:t>公用工程</w:t>
                  </w:r>
                </w:p>
              </w:tc>
              <w:tc>
                <w:tcPr>
                  <w:tcW w:w="1040" w:type="pct"/>
                  <w:vAlign w:val="center"/>
                </w:tcPr>
                <w:p>
                  <w:pPr>
                    <w:spacing w:line="320" w:lineRule="exact"/>
                    <w:jc w:val="center"/>
                  </w:pPr>
                  <w:r>
                    <w:rPr>
                      <w:szCs w:val="21"/>
                    </w:rPr>
                    <w:t>给水</w:t>
                  </w:r>
                </w:p>
              </w:tc>
              <w:tc>
                <w:tcPr>
                  <w:tcW w:w="3476" w:type="pct"/>
                  <w:vAlign w:val="center"/>
                </w:tcPr>
                <w:p>
                  <w:pPr>
                    <w:spacing w:line="320" w:lineRule="exact"/>
                  </w:pPr>
                  <w:r>
                    <w:rPr>
                      <w:rFonts w:hint="eastAsia"/>
                    </w:rPr>
                    <w:t>施工水源由地块周边治超站接入供给；建成运营后将打井供给。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pPr>
                </w:p>
              </w:tc>
              <w:tc>
                <w:tcPr>
                  <w:tcW w:w="1040" w:type="pct"/>
                  <w:vAlign w:val="center"/>
                </w:tcPr>
                <w:p>
                  <w:pPr>
                    <w:spacing w:line="320" w:lineRule="exact"/>
                    <w:jc w:val="center"/>
                  </w:pPr>
                  <w:r>
                    <w:rPr>
                      <w:szCs w:val="21"/>
                    </w:rPr>
                    <w:t>排水</w:t>
                  </w:r>
                </w:p>
              </w:tc>
              <w:tc>
                <w:tcPr>
                  <w:tcW w:w="3476" w:type="pct"/>
                  <w:vAlign w:val="center"/>
                </w:tcPr>
                <w:p>
                  <w:pPr>
                    <w:spacing w:line="320" w:lineRule="exact"/>
                  </w:pPr>
                  <w:r>
                    <w:rPr>
                      <w:rFonts w:hint="eastAsia"/>
                      <w:bCs/>
                    </w:rPr>
                    <w:t>建设场地内排水系统采取雨、污水分流制；</w:t>
                  </w:r>
                  <w:r>
                    <w:rPr>
                      <w:rFonts w:hint="eastAsia" w:ascii="宋体" w:cs="宋体"/>
                      <w:kern w:val="0"/>
                      <w:szCs w:val="21"/>
                    </w:rPr>
                    <w:t>雨水经场区雨水管网排入附近自然冲沟；</w:t>
                  </w:r>
                  <w:r>
                    <w:rPr>
                      <w:rFonts w:hint="eastAsia"/>
                      <w:bCs/>
                    </w:rPr>
                    <w:t>本项目产生的废水经污水处理站处理后夏季可用于道路浇洒及绿化浇灌，冬季定期统一抽送至五台县生活污水处理厂。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szCs w:val="21"/>
                    </w:rPr>
                    <w:t>供电</w:t>
                  </w:r>
                </w:p>
              </w:tc>
              <w:tc>
                <w:tcPr>
                  <w:tcW w:w="3476" w:type="pct"/>
                  <w:vAlign w:val="center"/>
                </w:tcPr>
                <w:p>
                  <w:pPr>
                    <w:spacing w:line="320" w:lineRule="exact"/>
                  </w:pPr>
                  <w:r>
                    <w:rPr>
                      <w:rFonts w:hint="eastAsia"/>
                    </w:rPr>
                    <w:t>电源由五台县供电局主供电网供给，施工用电由地块周边治超站接入供给；项目建成运营后拉设直达电源，设2台3</w:t>
                  </w:r>
                  <w:r>
                    <w:t>00</w:t>
                  </w:r>
                  <w:r>
                    <w:rPr>
                      <w:rFonts w:hint="eastAsia"/>
                    </w:rPr>
                    <w:t>k</w:t>
                  </w:r>
                  <w:r>
                    <w:t>VA</w:t>
                  </w:r>
                  <w:r>
                    <w:rPr>
                      <w:rFonts w:hint="eastAsia"/>
                    </w:rPr>
                    <w:t>干式变压器。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供暖</w:t>
                  </w:r>
                </w:p>
              </w:tc>
              <w:tc>
                <w:tcPr>
                  <w:tcW w:w="3476" w:type="pct"/>
                  <w:vAlign w:val="center"/>
                </w:tcPr>
                <w:p>
                  <w:pPr>
                    <w:spacing w:line="320" w:lineRule="exact"/>
                  </w:pPr>
                  <w:r>
                    <w:rPr>
                      <w:rFonts w:hint="eastAsia"/>
                    </w:rPr>
                    <w:t>供暖采用空气源热泵供给。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vAlign w:val="center"/>
                </w:tcPr>
                <w:p>
                  <w:pPr>
                    <w:spacing w:line="320" w:lineRule="exact"/>
                    <w:jc w:val="center"/>
                  </w:pPr>
                  <w:r>
                    <w:t>环保工程</w:t>
                  </w:r>
                </w:p>
              </w:tc>
              <w:tc>
                <w:tcPr>
                  <w:tcW w:w="1040" w:type="pct"/>
                  <w:vAlign w:val="center"/>
                </w:tcPr>
                <w:p>
                  <w:pPr>
                    <w:spacing w:line="320" w:lineRule="exact"/>
                    <w:jc w:val="center"/>
                  </w:pPr>
                  <w:r>
                    <w:rPr>
                      <w:rFonts w:hint="eastAsia"/>
                    </w:rPr>
                    <w:t>火化机废气</w:t>
                  </w:r>
                </w:p>
              </w:tc>
              <w:tc>
                <w:tcPr>
                  <w:tcW w:w="3476" w:type="pct"/>
                  <w:vAlign w:val="center"/>
                </w:tcPr>
                <w:p>
                  <w:pPr>
                    <w:pStyle w:val="46"/>
                    <w:snapToGrid/>
                    <w:spacing w:before="0" w:after="0" w:line="240" w:lineRule="auto"/>
                    <w:ind w:firstLine="0" w:firstLineChars="0"/>
                    <w:jc w:val="left"/>
                    <w:rPr>
                      <w:sz w:val="21"/>
                      <w:szCs w:val="21"/>
                    </w:rPr>
                  </w:pPr>
                  <w:r>
                    <w:rPr>
                      <w:rFonts w:hint="eastAsia"/>
                      <w:sz w:val="21"/>
                      <w:szCs w:val="21"/>
                    </w:rPr>
                    <w:t>3台节能环保火化机分别单独配置一套废气处理设施+1根12m高排气筒；共3套废气处理设施，3根排气筒。</w:t>
                  </w:r>
                </w:p>
                <w:p>
                  <w:pPr>
                    <w:spacing w:line="320" w:lineRule="exact"/>
                  </w:pPr>
                  <w:r>
                    <w:rPr>
                      <w:rFonts w:hint="eastAsia"/>
                      <w:szCs w:val="21"/>
                    </w:rPr>
                    <w:t>烟气净化采用急冷装置+半干法脱硫+旋风离心器+活性炭喷射+布袋除尘器组合方案。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spacing w:line="320" w:lineRule="exact"/>
                    <w:jc w:val="center"/>
                  </w:pPr>
                </w:p>
              </w:tc>
              <w:tc>
                <w:tcPr>
                  <w:tcW w:w="1040" w:type="pct"/>
                  <w:vAlign w:val="center"/>
                </w:tcPr>
                <w:p>
                  <w:pPr>
                    <w:spacing w:line="320" w:lineRule="exact"/>
                    <w:jc w:val="center"/>
                  </w:pPr>
                  <w:r>
                    <w:rPr>
                      <w:rFonts w:hint="eastAsia"/>
                    </w:rPr>
                    <w:t>遗物祭品焚烧炉废气</w:t>
                  </w:r>
                </w:p>
              </w:tc>
              <w:tc>
                <w:tcPr>
                  <w:tcW w:w="3476" w:type="pct"/>
                  <w:vAlign w:val="center"/>
                </w:tcPr>
                <w:p>
                  <w:pPr>
                    <w:pStyle w:val="46"/>
                    <w:snapToGrid/>
                    <w:spacing w:before="0" w:after="0" w:line="240" w:lineRule="auto"/>
                    <w:ind w:firstLine="0" w:firstLineChars="0"/>
                    <w:jc w:val="left"/>
                    <w:rPr>
                      <w:sz w:val="21"/>
                      <w:szCs w:val="21"/>
                    </w:rPr>
                  </w:pPr>
                  <w:r>
                    <w:rPr>
                      <w:rFonts w:hint="eastAsia"/>
                      <w:sz w:val="21"/>
                      <w:szCs w:val="21"/>
                    </w:rPr>
                    <w:t>遗物祭品焚烧炉单独配置一套废气处理设施+1根12m高排气筒。</w:t>
                  </w:r>
                </w:p>
                <w:p>
                  <w:pPr>
                    <w:spacing w:line="320" w:lineRule="exact"/>
                  </w:pPr>
                  <w:r>
                    <w:rPr>
                      <w:rFonts w:hint="eastAsia"/>
                      <w:szCs w:val="21"/>
                    </w:rPr>
                    <w:t>烟气净化采用急冷装置+半干法脱硫+旋风离心器+活性炭喷射+布袋除尘器组合方案。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废水</w:t>
                  </w:r>
                </w:p>
              </w:tc>
              <w:tc>
                <w:tcPr>
                  <w:tcW w:w="3476" w:type="pct"/>
                  <w:vAlign w:val="center"/>
                </w:tcPr>
                <w:p>
                  <w:pPr>
                    <w:spacing w:line="320" w:lineRule="exact"/>
                  </w:pPr>
                  <w:r>
                    <w:rPr>
                      <w:rFonts w:hint="eastAsia" w:hAnsi="宋体"/>
                      <w:szCs w:val="21"/>
                    </w:rPr>
                    <w:t>遗体处置清洗、消毒废水，专用殡仪车辆清洗、消毒废水，经消毒池预处理后进入自建污水处理站处理，与其他生活污水一同进入自建污水处理站处理；废水经污水处理站处理后非采暖期（5月至1</w:t>
                  </w:r>
                  <w:r>
                    <w:rPr>
                      <w:rFonts w:hAnsi="宋体"/>
                      <w:szCs w:val="21"/>
                    </w:rPr>
                    <w:t>0</w:t>
                  </w:r>
                  <w:r>
                    <w:rPr>
                      <w:rFonts w:hint="eastAsia" w:hAnsi="宋体"/>
                      <w:szCs w:val="21"/>
                    </w:rPr>
                    <w:t>月）可用于道路浇洒及绿化浇灌，采暖期（1</w:t>
                  </w:r>
                  <w:r>
                    <w:rPr>
                      <w:rFonts w:hAnsi="宋体"/>
                      <w:szCs w:val="21"/>
                    </w:rPr>
                    <w:t>1</w:t>
                  </w:r>
                  <w:r>
                    <w:rPr>
                      <w:rFonts w:hint="eastAsia" w:hAnsi="宋体"/>
                      <w:szCs w:val="21"/>
                    </w:rPr>
                    <w:t>月-</w:t>
                  </w:r>
                  <w:r>
                    <w:rPr>
                      <w:rFonts w:hAnsi="宋体"/>
                      <w:szCs w:val="21"/>
                    </w:rPr>
                    <w:t>4</w:t>
                  </w:r>
                  <w:r>
                    <w:rPr>
                      <w:rFonts w:hint="eastAsia" w:hAnsi="宋体"/>
                      <w:szCs w:val="21"/>
                    </w:rPr>
                    <w:t>月）定期统一抽送至五台县生活污水处理厂。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Merge w:val="restart"/>
                  <w:vAlign w:val="center"/>
                </w:tcPr>
                <w:p>
                  <w:pPr>
                    <w:spacing w:line="320" w:lineRule="exact"/>
                    <w:jc w:val="center"/>
                  </w:pPr>
                  <w:r>
                    <w:rPr>
                      <w:rFonts w:hint="eastAsia"/>
                    </w:rPr>
                    <w:t>固体废物</w:t>
                  </w:r>
                </w:p>
              </w:tc>
              <w:tc>
                <w:tcPr>
                  <w:tcW w:w="3476" w:type="pct"/>
                  <w:vAlign w:val="center"/>
                </w:tcPr>
                <w:p>
                  <w:pPr>
                    <w:spacing w:line="320" w:lineRule="exact"/>
                  </w:pPr>
                  <w:r>
                    <w:rPr>
                      <w:rFonts w:hint="eastAsia" w:hAnsi="宋体"/>
                      <w:szCs w:val="21"/>
                    </w:rPr>
                    <w:t>遗体火化产生的骨灰</w:t>
                  </w:r>
                  <w:r>
                    <w:rPr>
                      <w:rFonts w:hint="eastAsia"/>
                      <w:bCs/>
                      <w:szCs w:val="21"/>
                    </w:rPr>
                    <w:t>在进行挑捡后由各逝者家属装进骨灰盒带走，葬入墓地或寄存于骨灰寄存楼。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Merge w:val="continue"/>
                  <w:vAlign w:val="center"/>
                </w:tcPr>
                <w:p>
                  <w:pPr>
                    <w:spacing w:line="320" w:lineRule="exact"/>
                    <w:jc w:val="center"/>
                  </w:pPr>
                </w:p>
              </w:tc>
              <w:tc>
                <w:tcPr>
                  <w:tcW w:w="3476" w:type="pct"/>
                  <w:vAlign w:val="center"/>
                </w:tcPr>
                <w:p>
                  <w:pPr>
                    <w:spacing w:line="320" w:lineRule="exact"/>
                  </w:pPr>
                  <w:r>
                    <w:rPr>
                      <w:rFonts w:hint="eastAsia" w:hAnsi="宋体"/>
                      <w:szCs w:val="21"/>
                    </w:rPr>
                    <w:t>火化炉遗留的灰渣、遗物祭品焚烧灰渣、采用消石灰干化后的污水处理设施污泥与</w:t>
                  </w:r>
                  <w:r>
                    <w:rPr>
                      <w:rFonts w:hint="eastAsia"/>
                      <w:szCs w:val="21"/>
                    </w:rPr>
                    <w:t>生活垃圾一起运至</w:t>
                  </w:r>
                  <w:r>
                    <w:rPr>
                      <w:rFonts w:hAnsi="宋体"/>
                      <w:szCs w:val="21"/>
                    </w:rPr>
                    <w:t>市政指定的地点</w:t>
                  </w:r>
                  <w:r>
                    <w:rPr>
                      <w:rFonts w:hint="eastAsia" w:hAnsi="宋体"/>
                      <w:szCs w:val="21"/>
                    </w:rPr>
                    <w:t>统一</w:t>
                  </w:r>
                  <w:r>
                    <w:rPr>
                      <w:rFonts w:hAnsi="宋体"/>
                      <w:szCs w:val="21"/>
                    </w:rPr>
                    <w:t>处理</w:t>
                  </w: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Merge w:val="continue"/>
                  <w:vAlign w:val="center"/>
                </w:tcPr>
                <w:p>
                  <w:pPr>
                    <w:spacing w:line="320" w:lineRule="exact"/>
                    <w:jc w:val="center"/>
                  </w:pPr>
                </w:p>
              </w:tc>
              <w:tc>
                <w:tcPr>
                  <w:tcW w:w="3476" w:type="pct"/>
                  <w:vAlign w:val="center"/>
                </w:tcPr>
                <w:p>
                  <w:pPr>
                    <w:spacing w:line="320" w:lineRule="exact"/>
                  </w:pPr>
                  <w:r>
                    <w:rPr>
                      <w:rFonts w:hint="eastAsia" w:hAnsi="宋体"/>
                      <w:szCs w:val="21"/>
                    </w:rPr>
                    <w:t>焚烧飞灰、废脱硫粉、废活性炭储存于特定容器中，暂存于危废库内，委托有相关处理资质的单位定期外协处置。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Merge w:val="continue"/>
                  <w:vAlign w:val="center"/>
                </w:tcPr>
                <w:p>
                  <w:pPr>
                    <w:spacing w:line="320" w:lineRule="exact"/>
                    <w:jc w:val="center"/>
                  </w:pPr>
                </w:p>
              </w:tc>
              <w:tc>
                <w:tcPr>
                  <w:tcW w:w="3476" w:type="pct"/>
                  <w:vAlign w:val="center"/>
                </w:tcPr>
                <w:p>
                  <w:pPr>
                    <w:spacing w:line="320" w:lineRule="exact"/>
                  </w:pPr>
                  <w:r>
                    <w:rPr>
                      <w:rFonts w:hAnsi="宋体"/>
                      <w:szCs w:val="21"/>
                    </w:rPr>
                    <w:t>生活垃圾设置垃圾筒，垃圾经收集后运至市政指定的地点外协处理</w:t>
                  </w:r>
                  <w:r>
                    <w:rPr>
                      <w:rFonts w:hint="eastAsia"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szCs w:val="21"/>
                    </w:rPr>
                    <w:t>设备</w:t>
                  </w:r>
                  <w:r>
                    <w:rPr>
                      <w:rFonts w:hint="eastAsia"/>
                      <w:bCs/>
                      <w:szCs w:val="21"/>
                    </w:rPr>
                    <w:t>噪声，</w:t>
                  </w:r>
                  <w:r>
                    <w:rPr>
                      <w:rFonts w:hint="eastAsia"/>
                      <w:szCs w:val="21"/>
                      <w:lang w:bidi="ar"/>
                    </w:rPr>
                    <w:t>悼念活动噪声</w:t>
                  </w:r>
                </w:p>
              </w:tc>
              <w:tc>
                <w:tcPr>
                  <w:tcW w:w="3476" w:type="pct"/>
                  <w:vAlign w:val="center"/>
                </w:tcPr>
                <w:p>
                  <w:pPr>
                    <w:spacing w:line="320" w:lineRule="exact"/>
                  </w:pPr>
                  <w:r>
                    <w:rPr>
                      <w:rFonts w:hint="eastAsia"/>
                      <w:bCs/>
                      <w:spacing w:val="4"/>
                      <w:szCs w:val="21"/>
                    </w:rPr>
                    <w:t>选用低噪声设备，隔声、基础减振，定期维护；加强管理。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84" w:type="pct"/>
                  <w:vMerge w:val="continue"/>
                  <w:vAlign w:val="center"/>
                </w:tcPr>
                <w:p>
                  <w:pPr>
                    <w:widowControl/>
                    <w:spacing w:line="320" w:lineRule="exact"/>
                    <w:jc w:val="center"/>
                    <w:rPr>
                      <w:szCs w:val="21"/>
                    </w:rPr>
                  </w:pPr>
                </w:p>
              </w:tc>
              <w:tc>
                <w:tcPr>
                  <w:tcW w:w="1040" w:type="pct"/>
                  <w:vAlign w:val="center"/>
                </w:tcPr>
                <w:p>
                  <w:pPr>
                    <w:spacing w:line="320" w:lineRule="exact"/>
                    <w:jc w:val="center"/>
                  </w:pPr>
                  <w:r>
                    <w:rPr>
                      <w:rFonts w:hint="eastAsia"/>
                    </w:rPr>
                    <w:t>绿化</w:t>
                  </w:r>
                </w:p>
              </w:tc>
              <w:tc>
                <w:tcPr>
                  <w:tcW w:w="3476" w:type="pct"/>
                  <w:vAlign w:val="center"/>
                </w:tcPr>
                <w:p>
                  <w:pPr>
                    <w:spacing w:line="320" w:lineRule="exact"/>
                    <w:rPr>
                      <w:bCs/>
                    </w:rPr>
                  </w:pPr>
                  <w:r>
                    <w:rPr>
                      <w:rFonts w:hint="eastAsia"/>
                      <w:bCs/>
                    </w:rPr>
                    <w:t>绿化面积6</w:t>
                  </w:r>
                  <w:r>
                    <w:rPr>
                      <w:bCs/>
                    </w:rPr>
                    <w:t>781.99</w:t>
                  </w:r>
                  <w:r>
                    <w:rPr>
                      <w:rFonts w:hint="eastAsia"/>
                      <w:bCs/>
                    </w:rPr>
                    <w:t>m</w:t>
                  </w:r>
                  <w:r>
                    <w:rPr>
                      <w:bCs/>
                      <w:vertAlign w:val="superscript"/>
                    </w:rPr>
                    <w:t>2</w:t>
                  </w:r>
                  <w:r>
                    <w:rPr>
                      <w:rFonts w:hint="eastAsia"/>
                      <w:bCs/>
                    </w:rPr>
                    <w:t>，绿地率3</w:t>
                  </w:r>
                  <w:r>
                    <w:rPr>
                      <w:bCs/>
                    </w:rPr>
                    <w:t>0.89</w:t>
                  </w:r>
                  <w:r>
                    <w:rPr>
                      <w:rFonts w:hint="eastAsia"/>
                      <w:bCs/>
                    </w:rPr>
                    <w:t>%。</w:t>
                  </w:r>
                </w:p>
              </w:tc>
            </w:tr>
          </w:tbl>
          <w:p>
            <w:pPr>
              <w:adjustRightInd w:val="0"/>
              <w:snapToGrid w:val="0"/>
              <w:spacing w:line="480" w:lineRule="exact"/>
              <w:jc w:val="center"/>
              <w:rPr>
                <w:rFonts w:ascii="黑体" w:hAnsi="黑体" w:eastAsia="黑体"/>
                <w:bCs/>
                <w:sz w:val="24"/>
              </w:rPr>
            </w:pPr>
            <w:r>
              <w:rPr>
                <w:rFonts w:ascii="黑体" w:hAnsi="黑体" w:eastAsia="黑体"/>
                <w:bCs/>
                <w:sz w:val="24"/>
              </w:rPr>
              <w:t>表2-2  项目主要经济技术指标一览表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16"/>
              <w:gridCol w:w="510"/>
              <w:gridCol w:w="1910"/>
              <w:gridCol w:w="861"/>
              <w:gridCol w:w="1457"/>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序号</w:t>
                  </w:r>
                </w:p>
              </w:tc>
              <w:tc>
                <w:tcPr>
                  <w:tcW w:w="1879" w:type="pct"/>
                  <w:gridSpan w:val="3"/>
                  <w:vAlign w:val="center"/>
                </w:tcPr>
                <w:p>
                  <w:pPr>
                    <w:pStyle w:val="42"/>
                    <w:spacing w:line="240" w:lineRule="auto"/>
                    <w:ind w:firstLine="0" w:firstLineChars="0"/>
                    <w:jc w:val="center"/>
                    <w:rPr>
                      <w:sz w:val="21"/>
                      <w:szCs w:val="21"/>
                    </w:rPr>
                  </w:pPr>
                  <w:r>
                    <w:rPr>
                      <w:sz w:val="21"/>
                      <w:szCs w:val="21"/>
                    </w:rPr>
                    <w:t>指标名称</w:t>
                  </w:r>
                </w:p>
              </w:tc>
              <w:tc>
                <w:tcPr>
                  <w:tcW w:w="500" w:type="pct"/>
                  <w:vAlign w:val="center"/>
                </w:tcPr>
                <w:p>
                  <w:pPr>
                    <w:pStyle w:val="42"/>
                    <w:spacing w:line="240" w:lineRule="auto"/>
                    <w:ind w:firstLine="0" w:firstLineChars="0"/>
                    <w:jc w:val="center"/>
                    <w:rPr>
                      <w:sz w:val="21"/>
                      <w:szCs w:val="21"/>
                    </w:rPr>
                  </w:pPr>
                  <w:r>
                    <w:rPr>
                      <w:sz w:val="21"/>
                      <w:szCs w:val="21"/>
                    </w:rPr>
                    <w:t>单位</w:t>
                  </w:r>
                </w:p>
              </w:tc>
              <w:tc>
                <w:tcPr>
                  <w:tcW w:w="846" w:type="pct"/>
                  <w:vAlign w:val="center"/>
                </w:tcPr>
                <w:p>
                  <w:pPr>
                    <w:pStyle w:val="42"/>
                    <w:spacing w:line="240" w:lineRule="auto"/>
                    <w:ind w:firstLine="0" w:firstLineChars="0"/>
                    <w:jc w:val="center"/>
                    <w:rPr>
                      <w:sz w:val="21"/>
                      <w:szCs w:val="21"/>
                    </w:rPr>
                  </w:pPr>
                  <w:r>
                    <w:rPr>
                      <w:sz w:val="21"/>
                      <w:szCs w:val="21"/>
                    </w:rPr>
                    <w:t>指标</w:t>
                  </w:r>
                </w:p>
              </w:tc>
              <w:tc>
                <w:tcPr>
                  <w:tcW w:w="1361" w:type="pct"/>
                  <w:vAlign w:val="center"/>
                </w:tcPr>
                <w:p>
                  <w:pPr>
                    <w:pStyle w:val="42"/>
                    <w:spacing w:line="240" w:lineRule="auto"/>
                    <w:ind w:firstLine="0" w:firstLineChars="0"/>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1</w:t>
                  </w:r>
                </w:p>
              </w:tc>
              <w:tc>
                <w:tcPr>
                  <w:tcW w:w="1879" w:type="pct"/>
                  <w:gridSpan w:val="3"/>
                  <w:vAlign w:val="center"/>
                </w:tcPr>
                <w:p>
                  <w:pPr>
                    <w:pStyle w:val="42"/>
                    <w:spacing w:line="240" w:lineRule="auto"/>
                    <w:ind w:firstLine="0" w:firstLineChars="0"/>
                    <w:jc w:val="center"/>
                    <w:rPr>
                      <w:sz w:val="21"/>
                      <w:szCs w:val="21"/>
                    </w:rPr>
                  </w:pPr>
                  <w:r>
                    <w:rPr>
                      <w:sz w:val="21"/>
                      <w:szCs w:val="21"/>
                    </w:rPr>
                    <w:t>规划总用地面积</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sz w:val="21"/>
                      <w:szCs w:val="21"/>
                    </w:rPr>
                    <w:t>21954.68</w:t>
                  </w:r>
                </w:p>
              </w:tc>
              <w:tc>
                <w:tcPr>
                  <w:tcW w:w="1361" w:type="pct"/>
                  <w:vAlign w:val="center"/>
                </w:tcPr>
                <w:p>
                  <w:pPr>
                    <w:pStyle w:val="42"/>
                    <w:spacing w:line="240" w:lineRule="auto"/>
                    <w:ind w:firstLine="0" w:firstLineChars="0"/>
                    <w:jc w:val="center"/>
                    <w:rPr>
                      <w:sz w:val="21"/>
                      <w:szCs w:val="21"/>
                    </w:rPr>
                  </w:pPr>
                  <w:r>
                    <w:rPr>
                      <w:sz w:val="21"/>
                      <w:szCs w:val="21"/>
                    </w:rPr>
                    <w:t>约合</w:t>
                  </w:r>
                  <w:r>
                    <w:rPr>
                      <w:rFonts w:hint="eastAsia"/>
                      <w:bCs/>
                      <w:sz w:val="21"/>
                      <w:szCs w:val="21"/>
                    </w:rPr>
                    <w:t>3</w:t>
                  </w:r>
                  <w:r>
                    <w:rPr>
                      <w:bCs/>
                      <w:sz w:val="21"/>
                      <w:szCs w:val="21"/>
                    </w:rPr>
                    <w:t>2.98</w:t>
                  </w:r>
                  <w:r>
                    <w:rPr>
                      <w:sz w:val="21"/>
                      <w:szCs w:val="21"/>
                    </w:rPr>
                    <w:t>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2</w:t>
                  </w:r>
                </w:p>
              </w:tc>
              <w:tc>
                <w:tcPr>
                  <w:tcW w:w="1879" w:type="pct"/>
                  <w:gridSpan w:val="3"/>
                  <w:vAlign w:val="center"/>
                </w:tcPr>
                <w:p>
                  <w:pPr>
                    <w:pStyle w:val="42"/>
                    <w:spacing w:line="240" w:lineRule="auto"/>
                    <w:ind w:firstLine="0" w:firstLineChars="0"/>
                    <w:jc w:val="center"/>
                    <w:rPr>
                      <w:sz w:val="21"/>
                      <w:szCs w:val="21"/>
                    </w:rPr>
                  </w:pPr>
                  <w:r>
                    <w:rPr>
                      <w:sz w:val="21"/>
                      <w:szCs w:val="21"/>
                    </w:rPr>
                    <w:t>建筑占地面积</w:t>
                  </w:r>
                </w:p>
              </w:tc>
              <w:tc>
                <w:tcPr>
                  <w:tcW w:w="500" w:type="pct"/>
                  <w:vAlign w:val="center"/>
                </w:tcPr>
                <w:p>
                  <w:pPr>
                    <w:jc w:val="center"/>
                    <w:rPr>
                      <w:szCs w:val="21"/>
                    </w:rPr>
                  </w:pPr>
                  <w:r>
                    <w:rPr>
                      <w:szCs w:val="21"/>
                    </w:rPr>
                    <w:t>m</w:t>
                  </w:r>
                  <w:r>
                    <w:rPr>
                      <w:szCs w:val="21"/>
                      <w:vertAlign w:val="superscript"/>
                    </w:rPr>
                    <w:t>2</w:t>
                  </w:r>
                </w:p>
              </w:tc>
              <w:tc>
                <w:tcPr>
                  <w:tcW w:w="846" w:type="pct"/>
                  <w:vAlign w:val="center"/>
                </w:tcPr>
                <w:p>
                  <w:pPr>
                    <w:pStyle w:val="42"/>
                    <w:spacing w:line="240" w:lineRule="auto"/>
                    <w:ind w:firstLine="0" w:firstLineChars="0"/>
                    <w:jc w:val="center"/>
                    <w:rPr>
                      <w:sz w:val="21"/>
                      <w:szCs w:val="21"/>
                    </w:rPr>
                  </w:pPr>
                  <w:r>
                    <w:rPr>
                      <w:sz w:val="21"/>
                      <w:szCs w:val="21"/>
                    </w:rPr>
                    <w:t>4312.00</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restart"/>
                  <w:vAlign w:val="center"/>
                </w:tcPr>
                <w:p>
                  <w:pPr>
                    <w:pStyle w:val="42"/>
                    <w:spacing w:line="240" w:lineRule="auto"/>
                    <w:ind w:firstLine="0" w:firstLineChars="0"/>
                    <w:rPr>
                      <w:sz w:val="21"/>
                      <w:szCs w:val="21"/>
                    </w:rPr>
                  </w:pPr>
                </w:p>
                <w:p>
                  <w:pPr>
                    <w:pStyle w:val="42"/>
                    <w:spacing w:line="240" w:lineRule="auto"/>
                    <w:ind w:firstLine="0" w:firstLineChars="0"/>
                    <w:jc w:val="center"/>
                    <w:rPr>
                      <w:sz w:val="21"/>
                      <w:szCs w:val="21"/>
                    </w:rPr>
                  </w:pPr>
                  <w:r>
                    <w:rPr>
                      <w:sz w:val="21"/>
                      <w:szCs w:val="21"/>
                    </w:rPr>
                    <w:t>3</w:t>
                  </w:r>
                </w:p>
              </w:tc>
              <w:tc>
                <w:tcPr>
                  <w:tcW w:w="1879" w:type="pct"/>
                  <w:gridSpan w:val="3"/>
                  <w:vAlign w:val="center"/>
                </w:tcPr>
                <w:p>
                  <w:pPr>
                    <w:pStyle w:val="42"/>
                    <w:spacing w:line="240" w:lineRule="auto"/>
                    <w:ind w:firstLine="0" w:firstLineChars="0"/>
                    <w:jc w:val="center"/>
                    <w:rPr>
                      <w:sz w:val="21"/>
                      <w:szCs w:val="21"/>
                    </w:rPr>
                  </w:pPr>
                  <w:r>
                    <w:rPr>
                      <w:sz w:val="21"/>
                      <w:szCs w:val="21"/>
                    </w:rPr>
                    <w:t>总建筑面积</w:t>
                  </w:r>
                </w:p>
              </w:tc>
              <w:tc>
                <w:tcPr>
                  <w:tcW w:w="500" w:type="pct"/>
                  <w:vAlign w:val="center"/>
                </w:tcPr>
                <w:p>
                  <w:pPr>
                    <w:jc w:val="center"/>
                    <w:rPr>
                      <w:szCs w:val="21"/>
                    </w:rPr>
                  </w:pPr>
                  <w:r>
                    <w:rPr>
                      <w:szCs w:val="21"/>
                    </w:rPr>
                    <w:t>m</w:t>
                  </w:r>
                  <w:r>
                    <w:rPr>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4</w:t>
                  </w:r>
                  <w:r>
                    <w:rPr>
                      <w:sz w:val="21"/>
                      <w:szCs w:val="21"/>
                    </w:rPr>
                    <w:t>975.30</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restart"/>
                  <w:vAlign w:val="center"/>
                </w:tcPr>
                <w:p>
                  <w:pPr>
                    <w:pStyle w:val="42"/>
                    <w:spacing w:line="240" w:lineRule="auto"/>
                    <w:ind w:firstLine="0" w:firstLineChars="0"/>
                    <w:jc w:val="center"/>
                    <w:rPr>
                      <w:sz w:val="21"/>
                      <w:szCs w:val="21"/>
                    </w:rPr>
                  </w:pPr>
                  <w:r>
                    <w:rPr>
                      <w:sz w:val="21"/>
                      <w:szCs w:val="21"/>
                    </w:rPr>
                    <w:t>其中</w:t>
                  </w: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火化间</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5</w:t>
                  </w:r>
                  <w:r>
                    <w:rPr>
                      <w:sz w:val="21"/>
                      <w:szCs w:val="21"/>
                    </w:rPr>
                    <w:t>30.33</w:t>
                  </w:r>
                </w:p>
              </w:tc>
              <w:tc>
                <w:tcPr>
                  <w:tcW w:w="1361" w:type="pct"/>
                  <w:vAlign w:val="center"/>
                </w:tcPr>
                <w:p>
                  <w:pPr>
                    <w:pStyle w:val="42"/>
                    <w:spacing w:line="240" w:lineRule="auto"/>
                    <w:ind w:firstLine="0" w:firstLineChars="0"/>
                    <w:jc w:val="center"/>
                    <w:rPr>
                      <w:sz w:val="21"/>
                      <w:szCs w:val="21"/>
                    </w:rPr>
                  </w:pPr>
                  <w:r>
                    <w:rPr>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遗物祭品焚烧间</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6</w:t>
                  </w:r>
                  <w:r>
                    <w:rPr>
                      <w:sz w:val="21"/>
                      <w:szCs w:val="21"/>
                    </w:rPr>
                    <w:t>9.96</w:t>
                  </w:r>
                </w:p>
              </w:tc>
              <w:tc>
                <w:tcPr>
                  <w:tcW w:w="1361" w:type="pct"/>
                  <w:vAlign w:val="center"/>
                </w:tcPr>
                <w:p>
                  <w:pPr>
                    <w:pStyle w:val="42"/>
                    <w:spacing w:line="240" w:lineRule="auto"/>
                    <w:ind w:firstLine="0" w:firstLineChars="0"/>
                    <w:jc w:val="center"/>
                    <w:rPr>
                      <w:sz w:val="21"/>
                      <w:szCs w:val="21"/>
                    </w:rPr>
                  </w:pPr>
                  <w:r>
                    <w:rPr>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遗体处理用房</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6</w:t>
                  </w:r>
                  <w:r>
                    <w:rPr>
                      <w:sz w:val="21"/>
                      <w:szCs w:val="21"/>
                    </w:rPr>
                    <w:t>12.88</w:t>
                  </w:r>
                </w:p>
              </w:tc>
              <w:tc>
                <w:tcPr>
                  <w:tcW w:w="1361" w:type="pct"/>
                  <w:vAlign w:val="center"/>
                </w:tcPr>
                <w:p>
                  <w:pPr>
                    <w:pStyle w:val="42"/>
                    <w:spacing w:line="240" w:lineRule="auto"/>
                    <w:ind w:firstLine="0" w:firstLineChars="0"/>
                    <w:jc w:val="center"/>
                    <w:rPr>
                      <w:sz w:val="21"/>
                      <w:szCs w:val="21"/>
                    </w:rPr>
                  </w:pPr>
                  <w:r>
                    <w:rPr>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骨灰寄存用房</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3</w:t>
                  </w:r>
                  <w:r>
                    <w:rPr>
                      <w:sz w:val="21"/>
                      <w:szCs w:val="21"/>
                    </w:rPr>
                    <w:t>91.04</w:t>
                  </w:r>
                </w:p>
              </w:tc>
              <w:tc>
                <w:tcPr>
                  <w:tcW w:w="1361" w:type="pct"/>
                  <w:vAlign w:val="center"/>
                </w:tcPr>
                <w:p>
                  <w:pPr>
                    <w:pStyle w:val="42"/>
                    <w:spacing w:line="240" w:lineRule="auto"/>
                    <w:ind w:firstLine="0" w:firstLineChars="0"/>
                    <w:jc w:val="center"/>
                    <w:rPr>
                      <w:sz w:val="21"/>
                      <w:szCs w:val="21"/>
                    </w:rPr>
                  </w:pPr>
                  <w:r>
                    <w:rPr>
                      <w:sz w:val="21"/>
                      <w:szCs w:val="21"/>
                    </w:rPr>
                    <w:t>1栋1层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告别楼</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1</w:t>
                  </w:r>
                  <w:r>
                    <w:rPr>
                      <w:sz w:val="21"/>
                      <w:szCs w:val="21"/>
                    </w:rPr>
                    <w:t>855.56</w:t>
                  </w:r>
                </w:p>
              </w:tc>
              <w:tc>
                <w:tcPr>
                  <w:tcW w:w="1361" w:type="pct"/>
                  <w:vAlign w:val="center"/>
                </w:tcPr>
                <w:p>
                  <w:pPr>
                    <w:pStyle w:val="42"/>
                    <w:spacing w:line="240" w:lineRule="auto"/>
                    <w:ind w:firstLine="0" w:firstLineChars="0"/>
                    <w:jc w:val="center"/>
                    <w:rPr>
                      <w:sz w:val="21"/>
                      <w:szCs w:val="21"/>
                    </w:rPr>
                  </w:pPr>
                  <w:r>
                    <w:rPr>
                      <w:sz w:val="21"/>
                      <w:szCs w:val="21"/>
                    </w:rPr>
                    <w:t>1栋1层</w:t>
                  </w:r>
                  <w:r>
                    <w:rPr>
                      <w:rFonts w:hint="eastAsia"/>
                      <w:sz w:val="21"/>
                      <w:szCs w:val="21"/>
                    </w:rPr>
                    <w:t>，3个悼念厅（一大二中）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办公用房</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6</w:t>
                  </w:r>
                  <w:r>
                    <w:rPr>
                      <w:sz w:val="21"/>
                      <w:szCs w:val="21"/>
                    </w:rPr>
                    <w:t>63.30</w:t>
                  </w:r>
                </w:p>
              </w:tc>
              <w:tc>
                <w:tcPr>
                  <w:tcW w:w="1361" w:type="pct"/>
                  <w:vAlign w:val="center"/>
                </w:tcPr>
                <w:p>
                  <w:pPr>
                    <w:pStyle w:val="42"/>
                    <w:spacing w:line="240" w:lineRule="auto"/>
                    <w:ind w:firstLine="0" w:firstLineChars="0"/>
                    <w:jc w:val="center"/>
                    <w:rPr>
                      <w:sz w:val="21"/>
                      <w:szCs w:val="21"/>
                    </w:rPr>
                  </w:pPr>
                  <w:r>
                    <w:rPr>
                      <w:sz w:val="21"/>
                      <w:szCs w:val="21"/>
                    </w:rPr>
                    <w:t>1栋2层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后勤管理用房</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6</w:t>
                  </w:r>
                  <w:r>
                    <w:rPr>
                      <w:sz w:val="21"/>
                      <w:szCs w:val="21"/>
                    </w:rPr>
                    <w:t>63.30</w:t>
                  </w:r>
                </w:p>
              </w:tc>
              <w:tc>
                <w:tcPr>
                  <w:tcW w:w="1361" w:type="pct"/>
                  <w:vAlign w:val="center"/>
                </w:tcPr>
                <w:p>
                  <w:pPr>
                    <w:pStyle w:val="42"/>
                    <w:spacing w:line="240" w:lineRule="auto"/>
                    <w:ind w:firstLine="0" w:firstLineChars="0"/>
                    <w:jc w:val="center"/>
                    <w:rPr>
                      <w:sz w:val="21"/>
                      <w:szCs w:val="21"/>
                    </w:rPr>
                  </w:pPr>
                  <w:r>
                    <w:rPr>
                      <w:sz w:val="21"/>
                      <w:szCs w:val="21"/>
                    </w:rPr>
                    <w:t>1栋2层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474" w:type="pct"/>
                  <w:vMerge w:val="continue"/>
                  <w:vAlign w:val="center"/>
                </w:tcPr>
                <w:p>
                  <w:pPr>
                    <w:pStyle w:val="42"/>
                    <w:spacing w:line="240" w:lineRule="auto"/>
                    <w:ind w:firstLine="0" w:firstLineChars="0"/>
                    <w:jc w:val="center"/>
                    <w:rPr>
                      <w:sz w:val="21"/>
                      <w:szCs w:val="21"/>
                    </w:rPr>
                  </w:pPr>
                </w:p>
              </w:tc>
              <w:tc>
                <w:tcPr>
                  <w:tcW w:w="1405" w:type="pct"/>
                  <w:gridSpan w:val="2"/>
                  <w:vAlign w:val="center"/>
                </w:tcPr>
                <w:p>
                  <w:pPr>
                    <w:pStyle w:val="42"/>
                    <w:spacing w:line="240" w:lineRule="auto"/>
                    <w:ind w:firstLine="0" w:firstLineChars="0"/>
                    <w:jc w:val="center"/>
                    <w:rPr>
                      <w:sz w:val="21"/>
                      <w:szCs w:val="21"/>
                    </w:rPr>
                  </w:pPr>
                  <w:r>
                    <w:rPr>
                      <w:rFonts w:hint="eastAsia"/>
                      <w:sz w:val="21"/>
                      <w:szCs w:val="21"/>
                    </w:rPr>
                    <w:t>车库</w:t>
                  </w:r>
                </w:p>
              </w:tc>
              <w:tc>
                <w:tcPr>
                  <w:tcW w:w="500" w:type="pct"/>
                  <w:vAlign w:val="center"/>
                </w:tcPr>
                <w:p>
                  <w:pPr>
                    <w:pStyle w:val="42"/>
                    <w:spacing w:line="240" w:lineRule="auto"/>
                    <w:ind w:firstLine="0" w:firstLineChars="0"/>
                    <w:jc w:val="center"/>
                    <w:rPr>
                      <w:sz w:val="21"/>
                      <w:szCs w:val="21"/>
                    </w:rPr>
                  </w:pPr>
                  <w:r>
                    <w:rPr>
                      <w:sz w:val="21"/>
                      <w:szCs w:val="21"/>
                    </w:rPr>
                    <w:t>m</w:t>
                  </w:r>
                  <w:r>
                    <w:rPr>
                      <w:sz w:val="21"/>
                      <w:szCs w:val="21"/>
                      <w:vertAlign w:val="superscript"/>
                    </w:rPr>
                    <w:t>2</w:t>
                  </w:r>
                </w:p>
              </w:tc>
              <w:tc>
                <w:tcPr>
                  <w:tcW w:w="846" w:type="pct"/>
                  <w:vAlign w:val="center"/>
                </w:tcPr>
                <w:p>
                  <w:pPr>
                    <w:pStyle w:val="42"/>
                    <w:spacing w:line="240" w:lineRule="auto"/>
                    <w:ind w:firstLine="0" w:firstLineChars="0"/>
                    <w:jc w:val="center"/>
                    <w:rPr>
                      <w:sz w:val="21"/>
                      <w:szCs w:val="21"/>
                    </w:rPr>
                  </w:pPr>
                  <w:r>
                    <w:rPr>
                      <w:rFonts w:hint="eastAsia"/>
                      <w:sz w:val="21"/>
                      <w:szCs w:val="21"/>
                    </w:rPr>
                    <w:t>6</w:t>
                  </w:r>
                  <w:r>
                    <w:rPr>
                      <w:sz w:val="21"/>
                      <w:szCs w:val="21"/>
                    </w:rPr>
                    <w:t>9.96</w:t>
                  </w:r>
                </w:p>
              </w:tc>
              <w:tc>
                <w:tcPr>
                  <w:tcW w:w="1361" w:type="pct"/>
                  <w:vAlign w:val="center"/>
                </w:tcPr>
                <w:p>
                  <w:pPr>
                    <w:pStyle w:val="42"/>
                    <w:spacing w:line="240" w:lineRule="auto"/>
                    <w:ind w:firstLine="0" w:firstLineChars="0"/>
                    <w:jc w:val="center"/>
                    <w:rPr>
                      <w:sz w:val="21"/>
                      <w:szCs w:val="21"/>
                    </w:rPr>
                  </w:pPr>
                  <w:r>
                    <w:rPr>
                      <w:rFonts w:hint="eastAsia"/>
                      <w:sz w:val="21"/>
                      <w:szCs w:val="21"/>
                    </w:rPr>
                    <w:t>用于停放专用殡仪车辆，停车位5个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4</w:t>
                  </w:r>
                </w:p>
              </w:tc>
              <w:tc>
                <w:tcPr>
                  <w:tcW w:w="1879" w:type="pct"/>
                  <w:gridSpan w:val="3"/>
                  <w:vAlign w:val="center"/>
                </w:tcPr>
                <w:p>
                  <w:pPr>
                    <w:pStyle w:val="42"/>
                    <w:spacing w:line="240" w:lineRule="auto"/>
                    <w:ind w:firstLine="0" w:firstLineChars="0"/>
                    <w:jc w:val="center"/>
                    <w:rPr>
                      <w:sz w:val="21"/>
                      <w:szCs w:val="21"/>
                    </w:rPr>
                  </w:pPr>
                  <w:r>
                    <w:rPr>
                      <w:sz w:val="21"/>
                      <w:szCs w:val="21"/>
                    </w:rPr>
                    <w:t>容积率</w:t>
                  </w:r>
                </w:p>
              </w:tc>
              <w:tc>
                <w:tcPr>
                  <w:tcW w:w="500" w:type="pct"/>
                  <w:vAlign w:val="center"/>
                </w:tcPr>
                <w:p>
                  <w:pPr>
                    <w:pStyle w:val="42"/>
                    <w:spacing w:line="240" w:lineRule="auto"/>
                    <w:ind w:firstLine="0" w:firstLineChars="0"/>
                    <w:jc w:val="center"/>
                    <w:rPr>
                      <w:sz w:val="21"/>
                      <w:szCs w:val="21"/>
                    </w:rPr>
                  </w:pPr>
                  <w:r>
                    <w:rPr>
                      <w:sz w:val="21"/>
                      <w:szCs w:val="21"/>
                    </w:rPr>
                    <w:t>%</w:t>
                  </w:r>
                </w:p>
              </w:tc>
              <w:tc>
                <w:tcPr>
                  <w:tcW w:w="846" w:type="pct"/>
                  <w:vAlign w:val="center"/>
                </w:tcPr>
                <w:p>
                  <w:pPr>
                    <w:pStyle w:val="42"/>
                    <w:spacing w:line="240" w:lineRule="auto"/>
                    <w:ind w:firstLine="0" w:firstLineChars="0"/>
                    <w:jc w:val="center"/>
                    <w:rPr>
                      <w:sz w:val="21"/>
                      <w:szCs w:val="21"/>
                    </w:rPr>
                  </w:pPr>
                  <w:r>
                    <w:rPr>
                      <w:sz w:val="21"/>
                      <w:szCs w:val="21"/>
                    </w:rPr>
                    <w:t>0.22</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5</w:t>
                  </w:r>
                </w:p>
              </w:tc>
              <w:tc>
                <w:tcPr>
                  <w:tcW w:w="1879" w:type="pct"/>
                  <w:gridSpan w:val="3"/>
                  <w:vAlign w:val="center"/>
                </w:tcPr>
                <w:p>
                  <w:pPr>
                    <w:pStyle w:val="42"/>
                    <w:spacing w:line="240" w:lineRule="auto"/>
                    <w:ind w:firstLine="0" w:firstLineChars="0"/>
                    <w:jc w:val="center"/>
                    <w:rPr>
                      <w:sz w:val="21"/>
                      <w:szCs w:val="21"/>
                    </w:rPr>
                  </w:pPr>
                  <w:r>
                    <w:rPr>
                      <w:sz w:val="21"/>
                      <w:szCs w:val="21"/>
                    </w:rPr>
                    <w:t>建筑密度</w:t>
                  </w:r>
                </w:p>
              </w:tc>
              <w:tc>
                <w:tcPr>
                  <w:tcW w:w="500" w:type="pct"/>
                  <w:vAlign w:val="center"/>
                </w:tcPr>
                <w:p>
                  <w:pPr>
                    <w:pStyle w:val="42"/>
                    <w:spacing w:line="240" w:lineRule="auto"/>
                    <w:ind w:firstLine="0" w:firstLineChars="0"/>
                    <w:jc w:val="center"/>
                    <w:rPr>
                      <w:sz w:val="21"/>
                      <w:szCs w:val="21"/>
                    </w:rPr>
                  </w:pPr>
                  <w:r>
                    <w:rPr>
                      <w:sz w:val="21"/>
                      <w:szCs w:val="21"/>
                    </w:rPr>
                    <w:t>%</w:t>
                  </w:r>
                </w:p>
              </w:tc>
              <w:tc>
                <w:tcPr>
                  <w:tcW w:w="846" w:type="pct"/>
                  <w:vAlign w:val="center"/>
                </w:tcPr>
                <w:p>
                  <w:pPr>
                    <w:pStyle w:val="42"/>
                    <w:spacing w:line="240" w:lineRule="auto"/>
                    <w:ind w:firstLine="0" w:firstLineChars="0"/>
                    <w:jc w:val="center"/>
                    <w:rPr>
                      <w:sz w:val="21"/>
                      <w:szCs w:val="21"/>
                    </w:rPr>
                  </w:pPr>
                  <w:r>
                    <w:rPr>
                      <w:sz w:val="21"/>
                      <w:szCs w:val="21"/>
                    </w:rPr>
                    <w:t>19.64</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restart"/>
                  <w:vAlign w:val="center"/>
                </w:tcPr>
                <w:p>
                  <w:pPr>
                    <w:pStyle w:val="42"/>
                    <w:spacing w:line="240" w:lineRule="auto"/>
                    <w:ind w:firstLine="0" w:firstLineChars="0"/>
                    <w:jc w:val="center"/>
                    <w:rPr>
                      <w:sz w:val="21"/>
                      <w:szCs w:val="21"/>
                    </w:rPr>
                  </w:pPr>
                  <w:r>
                    <w:rPr>
                      <w:sz w:val="21"/>
                      <w:szCs w:val="21"/>
                    </w:rPr>
                    <w:t>6</w:t>
                  </w:r>
                </w:p>
              </w:tc>
              <w:tc>
                <w:tcPr>
                  <w:tcW w:w="1879" w:type="pct"/>
                  <w:gridSpan w:val="3"/>
                  <w:vAlign w:val="center"/>
                </w:tcPr>
                <w:p>
                  <w:pPr>
                    <w:pStyle w:val="42"/>
                    <w:spacing w:line="240" w:lineRule="auto"/>
                    <w:ind w:firstLine="0" w:firstLineChars="0"/>
                    <w:jc w:val="center"/>
                    <w:rPr>
                      <w:sz w:val="21"/>
                      <w:szCs w:val="21"/>
                    </w:rPr>
                  </w:pPr>
                  <w:r>
                    <w:rPr>
                      <w:sz w:val="21"/>
                      <w:szCs w:val="21"/>
                    </w:rPr>
                    <w:t>停车位</w:t>
                  </w:r>
                </w:p>
              </w:tc>
              <w:tc>
                <w:tcPr>
                  <w:tcW w:w="500" w:type="pct"/>
                  <w:vAlign w:val="center"/>
                </w:tcPr>
                <w:p>
                  <w:pPr>
                    <w:pStyle w:val="42"/>
                    <w:spacing w:line="240" w:lineRule="auto"/>
                    <w:ind w:firstLine="0" w:firstLineChars="0"/>
                    <w:jc w:val="center"/>
                    <w:rPr>
                      <w:sz w:val="21"/>
                      <w:szCs w:val="21"/>
                    </w:rPr>
                  </w:pPr>
                  <w:r>
                    <w:rPr>
                      <w:sz w:val="21"/>
                      <w:szCs w:val="21"/>
                    </w:rPr>
                    <w:t>个</w:t>
                  </w:r>
                </w:p>
              </w:tc>
              <w:tc>
                <w:tcPr>
                  <w:tcW w:w="846" w:type="pct"/>
                  <w:vAlign w:val="center"/>
                </w:tcPr>
                <w:p>
                  <w:pPr>
                    <w:pStyle w:val="42"/>
                    <w:spacing w:line="240" w:lineRule="auto"/>
                    <w:ind w:firstLine="0" w:firstLineChars="0"/>
                    <w:jc w:val="center"/>
                    <w:rPr>
                      <w:sz w:val="21"/>
                      <w:szCs w:val="21"/>
                    </w:rPr>
                  </w:pPr>
                  <w:r>
                    <w:rPr>
                      <w:sz w:val="21"/>
                      <w:szCs w:val="21"/>
                    </w:rPr>
                    <w:t>89</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770" w:type="pct"/>
                  <w:gridSpan w:val="2"/>
                  <w:vMerge w:val="restart"/>
                  <w:vAlign w:val="center"/>
                </w:tcPr>
                <w:p>
                  <w:pPr>
                    <w:pStyle w:val="42"/>
                    <w:spacing w:line="240" w:lineRule="auto"/>
                    <w:ind w:firstLine="0" w:firstLineChars="0"/>
                    <w:jc w:val="center"/>
                    <w:rPr>
                      <w:sz w:val="21"/>
                      <w:szCs w:val="21"/>
                    </w:rPr>
                  </w:pPr>
                  <w:r>
                    <w:rPr>
                      <w:sz w:val="21"/>
                      <w:szCs w:val="21"/>
                    </w:rPr>
                    <w:t>其中</w:t>
                  </w:r>
                </w:p>
              </w:tc>
              <w:tc>
                <w:tcPr>
                  <w:tcW w:w="1109" w:type="pct"/>
                  <w:vAlign w:val="center"/>
                </w:tcPr>
                <w:p>
                  <w:pPr>
                    <w:pStyle w:val="42"/>
                    <w:spacing w:line="240" w:lineRule="auto"/>
                    <w:ind w:firstLine="0" w:firstLineChars="0"/>
                    <w:jc w:val="center"/>
                    <w:rPr>
                      <w:sz w:val="21"/>
                      <w:szCs w:val="21"/>
                    </w:rPr>
                  </w:pPr>
                  <w:r>
                    <w:rPr>
                      <w:sz w:val="21"/>
                      <w:szCs w:val="21"/>
                    </w:rPr>
                    <w:t>小车停车位</w:t>
                  </w:r>
                </w:p>
              </w:tc>
              <w:tc>
                <w:tcPr>
                  <w:tcW w:w="500" w:type="pct"/>
                  <w:vAlign w:val="center"/>
                </w:tcPr>
                <w:p>
                  <w:pPr>
                    <w:pStyle w:val="42"/>
                    <w:spacing w:line="240" w:lineRule="auto"/>
                    <w:ind w:firstLine="0" w:firstLineChars="0"/>
                    <w:jc w:val="center"/>
                    <w:rPr>
                      <w:sz w:val="21"/>
                      <w:szCs w:val="21"/>
                    </w:rPr>
                  </w:pPr>
                  <w:r>
                    <w:rPr>
                      <w:sz w:val="21"/>
                      <w:szCs w:val="21"/>
                    </w:rPr>
                    <w:t>个</w:t>
                  </w:r>
                </w:p>
              </w:tc>
              <w:tc>
                <w:tcPr>
                  <w:tcW w:w="846" w:type="pct"/>
                  <w:vAlign w:val="center"/>
                </w:tcPr>
                <w:p>
                  <w:pPr>
                    <w:pStyle w:val="42"/>
                    <w:spacing w:line="240" w:lineRule="auto"/>
                    <w:ind w:firstLine="0" w:firstLineChars="0"/>
                    <w:jc w:val="center"/>
                    <w:rPr>
                      <w:sz w:val="21"/>
                      <w:szCs w:val="21"/>
                    </w:rPr>
                  </w:pPr>
                  <w:r>
                    <w:rPr>
                      <w:sz w:val="21"/>
                      <w:szCs w:val="21"/>
                    </w:rPr>
                    <w:t>85</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Merge w:val="continue"/>
                  <w:vAlign w:val="center"/>
                </w:tcPr>
                <w:p>
                  <w:pPr>
                    <w:pStyle w:val="42"/>
                    <w:spacing w:line="240" w:lineRule="auto"/>
                    <w:ind w:firstLine="0" w:firstLineChars="0"/>
                    <w:jc w:val="center"/>
                    <w:rPr>
                      <w:sz w:val="21"/>
                      <w:szCs w:val="21"/>
                    </w:rPr>
                  </w:pPr>
                </w:p>
              </w:tc>
              <w:tc>
                <w:tcPr>
                  <w:tcW w:w="770" w:type="pct"/>
                  <w:gridSpan w:val="2"/>
                  <w:vMerge w:val="continue"/>
                  <w:vAlign w:val="center"/>
                </w:tcPr>
                <w:p>
                  <w:pPr>
                    <w:pStyle w:val="42"/>
                    <w:spacing w:line="240" w:lineRule="auto"/>
                    <w:ind w:firstLine="0" w:firstLineChars="0"/>
                    <w:jc w:val="center"/>
                    <w:rPr>
                      <w:sz w:val="21"/>
                      <w:szCs w:val="21"/>
                    </w:rPr>
                  </w:pPr>
                </w:p>
              </w:tc>
              <w:tc>
                <w:tcPr>
                  <w:tcW w:w="1109" w:type="pct"/>
                  <w:vAlign w:val="center"/>
                </w:tcPr>
                <w:p>
                  <w:pPr>
                    <w:pStyle w:val="42"/>
                    <w:spacing w:line="240" w:lineRule="auto"/>
                    <w:ind w:firstLine="0" w:firstLineChars="0"/>
                    <w:jc w:val="center"/>
                    <w:rPr>
                      <w:sz w:val="21"/>
                      <w:szCs w:val="21"/>
                    </w:rPr>
                  </w:pPr>
                  <w:r>
                    <w:rPr>
                      <w:rFonts w:hint="eastAsia"/>
                      <w:sz w:val="21"/>
                      <w:szCs w:val="21"/>
                    </w:rPr>
                    <w:t>大</w:t>
                  </w:r>
                  <w:r>
                    <w:rPr>
                      <w:sz w:val="21"/>
                      <w:szCs w:val="21"/>
                    </w:rPr>
                    <w:t>巴车停车位</w:t>
                  </w:r>
                </w:p>
              </w:tc>
              <w:tc>
                <w:tcPr>
                  <w:tcW w:w="500" w:type="pct"/>
                  <w:vAlign w:val="center"/>
                </w:tcPr>
                <w:p>
                  <w:pPr>
                    <w:pStyle w:val="42"/>
                    <w:spacing w:line="240" w:lineRule="auto"/>
                    <w:ind w:firstLine="0" w:firstLineChars="0"/>
                    <w:jc w:val="center"/>
                    <w:rPr>
                      <w:sz w:val="21"/>
                      <w:szCs w:val="21"/>
                    </w:rPr>
                  </w:pPr>
                  <w:r>
                    <w:rPr>
                      <w:sz w:val="21"/>
                      <w:szCs w:val="21"/>
                    </w:rPr>
                    <w:t>个</w:t>
                  </w:r>
                </w:p>
              </w:tc>
              <w:tc>
                <w:tcPr>
                  <w:tcW w:w="846" w:type="pct"/>
                  <w:vAlign w:val="center"/>
                </w:tcPr>
                <w:p>
                  <w:pPr>
                    <w:pStyle w:val="42"/>
                    <w:spacing w:line="240" w:lineRule="auto"/>
                    <w:ind w:firstLine="0" w:firstLineChars="0"/>
                    <w:jc w:val="center"/>
                    <w:rPr>
                      <w:sz w:val="21"/>
                      <w:szCs w:val="21"/>
                    </w:rPr>
                  </w:pPr>
                  <w:r>
                    <w:rPr>
                      <w:sz w:val="21"/>
                      <w:szCs w:val="21"/>
                    </w:rPr>
                    <w:t>4</w:t>
                  </w:r>
                </w:p>
              </w:tc>
              <w:tc>
                <w:tcPr>
                  <w:tcW w:w="1361" w:type="pct"/>
                  <w:vAlign w:val="center"/>
                </w:tcPr>
                <w:p>
                  <w:pPr>
                    <w:pStyle w:val="42"/>
                    <w:spacing w:line="240" w:lineRule="auto"/>
                    <w:ind w:firstLine="0" w:firstLineChars="0"/>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7</w:t>
                  </w:r>
                </w:p>
              </w:tc>
              <w:tc>
                <w:tcPr>
                  <w:tcW w:w="1879" w:type="pct"/>
                  <w:gridSpan w:val="3"/>
                  <w:vAlign w:val="center"/>
                </w:tcPr>
                <w:p>
                  <w:pPr>
                    <w:pStyle w:val="42"/>
                    <w:spacing w:line="240" w:lineRule="auto"/>
                    <w:ind w:firstLine="0" w:firstLineChars="0"/>
                    <w:jc w:val="center"/>
                    <w:rPr>
                      <w:sz w:val="21"/>
                      <w:szCs w:val="21"/>
                    </w:rPr>
                  </w:pPr>
                  <w:r>
                    <w:rPr>
                      <w:sz w:val="21"/>
                      <w:szCs w:val="21"/>
                    </w:rPr>
                    <w:t>绿化率</w:t>
                  </w:r>
                </w:p>
              </w:tc>
              <w:tc>
                <w:tcPr>
                  <w:tcW w:w="500" w:type="pct"/>
                  <w:vAlign w:val="center"/>
                </w:tcPr>
                <w:p>
                  <w:pPr>
                    <w:pStyle w:val="42"/>
                    <w:spacing w:line="240" w:lineRule="auto"/>
                    <w:ind w:firstLine="0" w:firstLineChars="0"/>
                    <w:jc w:val="center"/>
                    <w:rPr>
                      <w:sz w:val="21"/>
                      <w:szCs w:val="21"/>
                    </w:rPr>
                  </w:pPr>
                  <w:r>
                    <w:rPr>
                      <w:sz w:val="21"/>
                      <w:szCs w:val="21"/>
                    </w:rPr>
                    <w:t>%</w:t>
                  </w:r>
                </w:p>
              </w:tc>
              <w:tc>
                <w:tcPr>
                  <w:tcW w:w="846" w:type="pct"/>
                  <w:vAlign w:val="center"/>
                </w:tcPr>
                <w:p>
                  <w:pPr>
                    <w:pStyle w:val="42"/>
                    <w:spacing w:line="240" w:lineRule="auto"/>
                    <w:ind w:firstLine="0" w:firstLineChars="0"/>
                    <w:jc w:val="center"/>
                    <w:rPr>
                      <w:sz w:val="21"/>
                      <w:szCs w:val="21"/>
                    </w:rPr>
                  </w:pPr>
                  <w:r>
                    <w:rPr>
                      <w:sz w:val="21"/>
                      <w:szCs w:val="21"/>
                    </w:rPr>
                    <w:t>30.89</w:t>
                  </w:r>
                </w:p>
              </w:tc>
              <w:tc>
                <w:tcPr>
                  <w:tcW w:w="1361" w:type="pct"/>
                  <w:vAlign w:val="center"/>
                </w:tcPr>
                <w:p>
                  <w:pPr>
                    <w:pStyle w:val="42"/>
                    <w:spacing w:line="240" w:lineRule="auto"/>
                    <w:ind w:firstLine="0" w:firstLineChars="0"/>
                    <w:jc w:val="center"/>
                    <w:rPr>
                      <w:sz w:val="21"/>
                      <w:szCs w:val="21"/>
                    </w:rPr>
                  </w:pPr>
                  <w:r>
                    <w:rPr>
                      <w:sz w:val="21"/>
                      <w:szCs w:val="21"/>
                    </w:rPr>
                    <w:t>绿化面积6781.99m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8</w:t>
                  </w:r>
                </w:p>
              </w:tc>
              <w:tc>
                <w:tcPr>
                  <w:tcW w:w="1879" w:type="pct"/>
                  <w:gridSpan w:val="3"/>
                  <w:vAlign w:val="center"/>
                </w:tcPr>
                <w:p>
                  <w:pPr>
                    <w:pStyle w:val="42"/>
                    <w:spacing w:line="240" w:lineRule="auto"/>
                    <w:ind w:firstLine="0" w:firstLineChars="0"/>
                    <w:jc w:val="center"/>
                    <w:rPr>
                      <w:sz w:val="21"/>
                      <w:szCs w:val="21"/>
                    </w:rPr>
                  </w:pPr>
                  <w:r>
                    <w:rPr>
                      <w:sz w:val="21"/>
                      <w:szCs w:val="21"/>
                    </w:rPr>
                    <w:t>项目总投资</w:t>
                  </w:r>
                </w:p>
              </w:tc>
              <w:tc>
                <w:tcPr>
                  <w:tcW w:w="500" w:type="pct"/>
                  <w:vAlign w:val="center"/>
                </w:tcPr>
                <w:p>
                  <w:pPr>
                    <w:pStyle w:val="42"/>
                    <w:spacing w:line="240" w:lineRule="auto"/>
                    <w:ind w:firstLine="0" w:firstLineChars="0"/>
                    <w:jc w:val="center"/>
                    <w:rPr>
                      <w:sz w:val="21"/>
                      <w:szCs w:val="21"/>
                    </w:rPr>
                  </w:pPr>
                  <w:r>
                    <w:rPr>
                      <w:sz w:val="21"/>
                      <w:szCs w:val="21"/>
                    </w:rPr>
                    <w:t>万元</w:t>
                  </w:r>
                </w:p>
              </w:tc>
              <w:tc>
                <w:tcPr>
                  <w:tcW w:w="846" w:type="pct"/>
                  <w:vAlign w:val="center"/>
                </w:tcPr>
                <w:p>
                  <w:pPr>
                    <w:pStyle w:val="42"/>
                    <w:spacing w:line="240" w:lineRule="auto"/>
                    <w:ind w:firstLine="0" w:firstLineChars="0"/>
                    <w:jc w:val="center"/>
                    <w:rPr>
                      <w:sz w:val="21"/>
                      <w:szCs w:val="21"/>
                    </w:rPr>
                  </w:pPr>
                  <w:r>
                    <w:rPr>
                      <w:sz w:val="21"/>
                      <w:szCs w:val="21"/>
                    </w:rPr>
                    <w:t>3885.13</w:t>
                  </w:r>
                </w:p>
              </w:tc>
              <w:tc>
                <w:tcPr>
                  <w:tcW w:w="1361" w:type="pct"/>
                  <w:vAlign w:val="center"/>
                </w:tcPr>
                <w:p>
                  <w:pPr>
                    <w:pStyle w:val="42"/>
                    <w:spacing w:line="240" w:lineRule="auto"/>
                    <w:ind w:firstLine="0" w:firstLineChars="0"/>
                    <w:jc w:val="center"/>
                    <w:rPr>
                      <w:sz w:val="21"/>
                      <w:szCs w:val="21"/>
                    </w:rPr>
                  </w:pPr>
                  <w:r>
                    <w:rPr>
                      <w:rFonts w:hint="eastAsia"/>
                      <w:sz w:val="21"/>
                      <w:szCs w:val="21"/>
                    </w:rPr>
                    <w:t>资金来源为为上拨资金，县级财政配套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4" w:type="pct"/>
                  <w:vAlign w:val="center"/>
                </w:tcPr>
                <w:p>
                  <w:pPr>
                    <w:pStyle w:val="42"/>
                    <w:spacing w:line="240" w:lineRule="auto"/>
                    <w:ind w:firstLine="0" w:firstLineChars="0"/>
                    <w:jc w:val="center"/>
                    <w:rPr>
                      <w:sz w:val="21"/>
                      <w:szCs w:val="21"/>
                    </w:rPr>
                  </w:pPr>
                  <w:r>
                    <w:rPr>
                      <w:sz w:val="21"/>
                      <w:szCs w:val="21"/>
                    </w:rPr>
                    <w:t>9</w:t>
                  </w:r>
                </w:p>
              </w:tc>
              <w:tc>
                <w:tcPr>
                  <w:tcW w:w="1879" w:type="pct"/>
                  <w:gridSpan w:val="3"/>
                  <w:vAlign w:val="center"/>
                </w:tcPr>
                <w:p>
                  <w:pPr>
                    <w:pStyle w:val="42"/>
                    <w:spacing w:line="240" w:lineRule="auto"/>
                    <w:ind w:firstLine="0" w:firstLineChars="0"/>
                    <w:jc w:val="center"/>
                    <w:rPr>
                      <w:sz w:val="21"/>
                      <w:szCs w:val="21"/>
                    </w:rPr>
                  </w:pPr>
                  <w:r>
                    <w:rPr>
                      <w:sz w:val="21"/>
                      <w:szCs w:val="21"/>
                    </w:rPr>
                    <w:t>建设期</w:t>
                  </w:r>
                </w:p>
              </w:tc>
              <w:tc>
                <w:tcPr>
                  <w:tcW w:w="500" w:type="pct"/>
                  <w:vAlign w:val="center"/>
                </w:tcPr>
                <w:p>
                  <w:pPr>
                    <w:pStyle w:val="42"/>
                    <w:spacing w:line="240" w:lineRule="auto"/>
                    <w:ind w:firstLine="0" w:firstLineChars="0"/>
                    <w:jc w:val="center"/>
                    <w:rPr>
                      <w:sz w:val="21"/>
                      <w:szCs w:val="21"/>
                    </w:rPr>
                  </w:pPr>
                  <w:r>
                    <w:rPr>
                      <w:sz w:val="21"/>
                      <w:szCs w:val="21"/>
                    </w:rPr>
                    <w:t>月</w:t>
                  </w:r>
                </w:p>
              </w:tc>
              <w:tc>
                <w:tcPr>
                  <w:tcW w:w="846" w:type="pct"/>
                  <w:vAlign w:val="center"/>
                </w:tcPr>
                <w:p>
                  <w:pPr>
                    <w:pStyle w:val="42"/>
                    <w:spacing w:line="240" w:lineRule="auto"/>
                    <w:ind w:firstLine="0" w:firstLineChars="0"/>
                    <w:jc w:val="center"/>
                    <w:rPr>
                      <w:sz w:val="21"/>
                      <w:szCs w:val="21"/>
                    </w:rPr>
                  </w:pPr>
                  <w:r>
                    <w:rPr>
                      <w:sz w:val="21"/>
                      <w:szCs w:val="21"/>
                    </w:rPr>
                    <w:t>12</w:t>
                  </w:r>
                </w:p>
              </w:tc>
              <w:tc>
                <w:tcPr>
                  <w:tcW w:w="1361" w:type="pct"/>
                  <w:vAlign w:val="center"/>
                </w:tcPr>
                <w:p>
                  <w:pPr>
                    <w:pStyle w:val="42"/>
                    <w:spacing w:line="240" w:lineRule="auto"/>
                    <w:ind w:firstLine="0" w:firstLineChars="0"/>
                    <w:jc w:val="center"/>
                    <w:rPr>
                      <w:sz w:val="21"/>
                      <w:szCs w:val="21"/>
                    </w:rPr>
                  </w:pPr>
                  <w:r>
                    <w:rPr>
                      <w:sz w:val="21"/>
                      <w:szCs w:val="21"/>
                    </w:rPr>
                    <w:t>/</w:t>
                  </w:r>
                </w:p>
              </w:tc>
            </w:tr>
          </w:tbl>
          <w:p>
            <w:pPr>
              <w:adjustRightInd w:val="0"/>
              <w:snapToGrid w:val="0"/>
              <w:spacing w:line="480" w:lineRule="exact"/>
              <w:ind w:firstLine="482" w:firstLineChars="200"/>
              <w:rPr>
                <w:b/>
                <w:sz w:val="24"/>
              </w:rPr>
            </w:pPr>
            <w:r>
              <w:rPr>
                <w:b/>
                <w:sz w:val="24"/>
              </w:rPr>
              <w:t>3、平面布置</w:t>
            </w:r>
          </w:p>
          <w:p>
            <w:pPr>
              <w:adjustRightInd w:val="0"/>
              <w:snapToGrid w:val="0"/>
              <w:spacing w:line="480" w:lineRule="exact"/>
              <w:ind w:firstLine="480" w:firstLineChars="200"/>
              <w:rPr>
                <w:sz w:val="24"/>
              </w:rPr>
            </w:pPr>
            <w:r>
              <w:rPr>
                <w:rFonts w:hint="eastAsia"/>
                <w:sz w:val="24"/>
              </w:rPr>
              <w:t>本项目的规划设计从总体布局来说，应充分吸收和借鉴殡仪馆建筑设计的新成就和先进技术。既顾及当地现实情况，同时又适当具有前瞻性。规划设计方案力求科学合理，技术先进，符合发展趋势。</w:t>
            </w:r>
          </w:p>
          <w:p>
            <w:pPr>
              <w:adjustRightInd w:val="0"/>
              <w:snapToGrid w:val="0"/>
              <w:spacing w:line="480" w:lineRule="exact"/>
              <w:ind w:firstLine="480" w:firstLineChars="200"/>
              <w:rPr>
                <w:sz w:val="24"/>
              </w:rPr>
            </w:pPr>
            <w:r>
              <w:rPr>
                <w:rFonts w:hint="eastAsia"/>
                <w:sz w:val="24"/>
              </w:rPr>
              <w:t>本项目大门位于地块南侧，即通过南侧大门进入的就是五台县殡仪馆院内，采取的是庭院式道路系统，场地布置环形消防道路，满足消防车道的通行要求；殡仪馆内道路设计为城市型混凝土路面,主干道宽8m，次要道路宽6m，可满足交通及消防要求。专用殡仪车辆</w:t>
            </w:r>
            <w:r>
              <w:rPr>
                <w:rFonts w:hint="eastAsia"/>
                <w:sz w:val="24"/>
                <w:highlight w:val="none"/>
                <w:lang w:eastAsia="zh-CN"/>
              </w:rPr>
              <w:t>由</w:t>
            </w:r>
            <w:r>
              <w:rPr>
                <w:rFonts w:hint="eastAsia"/>
                <w:sz w:val="24"/>
              </w:rPr>
              <w:t>场区西南侧专用出入口进出，其余车辆由场区南侧大门进出。</w:t>
            </w:r>
          </w:p>
          <w:p>
            <w:pPr>
              <w:adjustRightInd w:val="0"/>
              <w:snapToGrid w:val="0"/>
              <w:spacing w:line="480" w:lineRule="exact"/>
              <w:ind w:firstLine="480" w:firstLineChars="200"/>
              <w:rPr>
                <w:sz w:val="24"/>
              </w:rPr>
            </w:pPr>
            <w:r>
              <w:rPr>
                <w:rFonts w:hint="eastAsia"/>
                <w:sz w:val="24"/>
              </w:rPr>
              <w:t>本项目场区北侧布置火化间、遗体处理用房、骨灰寄存用房以及附属设施；中部布置告别楼及告别广场；南侧布置办公用房、后勤管理用房、广场祭祀文化园（绿化）、停车场等。</w:t>
            </w:r>
          </w:p>
          <w:p>
            <w:pPr>
              <w:adjustRightInd w:val="0"/>
              <w:snapToGrid w:val="0"/>
              <w:spacing w:line="480" w:lineRule="exact"/>
              <w:ind w:firstLine="480" w:firstLineChars="200"/>
              <w:rPr>
                <w:sz w:val="24"/>
              </w:rPr>
            </w:pPr>
            <w:r>
              <w:rPr>
                <w:rFonts w:hint="eastAsia"/>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p>
            <w:pPr>
              <w:adjustRightInd w:val="0"/>
              <w:snapToGrid w:val="0"/>
              <w:spacing w:line="480" w:lineRule="exact"/>
              <w:ind w:firstLine="480" w:firstLineChars="200"/>
              <w:rPr>
                <w:sz w:val="24"/>
              </w:rPr>
            </w:pPr>
            <w:r>
              <w:rPr>
                <w:rFonts w:hint="eastAsia"/>
                <w:sz w:val="24"/>
              </w:rPr>
              <w:t>本项目总平面布置图见附图3。</w:t>
            </w:r>
          </w:p>
          <w:p>
            <w:pPr>
              <w:adjustRightInd w:val="0"/>
              <w:snapToGrid w:val="0"/>
              <w:spacing w:line="480" w:lineRule="exact"/>
              <w:ind w:firstLine="482" w:firstLineChars="200"/>
              <w:rPr>
                <w:b/>
                <w:sz w:val="24"/>
              </w:rPr>
            </w:pPr>
            <w:r>
              <w:rPr>
                <w:b/>
                <w:sz w:val="24"/>
              </w:rPr>
              <w:t>4、</w:t>
            </w:r>
            <w:r>
              <w:rPr>
                <w:rFonts w:hint="eastAsia"/>
                <w:b/>
                <w:sz w:val="24"/>
              </w:rPr>
              <w:t>主要设备</w:t>
            </w:r>
          </w:p>
          <w:p>
            <w:pPr>
              <w:adjustRightInd w:val="0"/>
              <w:snapToGrid w:val="0"/>
              <w:spacing w:line="480" w:lineRule="exact"/>
              <w:ind w:firstLine="480" w:firstLineChars="200"/>
              <w:rPr>
                <w:sz w:val="24"/>
              </w:rPr>
            </w:pPr>
            <w:r>
              <w:rPr>
                <w:sz w:val="24"/>
              </w:rPr>
              <w:t>主要设备清单见表2-3。</w:t>
            </w:r>
          </w:p>
          <w:p>
            <w:pPr>
              <w:adjustRightInd w:val="0"/>
              <w:snapToGrid w:val="0"/>
              <w:spacing w:line="480" w:lineRule="exact"/>
              <w:jc w:val="center"/>
              <w:rPr>
                <w:rFonts w:ascii="黑体" w:hAnsi="黑体" w:eastAsia="黑体"/>
                <w:bCs/>
                <w:sz w:val="24"/>
              </w:rPr>
            </w:pPr>
            <w:r>
              <w:rPr>
                <w:rFonts w:ascii="黑体" w:hAnsi="黑体" w:eastAsia="黑体"/>
                <w:bCs/>
                <w:sz w:val="24"/>
              </w:rPr>
              <w:t>表2-3  项目主要生产设备一览表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991"/>
              <w:gridCol w:w="2945"/>
              <w:gridCol w:w="1311"/>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9" w:type="pct"/>
                  <w:vAlign w:val="center"/>
                </w:tcPr>
                <w:p>
                  <w:pPr>
                    <w:pStyle w:val="43"/>
                  </w:pPr>
                  <w:r>
                    <w:t>序号</w:t>
                  </w:r>
                </w:p>
              </w:tc>
              <w:tc>
                <w:tcPr>
                  <w:tcW w:w="1156" w:type="pct"/>
                  <w:vAlign w:val="center"/>
                </w:tcPr>
                <w:p>
                  <w:pPr>
                    <w:pStyle w:val="43"/>
                  </w:pPr>
                  <w:r>
                    <w:t>设备名称</w:t>
                  </w:r>
                </w:p>
              </w:tc>
              <w:tc>
                <w:tcPr>
                  <w:tcW w:w="1710" w:type="pct"/>
                  <w:vAlign w:val="center"/>
                </w:tcPr>
                <w:p>
                  <w:pPr>
                    <w:pStyle w:val="43"/>
                  </w:pPr>
                  <w:r>
                    <w:rPr>
                      <w:rFonts w:hint="eastAsia"/>
                    </w:rPr>
                    <w:t>型号、规格</w:t>
                  </w:r>
                </w:p>
              </w:tc>
              <w:tc>
                <w:tcPr>
                  <w:tcW w:w="761" w:type="pct"/>
                  <w:vAlign w:val="center"/>
                </w:tcPr>
                <w:p>
                  <w:pPr>
                    <w:pStyle w:val="43"/>
                  </w:pPr>
                  <w:r>
                    <w:rPr>
                      <w:rFonts w:hint="eastAsia"/>
                    </w:rPr>
                    <w:t>数量</w:t>
                  </w:r>
                </w:p>
              </w:tc>
              <w:tc>
                <w:tcPr>
                  <w:tcW w:w="1024" w:type="pct"/>
                  <w:vAlign w:val="center"/>
                </w:tcPr>
                <w:p>
                  <w:pPr>
                    <w:pStyle w:val="43"/>
                  </w:pPr>
                  <w:r>
                    <w:rPr>
                      <w:rFonts w:hint="eastAsia"/>
                    </w:rPr>
                    <w:t>设备位置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3"/>
                  </w:pPr>
                  <w:r>
                    <w:rPr>
                      <w:rFonts w:hint="eastAsia"/>
                    </w:rPr>
                    <w:t>1</w:t>
                  </w:r>
                </w:p>
              </w:tc>
              <w:tc>
                <w:tcPr>
                  <w:tcW w:w="1156" w:type="pct"/>
                  <w:vAlign w:val="center"/>
                </w:tcPr>
                <w:p>
                  <w:pPr>
                    <w:pStyle w:val="43"/>
                  </w:pPr>
                  <w:r>
                    <w:rPr>
                      <w:rFonts w:hint="eastAsia"/>
                    </w:rPr>
                    <w:t>火化机</w:t>
                  </w:r>
                </w:p>
              </w:tc>
              <w:tc>
                <w:tcPr>
                  <w:tcW w:w="1710" w:type="pct"/>
                  <w:vAlign w:val="center"/>
                </w:tcPr>
                <w:p>
                  <w:pPr>
                    <w:pStyle w:val="43"/>
                  </w:pPr>
                  <w:r>
                    <w:rPr>
                      <w:rFonts w:hint="eastAsia"/>
                    </w:rPr>
                    <w:t>Y</w:t>
                  </w:r>
                  <w:r>
                    <w:t>Q</w:t>
                  </w:r>
                  <w:r>
                    <w:rPr>
                      <w:rFonts w:hint="eastAsia"/>
                    </w:rPr>
                    <w:t>欧亚全自动环保节能6</w:t>
                  </w:r>
                  <w:r>
                    <w:t>000</w:t>
                  </w:r>
                  <w:r>
                    <w:rPr>
                      <w:rFonts w:hint="eastAsia"/>
                    </w:rPr>
                    <w:t>型高档拣灰火化机</w:t>
                  </w:r>
                </w:p>
              </w:tc>
              <w:tc>
                <w:tcPr>
                  <w:tcW w:w="761" w:type="pct"/>
                  <w:vAlign w:val="center"/>
                </w:tcPr>
                <w:p>
                  <w:pPr>
                    <w:pStyle w:val="43"/>
                  </w:pPr>
                  <w:r>
                    <w:rPr>
                      <w:rFonts w:hint="eastAsia"/>
                    </w:rPr>
                    <w:t>3台</w:t>
                  </w:r>
                </w:p>
              </w:tc>
              <w:tc>
                <w:tcPr>
                  <w:tcW w:w="1024" w:type="pct"/>
                  <w:vAlign w:val="center"/>
                </w:tcPr>
                <w:p>
                  <w:pPr>
                    <w:pStyle w:val="43"/>
                  </w:pPr>
                  <w:r>
                    <w:rPr>
                      <w:rFonts w:hint="eastAsia"/>
                    </w:rPr>
                    <w:t>火化间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9" w:type="pct"/>
                  <w:vAlign w:val="center"/>
                </w:tcPr>
                <w:p>
                  <w:pPr>
                    <w:pStyle w:val="43"/>
                  </w:pPr>
                  <w:r>
                    <w:rPr>
                      <w:rFonts w:hint="eastAsia"/>
                    </w:rPr>
                    <w:t>2</w:t>
                  </w:r>
                </w:p>
              </w:tc>
              <w:tc>
                <w:tcPr>
                  <w:tcW w:w="1156" w:type="pct"/>
                  <w:vAlign w:val="center"/>
                </w:tcPr>
                <w:p>
                  <w:pPr>
                    <w:pStyle w:val="43"/>
                  </w:pPr>
                  <w:r>
                    <w:rPr>
                      <w:rFonts w:hint="eastAsia"/>
                    </w:rPr>
                    <w:t>遗物祭品焚烧炉</w:t>
                  </w:r>
                </w:p>
              </w:tc>
              <w:tc>
                <w:tcPr>
                  <w:tcW w:w="1710" w:type="pct"/>
                  <w:vAlign w:val="center"/>
                </w:tcPr>
                <w:p>
                  <w:pPr>
                    <w:pStyle w:val="43"/>
                  </w:pPr>
                  <w:r>
                    <w:rPr>
                      <w:rFonts w:hint="eastAsia"/>
                    </w:rPr>
                    <w:t>/</w:t>
                  </w:r>
                </w:p>
              </w:tc>
              <w:tc>
                <w:tcPr>
                  <w:tcW w:w="761" w:type="pct"/>
                  <w:vAlign w:val="center"/>
                </w:tcPr>
                <w:p>
                  <w:pPr>
                    <w:pStyle w:val="43"/>
                  </w:pPr>
                  <w:r>
                    <w:rPr>
                      <w:rFonts w:hint="eastAsia"/>
                    </w:rPr>
                    <w:t>1台</w:t>
                  </w:r>
                </w:p>
              </w:tc>
              <w:tc>
                <w:tcPr>
                  <w:tcW w:w="1024" w:type="pct"/>
                  <w:vAlign w:val="center"/>
                </w:tcPr>
                <w:p>
                  <w:pPr>
                    <w:pStyle w:val="43"/>
                  </w:pPr>
                  <w:r>
                    <w:rPr>
                      <w:rFonts w:hint="eastAsia"/>
                      <w:szCs w:val="21"/>
                    </w:rPr>
                    <w:t>遗物祭品焚烧间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9" w:type="pct"/>
                  <w:vAlign w:val="center"/>
                </w:tcPr>
                <w:p>
                  <w:pPr>
                    <w:pStyle w:val="43"/>
                  </w:pPr>
                  <w:r>
                    <w:rPr>
                      <w:rFonts w:hint="eastAsia"/>
                    </w:rPr>
                    <w:t>3</w:t>
                  </w:r>
                </w:p>
              </w:tc>
              <w:tc>
                <w:tcPr>
                  <w:tcW w:w="1156" w:type="pct"/>
                  <w:vAlign w:val="center"/>
                </w:tcPr>
                <w:p>
                  <w:pPr>
                    <w:pStyle w:val="43"/>
                  </w:pPr>
                  <w:r>
                    <w:rPr>
                      <w:rFonts w:hint="eastAsia"/>
                    </w:rPr>
                    <w:t>冷藏柜</w:t>
                  </w:r>
                </w:p>
              </w:tc>
              <w:tc>
                <w:tcPr>
                  <w:tcW w:w="1710" w:type="pct"/>
                  <w:vAlign w:val="center"/>
                </w:tcPr>
                <w:p>
                  <w:pPr>
                    <w:pStyle w:val="43"/>
                  </w:pPr>
                  <w:r>
                    <w:rPr>
                      <w:rFonts w:hint="eastAsia"/>
                    </w:rPr>
                    <w:t>一体化冷藏柜</w:t>
                  </w:r>
                </w:p>
              </w:tc>
              <w:tc>
                <w:tcPr>
                  <w:tcW w:w="761" w:type="pct"/>
                  <w:vAlign w:val="center"/>
                </w:tcPr>
                <w:p>
                  <w:pPr>
                    <w:pStyle w:val="43"/>
                  </w:pPr>
                  <w:r>
                    <w:rPr>
                      <w:rFonts w:hint="eastAsia"/>
                    </w:rPr>
                    <w:t>2</w:t>
                  </w:r>
                  <w:r>
                    <w:t>0</w:t>
                  </w:r>
                  <w:r>
                    <w:rPr>
                      <w:rFonts w:hint="eastAsia"/>
                    </w:rPr>
                    <w:t>个</w:t>
                  </w:r>
                </w:p>
              </w:tc>
              <w:tc>
                <w:tcPr>
                  <w:tcW w:w="1024" w:type="pct"/>
                  <w:vAlign w:val="center"/>
                </w:tcPr>
                <w:p>
                  <w:pPr>
                    <w:pStyle w:val="43"/>
                  </w:pPr>
                  <w:r>
                    <w:t>遗体处理用房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3"/>
                  </w:pPr>
                  <w:r>
                    <w:rPr>
                      <w:rFonts w:hint="eastAsia"/>
                    </w:rPr>
                    <w:t>4</w:t>
                  </w:r>
                </w:p>
              </w:tc>
              <w:tc>
                <w:tcPr>
                  <w:tcW w:w="1156" w:type="pct"/>
                  <w:vAlign w:val="center"/>
                </w:tcPr>
                <w:p>
                  <w:pPr>
                    <w:pStyle w:val="43"/>
                  </w:pPr>
                  <w:r>
                    <w:rPr>
                      <w:rFonts w:hint="eastAsia"/>
                    </w:rPr>
                    <w:t>冰棺</w:t>
                  </w:r>
                </w:p>
              </w:tc>
              <w:tc>
                <w:tcPr>
                  <w:tcW w:w="1710" w:type="pct"/>
                  <w:vAlign w:val="center"/>
                </w:tcPr>
                <w:p>
                  <w:pPr>
                    <w:pStyle w:val="43"/>
                  </w:pPr>
                  <w:r>
                    <w:rPr>
                      <w:rFonts w:hint="eastAsia"/>
                    </w:rPr>
                    <w:t>/</w:t>
                  </w:r>
                </w:p>
              </w:tc>
              <w:tc>
                <w:tcPr>
                  <w:tcW w:w="761" w:type="pct"/>
                  <w:vAlign w:val="center"/>
                </w:tcPr>
                <w:p>
                  <w:pPr>
                    <w:pStyle w:val="43"/>
                  </w:pPr>
                  <w:r>
                    <w:rPr>
                      <w:rFonts w:hint="eastAsia"/>
                    </w:rPr>
                    <w:t>5个</w:t>
                  </w:r>
                </w:p>
              </w:tc>
              <w:tc>
                <w:tcPr>
                  <w:tcW w:w="1024" w:type="pct"/>
                  <w:vAlign w:val="center"/>
                </w:tcPr>
                <w:p>
                  <w:pPr>
                    <w:pStyle w:val="43"/>
                  </w:pPr>
                  <w:r>
                    <w:rPr>
                      <w:rFonts w:hint="eastAsia"/>
                    </w:rPr>
                    <w:t>告别楼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 w:type="pct"/>
                  <w:vAlign w:val="center"/>
                </w:tcPr>
                <w:p>
                  <w:pPr>
                    <w:pStyle w:val="43"/>
                  </w:pPr>
                  <w:r>
                    <w:rPr>
                      <w:rFonts w:hint="eastAsia"/>
                    </w:rPr>
                    <w:t>5</w:t>
                  </w:r>
                </w:p>
              </w:tc>
              <w:tc>
                <w:tcPr>
                  <w:tcW w:w="1156" w:type="pct"/>
                  <w:vAlign w:val="center"/>
                </w:tcPr>
                <w:p>
                  <w:pPr>
                    <w:pStyle w:val="43"/>
                  </w:pPr>
                  <w:r>
                    <w:rPr>
                      <w:rFonts w:hint="eastAsia"/>
                    </w:rPr>
                    <w:t>殡仪专用车</w:t>
                  </w:r>
                </w:p>
              </w:tc>
              <w:tc>
                <w:tcPr>
                  <w:tcW w:w="1710" w:type="pct"/>
                  <w:vAlign w:val="center"/>
                </w:tcPr>
                <w:p>
                  <w:pPr>
                    <w:pStyle w:val="43"/>
                  </w:pPr>
                  <w:r>
                    <w:rPr>
                      <w:rFonts w:hint="eastAsia"/>
                    </w:rPr>
                    <w:t>/</w:t>
                  </w:r>
                </w:p>
              </w:tc>
              <w:tc>
                <w:tcPr>
                  <w:tcW w:w="761" w:type="pct"/>
                  <w:vAlign w:val="center"/>
                </w:tcPr>
                <w:p>
                  <w:pPr>
                    <w:pStyle w:val="43"/>
                  </w:pPr>
                  <w:r>
                    <w:t>5</w:t>
                  </w:r>
                  <w:r>
                    <w:rPr>
                      <w:rFonts w:hint="eastAsia"/>
                    </w:rPr>
                    <w:t>辆</w:t>
                  </w:r>
                </w:p>
              </w:tc>
              <w:tc>
                <w:tcPr>
                  <w:tcW w:w="1024" w:type="pct"/>
                  <w:vAlign w:val="center"/>
                </w:tcPr>
                <w:p>
                  <w:pPr>
                    <w:pStyle w:val="43"/>
                  </w:pPr>
                  <w:r>
                    <w:rPr>
                      <w:rFonts w:hint="eastAsia"/>
                    </w:rPr>
                    <w:t>车库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9" w:type="pct"/>
                  <w:vAlign w:val="center"/>
                </w:tcPr>
                <w:p>
                  <w:pPr>
                    <w:pStyle w:val="43"/>
                  </w:pPr>
                  <w:r>
                    <w:rPr>
                      <w:rFonts w:hint="eastAsia"/>
                    </w:rPr>
                    <w:t>6</w:t>
                  </w:r>
                </w:p>
              </w:tc>
              <w:tc>
                <w:tcPr>
                  <w:tcW w:w="1156" w:type="pct"/>
                  <w:vAlign w:val="center"/>
                </w:tcPr>
                <w:p>
                  <w:pPr>
                    <w:pStyle w:val="43"/>
                  </w:pPr>
                  <w:r>
                    <w:rPr>
                      <w:rFonts w:hint="eastAsia"/>
                    </w:rPr>
                    <w:t>柴油储罐</w:t>
                  </w:r>
                </w:p>
              </w:tc>
              <w:tc>
                <w:tcPr>
                  <w:tcW w:w="1710" w:type="pct"/>
                  <w:vAlign w:val="center"/>
                </w:tcPr>
                <w:p>
                  <w:pPr>
                    <w:pStyle w:val="43"/>
                  </w:pPr>
                  <w:r>
                    <w:rPr>
                      <w:rFonts w:hint="eastAsia"/>
                    </w:rPr>
                    <w:t>1</w:t>
                  </w:r>
                  <w:r>
                    <w:t>0</w:t>
                  </w:r>
                  <w:r>
                    <w:rPr>
                      <w:rFonts w:hint="eastAsia"/>
                    </w:rPr>
                    <w:t>t</w:t>
                  </w:r>
                </w:p>
              </w:tc>
              <w:tc>
                <w:tcPr>
                  <w:tcW w:w="761" w:type="pct"/>
                  <w:vAlign w:val="center"/>
                </w:tcPr>
                <w:p>
                  <w:pPr>
                    <w:pStyle w:val="43"/>
                  </w:pPr>
                  <w:r>
                    <w:rPr>
                      <w:rFonts w:hint="eastAsia"/>
                    </w:rPr>
                    <w:t>1台</w:t>
                  </w:r>
                </w:p>
              </w:tc>
              <w:tc>
                <w:tcPr>
                  <w:tcW w:w="1024" w:type="pct"/>
                  <w:vAlign w:val="center"/>
                </w:tcPr>
                <w:p>
                  <w:pPr>
                    <w:pStyle w:val="43"/>
                  </w:pPr>
                  <w:r>
                    <w:rPr>
                      <w:rFonts w:hint="eastAsia"/>
                    </w:rPr>
                    <w:t>火化间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49" w:type="pct"/>
                  <w:vAlign w:val="center"/>
                </w:tcPr>
                <w:p>
                  <w:pPr>
                    <w:pStyle w:val="43"/>
                  </w:pPr>
                  <w:r>
                    <w:rPr>
                      <w:rFonts w:hint="eastAsia"/>
                    </w:rPr>
                    <w:t>7</w:t>
                  </w:r>
                </w:p>
              </w:tc>
              <w:tc>
                <w:tcPr>
                  <w:tcW w:w="1156" w:type="pct"/>
                  <w:vAlign w:val="center"/>
                </w:tcPr>
                <w:p>
                  <w:pPr>
                    <w:pStyle w:val="43"/>
                  </w:pPr>
                  <w:r>
                    <w:rPr>
                      <w:rFonts w:hint="eastAsia"/>
                    </w:rPr>
                    <w:t>备用发电机</w:t>
                  </w:r>
                </w:p>
              </w:tc>
              <w:tc>
                <w:tcPr>
                  <w:tcW w:w="1710" w:type="pct"/>
                  <w:vAlign w:val="center"/>
                </w:tcPr>
                <w:p>
                  <w:pPr>
                    <w:pStyle w:val="43"/>
                  </w:pPr>
                  <w:r>
                    <w:t>150kw</w:t>
                  </w:r>
                </w:p>
              </w:tc>
              <w:tc>
                <w:tcPr>
                  <w:tcW w:w="761" w:type="pct"/>
                  <w:vAlign w:val="center"/>
                </w:tcPr>
                <w:p>
                  <w:pPr>
                    <w:pStyle w:val="43"/>
                  </w:pPr>
                  <w:r>
                    <w:rPr>
                      <w:rFonts w:hint="eastAsia"/>
                    </w:rPr>
                    <w:t>1台</w:t>
                  </w:r>
                </w:p>
              </w:tc>
              <w:tc>
                <w:tcPr>
                  <w:tcW w:w="1024" w:type="pct"/>
                  <w:vAlign w:val="center"/>
                </w:tcPr>
                <w:p>
                  <w:pPr>
                    <w:pStyle w:val="43"/>
                  </w:pPr>
                  <w:r>
                    <w:rPr>
                      <w:rFonts w:hint="eastAsia"/>
                    </w:rPr>
                    <w:t>火化间</w:t>
                  </w:r>
                </w:p>
              </w:tc>
            </w:tr>
          </w:tbl>
          <w:p>
            <w:pPr>
              <w:adjustRightInd w:val="0"/>
              <w:snapToGrid w:val="0"/>
              <w:spacing w:line="480" w:lineRule="exact"/>
              <w:ind w:firstLine="482" w:firstLineChars="200"/>
              <w:rPr>
                <w:b/>
                <w:sz w:val="24"/>
              </w:rPr>
            </w:pPr>
            <w:r>
              <w:rPr>
                <w:b/>
                <w:sz w:val="24"/>
              </w:rPr>
              <w:t>5、主要原辅材料及能源消耗情况</w:t>
            </w:r>
          </w:p>
          <w:p>
            <w:pPr>
              <w:adjustRightInd w:val="0"/>
              <w:snapToGrid w:val="0"/>
              <w:spacing w:line="480" w:lineRule="exact"/>
              <w:ind w:firstLine="480" w:firstLineChars="200"/>
              <w:rPr>
                <w:sz w:val="24"/>
              </w:rPr>
            </w:pPr>
            <w:r>
              <w:rPr>
                <w:rFonts w:hint="eastAsia"/>
                <w:sz w:val="24"/>
              </w:rPr>
              <w:t>本项目拟设置</w:t>
            </w:r>
            <w:r>
              <w:rPr>
                <w:sz w:val="24"/>
              </w:rPr>
              <w:t>3</w:t>
            </w:r>
            <w:r>
              <w:rPr>
                <w:rFonts w:hint="eastAsia"/>
                <w:sz w:val="24"/>
              </w:rPr>
              <w:t>台燃油火化机，</w:t>
            </w:r>
            <w:r>
              <w:rPr>
                <w:rFonts w:hint="eastAsia"/>
                <w:bCs/>
                <w:sz w:val="24"/>
              </w:rPr>
              <w:t>年最大服务能力为火化</w:t>
            </w:r>
            <w:r>
              <w:rPr>
                <w:bCs/>
                <w:sz w:val="24"/>
              </w:rPr>
              <w:t>2190</w:t>
            </w:r>
            <w:r>
              <w:rPr>
                <w:rFonts w:hint="eastAsia"/>
                <w:bCs/>
                <w:sz w:val="24"/>
              </w:rPr>
              <w:t>具遗体，每台火化机以每日火化两具遗体计。</w:t>
            </w:r>
            <w:r>
              <w:rPr>
                <w:sz w:val="24"/>
              </w:rPr>
              <w:t>环评主要原辅材料及能源消耗以项目最高年服务能力计，即</w:t>
            </w:r>
            <w:r>
              <w:rPr>
                <w:rFonts w:hint="eastAsia"/>
                <w:sz w:val="24"/>
              </w:rPr>
              <w:t>年火化遗体</w:t>
            </w:r>
            <w:r>
              <w:rPr>
                <w:sz w:val="24"/>
              </w:rPr>
              <w:t>2190具；遗体火化耗油量平均约为40升/具（柴油密度以0.84计算），则</w:t>
            </w:r>
            <w:r>
              <w:rPr>
                <w:rFonts w:hint="eastAsia"/>
                <w:sz w:val="24"/>
              </w:rPr>
              <w:t>遗体火化</w:t>
            </w:r>
            <w:r>
              <w:rPr>
                <w:sz w:val="24"/>
              </w:rPr>
              <w:t>柴油年消耗量为73.6t</w:t>
            </w:r>
            <w:r>
              <w:rPr>
                <w:rFonts w:hint="eastAsia"/>
                <w:sz w:val="24"/>
              </w:rPr>
              <w:t>；备用发电机最大年消耗柴油为</w:t>
            </w:r>
            <w:r>
              <w:rPr>
                <w:sz w:val="24"/>
              </w:rPr>
              <w:t>2t</w:t>
            </w:r>
            <w:r>
              <w:rPr>
                <w:rFonts w:hint="eastAsia"/>
                <w:sz w:val="24"/>
              </w:rPr>
              <w:t>。</w:t>
            </w:r>
          </w:p>
          <w:p>
            <w:pPr>
              <w:adjustRightInd w:val="0"/>
              <w:snapToGrid w:val="0"/>
              <w:spacing w:line="480" w:lineRule="exact"/>
              <w:ind w:firstLine="480" w:firstLineChars="200"/>
              <w:rPr>
                <w:sz w:val="24"/>
              </w:rPr>
            </w:pPr>
            <w:r>
              <w:rPr>
                <w:sz w:val="24"/>
              </w:rPr>
              <w:t>主要原辅材料及能源消耗情况表如下表2</w:t>
            </w:r>
            <w:r>
              <w:rPr>
                <w:rFonts w:hint="eastAsia"/>
                <w:sz w:val="24"/>
              </w:rPr>
              <w:t>-</w:t>
            </w:r>
            <w:r>
              <w:rPr>
                <w:sz w:val="24"/>
              </w:rPr>
              <w:t>4所示：</w:t>
            </w:r>
          </w:p>
          <w:p>
            <w:pPr>
              <w:adjustRightInd w:val="0"/>
              <w:snapToGrid w:val="0"/>
              <w:spacing w:line="480" w:lineRule="exact"/>
              <w:jc w:val="center"/>
              <w:rPr>
                <w:rFonts w:ascii="黑体" w:hAnsi="黑体" w:eastAsia="黑体"/>
                <w:bCs/>
                <w:sz w:val="24"/>
              </w:rPr>
            </w:pPr>
            <w:r>
              <w:rPr>
                <w:rFonts w:ascii="黑体" w:hAnsi="黑体" w:eastAsia="黑体"/>
                <w:bCs/>
                <w:sz w:val="24"/>
              </w:rPr>
              <w:t>表2-4  主要原辅材料及能源消耗情况表</w:t>
            </w:r>
          </w:p>
          <w:tbl>
            <w:tblPr>
              <w:tblStyle w:val="19"/>
              <w:tblpPr w:leftFromText="181" w:rightFromText="181" w:vertAnchor="text" w:horzAnchor="page" w:tblpX="97"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7"/>
              <w:gridCol w:w="1793"/>
              <w:gridCol w:w="1793"/>
              <w:gridCol w:w="1793"/>
              <w:gridCol w:w="2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2" w:type="pct"/>
                  <w:vAlign w:val="center"/>
                </w:tcPr>
                <w:p>
                  <w:pPr>
                    <w:pStyle w:val="44"/>
                    <w:rPr>
                      <w:szCs w:val="21"/>
                    </w:rPr>
                  </w:pPr>
                  <w:r>
                    <w:rPr>
                      <w:szCs w:val="21"/>
                    </w:rPr>
                    <w:t>类别</w:t>
                  </w:r>
                </w:p>
              </w:tc>
              <w:tc>
                <w:tcPr>
                  <w:tcW w:w="1041" w:type="pct"/>
                  <w:vAlign w:val="center"/>
                </w:tcPr>
                <w:p>
                  <w:pPr>
                    <w:pStyle w:val="44"/>
                    <w:rPr>
                      <w:szCs w:val="21"/>
                    </w:rPr>
                  </w:pPr>
                  <w:r>
                    <w:rPr>
                      <w:szCs w:val="21"/>
                    </w:rPr>
                    <w:t>名称</w:t>
                  </w:r>
                </w:p>
              </w:tc>
              <w:tc>
                <w:tcPr>
                  <w:tcW w:w="1041" w:type="pct"/>
                  <w:vAlign w:val="center"/>
                </w:tcPr>
                <w:p>
                  <w:pPr>
                    <w:pStyle w:val="44"/>
                    <w:rPr>
                      <w:szCs w:val="21"/>
                    </w:rPr>
                  </w:pPr>
                  <w:r>
                    <w:rPr>
                      <w:szCs w:val="21"/>
                    </w:rPr>
                    <w:t>年耗量</w:t>
                  </w:r>
                </w:p>
              </w:tc>
              <w:tc>
                <w:tcPr>
                  <w:tcW w:w="1041" w:type="pct"/>
                  <w:vAlign w:val="center"/>
                </w:tcPr>
                <w:p>
                  <w:pPr>
                    <w:pStyle w:val="44"/>
                    <w:rPr>
                      <w:szCs w:val="21"/>
                    </w:rPr>
                  </w:pPr>
                  <w:r>
                    <w:rPr>
                      <w:szCs w:val="21"/>
                    </w:rPr>
                    <w:t>最大储存量</w:t>
                  </w:r>
                </w:p>
              </w:tc>
              <w:tc>
                <w:tcPr>
                  <w:tcW w:w="1205" w:type="pct"/>
                  <w:vAlign w:val="center"/>
                </w:tcPr>
                <w:p>
                  <w:pPr>
                    <w:pStyle w:val="44"/>
                    <w:rPr>
                      <w:szCs w:val="21"/>
                    </w:rPr>
                  </w:pPr>
                  <w:r>
                    <w:rPr>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Merge w:val="restart"/>
                  <w:vAlign w:val="center"/>
                </w:tcPr>
                <w:p>
                  <w:pPr>
                    <w:pStyle w:val="44"/>
                    <w:rPr>
                      <w:szCs w:val="21"/>
                    </w:rPr>
                  </w:pPr>
                  <w:r>
                    <w:rPr>
                      <w:szCs w:val="21"/>
                    </w:rPr>
                    <w:t>原辅材料</w:t>
                  </w:r>
                </w:p>
              </w:tc>
              <w:tc>
                <w:tcPr>
                  <w:tcW w:w="1041" w:type="pct"/>
                  <w:vAlign w:val="center"/>
                </w:tcPr>
                <w:p>
                  <w:pPr>
                    <w:jc w:val="center"/>
                    <w:rPr>
                      <w:kern w:val="0"/>
                      <w:szCs w:val="21"/>
                    </w:rPr>
                  </w:pPr>
                  <w:r>
                    <w:rPr>
                      <w:kern w:val="0"/>
                      <w:szCs w:val="21"/>
                    </w:rPr>
                    <w:t>遗体</w:t>
                  </w:r>
                </w:p>
              </w:tc>
              <w:tc>
                <w:tcPr>
                  <w:tcW w:w="1041" w:type="pct"/>
                  <w:vAlign w:val="center"/>
                </w:tcPr>
                <w:p>
                  <w:pPr>
                    <w:jc w:val="center"/>
                    <w:rPr>
                      <w:szCs w:val="21"/>
                    </w:rPr>
                  </w:pPr>
                  <w:r>
                    <w:rPr>
                      <w:szCs w:val="21"/>
                    </w:rPr>
                    <w:t>2190具</w:t>
                  </w:r>
                </w:p>
              </w:tc>
              <w:tc>
                <w:tcPr>
                  <w:tcW w:w="1041" w:type="pct"/>
                  <w:vAlign w:val="center"/>
                </w:tcPr>
                <w:p>
                  <w:pPr>
                    <w:jc w:val="center"/>
                    <w:rPr>
                      <w:szCs w:val="21"/>
                    </w:rPr>
                  </w:pPr>
                  <w:r>
                    <w:rPr>
                      <w:szCs w:val="21"/>
                    </w:rPr>
                    <w:t>/</w:t>
                  </w:r>
                </w:p>
              </w:tc>
              <w:tc>
                <w:tcPr>
                  <w:tcW w:w="1205" w:type="pct"/>
                  <w:vAlign w:val="center"/>
                </w:tcPr>
                <w:p>
                  <w:pPr>
                    <w:pStyle w:val="4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2" w:type="pct"/>
                  <w:vMerge w:val="continue"/>
                  <w:vAlign w:val="center"/>
                </w:tcPr>
                <w:p>
                  <w:pPr>
                    <w:pStyle w:val="44"/>
                    <w:rPr>
                      <w:szCs w:val="21"/>
                    </w:rPr>
                  </w:pPr>
                </w:p>
              </w:tc>
              <w:tc>
                <w:tcPr>
                  <w:tcW w:w="1041" w:type="pct"/>
                  <w:vAlign w:val="center"/>
                </w:tcPr>
                <w:p>
                  <w:pPr>
                    <w:jc w:val="center"/>
                    <w:rPr>
                      <w:kern w:val="0"/>
                      <w:szCs w:val="21"/>
                    </w:rPr>
                  </w:pPr>
                  <w:r>
                    <w:rPr>
                      <w:kern w:val="0"/>
                      <w:szCs w:val="21"/>
                    </w:rPr>
                    <w:t>遗物、祭品</w:t>
                  </w:r>
                </w:p>
              </w:tc>
              <w:tc>
                <w:tcPr>
                  <w:tcW w:w="1041" w:type="pct"/>
                  <w:vAlign w:val="center"/>
                </w:tcPr>
                <w:p>
                  <w:pPr>
                    <w:jc w:val="center"/>
                    <w:rPr>
                      <w:szCs w:val="21"/>
                    </w:rPr>
                  </w:pPr>
                  <w:r>
                    <w:rPr>
                      <w:szCs w:val="21"/>
                    </w:rPr>
                    <w:t>43.8 t/a</w:t>
                  </w:r>
                </w:p>
              </w:tc>
              <w:tc>
                <w:tcPr>
                  <w:tcW w:w="1041" w:type="pct"/>
                  <w:vAlign w:val="center"/>
                </w:tcPr>
                <w:p>
                  <w:pPr>
                    <w:jc w:val="center"/>
                    <w:rPr>
                      <w:szCs w:val="21"/>
                    </w:rPr>
                  </w:pPr>
                  <w:r>
                    <w:rPr>
                      <w:szCs w:val="21"/>
                    </w:rPr>
                    <w:t>/</w:t>
                  </w:r>
                </w:p>
              </w:tc>
              <w:tc>
                <w:tcPr>
                  <w:tcW w:w="1205" w:type="pct"/>
                  <w:vAlign w:val="center"/>
                </w:tcPr>
                <w:p>
                  <w:pPr>
                    <w:pStyle w:val="44"/>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2" w:type="pct"/>
                  <w:vMerge w:val="restart"/>
                  <w:vAlign w:val="center"/>
                </w:tcPr>
                <w:p>
                  <w:pPr>
                    <w:pStyle w:val="44"/>
                    <w:rPr>
                      <w:szCs w:val="21"/>
                    </w:rPr>
                  </w:pPr>
                  <w:r>
                    <w:rPr>
                      <w:szCs w:val="21"/>
                    </w:rPr>
                    <w:t>能耗</w:t>
                  </w:r>
                </w:p>
              </w:tc>
              <w:tc>
                <w:tcPr>
                  <w:tcW w:w="1041" w:type="pct"/>
                  <w:vAlign w:val="center"/>
                </w:tcPr>
                <w:p>
                  <w:pPr>
                    <w:pStyle w:val="44"/>
                    <w:rPr>
                      <w:szCs w:val="21"/>
                    </w:rPr>
                  </w:pPr>
                  <w:r>
                    <w:rPr>
                      <w:szCs w:val="21"/>
                    </w:rPr>
                    <w:t>电</w:t>
                  </w:r>
                </w:p>
              </w:tc>
              <w:tc>
                <w:tcPr>
                  <w:tcW w:w="1041" w:type="pct"/>
                  <w:vAlign w:val="center"/>
                </w:tcPr>
                <w:p>
                  <w:pPr>
                    <w:pStyle w:val="44"/>
                    <w:rPr>
                      <w:szCs w:val="21"/>
                    </w:rPr>
                  </w:pPr>
                  <w:r>
                    <w:rPr>
                      <w:szCs w:val="21"/>
                    </w:rPr>
                    <w:t>260.77万kW.h</w:t>
                  </w:r>
                </w:p>
              </w:tc>
              <w:tc>
                <w:tcPr>
                  <w:tcW w:w="1041" w:type="pct"/>
                  <w:vAlign w:val="center"/>
                </w:tcPr>
                <w:p>
                  <w:pPr>
                    <w:pStyle w:val="44"/>
                    <w:rPr>
                      <w:szCs w:val="21"/>
                    </w:rPr>
                  </w:pPr>
                  <w:r>
                    <w:rPr>
                      <w:szCs w:val="21"/>
                    </w:rPr>
                    <w:t>/</w:t>
                  </w:r>
                </w:p>
              </w:tc>
              <w:tc>
                <w:tcPr>
                  <w:tcW w:w="1205" w:type="pct"/>
                  <w:vAlign w:val="center"/>
                </w:tcPr>
                <w:p>
                  <w:pPr>
                    <w:pStyle w:val="44"/>
                    <w:rPr>
                      <w:szCs w:val="21"/>
                    </w:rPr>
                  </w:pPr>
                  <w:r>
                    <w:rPr>
                      <w:szCs w:val="21"/>
                    </w:rPr>
                    <w:t>集镇供电网络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72" w:type="pct"/>
                  <w:vMerge w:val="continue"/>
                  <w:vAlign w:val="center"/>
                </w:tcPr>
                <w:p>
                  <w:pPr>
                    <w:pStyle w:val="44"/>
                    <w:rPr>
                      <w:szCs w:val="21"/>
                    </w:rPr>
                  </w:pPr>
                </w:p>
              </w:tc>
              <w:tc>
                <w:tcPr>
                  <w:tcW w:w="1041" w:type="pct"/>
                  <w:vAlign w:val="center"/>
                </w:tcPr>
                <w:p>
                  <w:pPr>
                    <w:pStyle w:val="44"/>
                    <w:rPr>
                      <w:szCs w:val="21"/>
                    </w:rPr>
                  </w:pPr>
                  <w:r>
                    <w:rPr>
                      <w:rFonts w:hint="eastAsia"/>
                      <w:szCs w:val="24"/>
                    </w:rPr>
                    <w:t>0</w:t>
                  </w:r>
                  <w:r>
                    <w:rPr>
                      <w:rFonts w:hint="eastAsia"/>
                      <w:szCs w:val="24"/>
                      <w:vertAlign w:val="superscript"/>
                    </w:rPr>
                    <w:t>#</w:t>
                  </w:r>
                  <w:r>
                    <w:rPr>
                      <w:rFonts w:hint="eastAsia"/>
                      <w:szCs w:val="24"/>
                    </w:rPr>
                    <w:t>-</w:t>
                  </w:r>
                  <w:r>
                    <w:rPr>
                      <w:szCs w:val="24"/>
                    </w:rPr>
                    <w:t>3</w:t>
                  </w:r>
                  <w:r>
                    <w:rPr>
                      <w:rFonts w:hint="eastAsia"/>
                      <w:szCs w:val="24"/>
                    </w:rPr>
                    <w:t>0</w:t>
                  </w:r>
                  <w:r>
                    <w:rPr>
                      <w:rFonts w:hint="eastAsia"/>
                      <w:szCs w:val="24"/>
                      <w:vertAlign w:val="superscript"/>
                    </w:rPr>
                    <w:t>#</w:t>
                  </w:r>
                  <w:r>
                    <w:rPr>
                      <w:rFonts w:hint="eastAsia"/>
                      <w:szCs w:val="24"/>
                    </w:rPr>
                    <w:t>轻柴油</w:t>
                  </w:r>
                </w:p>
              </w:tc>
              <w:tc>
                <w:tcPr>
                  <w:tcW w:w="1041" w:type="pct"/>
                  <w:vAlign w:val="center"/>
                </w:tcPr>
                <w:p>
                  <w:pPr>
                    <w:pStyle w:val="44"/>
                    <w:rPr>
                      <w:szCs w:val="21"/>
                    </w:rPr>
                  </w:pPr>
                  <w:r>
                    <w:rPr>
                      <w:szCs w:val="21"/>
                    </w:rPr>
                    <w:t>75.6 t/a</w:t>
                  </w:r>
                </w:p>
              </w:tc>
              <w:tc>
                <w:tcPr>
                  <w:tcW w:w="1041" w:type="pct"/>
                  <w:vAlign w:val="center"/>
                </w:tcPr>
                <w:p>
                  <w:pPr>
                    <w:pStyle w:val="44"/>
                    <w:rPr>
                      <w:szCs w:val="21"/>
                    </w:rPr>
                  </w:pPr>
                  <w:r>
                    <w:rPr>
                      <w:rFonts w:hint="eastAsia"/>
                      <w:szCs w:val="21"/>
                    </w:rPr>
                    <w:t>10</w:t>
                  </w:r>
                  <w:r>
                    <w:rPr>
                      <w:szCs w:val="21"/>
                    </w:rPr>
                    <w:t>t</w:t>
                  </w:r>
                </w:p>
              </w:tc>
              <w:tc>
                <w:tcPr>
                  <w:tcW w:w="1205" w:type="pct"/>
                  <w:vAlign w:val="center"/>
                </w:tcPr>
                <w:p>
                  <w:pPr>
                    <w:pStyle w:val="44"/>
                    <w:rPr>
                      <w:szCs w:val="21"/>
                    </w:rPr>
                  </w:pPr>
                  <w:r>
                    <w:rPr>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pStyle w:val="44"/>
                    <w:rPr>
                      <w:szCs w:val="21"/>
                    </w:rPr>
                  </w:pPr>
                  <w:r>
                    <w:rPr>
                      <w:szCs w:val="21"/>
                    </w:rPr>
                    <w:t>水耗</w:t>
                  </w:r>
                </w:p>
              </w:tc>
              <w:tc>
                <w:tcPr>
                  <w:tcW w:w="1041" w:type="pct"/>
                  <w:vAlign w:val="center"/>
                </w:tcPr>
                <w:p>
                  <w:pPr>
                    <w:pStyle w:val="44"/>
                    <w:rPr>
                      <w:szCs w:val="21"/>
                    </w:rPr>
                  </w:pPr>
                  <w:r>
                    <w:rPr>
                      <w:szCs w:val="21"/>
                    </w:rPr>
                    <w:t>水</w:t>
                  </w:r>
                </w:p>
              </w:tc>
              <w:tc>
                <w:tcPr>
                  <w:tcW w:w="1041" w:type="pct"/>
                  <w:vAlign w:val="center"/>
                </w:tcPr>
                <w:p>
                  <w:pPr>
                    <w:pStyle w:val="44"/>
                    <w:rPr>
                      <w:szCs w:val="21"/>
                    </w:rPr>
                  </w:pPr>
                  <w:r>
                    <w:rPr>
                      <w:szCs w:val="21"/>
                    </w:rPr>
                    <w:t>4044.2 m³/a</w:t>
                  </w:r>
                </w:p>
              </w:tc>
              <w:tc>
                <w:tcPr>
                  <w:tcW w:w="1041" w:type="pct"/>
                  <w:vAlign w:val="center"/>
                </w:tcPr>
                <w:p>
                  <w:pPr>
                    <w:pStyle w:val="44"/>
                    <w:rPr>
                      <w:szCs w:val="21"/>
                    </w:rPr>
                  </w:pPr>
                  <w:r>
                    <w:rPr>
                      <w:szCs w:val="21"/>
                    </w:rPr>
                    <w:t>/</w:t>
                  </w:r>
                </w:p>
              </w:tc>
              <w:tc>
                <w:tcPr>
                  <w:tcW w:w="1205" w:type="pct"/>
                  <w:vAlign w:val="center"/>
                </w:tcPr>
                <w:p>
                  <w:pPr>
                    <w:pStyle w:val="44"/>
                    <w:rPr>
                      <w:szCs w:val="21"/>
                    </w:rPr>
                  </w:pPr>
                  <w:r>
                    <w:rPr>
                      <w:rFonts w:hint="eastAsia"/>
                      <w:szCs w:val="21"/>
                    </w:rPr>
                    <w:t>自备水井提供</w:t>
                  </w:r>
                </w:p>
              </w:tc>
            </w:tr>
          </w:tbl>
          <w:p>
            <w:pPr>
              <w:adjustRightInd w:val="0"/>
              <w:snapToGrid w:val="0"/>
              <w:spacing w:line="480" w:lineRule="exact"/>
              <w:ind w:firstLine="482" w:firstLineChars="200"/>
              <w:rPr>
                <w:b/>
                <w:sz w:val="24"/>
              </w:rPr>
            </w:pPr>
            <w:r>
              <w:rPr>
                <w:b/>
                <w:sz w:val="24"/>
              </w:rPr>
              <w:t>6、</w:t>
            </w:r>
            <w:r>
              <w:rPr>
                <w:rFonts w:hint="eastAsia"/>
                <w:b/>
                <w:sz w:val="24"/>
              </w:rPr>
              <w:t>公用工程</w:t>
            </w:r>
          </w:p>
          <w:p>
            <w:pPr>
              <w:adjustRightInd w:val="0"/>
              <w:snapToGrid w:val="0"/>
              <w:spacing w:line="480" w:lineRule="exact"/>
              <w:ind w:firstLine="482" w:firstLineChars="200"/>
              <w:rPr>
                <w:b/>
                <w:bCs/>
                <w:sz w:val="24"/>
              </w:rPr>
            </w:pPr>
            <w:r>
              <w:rPr>
                <w:rFonts w:hint="eastAsia"/>
                <w:b/>
                <w:bCs/>
                <w:sz w:val="24"/>
              </w:rPr>
              <w:t>（1）</w:t>
            </w:r>
            <w:r>
              <w:rPr>
                <w:b/>
                <w:bCs/>
                <w:sz w:val="24"/>
              </w:rPr>
              <w:t>供水工程</w:t>
            </w:r>
          </w:p>
          <w:p>
            <w:pPr>
              <w:adjustRightInd w:val="0"/>
              <w:snapToGrid w:val="0"/>
              <w:spacing w:line="480" w:lineRule="exact"/>
              <w:ind w:firstLine="480" w:firstLineChars="200"/>
              <w:rPr>
                <w:sz w:val="24"/>
              </w:rPr>
            </w:pPr>
            <w:r>
              <w:rPr>
                <w:rFonts w:hint="eastAsia"/>
                <w:sz w:val="24"/>
              </w:rPr>
              <w:t>本项目施工水源由地块周边治超站接入供给；建成运营后将打井供给。运营期用水主要为遗体处置清洗、消毒用水，专用殡仪车辆清洗、消毒用水，火化机烟气处理设施急冷装置循环冷却水用水，绿化用水，来访人员及工作人员生活用水。</w:t>
            </w:r>
          </w:p>
          <w:p>
            <w:pPr>
              <w:adjustRightInd w:val="0"/>
              <w:snapToGrid w:val="0"/>
              <w:spacing w:line="480" w:lineRule="exact"/>
              <w:ind w:firstLine="482" w:firstLineChars="200"/>
              <w:rPr>
                <w:b/>
                <w:bCs/>
                <w:sz w:val="24"/>
              </w:rPr>
            </w:pPr>
            <w:r>
              <w:rPr>
                <w:rFonts w:hint="eastAsia"/>
                <w:b/>
                <w:bCs/>
                <w:sz w:val="24"/>
              </w:rPr>
              <w:t>①遗体处置清洗、消毒用水：</w:t>
            </w:r>
          </w:p>
          <w:p>
            <w:pPr>
              <w:adjustRightInd w:val="0"/>
              <w:snapToGrid w:val="0"/>
              <w:spacing w:line="480" w:lineRule="exact"/>
              <w:ind w:firstLine="480" w:firstLineChars="200"/>
              <w:rPr>
                <w:sz w:val="24"/>
              </w:rPr>
            </w:pPr>
            <w:r>
              <w:rPr>
                <w:rFonts w:hint="eastAsia"/>
                <w:sz w:val="24"/>
              </w:rPr>
              <w:t>参考同类报告，遗体处置包括沐浴、化妆、换衣等殡仪服务以及处置台清洗、消毒，用水量约为0</w:t>
            </w:r>
            <w:r>
              <w:rPr>
                <w:sz w:val="24"/>
              </w:rPr>
              <w:t>.2-</w:t>
            </w:r>
            <w:r>
              <w:rPr>
                <w:rFonts w:hint="eastAsia"/>
                <w:sz w:val="24"/>
              </w:rPr>
              <w:t>0.3m</w:t>
            </w:r>
            <w:r>
              <w:rPr>
                <w:rFonts w:hint="eastAsia"/>
                <w:sz w:val="24"/>
                <w:vertAlign w:val="superscript"/>
              </w:rPr>
              <w:t>3</w:t>
            </w:r>
            <w:r>
              <w:rPr>
                <w:rFonts w:hint="eastAsia"/>
                <w:sz w:val="24"/>
              </w:rPr>
              <w:t>/具，本项目取遗体处置清洗、消毒用水为0</w:t>
            </w:r>
            <w:r>
              <w:rPr>
                <w:sz w:val="24"/>
              </w:rPr>
              <w:t>.2</w:t>
            </w:r>
            <w:r>
              <w:rPr>
                <w:rFonts w:hint="eastAsia"/>
                <w:sz w:val="24"/>
              </w:rPr>
              <w:t xml:space="preserve"> m</w:t>
            </w:r>
            <w:r>
              <w:rPr>
                <w:rFonts w:hint="eastAsia"/>
                <w:sz w:val="24"/>
                <w:vertAlign w:val="superscript"/>
              </w:rPr>
              <w:t>3</w:t>
            </w:r>
            <w:r>
              <w:rPr>
                <w:rFonts w:hint="eastAsia"/>
                <w:sz w:val="24"/>
              </w:rPr>
              <w:t>/具；</w:t>
            </w:r>
            <w:r>
              <w:rPr>
                <w:sz w:val="24"/>
              </w:rPr>
              <w:t>以项目最高年服务能力计，即</w:t>
            </w:r>
            <w:r>
              <w:rPr>
                <w:rFonts w:hint="eastAsia"/>
                <w:sz w:val="24"/>
              </w:rPr>
              <w:t>年火化遗体</w:t>
            </w:r>
            <w:r>
              <w:rPr>
                <w:sz w:val="24"/>
              </w:rPr>
              <w:t>2190具</w:t>
            </w:r>
            <w:r>
              <w:rPr>
                <w:rFonts w:hint="eastAsia"/>
                <w:sz w:val="24"/>
              </w:rPr>
              <w:t>计，则本项目遗体处置清洗、消毒用水量为4</w:t>
            </w:r>
            <w:r>
              <w:rPr>
                <w:sz w:val="24"/>
              </w:rPr>
              <w:t>38</w:t>
            </w:r>
            <w:r>
              <w:rPr>
                <w:rFonts w:hint="eastAsia"/>
                <w:sz w:val="24"/>
              </w:rPr>
              <w:t>m</w:t>
            </w:r>
            <w:r>
              <w:rPr>
                <w:sz w:val="24"/>
                <w:vertAlign w:val="superscript"/>
              </w:rPr>
              <w:t>3</w:t>
            </w:r>
            <w:r>
              <w:rPr>
                <w:sz w:val="24"/>
              </w:rPr>
              <w:t>/a</w:t>
            </w:r>
            <w:r>
              <w:rPr>
                <w:rFonts w:hint="eastAsia"/>
                <w:sz w:val="24"/>
              </w:rPr>
              <w:t>，1</w:t>
            </w:r>
            <w:r>
              <w:rPr>
                <w:sz w:val="24"/>
              </w:rPr>
              <w:t>.2</w:t>
            </w:r>
            <w:r>
              <w:rPr>
                <w:rFonts w:hint="eastAsia"/>
                <w:sz w:val="24"/>
              </w:rPr>
              <w:t>m</w:t>
            </w:r>
            <w:r>
              <w:rPr>
                <w:sz w:val="24"/>
                <w:vertAlign w:val="superscript"/>
              </w:rPr>
              <w:t>3</w:t>
            </w:r>
            <w:r>
              <w:rPr>
                <w:sz w:val="24"/>
              </w:rPr>
              <w:t>/</w:t>
            </w:r>
            <w:r>
              <w:rPr>
                <w:rFonts w:hint="eastAsia"/>
                <w:sz w:val="24"/>
              </w:rPr>
              <w:t>d；产污系数按用水量的</w:t>
            </w:r>
            <w:r>
              <w:rPr>
                <w:sz w:val="24"/>
              </w:rPr>
              <w:t>80</w:t>
            </w:r>
            <w:r>
              <w:rPr>
                <w:rFonts w:hint="eastAsia"/>
                <w:sz w:val="24"/>
              </w:rPr>
              <w:t>%计，则污水产生量为</w:t>
            </w:r>
            <w:r>
              <w:rPr>
                <w:sz w:val="24"/>
              </w:rPr>
              <w:t>350.4</w:t>
            </w:r>
            <w:r>
              <w:rPr>
                <w:rFonts w:hint="eastAsia"/>
                <w:sz w:val="24"/>
              </w:rPr>
              <w:t>m³/a（</w:t>
            </w:r>
            <w:r>
              <w:rPr>
                <w:sz w:val="24"/>
              </w:rPr>
              <w:t>0.96</w:t>
            </w:r>
            <w:r>
              <w:rPr>
                <w:rFonts w:hint="eastAsia"/>
                <w:sz w:val="24"/>
              </w:rPr>
              <w:t>m³/d）。</w:t>
            </w:r>
          </w:p>
          <w:p>
            <w:pPr>
              <w:adjustRightInd w:val="0"/>
              <w:snapToGrid w:val="0"/>
              <w:spacing w:line="480" w:lineRule="exact"/>
              <w:ind w:firstLine="482" w:firstLineChars="200"/>
              <w:rPr>
                <w:b/>
                <w:bCs/>
                <w:sz w:val="24"/>
              </w:rPr>
            </w:pPr>
            <w:r>
              <w:rPr>
                <w:rFonts w:hint="eastAsia"/>
                <w:b/>
                <w:bCs/>
                <w:sz w:val="24"/>
              </w:rPr>
              <w:t>②专用殡仪车辆清洗、消毒用水</w:t>
            </w:r>
          </w:p>
          <w:p>
            <w:pPr>
              <w:adjustRightInd w:val="0"/>
              <w:snapToGrid w:val="0"/>
              <w:spacing w:line="480" w:lineRule="exact"/>
              <w:ind w:firstLine="480" w:firstLineChars="200"/>
              <w:rPr>
                <w:sz w:val="24"/>
              </w:rPr>
            </w:pPr>
            <w:r>
              <w:rPr>
                <w:rFonts w:hint="eastAsia"/>
                <w:sz w:val="24"/>
              </w:rPr>
              <w:t>专用殡仪车辆清洗消毒用水按8</w:t>
            </w:r>
            <w:r>
              <w:rPr>
                <w:sz w:val="24"/>
              </w:rPr>
              <w:t>0L/</w:t>
            </w:r>
            <w:r>
              <w:rPr>
                <w:rFonts w:hint="eastAsia"/>
                <w:sz w:val="24"/>
              </w:rPr>
              <w:t>辆·次计，清洗次数按2</w:t>
            </w:r>
            <w:r>
              <w:rPr>
                <w:sz w:val="24"/>
              </w:rPr>
              <w:t>190</w:t>
            </w:r>
            <w:r>
              <w:rPr>
                <w:rFonts w:hint="eastAsia"/>
                <w:sz w:val="24"/>
              </w:rPr>
              <w:t>次/计，则本项目专用殡仪车辆清洗消毒用水量为1</w:t>
            </w:r>
            <w:r>
              <w:rPr>
                <w:sz w:val="24"/>
              </w:rPr>
              <w:t>75.2</w:t>
            </w:r>
            <w:r>
              <w:rPr>
                <w:rFonts w:hint="eastAsia"/>
                <w:sz w:val="24"/>
              </w:rPr>
              <w:t>m</w:t>
            </w:r>
            <w:r>
              <w:rPr>
                <w:sz w:val="24"/>
                <w:vertAlign w:val="superscript"/>
              </w:rPr>
              <w:t>3</w:t>
            </w:r>
            <w:r>
              <w:rPr>
                <w:sz w:val="24"/>
              </w:rPr>
              <w:t>/</w:t>
            </w:r>
            <w:r>
              <w:rPr>
                <w:rFonts w:hint="eastAsia"/>
                <w:sz w:val="24"/>
              </w:rPr>
              <w:t>a，</w:t>
            </w:r>
            <w:r>
              <w:rPr>
                <w:rFonts w:hint="eastAsia"/>
                <w:color w:val="0000FF"/>
                <w:sz w:val="24"/>
              </w:rPr>
              <w:t>0</w:t>
            </w:r>
            <w:r>
              <w:rPr>
                <w:color w:val="0000FF"/>
                <w:sz w:val="24"/>
              </w:rPr>
              <w:t>.48</w:t>
            </w:r>
            <w:r>
              <w:rPr>
                <w:rFonts w:hint="eastAsia"/>
                <w:color w:val="0000FF"/>
                <w:sz w:val="24"/>
              </w:rPr>
              <w:t>m</w:t>
            </w:r>
            <w:r>
              <w:rPr>
                <w:color w:val="0000FF"/>
                <w:sz w:val="24"/>
                <w:vertAlign w:val="superscript"/>
              </w:rPr>
              <w:t>3</w:t>
            </w:r>
            <w:r>
              <w:rPr>
                <w:color w:val="0000FF"/>
                <w:sz w:val="24"/>
              </w:rPr>
              <w:t>/d</w:t>
            </w:r>
            <w:r>
              <w:rPr>
                <w:rFonts w:hint="eastAsia"/>
                <w:color w:val="0000FF"/>
                <w:sz w:val="24"/>
              </w:rPr>
              <w:t>。</w:t>
            </w:r>
            <w:r>
              <w:rPr>
                <w:rFonts w:hint="eastAsia"/>
                <w:sz w:val="24"/>
              </w:rPr>
              <w:t>产污系数按用水量的8</w:t>
            </w:r>
            <w:r>
              <w:rPr>
                <w:sz w:val="24"/>
              </w:rPr>
              <w:t>0</w:t>
            </w:r>
            <w:r>
              <w:rPr>
                <w:rFonts w:hint="eastAsia"/>
                <w:sz w:val="24"/>
              </w:rPr>
              <w:t>%计，则污水产生量为</w:t>
            </w:r>
            <w:r>
              <w:rPr>
                <w:sz w:val="24"/>
              </w:rPr>
              <w:t>140.2</w:t>
            </w:r>
            <w:r>
              <w:rPr>
                <w:rFonts w:hint="eastAsia"/>
                <w:sz w:val="24"/>
              </w:rPr>
              <w:t>m³/a</w:t>
            </w:r>
            <w:r>
              <w:rPr>
                <w:rFonts w:hint="eastAsia"/>
                <w:color w:val="0000FF"/>
                <w:sz w:val="24"/>
              </w:rPr>
              <w:t>（</w:t>
            </w:r>
            <w:r>
              <w:rPr>
                <w:color w:val="0000FF"/>
                <w:sz w:val="24"/>
              </w:rPr>
              <w:t>0.384</w:t>
            </w:r>
            <w:r>
              <w:rPr>
                <w:rFonts w:hint="eastAsia"/>
                <w:color w:val="0000FF"/>
                <w:sz w:val="24"/>
              </w:rPr>
              <w:t>m³/d）</w:t>
            </w:r>
            <w:r>
              <w:rPr>
                <w:rFonts w:hint="eastAsia"/>
                <w:sz w:val="24"/>
              </w:rPr>
              <w:t>。</w:t>
            </w:r>
          </w:p>
          <w:p>
            <w:pPr>
              <w:adjustRightInd w:val="0"/>
              <w:snapToGrid w:val="0"/>
              <w:spacing w:line="480" w:lineRule="exact"/>
              <w:ind w:firstLine="482" w:firstLineChars="200"/>
              <w:rPr>
                <w:b/>
                <w:bCs/>
                <w:sz w:val="24"/>
              </w:rPr>
            </w:pPr>
            <w:r>
              <w:rPr>
                <w:rFonts w:hint="eastAsia"/>
                <w:b/>
                <w:bCs/>
                <w:sz w:val="24"/>
              </w:rPr>
              <w:t>③烟气处理设施急冷装置循环冷却水用水</w:t>
            </w:r>
          </w:p>
          <w:p>
            <w:pPr>
              <w:adjustRightInd w:val="0"/>
              <w:snapToGrid w:val="0"/>
              <w:spacing w:line="480" w:lineRule="exact"/>
              <w:ind w:firstLine="480" w:firstLineChars="200"/>
              <w:rPr>
                <w:color w:val="0000FF"/>
                <w:sz w:val="24"/>
              </w:rPr>
            </w:pPr>
            <w:r>
              <w:rPr>
                <w:rFonts w:hint="eastAsia"/>
                <w:sz w:val="24"/>
              </w:rPr>
              <w:t>250℃-450℃温度</w:t>
            </w:r>
            <w:r>
              <w:rPr>
                <w:rFonts w:hint="eastAsia"/>
                <w:sz w:val="24"/>
                <w:highlight w:val="none"/>
                <w:lang w:eastAsia="zh-CN"/>
              </w:rPr>
              <w:t>段</w:t>
            </w:r>
            <w:r>
              <w:rPr>
                <w:rFonts w:hint="eastAsia"/>
                <w:sz w:val="24"/>
              </w:rPr>
              <w:t>是二噁英重新生成的温度区间，为了控制二噁英的生成，遗体火化烟气和遗物祭品焚烧烟气必须瞬间降温</w:t>
            </w:r>
            <w:bookmarkStart w:id="9" w:name="_GoBack"/>
            <w:bookmarkEnd w:id="9"/>
            <w:r>
              <w:rPr>
                <w:rFonts w:hint="eastAsia"/>
                <w:sz w:val="24"/>
              </w:rPr>
              <w:t>，配套的烟气处理设施都有急冷装置，利用冷却水间接冷却，在短时间内（&gt;2s）蒸发，迅速带走热量，使烟气温度急速下降至200℃以下（约195℃）。冷却用水循环使用，无废水产生，只需按时进行补充，根据同类项目调查，冷却用水补充量约</w:t>
            </w:r>
            <w:r>
              <w:rPr>
                <w:color w:val="0000FF"/>
                <w:sz w:val="24"/>
              </w:rPr>
              <w:t>2</w:t>
            </w:r>
            <w:r>
              <w:rPr>
                <w:rFonts w:hint="eastAsia"/>
                <w:color w:val="0000FF"/>
                <w:sz w:val="24"/>
              </w:rPr>
              <w:t>m</w:t>
            </w:r>
            <w:r>
              <w:rPr>
                <w:color w:val="0000FF"/>
                <w:sz w:val="24"/>
                <w:vertAlign w:val="superscript"/>
              </w:rPr>
              <w:t>3</w:t>
            </w:r>
            <w:r>
              <w:rPr>
                <w:rFonts w:hint="eastAsia"/>
                <w:color w:val="0000FF"/>
                <w:sz w:val="24"/>
              </w:rPr>
              <w:t>/d（</w:t>
            </w:r>
            <w:r>
              <w:rPr>
                <w:color w:val="0000FF"/>
                <w:sz w:val="24"/>
              </w:rPr>
              <w:t>730m</w:t>
            </w:r>
            <w:r>
              <w:rPr>
                <w:color w:val="0000FF"/>
                <w:sz w:val="24"/>
                <w:vertAlign w:val="superscript"/>
              </w:rPr>
              <w:t>3</w:t>
            </w:r>
            <w:r>
              <w:rPr>
                <w:rFonts w:hint="eastAsia"/>
                <w:color w:val="0000FF"/>
                <w:sz w:val="24"/>
              </w:rPr>
              <w:t>/a）。</w:t>
            </w:r>
          </w:p>
          <w:p>
            <w:pPr>
              <w:adjustRightInd w:val="0"/>
              <w:snapToGrid w:val="0"/>
              <w:spacing w:line="480" w:lineRule="exact"/>
              <w:ind w:firstLine="482" w:firstLineChars="200"/>
              <w:rPr>
                <w:b/>
                <w:bCs/>
                <w:sz w:val="24"/>
              </w:rPr>
            </w:pPr>
            <w:r>
              <w:rPr>
                <w:rFonts w:hint="eastAsia"/>
                <w:b/>
                <w:bCs/>
                <w:sz w:val="24"/>
              </w:rPr>
              <w:t>④绿化用水</w:t>
            </w:r>
          </w:p>
          <w:p>
            <w:pPr>
              <w:adjustRightInd w:val="0"/>
              <w:snapToGrid w:val="0"/>
              <w:spacing w:line="480" w:lineRule="exact"/>
              <w:ind w:firstLine="480" w:firstLineChars="200"/>
              <w:rPr>
                <w:sz w:val="24"/>
              </w:rPr>
            </w:pPr>
            <w:r>
              <w:rPr>
                <w:rFonts w:hint="eastAsia"/>
                <w:sz w:val="24"/>
              </w:rPr>
              <w:t>本项目绿化面积为</w:t>
            </w:r>
            <w:r>
              <w:rPr>
                <w:rFonts w:hint="eastAsia"/>
                <w:bCs/>
                <w:sz w:val="24"/>
              </w:rPr>
              <w:t>6</w:t>
            </w:r>
            <w:r>
              <w:rPr>
                <w:bCs/>
                <w:sz w:val="24"/>
              </w:rPr>
              <w:t>781.99</w:t>
            </w:r>
            <w:r>
              <w:rPr>
                <w:sz w:val="24"/>
              </w:rPr>
              <w:t>m</w:t>
            </w:r>
            <w:r>
              <w:rPr>
                <w:sz w:val="24"/>
                <w:vertAlign w:val="superscript"/>
              </w:rPr>
              <w:t>2</w:t>
            </w:r>
            <w:r>
              <w:rPr>
                <w:rFonts w:hint="eastAsia"/>
                <w:sz w:val="24"/>
              </w:rPr>
              <w:t>，冷季型草坪二级养护用水定额为0.28m</w:t>
            </w:r>
            <w:r>
              <w:rPr>
                <w:rFonts w:hint="eastAsia"/>
                <w:sz w:val="24"/>
                <w:vertAlign w:val="superscript"/>
              </w:rPr>
              <w:t>3</w:t>
            </w:r>
            <w:r>
              <w:rPr>
                <w:rFonts w:hint="eastAsia"/>
                <w:sz w:val="24"/>
              </w:rPr>
              <w:t>/</w:t>
            </w:r>
            <w:r>
              <w:rPr>
                <w:rFonts w:hint="eastAsia"/>
                <w:color w:val="0000FF"/>
                <w:sz w:val="24"/>
              </w:rPr>
              <w:t>（m</w:t>
            </w:r>
            <w:r>
              <w:rPr>
                <w:rFonts w:hint="eastAsia"/>
                <w:color w:val="0000FF"/>
                <w:sz w:val="24"/>
                <w:vertAlign w:val="superscript"/>
              </w:rPr>
              <w:t>2</w:t>
            </w:r>
            <w:r>
              <w:rPr>
                <w:rFonts w:hint="eastAsia"/>
                <w:color w:val="0000FF"/>
                <w:sz w:val="24"/>
              </w:rPr>
              <w:t>·a），</w:t>
            </w:r>
            <w:r>
              <w:rPr>
                <w:rFonts w:hint="eastAsia"/>
                <w:sz w:val="24"/>
              </w:rPr>
              <w:t>则绿化用水量为</w:t>
            </w:r>
            <w:r>
              <w:rPr>
                <w:sz w:val="24"/>
              </w:rPr>
              <w:t>1899</w:t>
            </w:r>
            <w:r>
              <w:rPr>
                <w:rFonts w:hint="eastAsia"/>
                <w:sz w:val="24"/>
              </w:rPr>
              <w:t>m</w:t>
            </w:r>
            <w:r>
              <w:rPr>
                <w:rFonts w:hint="eastAsia"/>
                <w:sz w:val="24"/>
                <w:vertAlign w:val="superscript"/>
              </w:rPr>
              <w:t>3</w:t>
            </w:r>
            <w:r>
              <w:rPr>
                <w:rFonts w:hint="eastAsia"/>
                <w:sz w:val="24"/>
              </w:rPr>
              <w:t>/a（</w:t>
            </w:r>
            <w:r>
              <w:rPr>
                <w:sz w:val="24"/>
              </w:rPr>
              <w:t>10.4</w:t>
            </w:r>
            <w:r>
              <w:rPr>
                <w:rFonts w:hint="eastAsia"/>
                <w:sz w:val="24"/>
              </w:rPr>
              <w:t>m</w:t>
            </w:r>
            <w:r>
              <w:rPr>
                <w:rFonts w:hint="eastAsia"/>
                <w:sz w:val="24"/>
                <w:vertAlign w:val="superscript"/>
              </w:rPr>
              <w:t>3</w:t>
            </w:r>
            <w:r>
              <w:rPr>
                <w:rFonts w:hint="eastAsia"/>
                <w:sz w:val="24"/>
              </w:rPr>
              <w:t>/</w:t>
            </w:r>
            <w:r>
              <w:rPr>
                <w:sz w:val="24"/>
              </w:rPr>
              <w:t>d</w:t>
            </w:r>
            <w:r>
              <w:rPr>
                <w:rFonts w:hint="eastAsia"/>
                <w:sz w:val="24"/>
              </w:rPr>
              <w:t>，非采暖期）。</w:t>
            </w:r>
          </w:p>
          <w:p>
            <w:pPr>
              <w:adjustRightInd w:val="0"/>
              <w:snapToGrid w:val="0"/>
              <w:spacing w:line="480" w:lineRule="exact"/>
              <w:ind w:firstLine="482" w:firstLineChars="200"/>
              <w:rPr>
                <w:b/>
                <w:bCs/>
                <w:sz w:val="24"/>
              </w:rPr>
            </w:pPr>
            <w:r>
              <w:rPr>
                <w:rFonts w:hint="eastAsia"/>
                <w:b/>
                <w:bCs/>
                <w:sz w:val="24"/>
              </w:rPr>
              <w:t>⑤来访人员及工作人员用水</w:t>
            </w:r>
          </w:p>
          <w:p>
            <w:pPr>
              <w:adjustRightInd w:val="0"/>
              <w:snapToGrid w:val="0"/>
              <w:spacing w:line="480" w:lineRule="exact"/>
              <w:ind w:firstLine="480" w:firstLineChars="200"/>
              <w:rPr>
                <w:color w:val="0000FF"/>
                <w:sz w:val="24"/>
              </w:rPr>
            </w:pPr>
            <w:r>
              <w:rPr>
                <w:rFonts w:hint="eastAsia"/>
                <w:sz w:val="24"/>
              </w:rPr>
              <w:t>目前五台县尚未定编县级殡仪馆定员，环评时</w:t>
            </w:r>
            <w:r>
              <w:rPr>
                <w:sz w:val="24"/>
              </w:rPr>
              <w:t>项目运营期</w:t>
            </w:r>
            <w:r>
              <w:rPr>
                <w:rFonts w:hint="eastAsia"/>
                <w:sz w:val="24"/>
              </w:rPr>
              <w:t>暂</w:t>
            </w:r>
            <w:r>
              <w:rPr>
                <w:sz w:val="24"/>
              </w:rPr>
              <w:t>拟</w:t>
            </w:r>
            <w:r>
              <w:rPr>
                <w:rFonts w:hint="eastAsia"/>
                <w:sz w:val="24"/>
              </w:rPr>
              <w:t>按</w:t>
            </w:r>
            <w:r>
              <w:rPr>
                <w:sz w:val="24"/>
              </w:rPr>
              <w:t>工作人员20人</w:t>
            </w:r>
            <w:r>
              <w:rPr>
                <w:rFonts w:hint="eastAsia"/>
                <w:sz w:val="24"/>
              </w:rPr>
              <w:t>计算产排污量；工作人员用水定额按9</w:t>
            </w:r>
            <w:r>
              <w:rPr>
                <w:sz w:val="24"/>
              </w:rPr>
              <w:t>0L/(</w:t>
            </w:r>
            <w:r>
              <w:rPr>
                <w:rFonts w:hint="eastAsia"/>
                <w:sz w:val="24"/>
              </w:rPr>
              <w:t>p·d</w:t>
            </w:r>
            <w:r>
              <w:rPr>
                <w:sz w:val="24"/>
              </w:rPr>
              <w:t>)</w:t>
            </w:r>
            <w:r>
              <w:rPr>
                <w:rFonts w:hint="eastAsia"/>
                <w:sz w:val="24"/>
              </w:rPr>
              <w:t>计，则工作人员生活用水量为</w:t>
            </w:r>
            <w:r>
              <w:rPr>
                <w:rFonts w:hint="eastAsia"/>
                <w:color w:val="0000FF"/>
                <w:sz w:val="24"/>
              </w:rPr>
              <w:t>1</w:t>
            </w:r>
            <w:r>
              <w:rPr>
                <w:color w:val="0000FF"/>
                <w:sz w:val="24"/>
              </w:rPr>
              <w:t>.8</w:t>
            </w:r>
            <w:r>
              <w:rPr>
                <w:rFonts w:hint="eastAsia"/>
                <w:color w:val="0000FF"/>
                <w:sz w:val="24"/>
              </w:rPr>
              <w:t xml:space="preserve"> m</w:t>
            </w:r>
            <w:r>
              <w:rPr>
                <w:rFonts w:hint="eastAsia"/>
                <w:color w:val="0000FF"/>
                <w:sz w:val="24"/>
                <w:vertAlign w:val="superscript"/>
              </w:rPr>
              <w:t>3</w:t>
            </w:r>
            <w:r>
              <w:rPr>
                <w:rFonts w:hint="eastAsia"/>
                <w:color w:val="0000FF"/>
                <w:sz w:val="24"/>
              </w:rPr>
              <w:t>/</w:t>
            </w:r>
            <w:r>
              <w:rPr>
                <w:color w:val="0000FF"/>
                <w:sz w:val="24"/>
              </w:rPr>
              <w:t>d</w:t>
            </w:r>
            <w:r>
              <w:rPr>
                <w:rFonts w:hint="eastAsia"/>
                <w:color w:val="0000FF"/>
                <w:sz w:val="24"/>
              </w:rPr>
              <w:t>（6</w:t>
            </w:r>
            <w:r>
              <w:rPr>
                <w:color w:val="0000FF"/>
                <w:sz w:val="24"/>
              </w:rPr>
              <w:t>57</w:t>
            </w:r>
            <w:r>
              <w:rPr>
                <w:rFonts w:hint="eastAsia"/>
                <w:color w:val="0000FF"/>
                <w:sz w:val="24"/>
              </w:rPr>
              <w:t xml:space="preserve"> m</w:t>
            </w:r>
            <w:r>
              <w:rPr>
                <w:rFonts w:hint="eastAsia"/>
                <w:color w:val="0000FF"/>
                <w:sz w:val="24"/>
                <w:vertAlign w:val="superscript"/>
              </w:rPr>
              <w:t>3</w:t>
            </w:r>
            <w:r>
              <w:rPr>
                <w:rFonts w:hint="eastAsia"/>
                <w:color w:val="0000FF"/>
                <w:sz w:val="24"/>
              </w:rPr>
              <w:t>/a）</w:t>
            </w:r>
            <w:r>
              <w:rPr>
                <w:rFonts w:hint="eastAsia"/>
                <w:sz w:val="24"/>
              </w:rPr>
              <w:t>，产污系数按用水量的</w:t>
            </w:r>
            <w:r>
              <w:rPr>
                <w:sz w:val="24"/>
              </w:rPr>
              <w:t>80</w:t>
            </w:r>
            <w:r>
              <w:rPr>
                <w:rFonts w:hint="eastAsia"/>
                <w:sz w:val="24"/>
              </w:rPr>
              <w:t>%计，则污水产生量为</w:t>
            </w:r>
            <w:r>
              <w:rPr>
                <w:color w:val="0000FF"/>
                <w:sz w:val="24"/>
              </w:rPr>
              <w:t>1.44</w:t>
            </w:r>
            <w:r>
              <w:rPr>
                <w:rFonts w:hint="eastAsia"/>
                <w:color w:val="0000FF"/>
                <w:sz w:val="24"/>
              </w:rPr>
              <w:t>m³/</w:t>
            </w:r>
            <w:r>
              <w:rPr>
                <w:color w:val="0000FF"/>
                <w:sz w:val="24"/>
              </w:rPr>
              <w:t>d</w:t>
            </w:r>
            <w:r>
              <w:rPr>
                <w:rFonts w:hint="eastAsia"/>
                <w:color w:val="0000FF"/>
                <w:sz w:val="24"/>
              </w:rPr>
              <w:t>（</w:t>
            </w:r>
            <w:r>
              <w:rPr>
                <w:color w:val="0000FF"/>
                <w:sz w:val="24"/>
              </w:rPr>
              <w:t>525.6</w:t>
            </w:r>
            <w:r>
              <w:rPr>
                <w:rFonts w:hint="eastAsia"/>
                <w:color w:val="0000FF"/>
                <w:sz w:val="24"/>
              </w:rPr>
              <w:t>m³/</w:t>
            </w:r>
            <w:r>
              <w:rPr>
                <w:color w:val="0000FF"/>
                <w:sz w:val="24"/>
              </w:rPr>
              <w:t>a</w:t>
            </w:r>
            <w:r>
              <w:rPr>
                <w:rFonts w:hint="eastAsia"/>
                <w:color w:val="0000FF"/>
                <w:sz w:val="24"/>
              </w:rPr>
              <w:t>）。</w:t>
            </w:r>
          </w:p>
          <w:p>
            <w:pPr>
              <w:adjustRightInd w:val="0"/>
              <w:snapToGrid w:val="0"/>
              <w:spacing w:line="480" w:lineRule="exact"/>
              <w:ind w:firstLine="480" w:firstLineChars="200"/>
              <w:rPr>
                <w:sz w:val="24"/>
              </w:rPr>
            </w:pPr>
            <w:r>
              <w:rPr>
                <w:sz w:val="24"/>
              </w:rPr>
              <w:t>本项目最高年服务能力</w:t>
            </w:r>
            <w:r>
              <w:rPr>
                <w:rFonts w:hint="eastAsia"/>
                <w:sz w:val="24"/>
              </w:rPr>
              <w:t>为每年火化</w:t>
            </w:r>
            <w:r>
              <w:rPr>
                <w:sz w:val="24"/>
              </w:rPr>
              <w:t>2190</w:t>
            </w:r>
            <w:r>
              <w:rPr>
                <w:rFonts w:hint="eastAsia"/>
                <w:sz w:val="24"/>
              </w:rPr>
              <w:t>具遗体并通过配套的殡葬服务，按一天每个悼念厅两场悼念会，一场</w:t>
            </w:r>
            <w:r>
              <w:rPr>
                <w:sz w:val="24"/>
              </w:rPr>
              <w:t>5</w:t>
            </w:r>
            <w:r>
              <w:rPr>
                <w:rFonts w:hint="eastAsia"/>
                <w:sz w:val="24"/>
              </w:rPr>
              <w:t>0人来计算，悼念、来访人员的用水量按</w:t>
            </w:r>
            <w:r>
              <w:rPr>
                <w:sz w:val="24"/>
              </w:rPr>
              <w:t>10</w:t>
            </w:r>
            <w:r>
              <w:rPr>
                <w:rFonts w:hint="eastAsia"/>
                <w:sz w:val="24"/>
              </w:rPr>
              <w:t>L/人</w:t>
            </w:r>
            <w:r>
              <w:rPr>
                <w:bCs/>
                <w:sz w:val="24"/>
              </w:rPr>
              <w:t>·d</w:t>
            </w:r>
            <w:r>
              <w:rPr>
                <w:rFonts w:hint="eastAsia"/>
                <w:bCs/>
                <w:sz w:val="24"/>
              </w:rPr>
              <w:t>计，每天悼念、</w:t>
            </w:r>
            <w:r>
              <w:rPr>
                <w:rFonts w:hint="eastAsia"/>
                <w:sz w:val="24"/>
              </w:rPr>
              <w:t>来访</w:t>
            </w:r>
            <w:r>
              <w:rPr>
                <w:rFonts w:hint="eastAsia"/>
                <w:bCs/>
                <w:sz w:val="24"/>
              </w:rPr>
              <w:t>人员为</w:t>
            </w:r>
            <w:r>
              <w:rPr>
                <w:bCs/>
                <w:sz w:val="24"/>
              </w:rPr>
              <w:t>3</w:t>
            </w:r>
            <w:r>
              <w:rPr>
                <w:rFonts w:hint="eastAsia"/>
                <w:bCs/>
                <w:sz w:val="24"/>
              </w:rPr>
              <w:t>00人。</w:t>
            </w:r>
            <w:r>
              <w:rPr>
                <w:rFonts w:hint="eastAsia"/>
                <w:sz w:val="24"/>
              </w:rPr>
              <w:t>则悼念、来访人员生活用水量为</w:t>
            </w:r>
            <w:r>
              <w:rPr>
                <w:sz w:val="24"/>
              </w:rPr>
              <w:t>3</w:t>
            </w:r>
            <w:r>
              <w:rPr>
                <w:rFonts w:hint="eastAsia"/>
                <w:sz w:val="24"/>
              </w:rPr>
              <w:t xml:space="preserve"> m</w:t>
            </w:r>
            <w:r>
              <w:rPr>
                <w:rFonts w:hint="eastAsia"/>
                <w:sz w:val="24"/>
                <w:vertAlign w:val="superscript"/>
              </w:rPr>
              <w:t>3</w:t>
            </w:r>
            <w:r>
              <w:rPr>
                <w:rFonts w:hint="eastAsia"/>
                <w:sz w:val="24"/>
              </w:rPr>
              <w:t>/</w:t>
            </w:r>
            <w:r>
              <w:rPr>
                <w:sz w:val="24"/>
              </w:rPr>
              <w:t>d</w:t>
            </w:r>
            <w:r>
              <w:rPr>
                <w:rFonts w:hint="eastAsia"/>
                <w:sz w:val="24"/>
              </w:rPr>
              <w:t>（</w:t>
            </w:r>
            <w:r>
              <w:rPr>
                <w:sz w:val="24"/>
              </w:rPr>
              <w:t>1095</w:t>
            </w:r>
            <w:r>
              <w:rPr>
                <w:rFonts w:hint="eastAsia"/>
                <w:sz w:val="24"/>
              </w:rPr>
              <w:t xml:space="preserve"> m</w:t>
            </w:r>
            <w:r>
              <w:rPr>
                <w:rFonts w:hint="eastAsia"/>
                <w:sz w:val="24"/>
                <w:vertAlign w:val="superscript"/>
              </w:rPr>
              <w:t>3</w:t>
            </w:r>
            <w:r>
              <w:rPr>
                <w:rFonts w:hint="eastAsia"/>
                <w:sz w:val="24"/>
              </w:rPr>
              <w:t>/a），产污系数按用水量的</w:t>
            </w:r>
            <w:r>
              <w:rPr>
                <w:sz w:val="24"/>
              </w:rPr>
              <w:t>80</w:t>
            </w:r>
            <w:r>
              <w:rPr>
                <w:rFonts w:hint="eastAsia"/>
                <w:sz w:val="24"/>
              </w:rPr>
              <w:t>%计，则污水产生量为</w:t>
            </w:r>
            <w:r>
              <w:rPr>
                <w:color w:val="0000FF"/>
                <w:sz w:val="24"/>
              </w:rPr>
              <w:t>2.4</w:t>
            </w:r>
            <w:r>
              <w:rPr>
                <w:rFonts w:hint="eastAsia"/>
                <w:color w:val="0000FF"/>
                <w:sz w:val="24"/>
              </w:rPr>
              <w:t>m³/</w:t>
            </w:r>
            <w:r>
              <w:rPr>
                <w:color w:val="0000FF"/>
                <w:sz w:val="24"/>
              </w:rPr>
              <w:t>d</w:t>
            </w:r>
            <w:r>
              <w:rPr>
                <w:rFonts w:hint="eastAsia"/>
                <w:color w:val="0000FF"/>
                <w:sz w:val="24"/>
              </w:rPr>
              <w:t>（</w:t>
            </w:r>
            <w:r>
              <w:rPr>
                <w:color w:val="0000FF"/>
                <w:sz w:val="24"/>
              </w:rPr>
              <w:t>876</w:t>
            </w:r>
            <w:r>
              <w:rPr>
                <w:rFonts w:hint="eastAsia"/>
                <w:color w:val="0000FF"/>
                <w:sz w:val="24"/>
              </w:rPr>
              <w:t>m³/</w:t>
            </w:r>
            <w:r>
              <w:rPr>
                <w:color w:val="0000FF"/>
                <w:sz w:val="24"/>
              </w:rPr>
              <w:t>a</w:t>
            </w:r>
            <w:r>
              <w:rPr>
                <w:rFonts w:hint="eastAsia"/>
                <w:color w:val="0000FF"/>
                <w:sz w:val="24"/>
              </w:rPr>
              <w:t>）</w:t>
            </w:r>
            <w:r>
              <w:rPr>
                <w:rFonts w:hint="eastAsia"/>
                <w:sz w:val="24"/>
              </w:rPr>
              <w:t>。</w:t>
            </w:r>
          </w:p>
          <w:p>
            <w:pPr>
              <w:adjustRightInd w:val="0"/>
              <w:snapToGrid w:val="0"/>
              <w:spacing w:line="480" w:lineRule="exact"/>
              <w:ind w:firstLine="482" w:firstLineChars="200"/>
              <w:rPr>
                <w:b/>
                <w:bCs/>
                <w:sz w:val="24"/>
              </w:rPr>
            </w:pPr>
            <w:r>
              <w:rPr>
                <w:rFonts w:hint="eastAsia"/>
                <w:b/>
                <w:bCs/>
                <w:sz w:val="24"/>
              </w:rPr>
              <w:t>（2）</w:t>
            </w:r>
            <w:r>
              <w:rPr>
                <w:b/>
                <w:bCs/>
                <w:sz w:val="24"/>
              </w:rPr>
              <w:t>排水工程</w:t>
            </w:r>
          </w:p>
          <w:p>
            <w:pPr>
              <w:adjustRightInd w:val="0"/>
              <w:snapToGrid w:val="0"/>
              <w:spacing w:line="480" w:lineRule="exact"/>
              <w:ind w:firstLine="480" w:firstLineChars="200"/>
              <w:rPr>
                <w:sz w:val="24"/>
              </w:rPr>
            </w:pPr>
            <w:r>
              <w:rPr>
                <w:sz w:val="24"/>
              </w:rPr>
              <w:t>运营期</w:t>
            </w:r>
            <w:r>
              <w:rPr>
                <w:rFonts w:hint="eastAsia"/>
                <w:sz w:val="24"/>
              </w:rPr>
              <w:t>场</w:t>
            </w:r>
            <w:r>
              <w:rPr>
                <w:sz w:val="24"/>
              </w:rPr>
              <w:t>区采取雨、污分流制，厂内地面雨水由道路两侧雨水沟收集，屋面雨水均经屋面雨水天沟、雨水斗收集后，沿外墙外侧雨水管排下，经雨水管网收集后直接排放至</w:t>
            </w:r>
            <w:r>
              <w:rPr>
                <w:rFonts w:hint="eastAsia"/>
                <w:sz w:val="24"/>
              </w:rPr>
              <w:t>场</w:t>
            </w:r>
            <w:r>
              <w:rPr>
                <w:sz w:val="24"/>
              </w:rPr>
              <w:t>外</w:t>
            </w:r>
            <w:r>
              <w:rPr>
                <w:rFonts w:hint="eastAsia"/>
                <w:sz w:val="24"/>
              </w:rPr>
              <w:t>道路沿线排水沟</w:t>
            </w:r>
            <w:r>
              <w:rPr>
                <w:sz w:val="24"/>
              </w:rPr>
              <w:t>。</w:t>
            </w:r>
          </w:p>
          <w:p>
            <w:pPr>
              <w:adjustRightInd w:val="0"/>
              <w:snapToGrid w:val="0"/>
              <w:spacing w:line="480" w:lineRule="exact"/>
              <w:ind w:firstLine="480" w:firstLineChars="200"/>
              <w:rPr>
                <w:sz w:val="24"/>
              </w:rPr>
            </w:pPr>
            <w:r>
              <w:rPr>
                <w:rFonts w:hint="eastAsia"/>
                <w:sz w:val="24"/>
              </w:rPr>
              <w:t>本项目主要废水为遗体处置清洗、消毒废水，专用殡仪车辆清洗、消毒废水和生活污水；其中遗体处置清洗、消毒废水，专用殡仪车辆清洗、消毒废水经消毒池预处理后进入自建污水处理站处理，与其他生活污水一同进入自建污水处理站处理。本项目产生的废水经污水处理站处理后非采暖期（5月至1</w:t>
            </w:r>
            <w:r>
              <w:rPr>
                <w:sz w:val="24"/>
              </w:rPr>
              <w:t>0</w:t>
            </w:r>
            <w:r>
              <w:rPr>
                <w:rFonts w:hint="eastAsia"/>
                <w:sz w:val="24"/>
              </w:rPr>
              <w:t>月）可用于道路浇洒及绿化浇灌，采暖期（1</w:t>
            </w:r>
            <w:r>
              <w:rPr>
                <w:sz w:val="24"/>
              </w:rPr>
              <w:t>1</w:t>
            </w:r>
            <w:r>
              <w:rPr>
                <w:rFonts w:hint="eastAsia"/>
                <w:sz w:val="24"/>
              </w:rPr>
              <w:t>月-</w:t>
            </w:r>
            <w:r>
              <w:rPr>
                <w:sz w:val="24"/>
              </w:rPr>
              <w:t>4</w:t>
            </w:r>
            <w:r>
              <w:rPr>
                <w:rFonts w:hint="eastAsia"/>
                <w:sz w:val="24"/>
              </w:rPr>
              <w:t>月）定期统一抽送至五台县生活污水处理厂。</w:t>
            </w:r>
          </w:p>
          <w:p>
            <w:pPr>
              <w:adjustRightInd w:val="0"/>
              <w:snapToGrid w:val="0"/>
              <w:spacing w:line="480" w:lineRule="exact"/>
              <w:ind w:firstLine="480" w:firstLineChars="200"/>
              <w:rPr>
                <w:bCs/>
                <w:sz w:val="24"/>
              </w:rPr>
            </w:pPr>
            <w:r>
              <w:rPr>
                <w:rFonts w:hint="eastAsia"/>
                <w:bCs/>
                <w:sz w:val="24"/>
              </w:rPr>
              <w:t>本项目给排水情况见表2</w:t>
            </w:r>
            <w:r>
              <w:rPr>
                <w:bCs/>
                <w:sz w:val="24"/>
              </w:rPr>
              <w:t>-5</w:t>
            </w:r>
            <w:r>
              <w:rPr>
                <w:rFonts w:hint="eastAsia"/>
                <w:bCs/>
                <w:sz w:val="24"/>
              </w:rPr>
              <w:t>。</w:t>
            </w:r>
          </w:p>
          <w:p>
            <w:pPr>
              <w:adjustRightInd w:val="0"/>
              <w:snapToGrid w:val="0"/>
              <w:spacing w:line="480" w:lineRule="exact"/>
              <w:jc w:val="center"/>
              <w:rPr>
                <w:rFonts w:ascii="黑体" w:hAnsi="黑体" w:eastAsia="黑体"/>
                <w:bCs/>
                <w:sz w:val="24"/>
              </w:rPr>
            </w:pPr>
            <w:r>
              <w:rPr>
                <w:rFonts w:ascii="黑体" w:hAnsi="黑体" w:eastAsia="黑体"/>
                <w:bCs/>
                <w:sz w:val="24"/>
              </w:rPr>
              <w:t xml:space="preserve">表2-5  </w:t>
            </w:r>
            <w:r>
              <w:rPr>
                <w:rFonts w:hint="eastAsia" w:ascii="黑体" w:hAnsi="黑体" w:eastAsia="黑体"/>
                <w:bCs/>
                <w:sz w:val="24"/>
              </w:rPr>
              <w:t>本</w:t>
            </w:r>
            <w:r>
              <w:rPr>
                <w:rFonts w:ascii="黑体" w:hAnsi="黑体" w:eastAsia="黑体"/>
                <w:bCs/>
                <w:sz w:val="24"/>
              </w:rPr>
              <w:t>项目给排水</w:t>
            </w:r>
            <w:r>
              <w:rPr>
                <w:rFonts w:hint="eastAsia" w:ascii="黑体" w:hAnsi="黑体" w:eastAsia="黑体"/>
                <w:bCs/>
                <w:sz w:val="24"/>
              </w:rPr>
              <w:t>平衡一览</w:t>
            </w:r>
            <w:r>
              <w:rPr>
                <w:rFonts w:ascii="黑体" w:hAnsi="黑体" w:eastAsia="黑体"/>
                <w:bCs/>
                <w:sz w:val="24"/>
              </w:rPr>
              <w:t>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612"/>
              <w:gridCol w:w="1309"/>
              <w:gridCol w:w="1018"/>
              <w:gridCol w:w="1018"/>
              <w:gridCol w:w="1018"/>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8"/>
                    <w:snapToGrid/>
                    <w:spacing w:line="240" w:lineRule="auto"/>
                    <w:rPr>
                      <w:rFonts w:eastAsia="宋体"/>
                      <w:sz w:val="21"/>
                      <w:szCs w:val="21"/>
                    </w:rPr>
                  </w:pPr>
                  <w:r>
                    <w:rPr>
                      <w:rFonts w:eastAsia="宋体"/>
                      <w:sz w:val="21"/>
                      <w:szCs w:val="21"/>
                    </w:rPr>
                    <w:t>序号</w:t>
                  </w:r>
                </w:p>
              </w:tc>
              <w:tc>
                <w:tcPr>
                  <w:tcW w:w="936" w:type="pct"/>
                  <w:vAlign w:val="center"/>
                </w:tcPr>
                <w:p>
                  <w:pPr>
                    <w:pStyle w:val="58"/>
                    <w:snapToGrid/>
                    <w:spacing w:line="240" w:lineRule="auto"/>
                    <w:rPr>
                      <w:rFonts w:eastAsia="宋体"/>
                      <w:sz w:val="21"/>
                      <w:szCs w:val="21"/>
                    </w:rPr>
                  </w:pPr>
                  <w:r>
                    <w:rPr>
                      <w:rFonts w:eastAsia="宋体"/>
                      <w:sz w:val="21"/>
                      <w:szCs w:val="21"/>
                    </w:rPr>
                    <w:t>用水单元</w:t>
                  </w:r>
                </w:p>
              </w:tc>
              <w:tc>
                <w:tcPr>
                  <w:tcW w:w="760" w:type="pct"/>
                  <w:vAlign w:val="center"/>
                </w:tcPr>
                <w:p>
                  <w:pPr>
                    <w:pStyle w:val="58"/>
                    <w:snapToGrid/>
                    <w:spacing w:line="240" w:lineRule="auto"/>
                    <w:rPr>
                      <w:rFonts w:eastAsia="宋体"/>
                      <w:sz w:val="21"/>
                      <w:szCs w:val="21"/>
                    </w:rPr>
                  </w:pPr>
                  <w:r>
                    <w:rPr>
                      <w:rFonts w:eastAsia="宋体"/>
                      <w:sz w:val="21"/>
                      <w:szCs w:val="21"/>
                    </w:rPr>
                    <w:t>定额</w:t>
                  </w:r>
                </w:p>
              </w:tc>
              <w:tc>
                <w:tcPr>
                  <w:tcW w:w="591" w:type="pct"/>
                  <w:vAlign w:val="center"/>
                </w:tcPr>
                <w:p>
                  <w:pPr>
                    <w:pStyle w:val="58"/>
                    <w:snapToGrid/>
                    <w:spacing w:line="240" w:lineRule="auto"/>
                    <w:rPr>
                      <w:rFonts w:eastAsia="宋体"/>
                      <w:sz w:val="21"/>
                      <w:szCs w:val="21"/>
                    </w:rPr>
                  </w:pPr>
                  <w:r>
                    <w:rPr>
                      <w:rFonts w:eastAsia="宋体"/>
                      <w:sz w:val="21"/>
                      <w:szCs w:val="21"/>
                    </w:rPr>
                    <w:t>用水量m</w:t>
                  </w:r>
                  <w:r>
                    <w:rPr>
                      <w:rFonts w:eastAsia="宋体"/>
                      <w:sz w:val="21"/>
                      <w:szCs w:val="21"/>
                      <w:vertAlign w:val="superscript"/>
                    </w:rPr>
                    <w:t>3</w:t>
                  </w:r>
                  <w:r>
                    <w:rPr>
                      <w:rFonts w:eastAsia="宋体"/>
                      <w:sz w:val="21"/>
                      <w:szCs w:val="21"/>
                    </w:rPr>
                    <w:t>/d</w:t>
                  </w:r>
                </w:p>
              </w:tc>
              <w:tc>
                <w:tcPr>
                  <w:tcW w:w="591" w:type="pct"/>
                  <w:vAlign w:val="center"/>
                </w:tcPr>
                <w:p>
                  <w:pPr>
                    <w:pStyle w:val="58"/>
                    <w:snapToGrid/>
                    <w:spacing w:line="240" w:lineRule="auto"/>
                    <w:rPr>
                      <w:rFonts w:eastAsia="宋体"/>
                      <w:sz w:val="21"/>
                      <w:szCs w:val="21"/>
                    </w:rPr>
                  </w:pPr>
                  <w:r>
                    <w:rPr>
                      <w:rFonts w:hint="eastAsia" w:eastAsia="宋体"/>
                      <w:sz w:val="21"/>
                      <w:szCs w:val="21"/>
                    </w:rPr>
                    <w:t>回用水量</w:t>
                  </w:r>
                  <w:r>
                    <w:rPr>
                      <w:rFonts w:eastAsia="宋体"/>
                      <w:sz w:val="21"/>
                      <w:szCs w:val="21"/>
                    </w:rPr>
                    <w:t>m</w:t>
                  </w:r>
                  <w:r>
                    <w:rPr>
                      <w:rFonts w:eastAsia="宋体"/>
                      <w:sz w:val="21"/>
                      <w:szCs w:val="21"/>
                      <w:vertAlign w:val="superscript"/>
                    </w:rPr>
                    <w:t>3</w:t>
                  </w:r>
                  <w:r>
                    <w:rPr>
                      <w:rFonts w:eastAsia="宋体"/>
                      <w:sz w:val="21"/>
                      <w:szCs w:val="21"/>
                    </w:rPr>
                    <w:t>/d</w:t>
                  </w:r>
                </w:p>
              </w:tc>
              <w:tc>
                <w:tcPr>
                  <w:tcW w:w="591" w:type="pct"/>
                  <w:vAlign w:val="center"/>
                </w:tcPr>
                <w:p>
                  <w:pPr>
                    <w:pStyle w:val="58"/>
                    <w:snapToGrid/>
                    <w:spacing w:line="240" w:lineRule="auto"/>
                    <w:rPr>
                      <w:rFonts w:eastAsia="宋体"/>
                      <w:sz w:val="21"/>
                      <w:szCs w:val="21"/>
                    </w:rPr>
                  </w:pPr>
                  <w:r>
                    <w:rPr>
                      <w:rFonts w:hint="eastAsia" w:eastAsia="宋体"/>
                      <w:sz w:val="21"/>
                      <w:szCs w:val="21"/>
                    </w:rPr>
                    <w:t>排</w:t>
                  </w:r>
                  <w:r>
                    <w:rPr>
                      <w:rFonts w:eastAsia="宋体"/>
                      <w:sz w:val="21"/>
                      <w:szCs w:val="21"/>
                    </w:rPr>
                    <w:t>水量</w:t>
                  </w:r>
                </w:p>
                <w:p>
                  <w:pPr>
                    <w:pStyle w:val="58"/>
                    <w:snapToGrid/>
                    <w:spacing w:line="240" w:lineRule="auto"/>
                    <w:rPr>
                      <w:rFonts w:eastAsia="宋体"/>
                      <w:sz w:val="21"/>
                      <w:szCs w:val="21"/>
                    </w:rPr>
                  </w:pPr>
                  <w:r>
                    <w:rPr>
                      <w:rFonts w:eastAsia="宋体"/>
                      <w:sz w:val="21"/>
                      <w:szCs w:val="21"/>
                    </w:rPr>
                    <w:t>m</w:t>
                  </w:r>
                  <w:r>
                    <w:rPr>
                      <w:rFonts w:eastAsia="宋体"/>
                      <w:sz w:val="21"/>
                      <w:szCs w:val="21"/>
                      <w:vertAlign w:val="superscript"/>
                    </w:rPr>
                    <w:t>3</w:t>
                  </w:r>
                  <w:r>
                    <w:rPr>
                      <w:rFonts w:eastAsia="宋体"/>
                      <w:sz w:val="21"/>
                      <w:szCs w:val="21"/>
                    </w:rPr>
                    <w:t>/d</w:t>
                  </w:r>
                </w:p>
              </w:tc>
              <w:tc>
                <w:tcPr>
                  <w:tcW w:w="1276" w:type="pct"/>
                  <w:vAlign w:val="center"/>
                </w:tcPr>
                <w:p>
                  <w:pPr>
                    <w:pStyle w:val="58"/>
                    <w:snapToGrid/>
                    <w:spacing w:line="240" w:lineRule="auto"/>
                    <w:rPr>
                      <w:rFonts w:eastAsia="宋体"/>
                      <w:sz w:val="21"/>
                      <w:szCs w:val="21"/>
                    </w:rPr>
                  </w:pPr>
                  <w:r>
                    <w:rPr>
                      <w:rFonts w:eastAsia="宋体"/>
                      <w:sz w:val="21"/>
                      <w:szCs w:val="21"/>
                    </w:rPr>
                    <w:t>排水去向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8"/>
                    <w:snapToGrid/>
                    <w:spacing w:line="240" w:lineRule="auto"/>
                    <w:rPr>
                      <w:rFonts w:eastAsia="宋体"/>
                      <w:sz w:val="21"/>
                      <w:szCs w:val="21"/>
                    </w:rPr>
                  </w:pPr>
                  <w:r>
                    <w:rPr>
                      <w:rFonts w:hint="eastAsia" w:eastAsia="宋体"/>
                      <w:sz w:val="21"/>
                      <w:szCs w:val="21"/>
                    </w:rPr>
                    <w:t>1</w:t>
                  </w:r>
                </w:p>
              </w:tc>
              <w:tc>
                <w:tcPr>
                  <w:tcW w:w="936" w:type="pct"/>
                  <w:vAlign w:val="center"/>
                </w:tcPr>
                <w:p>
                  <w:pPr>
                    <w:pStyle w:val="58"/>
                    <w:snapToGrid/>
                    <w:spacing w:line="240" w:lineRule="auto"/>
                    <w:rPr>
                      <w:rFonts w:eastAsia="宋体"/>
                      <w:sz w:val="21"/>
                      <w:szCs w:val="21"/>
                    </w:rPr>
                  </w:pPr>
                  <w:r>
                    <w:rPr>
                      <w:rFonts w:hint="eastAsia" w:eastAsia="宋体"/>
                      <w:sz w:val="21"/>
                      <w:szCs w:val="21"/>
                    </w:rPr>
                    <w:t>遗体处置清洗、消毒用水</w:t>
                  </w:r>
                </w:p>
              </w:tc>
              <w:tc>
                <w:tcPr>
                  <w:tcW w:w="760" w:type="pct"/>
                  <w:vAlign w:val="center"/>
                </w:tcPr>
                <w:p>
                  <w:pPr>
                    <w:pStyle w:val="58"/>
                    <w:snapToGrid/>
                    <w:spacing w:line="240" w:lineRule="auto"/>
                    <w:rPr>
                      <w:rFonts w:eastAsia="宋体"/>
                      <w:sz w:val="21"/>
                      <w:szCs w:val="21"/>
                    </w:rPr>
                  </w:pPr>
                  <w:r>
                    <w:rPr>
                      <w:rFonts w:hint="eastAsia" w:eastAsia="宋体"/>
                      <w:sz w:val="21"/>
                      <w:szCs w:val="21"/>
                    </w:rPr>
                    <w:t>0</w:t>
                  </w:r>
                  <w:r>
                    <w:rPr>
                      <w:rFonts w:eastAsia="宋体"/>
                      <w:sz w:val="21"/>
                      <w:szCs w:val="21"/>
                    </w:rPr>
                    <w:t>.2</w:t>
                  </w:r>
                  <w:r>
                    <w:rPr>
                      <w:rFonts w:hint="eastAsia" w:eastAsia="宋体"/>
                      <w:sz w:val="21"/>
                      <w:szCs w:val="21"/>
                    </w:rPr>
                    <w:t xml:space="preserve"> m</w:t>
                  </w:r>
                  <w:r>
                    <w:rPr>
                      <w:rFonts w:hint="eastAsia" w:eastAsia="宋体"/>
                      <w:sz w:val="21"/>
                      <w:szCs w:val="21"/>
                      <w:vertAlign w:val="superscript"/>
                    </w:rPr>
                    <w:t>3</w:t>
                  </w:r>
                  <w:r>
                    <w:rPr>
                      <w:rFonts w:hint="eastAsia" w:eastAsia="宋体"/>
                      <w:sz w:val="21"/>
                      <w:szCs w:val="21"/>
                    </w:rPr>
                    <w:t>/具</w:t>
                  </w:r>
                </w:p>
              </w:tc>
              <w:tc>
                <w:tcPr>
                  <w:tcW w:w="591" w:type="pct"/>
                  <w:vAlign w:val="center"/>
                </w:tcPr>
                <w:p>
                  <w:pPr>
                    <w:pStyle w:val="58"/>
                    <w:snapToGrid/>
                    <w:spacing w:line="240" w:lineRule="auto"/>
                    <w:rPr>
                      <w:rFonts w:eastAsia="宋体"/>
                      <w:sz w:val="21"/>
                      <w:szCs w:val="21"/>
                    </w:rPr>
                  </w:pPr>
                  <w:r>
                    <w:rPr>
                      <w:rFonts w:hint="eastAsia" w:eastAsia="宋体"/>
                      <w:sz w:val="21"/>
                      <w:szCs w:val="21"/>
                    </w:rPr>
                    <w:t>1</w:t>
                  </w:r>
                  <w:r>
                    <w:rPr>
                      <w:rFonts w:eastAsia="宋体"/>
                      <w:sz w:val="21"/>
                      <w:szCs w:val="21"/>
                    </w:rPr>
                    <w:t>.2</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r>
                    <w:rPr>
                      <w:rFonts w:eastAsia="宋体"/>
                      <w:sz w:val="21"/>
                      <w:szCs w:val="21"/>
                    </w:rPr>
                    <w:t>.96</w:t>
                  </w:r>
                </w:p>
              </w:tc>
              <w:tc>
                <w:tcPr>
                  <w:tcW w:w="1276" w:type="pct"/>
                  <w:vMerge w:val="restart"/>
                  <w:vAlign w:val="center"/>
                </w:tcPr>
                <w:p>
                  <w:pPr>
                    <w:pStyle w:val="58"/>
                    <w:snapToGrid/>
                    <w:spacing w:line="240" w:lineRule="auto"/>
                    <w:rPr>
                      <w:rFonts w:eastAsia="宋体"/>
                      <w:sz w:val="21"/>
                      <w:szCs w:val="21"/>
                    </w:rPr>
                  </w:pPr>
                  <w:r>
                    <w:rPr>
                      <w:rFonts w:hint="eastAsia" w:eastAsia="宋体"/>
                      <w:sz w:val="21"/>
                      <w:szCs w:val="21"/>
                    </w:rPr>
                    <w:t>经消毒池预处理后进入与生活污水共同由自建污水处理站处理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8"/>
                    <w:snapToGrid/>
                    <w:spacing w:line="240" w:lineRule="auto"/>
                    <w:rPr>
                      <w:rFonts w:eastAsia="宋体"/>
                      <w:sz w:val="21"/>
                      <w:szCs w:val="21"/>
                    </w:rPr>
                  </w:pPr>
                  <w:r>
                    <w:rPr>
                      <w:rFonts w:hint="eastAsia" w:eastAsia="宋体"/>
                      <w:sz w:val="21"/>
                      <w:szCs w:val="21"/>
                    </w:rPr>
                    <w:t>2</w:t>
                  </w:r>
                </w:p>
              </w:tc>
              <w:tc>
                <w:tcPr>
                  <w:tcW w:w="936" w:type="pct"/>
                  <w:vAlign w:val="center"/>
                </w:tcPr>
                <w:p>
                  <w:pPr>
                    <w:pStyle w:val="58"/>
                    <w:snapToGrid/>
                    <w:spacing w:line="240" w:lineRule="auto"/>
                    <w:rPr>
                      <w:rFonts w:eastAsia="宋体"/>
                      <w:sz w:val="21"/>
                      <w:szCs w:val="21"/>
                    </w:rPr>
                  </w:pPr>
                  <w:r>
                    <w:rPr>
                      <w:rFonts w:hint="eastAsia" w:eastAsia="宋体"/>
                      <w:sz w:val="21"/>
                      <w:szCs w:val="21"/>
                    </w:rPr>
                    <w:t>专用殡仪车辆清洗、消毒用水</w:t>
                  </w:r>
                </w:p>
              </w:tc>
              <w:tc>
                <w:tcPr>
                  <w:tcW w:w="760" w:type="pct"/>
                  <w:vAlign w:val="center"/>
                </w:tcPr>
                <w:p>
                  <w:pPr>
                    <w:pStyle w:val="58"/>
                    <w:snapToGrid/>
                    <w:spacing w:line="240" w:lineRule="auto"/>
                    <w:rPr>
                      <w:rFonts w:eastAsia="宋体"/>
                      <w:sz w:val="21"/>
                      <w:szCs w:val="21"/>
                    </w:rPr>
                  </w:pPr>
                  <w:r>
                    <w:rPr>
                      <w:rFonts w:hint="eastAsia" w:eastAsia="宋体"/>
                      <w:sz w:val="21"/>
                      <w:szCs w:val="21"/>
                    </w:rPr>
                    <w:t>8</w:t>
                  </w:r>
                  <w:r>
                    <w:rPr>
                      <w:rFonts w:eastAsia="宋体"/>
                      <w:sz w:val="21"/>
                      <w:szCs w:val="21"/>
                    </w:rPr>
                    <w:t>0L/</w:t>
                  </w:r>
                  <w:r>
                    <w:rPr>
                      <w:rFonts w:hint="eastAsia" w:eastAsia="宋体"/>
                      <w:sz w:val="21"/>
                      <w:szCs w:val="21"/>
                    </w:rPr>
                    <w:t>辆·次</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r>
                    <w:rPr>
                      <w:rFonts w:eastAsia="宋体"/>
                      <w:sz w:val="21"/>
                      <w:szCs w:val="21"/>
                    </w:rPr>
                    <w:t>.48</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r>
                    <w:rPr>
                      <w:rFonts w:eastAsia="宋体"/>
                      <w:sz w:val="21"/>
                      <w:szCs w:val="21"/>
                    </w:rPr>
                    <w:t>.394</w:t>
                  </w:r>
                </w:p>
              </w:tc>
              <w:tc>
                <w:tcPr>
                  <w:tcW w:w="1276" w:type="pct"/>
                  <w:vMerge w:val="continue"/>
                  <w:vAlign w:val="center"/>
                </w:tcPr>
                <w:p>
                  <w:pPr>
                    <w:pStyle w:val="58"/>
                    <w:snapToGrid/>
                    <w:spacing w:line="240" w:lineRule="auto"/>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8"/>
                    <w:snapToGrid/>
                    <w:spacing w:line="240" w:lineRule="auto"/>
                    <w:rPr>
                      <w:rFonts w:eastAsia="宋体"/>
                      <w:sz w:val="21"/>
                      <w:szCs w:val="21"/>
                    </w:rPr>
                  </w:pPr>
                  <w:r>
                    <w:rPr>
                      <w:rFonts w:hint="eastAsia" w:eastAsia="宋体"/>
                      <w:sz w:val="21"/>
                      <w:szCs w:val="21"/>
                    </w:rPr>
                    <w:t>3</w:t>
                  </w:r>
                </w:p>
              </w:tc>
              <w:tc>
                <w:tcPr>
                  <w:tcW w:w="936" w:type="pct"/>
                  <w:vAlign w:val="center"/>
                </w:tcPr>
                <w:p>
                  <w:pPr>
                    <w:pStyle w:val="58"/>
                    <w:snapToGrid/>
                    <w:spacing w:line="240" w:lineRule="auto"/>
                    <w:rPr>
                      <w:rFonts w:eastAsia="宋体"/>
                      <w:sz w:val="21"/>
                      <w:szCs w:val="21"/>
                    </w:rPr>
                  </w:pPr>
                  <w:r>
                    <w:rPr>
                      <w:rFonts w:hint="eastAsia" w:eastAsia="宋体"/>
                      <w:sz w:val="21"/>
                      <w:szCs w:val="21"/>
                    </w:rPr>
                    <w:t>烟气处理设施急冷装置循环冷却水用水</w:t>
                  </w:r>
                </w:p>
              </w:tc>
              <w:tc>
                <w:tcPr>
                  <w:tcW w:w="760" w:type="pct"/>
                  <w:vAlign w:val="center"/>
                </w:tcPr>
                <w:p>
                  <w:pPr>
                    <w:pStyle w:val="58"/>
                    <w:snapToGrid/>
                    <w:spacing w:line="240" w:lineRule="auto"/>
                    <w:rPr>
                      <w:rFonts w:eastAsia="宋体"/>
                      <w:sz w:val="21"/>
                      <w:szCs w:val="21"/>
                    </w:rPr>
                  </w:pPr>
                  <w:r>
                    <w:rPr>
                      <w:rFonts w:hint="eastAsia" w:eastAsia="宋体"/>
                      <w:sz w:val="21"/>
                      <w:szCs w:val="21"/>
                    </w:rPr>
                    <w:t>/</w:t>
                  </w:r>
                </w:p>
              </w:tc>
              <w:tc>
                <w:tcPr>
                  <w:tcW w:w="591" w:type="pct"/>
                  <w:vAlign w:val="center"/>
                </w:tcPr>
                <w:p>
                  <w:pPr>
                    <w:pStyle w:val="58"/>
                    <w:snapToGrid/>
                    <w:spacing w:line="240" w:lineRule="auto"/>
                    <w:rPr>
                      <w:rFonts w:eastAsia="宋体"/>
                      <w:sz w:val="21"/>
                      <w:szCs w:val="21"/>
                    </w:rPr>
                  </w:pPr>
                  <w:r>
                    <w:rPr>
                      <w:rFonts w:hint="eastAsia" w:eastAsia="宋体"/>
                      <w:sz w:val="21"/>
                      <w:szCs w:val="21"/>
                    </w:rPr>
                    <w:t>2</w:t>
                  </w:r>
                </w:p>
              </w:tc>
              <w:tc>
                <w:tcPr>
                  <w:tcW w:w="591" w:type="pct"/>
                  <w:vAlign w:val="center"/>
                </w:tcPr>
                <w:p>
                  <w:pPr>
                    <w:pStyle w:val="58"/>
                    <w:snapToGrid/>
                    <w:spacing w:line="240" w:lineRule="auto"/>
                    <w:rPr>
                      <w:rFonts w:eastAsia="宋体"/>
                      <w:sz w:val="21"/>
                      <w:szCs w:val="21"/>
                    </w:rPr>
                  </w:pPr>
                  <w:r>
                    <w:rPr>
                      <w:rFonts w:eastAsia="宋体"/>
                      <w:sz w:val="21"/>
                      <w:szCs w:val="21"/>
                    </w:rPr>
                    <w:t>/</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1276" w:type="pct"/>
                  <w:vAlign w:val="center"/>
                </w:tcPr>
                <w:p>
                  <w:pPr>
                    <w:pStyle w:val="58"/>
                    <w:snapToGrid/>
                    <w:spacing w:line="240" w:lineRule="auto"/>
                    <w:rPr>
                      <w:rFonts w:eastAsia="宋体"/>
                      <w:sz w:val="21"/>
                      <w:szCs w:val="21"/>
                    </w:rPr>
                  </w:pPr>
                  <w:r>
                    <w:rPr>
                      <w:rFonts w:hint="eastAsia" w:eastAsia="宋体"/>
                      <w:sz w:val="21"/>
                      <w:szCs w:val="21"/>
                    </w:rPr>
                    <w:t>循环使用，按时补充，无废水外排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Align w:val="center"/>
                </w:tcPr>
                <w:p>
                  <w:pPr>
                    <w:pStyle w:val="58"/>
                    <w:snapToGrid/>
                    <w:spacing w:line="240" w:lineRule="auto"/>
                    <w:rPr>
                      <w:rFonts w:eastAsia="宋体"/>
                      <w:sz w:val="21"/>
                      <w:szCs w:val="21"/>
                    </w:rPr>
                  </w:pPr>
                  <w:r>
                    <w:rPr>
                      <w:rFonts w:eastAsia="宋体"/>
                      <w:sz w:val="21"/>
                      <w:szCs w:val="21"/>
                    </w:rPr>
                    <w:t>4</w:t>
                  </w:r>
                </w:p>
              </w:tc>
              <w:tc>
                <w:tcPr>
                  <w:tcW w:w="936" w:type="pct"/>
                  <w:vAlign w:val="center"/>
                </w:tcPr>
                <w:p>
                  <w:pPr>
                    <w:pStyle w:val="58"/>
                    <w:snapToGrid/>
                    <w:spacing w:line="240" w:lineRule="auto"/>
                    <w:rPr>
                      <w:rFonts w:eastAsia="宋体"/>
                      <w:sz w:val="21"/>
                      <w:szCs w:val="21"/>
                    </w:rPr>
                  </w:pPr>
                  <w:r>
                    <w:rPr>
                      <w:rFonts w:hint="eastAsia" w:eastAsia="宋体"/>
                      <w:sz w:val="21"/>
                      <w:szCs w:val="21"/>
                    </w:rPr>
                    <w:t>绿化用水</w:t>
                  </w:r>
                </w:p>
                <w:p>
                  <w:pPr>
                    <w:pStyle w:val="58"/>
                    <w:snapToGrid/>
                    <w:spacing w:line="240" w:lineRule="auto"/>
                    <w:rPr>
                      <w:rFonts w:eastAsia="宋体"/>
                      <w:sz w:val="21"/>
                      <w:szCs w:val="21"/>
                    </w:rPr>
                  </w:pPr>
                  <w:r>
                    <w:rPr>
                      <w:rFonts w:hint="eastAsia" w:eastAsia="宋体"/>
                      <w:sz w:val="21"/>
                      <w:szCs w:val="21"/>
                    </w:rPr>
                    <w:t>（非采暖期）</w:t>
                  </w:r>
                </w:p>
              </w:tc>
              <w:tc>
                <w:tcPr>
                  <w:tcW w:w="760" w:type="pct"/>
                  <w:vAlign w:val="center"/>
                </w:tcPr>
                <w:p>
                  <w:pPr>
                    <w:pStyle w:val="58"/>
                    <w:snapToGrid/>
                    <w:spacing w:line="240" w:lineRule="auto"/>
                    <w:rPr>
                      <w:rFonts w:eastAsia="宋体"/>
                      <w:sz w:val="21"/>
                      <w:szCs w:val="21"/>
                    </w:rPr>
                  </w:pPr>
                  <w:r>
                    <w:rPr>
                      <w:rFonts w:hint="eastAsia" w:eastAsia="宋体"/>
                      <w:bCs/>
                      <w:sz w:val="21"/>
                      <w:szCs w:val="21"/>
                    </w:rPr>
                    <w:t>0.28m</w:t>
                  </w:r>
                  <w:r>
                    <w:rPr>
                      <w:rFonts w:hint="eastAsia" w:eastAsia="宋体"/>
                      <w:bCs/>
                      <w:sz w:val="21"/>
                      <w:szCs w:val="21"/>
                      <w:vertAlign w:val="superscript"/>
                    </w:rPr>
                    <w:t>3</w:t>
                  </w:r>
                  <w:r>
                    <w:rPr>
                      <w:rFonts w:hint="eastAsia" w:eastAsia="宋体"/>
                      <w:bCs/>
                      <w:sz w:val="21"/>
                      <w:szCs w:val="21"/>
                    </w:rPr>
                    <w:t>/（m</w:t>
                  </w:r>
                  <w:r>
                    <w:rPr>
                      <w:rFonts w:hint="eastAsia" w:eastAsia="宋体"/>
                      <w:bCs/>
                      <w:sz w:val="21"/>
                      <w:szCs w:val="21"/>
                      <w:vertAlign w:val="superscript"/>
                    </w:rPr>
                    <w:t>2</w:t>
                  </w:r>
                  <w:r>
                    <w:rPr>
                      <w:rFonts w:hint="eastAsia" w:eastAsia="宋体"/>
                      <w:bCs/>
                      <w:sz w:val="21"/>
                      <w:szCs w:val="21"/>
                    </w:rPr>
                    <w:t>·a）</w:t>
                  </w:r>
                </w:p>
              </w:tc>
              <w:tc>
                <w:tcPr>
                  <w:tcW w:w="591" w:type="pct"/>
                  <w:vAlign w:val="center"/>
                </w:tcPr>
                <w:p>
                  <w:pPr>
                    <w:pStyle w:val="58"/>
                    <w:snapToGrid/>
                    <w:spacing w:line="240" w:lineRule="auto"/>
                    <w:rPr>
                      <w:rFonts w:eastAsia="宋体"/>
                      <w:sz w:val="21"/>
                      <w:szCs w:val="21"/>
                    </w:rPr>
                  </w:pPr>
                  <w:r>
                    <w:rPr>
                      <w:rFonts w:eastAsia="宋体"/>
                      <w:sz w:val="21"/>
                      <w:szCs w:val="21"/>
                    </w:rPr>
                    <w:t>5.2</w:t>
                  </w:r>
                </w:p>
              </w:tc>
              <w:tc>
                <w:tcPr>
                  <w:tcW w:w="591" w:type="pct"/>
                  <w:vAlign w:val="center"/>
                </w:tcPr>
                <w:p>
                  <w:pPr>
                    <w:pStyle w:val="58"/>
                    <w:snapToGrid/>
                    <w:spacing w:line="240" w:lineRule="auto"/>
                    <w:rPr>
                      <w:rFonts w:eastAsia="宋体"/>
                      <w:sz w:val="21"/>
                      <w:szCs w:val="21"/>
                    </w:rPr>
                  </w:pPr>
                  <w:r>
                    <w:rPr>
                      <w:rFonts w:hint="eastAsia" w:eastAsia="宋体"/>
                      <w:sz w:val="21"/>
                      <w:szCs w:val="21"/>
                    </w:rPr>
                    <w:t>5</w:t>
                  </w:r>
                  <w:r>
                    <w:rPr>
                      <w:rFonts w:eastAsia="宋体"/>
                      <w:sz w:val="21"/>
                      <w:szCs w:val="21"/>
                    </w:rPr>
                    <w:t>.2</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1276" w:type="pct"/>
                  <w:vAlign w:val="center"/>
                </w:tcPr>
                <w:p>
                  <w:pPr>
                    <w:pStyle w:val="58"/>
                    <w:snapToGrid/>
                    <w:spacing w:line="240" w:lineRule="auto"/>
                    <w:rPr>
                      <w:rFonts w:eastAsia="宋体"/>
                      <w:sz w:val="21"/>
                      <w:szCs w:val="21"/>
                    </w:rPr>
                  </w:pPr>
                  <w:r>
                    <w:rPr>
                      <w:rFonts w:eastAsia="宋体"/>
                      <w:sz w:val="21"/>
                      <w:szCs w:val="21"/>
                    </w:rPr>
                    <w:t>蒸发损失、植物吸收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pPr>
                    <w:pStyle w:val="58"/>
                    <w:snapToGrid/>
                    <w:spacing w:line="240" w:lineRule="auto"/>
                    <w:rPr>
                      <w:rFonts w:eastAsia="宋体"/>
                      <w:sz w:val="21"/>
                      <w:szCs w:val="21"/>
                    </w:rPr>
                  </w:pPr>
                  <w:r>
                    <w:rPr>
                      <w:rFonts w:eastAsia="宋体"/>
                      <w:sz w:val="21"/>
                      <w:szCs w:val="21"/>
                    </w:rPr>
                    <w:t>5</w:t>
                  </w:r>
                </w:p>
              </w:tc>
              <w:tc>
                <w:tcPr>
                  <w:tcW w:w="936" w:type="pct"/>
                  <w:vAlign w:val="center"/>
                </w:tcPr>
                <w:p>
                  <w:pPr>
                    <w:pStyle w:val="58"/>
                    <w:snapToGrid/>
                    <w:spacing w:line="240" w:lineRule="auto"/>
                    <w:rPr>
                      <w:rFonts w:eastAsia="宋体"/>
                      <w:sz w:val="21"/>
                      <w:szCs w:val="21"/>
                    </w:rPr>
                  </w:pPr>
                  <w:r>
                    <w:rPr>
                      <w:rFonts w:hint="eastAsia" w:eastAsia="宋体"/>
                      <w:sz w:val="21"/>
                      <w:szCs w:val="21"/>
                    </w:rPr>
                    <w:t>工作人员生活用水</w:t>
                  </w:r>
                </w:p>
              </w:tc>
              <w:tc>
                <w:tcPr>
                  <w:tcW w:w="760" w:type="pct"/>
                  <w:vAlign w:val="center"/>
                </w:tcPr>
                <w:p>
                  <w:pPr>
                    <w:pStyle w:val="58"/>
                    <w:snapToGrid/>
                    <w:spacing w:line="240" w:lineRule="auto"/>
                    <w:rPr>
                      <w:rFonts w:eastAsia="宋体"/>
                      <w:bCs/>
                      <w:sz w:val="21"/>
                      <w:szCs w:val="21"/>
                    </w:rPr>
                  </w:pPr>
                  <w:r>
                    <w:rPr>
                      <w:rFonts w:hint="eastAsia" w:eastAsia="宋体"/>
                      <w:bCs/>
                      <w:sz w:val="21"/>
                      <w:szCs w:val="21"/>
                    </w:rPr>
                    <w:t>9</w:t>
                  </w:r>
                  <w:r>
                    <w:rPr>
                      <w:rFonts w:eastAsia="宋体"/>
                      <w:bCs/>
                      <w:sz w:val="21"/>
                      <w:szCs w:val="21"/>
                    </w:rPr>
                    <w:t>0L/(</w:t>
                  </w:r>
                  <w:r>
                    <w:rPr>
                      <w:rFonts w:hint="eastAsia" w:eastAsia="宋体"/>
                      <w:bCs/>
                      <w:sz w:val="21"/>
                      <w:szCs w:val="21"/>
                    </w:rPr>
                    <w:t>p·d</w:t>
                  </w:r>
                  <w:r>
                    <w:rPr>
                      <w:rFonts w:eastAsia="宋体"/>
                      <w:bCs/>
                      <w:sz w:val="21"/>
                      <w:szCs w:val="21"/>
                    </w:rPr>
                    <w:t>)</w:t>
                  </w:r>
                </w:p>
              </w:tc>
              <w:tc>
                <w:tcPr>
                  <w:tcW w:w="591" w:type="pct"/>
                  <w:vAlign w:val="center"/>
                </w:tcPr>
                <w:p>
                  <w:pPr>
                    <w:pStyle w:val="58"/>
                    <w:snapToGrid/>
                    <w:spacing w:line="240" w:lineRule="auto"/>
                    <w:rPr>
                      <w:rFonts w:eastAsia="宋体"/>
                      <w:sz w:val="21"/>
                      <w:szCs w:val="21"/>
                    </w:rPr>
                  </w:pPr>
                  <w:r>
                    <w:rPr>
                      <w:rFonts w:eastAsia="宋体"/>
                      <w:sz w:val="21"/>
                      <w:szCs w:val="21"/>
                    </w:rPr>
                    <w:t>1.8</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591" w:type="pct"/>
                  <w:vAlign w:val="center"/>
                </w:tcPr>
                <w:p>
                  <w:pPr>
                    <w:pStyle w:val="58"/>
                    <w:snapToGrid/>
                    <w:spacing w:line="240" w:lineRule="auto"/>
                    <w:rPr>
                      <w:rFonts w:eastAsia="宋体"/>
                      <w:sz w:val="21"/>
                      <w:szCs w:val="21"/>
                    </w:rPr>
                  </w:pPr>
                  <w:r>
                    <w:rPr>
                      <w:rFonts w:eastAsia="宋体"/>
                      <w:sz w:val="21"/>
                      <w:szCs w:val="21"/>
                    </w:rPr>
                    <w:t>1.44</w:t>
                  </w:r>
                </w:p>
              </w:tc>
              <w:tc>
                <w:tcPr>
                  <w:tcW w:w="1276" w:type="pct"/>
                  <w:vMerge w:val="restart"/>
                  <w:vAlign w:val="center"/>
                </w:tcPr>
                <w:p>
                  <w:pPr>
                    <w:pStyle w:val="58"/>
                    <w:snapToGrid/>
                    <w:spacing w:line="240" w:lineRule="auto"/>
                    <w:rPr>
                      <w:rFonts w:eastAsia="宋体"/>
                      <w:sz w:val="21"/>
                      <w:szCs w:val="21"/>
                    </w:rPr>
                  </w:pPr>
                  <w:r>
                    <w:rPr>
                      <w:rFonts w:hint="eastAsia" w:eastAsia="宋体"/>
                      <w:sz w:val="21"/>
                      <w:szCs w:val="21"/>
                    </w:rPr>
                    <w:t>经污水处理站处理后非采暖期（5</w:t>
                  </w:r>
                  <w:r>
                    <w:rPr>
                      <w:rFonts w:eastAsia="宋体"/>
                      <w:sz w:val="21"/>
                      <w:szCs w:val="21"/>
                    </w:rPr>
                    <w:t>月至</w:t>
                  </w:r>
                  <w:r>
                    <w:rPr>
                      <w:rFonts w:hint="eastAsia" w:eastAsia="宋体"/>
                      <w:sz w:val="21"/>
                      <w:szCs w:val="21"/>
                    </w:rPr>
                    <w:t>1</w:t>
                  </w:r>
                  <w:r>
                    <w:rPr>
                      <w:rFonts w:eastAsia="宋体"/>
                      <w:sz w:val="21"/>
                      <w:szCs w:val="21"/>
                    </w:rPr>
                    <w:t>0月</w:t>
                  </w:r>
                  <w:r>
                    <w:rPr>
                      <w:rFonts w:hint="eastAsia" w:eastAsia="宋体"/>
                      <w:sz w:val="21"/>
                      <w:szCs w:val="21"/>
                    </w:rPr>
                    <w:t>）可用于道路浇洒及绿化浇灌，采暖期（1</w:t>
                  </w:r>
                  <w:r>
                    <w:rPr>
                      <w:rFonts w:eastAsia="宋体"/>
                      <w:sz w:val="21"/>
                      <w:szCs w:val="21"/>
                    </w:rPr>
                    <w:t>1月</w:t>
                  </w:r>
                  <w:r>
                    <w:rPr>
                      <w:rFonts w:hint="eastAsia" w:eastAsia="宋体"/>
                      <w:sz w:val="21"/>
                      <w:szCs w:val="21"/>
                    </w:rPr>
                    <w:t>-</w:t>
                  </w:r>
                  <w:r>
                    <w:rPr>
                      <w:rFonts w:eastAsia="宋体"/>
                      <w:sz w:val="21"/>
                      <w:szCs w:val="21"/>
                    </w:rPr>
                    <w:t>4月</w:t>
                  </w:r>
                  <w:r>
                    <w:rPr>
                      <w:rFonts w:hint="eastAsia" w:eastAsia="宋体"/>
                      <w:sz w:val="21"/>
                      <w:szCs w:val="21"/>
                    </w:rPr>
                    <w:t>）定期统一抽送至五台县生活污水处理厂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pPr>
                    <w:pStyle w:val="58"/>
                    <w:snapToGrid/>
                    <w:spacing w:line="240" w:lineRule="auto"/>
                    <w:rPr>
                      <w:rFonts w:eastAsia="宋体"/>
                      <w:sz w:val="21"/>
                      <w:szCs w:val="21"/>
                    </w:rPr>
                  </w:pPr>
                </w:p>
              </w:tc>
              <w:tc>
                <w:tcPr>
                  <w:tcW w:w="936" w:type="pct"/>
                  <w:vAlign w:val="center"/>
                </w:tcPr>
                <w:p>
                  <w:pPr>
                    <w:pStyle w:val="58"/>
                    <w:snapToGrid/>
                    <w:spacing w:line="240" w:lineRule="auto"/>
                    <w:rPr>
                      <w:rFonts w:eastAsia="宋体"/>
                      <w:sz w:val="21"/>
                      <w:szCs w:val="21"/>
                    </w:rPr>
                  </w:pPr>
                  <w:r>
                    <w:rPr>
                      <w:rFonts w:hint="eastAsia" w:eastAsia="宋体"/>
                      <w:sz w:val="21"/>
                      <w:szCs w:val="21"/>
                    </w:rPr>
                    <w:t>来访人员生活用水</w:t>
                  </w:r>
                </w:p>
              </w:tc>
              <w:tc>
                <w:tcPr>
                  <w:tcW w:w="760" w:type="pct"/>
                  <w:vAlign w:val="center"/>
                </w:tcPr>
                <w:p>
                  <w:pPr>
                    <w:pStyle w:val="58"/>
                    <w:snapToGrid/>
                    <w:spacing w:line="240" w:lineRule="auto"/>
                    <w:rPr>
                      <w:rFonts w:eastAsia="宋体"/>
                      <w:bCs/>
                      <w:sz w:val="21"/>
                      <w:szCs w:val="21"/>
                    </w:rPr>
                  </w:pPr>
                  <w:r>
                    <w:t>10</w:t>
                  </w:r>
                  <w:r>
                    <w:rPr>
                      <w:rFonts w:hint="eastAsia"/>
                    </w:rPr>
                    <w:t>L</w:t>
                  </w:r>
                  <w:r>
                    <w:rPr>
                      <w:rFonts w:eastAsia="宋体"/>
                      <w:bCs/>
                      <w:sz w:val="21"/>
                      <w:szCs w:val="21"/>
                    </w:rPr>
                    <w:t>/(</w:t>
                  </w:r>
                  <w:r>
                    <w:rPr>
                      <w:rFonts w:hint="eastAsia" w:eastAsia="宋体"/>
                      <w:bCs/>
                      <w:sz w:val="21"/>
                      <w:szCs w:val="21"/>
                    </w:rPr>
                    <w:t>p·d</w:t>
                  </w:r>
                  <w:r>
                    <w:rPr>
                      <w:rFonts w:eastAsia="宋体"/>
                      <w:bCs/>
                      <w:sz w:val="21"/>
                      <w:szCs w:val="21"/>
                    </w:rPr>
                    <w:t>)</w:t>
                  </w:r>
                </w:p>
              </w:tc>
              <w:tc>
                <w:tcPr>
                  <w:tcW w:w="591" w:type="pct"/>
                  <w:vAlign w:val="center"/>
                </w:tcPr>
                <w:p>
                  <w:pPr>
                    <w:pStyle w:val="58"/>
                    <w:snapToGrid/>
                    <w:spacing w:line="240" w:lineRule="auto"/>
                    <w:rPr>
                      <w:rFonts w:eastAsia="宋体"/>
                      <w:sz w:val="21"/>
                      <w:szCs w:val="21"/>
                    </w:rPr>
                  </w:pPr>
                  <w:r>
                    <w:rPr>
                      <w:rFonts w:hint="eastAsia" w:eastAsia="宋体"/>
                      <w:sz w:val="21"/>
                      <w:szCs w:val="21"/>
                    </w:rPr>
                    <w:t>3</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591" w:type="pct"/>
                  <w:vAlign w:val="center"/>
                </w:tcPr>
                <w:p>
                  <w:pPr>
                    <w:pStyle w:val="58"/>
                    <w:snapToGrid/>
                    <w:spacing w:line="240" w:lineRule="auto"/>
                    <w:rPr>
                      <w:rFonts w:eastAsia="宋体"/>
                      <w:sz w:val="21"/>
                      <w:szCs w:val="21"/>
                    </w:rPr>
                  </w:pPr>
                  <w:r>
                    <w:rPr>
                      <w:rFonts w:hint="eastAsia" w:eastAsia="宋体"/>
                      <w:sz w:val="21"/>
                      <w:szCs w:val="21"/>
                    </w:rPr>
                    <w:t>2</w:t>
                  </w:r>
                  <w:r>
                    <w:rPr>
                      <w:rFonts w:eastAsia="宋体"/>
                      <w:sz w:val="21"/>
                      <w:szCs w:val="21"/>
                    </w:rPr>
                    <w:t>.4</w:t>
                  </w:r>
                </w:p>
              </w:tc>
              <w:tc>
                <w:tcPr>
                  <w:tcW w:w="1276" w:type="pct"/>
                  <w:vMerge w:val="continue"/>
                  <w:vAlign w:val="center"/>
                </w:tcPr>
                <w:p>
                  <w:pPr>
                    <w:pStyle w:val="58"/>
                    <w:snapToGrid/>
                    <w:spacing w:line="240" w:lineRule="auto"/>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restart"/>
                  <w:vAlign w:val="center"/>
                </w:tcPr>
                <w:p>
                  <w:pPr>
                    <w:pStyle w:val="58"/>
                    <w:snapToGrid/>
                    <w:spacing w:line="240" w:lineRule="auto"/>
                    <w:rPr>
                      <w:rFonts w:eastAsia="宋体"/>
                      <w:sz w:val="21"/>
                      <w:szCs w:val="21"/>
                    </w:rPr>
                  </w:pPr>
                  <w:r>
                    <w:rPr>
                      <w:rFonts w:eastAsia="宋体"/>
                      <w:sz w:val="21"/>
                      <w:szCs w:val="21"/>
                    </w:rPr>
                    <w:t>6</w:t>
                  </w:r>
                </w:p>
              </w:tc>
              <w:tc>
                <w:tcPr>
                  <w:tcW w:w="1696" w:type="pct"/>
                  <w:gridSpan w:val="2"/>
                  <w:vAlign w:val="center"/>
                </w:tcPr>
                <w:p>
                  <w:pPr>
                    <w:pStyle w:val="58"/>
                    <w:snapToGrid/>
                    <w:spacing w:line="240" w:lineRule="auto"/>
                    <w:rPr>
                      <w:rFonts w:eastAsia="宋体"/>
                      <w:bCs/>
                      <w:sz w:val="21"/>
                      <w:szCs w:val="21"/>
                    </w:rPr>
                  </w:pPr>
                  <w:r>
                    <w:rPr>
                      <w:rFonts w:eastAsia="宋体"/>
                      <w:bCs/>
                      <w:sz w:val="21"/>
                      <w:szCs w:val="21"/>
                    </w:rPr>
                    <w:t>非采暖期合计</w:t>
                  </w:r>
                </w:p>
              </w:tc>
              <w:tc>
                <w:tcPr>
                  <w:tcW w:w="591" w:type="pct"/>
                  <w:vAlign w:val="center"/>
                </w:tcPr>
                <w:p>
                  <w:pPr>
                    <w:pStyle w:val="58"/>
                    <w:snapToGrid/>
                    <w:spacing w:line="240" w:lineRule="auto"/>
                    <w:rPr>
                      <w:rFonts w:eastAsia="宋体"/>
                      <w:sz w:val="21"/>
                      <w:szCs w:val="21"/>
                    </w:rPr>
                  </w:pPr>
                  <w:r>
                    <w:rPr>
                      <w:rFonts w:hint="eastAsia" w:eastAsia="宋体"/>
                      <w:sz w:val="21"/>
                      <w:szCs w:val="21"/>
                    </w:rPr>
                    <w:t>1</w:t>
                  </w:r>
                  <w:r>
                    <w:rPr>
                      <w:rFonts w:eastAsia="宋体"/>
                      <w:sz w:val="21"/>
                      <w:szCs w:val="21"/>
                    </w:rPr>
                    <w:t>3.68</w:t>
                  </w:r>
                </w:p>
              </w:tc>
              <w:tc>
                <w:tcPr>
                  <w:tcW w:w="591" w:type="pct"/>
                  <w:vAlign w:val="center"/>
                </w:tcPr>
                <w:p>
                  <w:pPr>
                    <w:pStyle w:val="58"/>
                    <w:snapToGrid/>
                    <w:spacing w:line="240" w:lineRule="auto"/>
                    <w:rPr>
                      <w:rFonts w:eastAsia="宋体"/>
                      <w:sz w:val="21"/>
                      <w:szCs w:val="21"/>
                    </w:rPr>
                  </w:pPr>
                  <w:r>
                    <w:rPr>
                      <w:rFonts w:hint="eastAsia" w:eastAsia="宋体"/>
                      <w:sz w:val="21"/>
                      <w:szCs w:val="21"/>
                    </w:rPr>
                    <w:t>/</w:t>
                  </w:r>
                </w:p>
              </w:tc>
              <w:tc>
                <w:tcPr>
                  <w:tcW w:w="591" w:type="pct"/>
                  <w:vAlign w:val="center"/>
                </w:tcPr>
                <w:p>
                  <w:pPr>
                    <w:pStyle w:val="58"/>
                    <w:snapToGrid/>
                    <w:spacing w:line="240" w:lineRule="auto"/>
                    <w:rPr>
                      <w:rFonts w:eastAsia="宋体"/>
                      <w:sz w:val="21"/>
                      <w:szCs w:val="21"/>
                    </w:rPr>
                  </w:pPr>
                  <w:r>
                    <w:rPr>
                      <w:rFonts w:hint="eastAsia" w:eastAsia="宋体"/>
                      <w:sz w:val="21"/>
                      <w:szCs w:val="21"/>
                    </w:rPr>
                    <w:t>0</w:t>
                  </w:r>
                </w:p>
              </w:tc>
              <w:tc>
                <w:tcPr>
                  <w:tcW w:w="1276" w:type="pct"/>
                  <w:vAlign w:val="center"/>
                </w:tcPr>
                <w:p>
                  <w:pPr>
                    <w:pStyle w:val="58"/>
                    <w:snapToGrid/>
                    <w:spacing w:line="240" w:lineRule="auto"/>
                    <w:rPr>
                      <w:rFonts w:eastAsia="宋体"/>
                      <w:sz w:val="21"/>
                      <w:szCs w:val="21"/>
                    </w:rPr>
                  </w:pPr>
                  <w:r>
                    <w:rPr>
                      <w:rFonts w:hint="eastAsia" w:eastAsia="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6" w:type="pct"/>
                  <w:vMerge w:val="continue"/>
                  <w:vAlign w:val="center"/>
                </w:tcPr>
                <w:p>
                  <w:pPr>
                    <w:pStyle w:val="58"/>
                    <w:snapToGrid/>
                    <w:spacing w:line="240" w:lineRule="auto"/>
                    <w:rPr>
                      <w:rFonts w:eastAsia="宋体"/>
                      <w:sz w:val="21"/>
                      <w:szCs w:val="21"/>
                    </w:rPr>
                  </w:pPr>
                </w:p>
              </w:tc>
              <w:tc>
                <w:tcPr>
                  <w:tcW w:w="1696" w:type="pct"/>
                  <w:gridSpan w:val="2"/>
                  <w:vAlign w:val="center"/>
                </w:tcPr>
                <w:p>
                  <w:pPr>
                    <w:pStyle w:val="58"/>
                    <w:snapToGrid/>
                    <w:spacing w:line="240" w:lineRule="auto"/>
                    <w:rPr>
                      <w:rFonts w:eastAsia="宋体"/>
                      <w:bCs/>
                      <w:sz w:val="21"/>
                      <w:szCs w:val="21"/>
                    </w:rPr>
                  </w:pPr>
                  <w:r>
                    <w:rPr>
                      <w:rFonts w:eastAsia="宋体"/>
                      <w:bCs/>
                      <w:sz w:val="21"/>
                      <w:szCs w:val="21"/>
                    </w:rPr>
                    <w:t>采暖期合计</w:t>
                  </w:r>
                </w:p>
              </w:tc>
              <w:tc>
                <w:tcPr>
                  <w:tcW w:w="591" w:type="pct"/>
                  <w:vAlign w:val="center"/>
                </w:tcPr>
                <w:p>
                  <w:pPr>
                    <w:pStyle w:val="58"/>
                    <w:snapToGrid/>
                    <w:spacing w:line="240" w:lineRule="auto"/>
                    <w:rPr>
                      <w:rFonts w:eastAsia="宋体"/>
                      <w:sz w:val="21"/>
                      <w:szCs w:val="21"/>
                    </w:rPr>
                  </w:pPr>
                  <w:r>
                    <w:rPr>
                      <w:rFonts w:hint="eastAsia" w:eastAsia="宋体"/>
                      <w:sz w:val="21"/>
                      <w:szCs w:val="21"/>
                    </w:rPr>
                    <w:t>8</w:t>
                  </w:r>
                  <w:r>
                    <w:rPr>
                      <w:rFonts w:eastAsia="宋体"/>
                      <w:sz w:val="21"/>
                      <w:szCs w:val="21"/>
                    </w:rPr>
                    <w:t>.48</w:t>
                  </w:r>
                </w:p>
              </w:tc>
              <w:tc>
                <w:tcPr>
                  <w:tcW w:w="591" w:type="pct"/>
                  <w:vAlign w:val="center"/>
                </w:tcPr>
                <w:p>
                  <w:pPr>
                    <w:jc w:val="center"/>
                    <w:rPr>
                      <w:szCs w:val="21"/>
                    </w:rPr>
                  </w:pPr>
                  <w:r>
                    <w:rPr>
                      <w:rFonts w:hint="eastAsia"/>
                      <w:szCs w:val="21"/>
                    </w:rPr>
                    <w:t>/</w:t>
                  </w:r>
                </w:p>
              </w:tc>
              <w:tc>
                <w:tcPr>
                  <w:tcW w:w="591" w:type="pct"/>
                  <w:vAlign w:val="center"/>
                </w:tcPr>
                <w:p>
                  <w:pPr>
                    <w:jc w:val="center"/>
                    <w:rPr>
                      <w:szCs w:val="21"/>
                    </w:rPr>
                  </w:pPr>
                  <w:r>
                    <w:rPr>
                      <w:rFonts w:hint="eastAsia"/>
                      <w:szCs w:val="21"/>
                    </w:rPr>
                    <w:t>5</w:t>
                  </w:r>
                  <w:r>
                    <w:rPr>
                      <w:szCs w:val="21"/>
                    </w:rPr>
                    <w:t>.2</w:t>
                  </w:r>
                </w:p>
              </w:tc>
              <w:tc>
                <w:tcPr>
                  <w:tcW w:w="1276" w:type="pct"/>
                  <w:vAlign w:val="center"/>
                </w:tcPr>
                <w:p>
                  <w:pPr>
                    <w:jc w:val="center"/>
                    <w:rPr>
                      <w:szCs w:val="21"/>
                    </w:rPr>
                  </w:pPr>
                  <w:r>
                    <w:rPr>
                      <w:rFonts w:hint="eastAsia"/>
                      <w:szCs w:val="21"/>
                    </w:rPr>
                    <w:t>/</w:t>
                  </w:r>
                </w:p>
              </w:tc>
            </w:tr>
          </w:tbl>
          <w:p>
            <w:pPr>
              <w:adjustRightInd w:val="0"/>
              <w:snapToGrid w:val="0"/>
              <w:spacing w:line="480" w:lineRule="exact"/>
              <w:ind w:firstLine="480" w:firstLineChars="200"/>
              <w:rPr>
                <w:sz w:val="24"/>
              </w:rPr>
            </w:pPr>
            <w:r>
              <w:rPr>
                <w:rFonts w:hint="eastAsia"/>
                <w:sz w:val="24"/>
              </w:rPr>
              <w:t>本项目</w:t>
            </w:r>
            <w:r>
              <w:rPr>
                <w:sz w:val="24"/>
              </w:rPr>
              <w:t>用排水平衡见图</w:t>
            </w:r>
            <w:r>
              <w:rPr>
                <w:rFonts w:hint="eastAsia"/>
                <w:sz w:val="24"/>
              </w:rPr>
              <w:t>2</w:t>
            </w:r>
            <w:r>
              <w:rPr>
                <w:sz w:val="24"/>
              </w:rPr>
              <w:t>-</w:t>
            </w:r>
            <w:r>
              <w:rPr>
                <w:rFonts w:hint="eastAsia"/>
                <w:sz w:val="24"/>
              </w:rPr>
              <w:t>1、</w:t>
            </w:r>
            <w:r>
              <w:rPr>
                <w:sz w:val="24"/>
              </w:rPr>
              <w:t>2-2。</w:t>
            </w:r>
          </w:p>
          <w:p>
            <w:pPr>
              <w:adjustRightInd w:val="0"/>
              <w:snapToGrid w:val="0"/>
              <w:jc w:val="center"/>
              <w:rPr>
                <w:sz w:val="24"/>
              </w:rPr>
            </w:pPr>
            <w:r>
              <w:object>
                <v:shape id="_x0000_i1025" o:spt="75" type="#_x0000_t75" style="height:327.75pt;width:327.7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pPr>
              <w:adjustRightInd w:val="0"/>
              <w:snapToGrid w:val="0"/>
              <w:spacing w:line="480" w:lineRule="exact"/>
              <w:jc w:val="center"/>
              <w:rPr>
                <w:rFonts w:ascii="黑体" w:hAnsi="黑体" w:eastAsia="黑体"/>
                <w:sz w:val="24"/>
              </w:rPr>
            </w:pPr>
            <w:r>
              <w:rPr>
                <w:rFonts w:hint="eastAsia" w:ascii="黑体" w:hAnsi="黑体" w:eastAsia="黑体"/>
                <w:sz w:val="24"/>
              </w:rPr>
              <w:t>图2</w:t>
            </w:r>
            <w:r>
              <w:rPr>
                <w:rFonts w:ascii="黑体" w:hAnsi="黑体" w:eastAsia="黑体"/>
                <w:sz w:val="24"/>
              </w:rPr>
              <w:t xml:space="preserve">-1  </w:t>
            </w:r>
            <w:r>
              <w:rPr>
                <w:rFonts w:hint="eastAsia" w:ascii="黑体" w:hAnsi="黑体" w:eastAsia="黑体"/>
                <w:sz w:val="24"/>
              </w:rPr>
              <w:t>项目非采暖期水平衡图m</w:t>
            </w:r>
            <w:r>
              <w:rPr>
                <w:rFonts w:ascii="黑体" w:hAnsi="黑体" w:eastAsia="黑体"/>
                <w:sz w:val="24"/>
                <w:vertAlign w:val="superscript"/>
              </w:rPr>
              <w:t>3</w:t>
            </w:r>
            <w:r>
              <w:rPr>
                <w:rFonts w:ascii="黑体" w:hAnsi="黑体" w:eastAsia="黑体"/>
                <w:sz w:val="24"/>
              </w:rPr>
              <w:t>/d</w:t>
            </w:r>
          </w:p>
          <w:p>
            <w:pPr>
              <w:adjustRightInd w:val="0"/>
              <w:snapToGrid w:val="0"/>
              <w:jc w:val="center"/>
              <w:rPr>
                <w:sz w:val="24"/>
              </w:rPr>
            </w:pPr>
            <w:r>
              <w:object>
                <v:shape id="_x0000_i1026" o:spt="75" type="#_x0000_t75" style="height:281.25pt;width:363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pPr>
              <w:adjustRightInd w:val="0"/>
              <w:snapToGrid w:val="0"/>
              <w:spacing w:line="480" w:lineRule="exact"/>
              <w:jc w:val="center"/>
              <w:rPr>
                <w:rFonts w:ascii="黑体" w:hAnsi="黑体" w:eastAsia="黑体"/>
                <w:sz w:val="24"/>
              </w:rPr>
            </w:pPr>
            <w:r>
              <w:rPr>
                <w:rFonts w:hint="eastAsia" w:ascii="黑体" w:hAnsi="黑体" w:eastAsia="黑体"/>
                <w:sz w:val="24"/>
              </w:rPr>
              <w:t>图2</w:t>
            </w:r>
            <w:r>
              <w:rPr>
                <w:rFonts w:ascii="黑体" w:hAnsi="黑体" w:eastAsia="黑体"/>
                <w:sz w:val="24"/>
              </w:rPr>
              <w:t xml:space="preserve">-2  </w:t>
            </w:r>
            <w:r>
              <w:rPr>
                <w:rFonts w:hint="eastAsia" w:ascii="黑体" w:hAnsi="黑体" w:eastAsia="黑体"/>
                <w:sz w:val="24"/>
              </w:rPr>
              <w:t>项目采暖期水平衡图 m</w:t>
            </w:r>
            <w:r>
              <w:rPr>
                <w:rFonts w:ascii="黑体" w:hAnsi="黑体" w:eastAsia="黑体"/>
                <w:sz w:val="24"/>
                <w:vertAlign w:val="superscript"/>
              </w:rPr>
              <w:t>3</w:t>
            </w:r>
            <w:r>
              <w:rPr>
                <w:rFonts w:ascii="黑体" w:hAnsi="黑体" w:eastAsia="黑体"/>
                <w:sz w:val="24"/>
              </w:rPr>
              <w:t>/d</w:t>
            </w:r>
          </w:p>
          <w:p>
            <w:pPr>
              <w:adjustRightInd w:val="0"/>
              <w:snapToGrid w:val="0"/>
              <w:spacing w:line="480" w:lineRule="exact"/>
              <w:ind w:firstLine="482" w:firstLineChars="200"/>
              <w:rPr>
                <w:b/>
                <w:bCs/>
                <w:sz w:val="24"/>
              </w:rPr>
            </w:pPr>
            <w:r>
              <w:rPr>
                <w:rFonts w:hint="eastAsia"/>
                <w:b/>
                <w:bCs/>
                <w:sz w:val="24"/>
              </w:rPr>
              <w:t>（</w:t>
            </w:r>
            <w:r>
              <w:rPr>
                <w:b/>
                <w:bCs/>
                <w:sz w:val="24"/>
              </w:rPr>
              <w:t>3</w:t>
            </w:r>
            <w:r>
              <w:rPr>
                <w:rFonts w:hint="eastAsia"/>
                <w:b/>
                <w:bCs/>
                <w:sz w:val="24"/>
              </w:rPr>
              <w:t>）</w:t>
            </w:r>
            <w:r>
              <w:rPr>
                <w:b/>
                <w:bCs/>
                <w:sz w:val="24"/>
              </w:rPr>
              <w:t>供电系统</w:t>
            </w:r>
          </w:p>
          <w:p>
            <w:pPr>
              <w:adjustRightInd w:val="0"/>
              <w:snapToGrid w:val="0"/>
              <w:spacing w:line="480" w:lineRule="exact"/>
              <w:ind w:firstLine="480" w:firstLineChars="200"/>
              <w:rPr>
                <w:sz w:val="24"/>
              </w:rPr>
            </w:pPr>
            <w:r>
              <w:rPr>
                <w:rFonts w:hint="eastAsia"/>
                <w:sz w:val="24"/>
              </w:rPr>
              <w:t>电源由五台县供电局主供电网供给，施工用电由地块周边治超站接入供给；项目建成运营后由市网引一路独立的10kV电源接入本项目的变配电室，变配电室设2台3</w:t>
            </w:r>
            <w:r>
              <w:rPr>
                <w:sz w:val="24"/>
              </w:rPr>
              <w:t>00</w:t>
            </w:r>
            <w:r>
              <w:rPr>
                <w:rFonts w:hint="eastAsia"/>
                <w:sz w:val="24"/>
              </w:rPr>
              <w:t>k</w:t>
            </w:r>
            <w:r>
              <w:rPr>
                <w:sz w:val="24"/>
              </w:rPr>
              <w:t>VA</w:t>
            </w:r>
            <w:r>
              <w:rPr>
                <w:rFonts w:hint="eastAsia"/>
                <w:sz w:val="24"/>
              </w:rPr>
              <w:t>干式变压器。</w:t>
            </w:r>
            <w:r>
              <w:rPr>
                <w:sz w:val="24"/>
              </w:rPr>
              <w:t>同时自备1台150kw柴油发电机组作为备用电源。</w:t>
            </w:r>
          </w:p>
          <w:p>
            <w:pPr>
              <w:adjustRightInd w:val="0"/>
              <w:snapToGrid w:val="0"/>
              <w:spacing w:line="480" w:lineRule="exact"/>
              <w:ind w:firstLine="482" w:firstLineChars="200"/>
              <w:rPr>
                <w:b/>
                <w:bCs/>
                <w:sz w:val="24"/>
              </w:rPr>
            </w:pPr>
            <w:r>
              <w:rPr>
                <w:rFonts w:hint="eastAsia"/>
                <w:b/>
                <w:bCs/>
                <w:sz w:val="24"/>
              </w:rPr>
              <w:t>（4）供暖系统</w:t>
            </w:r>
          </w:p>
          <w:p>
            <w:pPr>
              <w:adjustRightInd w:val="0"/>
              <w:snapToGrid w:val="0"/>
              <w:spacing w:line="480" w:lineRule="exact"/>
              <w:ind w:firstLine="480" w:firstLineChars="200"/>
              <w:rPr>
                <w:sz w:val="24"/>
              </w:rPr>
            </w:pPr>
            <w:r>
              <w:rPr>
                <w:rFonts w:hint="eastAsia"/>
                <w:sz w:val="24"/>
              </w:rPr>
              <w:t>本项目告别楼、后勤管理用房、办公用房、火化间、骨灰寄存室、遗体处理室、焚烧间、室外厕所负荷约为：298.52 KW，面积为4975.30m</w:t>
            </w:r>
            <w:r>
              <w:rPr>
                <w:sz w:val="24"/>
                <w:vertAlign w:val="superscript"/>
              </w:rPr>
              <w:t>2</w:t>
            </w:r>
            <w:r>
              <w:rPr>
                <w:rFonts w:hint="eastAsia"/>
                <w:sz w:val="24"/>
              </w:rPr>
              <w:t>，热指标为：</w:t>
            </w:r>
            <w:r>
              <w:rPr>
                <w:sz w:val="24"/>
              </w:rPr>
              <w:t>60W/m</w:t>
            </w:r>
            <w:r>
              <w:rPr>
                <w:sz w:val="24"/>
                <w:vertAlign w:val="superscript"/>
              </w:rPr>
              <w:t>2</w:t>
            </w:r>
            <w:r>
              <w:rPr>
                <w:rFonts w:hint="eastAsia"/>
                <w:sz w:val="24"/>
              </w:rPr>
              <w:t>。本项目选用2台额定制热功率为1</w:t>
            </w:r>
            <w:r>
              <w:rPr>
                <w:sz w:val="24"/>
              </w:rPr>
              <w:t>50</w:t>
            </w:r>
            <w:r>
              <w:rPr>
                <w:rFonts w:hint="eastAsia"/>
                <w:sz w:val="24"/>
              </w:rPr>
              <w:t>k</w:t>
            </w:r>
            <w:r>
              <w:rPr>
                <w:sz w:val="24"/>
              </w:rPr>
              <w:t>W</w:t>
            </w:r>
            <w:r>
              <w:rPr>
                <w:rFonts w:hint="eastAsia"/>
                <w:sz w:val="24"/>
              </w:rPr>
              <w:t>的空气源热泵机组，可以满足本项目供暖需求。</w:t>
            </w: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20" w:firstLineChars="200"/>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4759" w:type="pct"/>
          </w:tcPr>
          <w:p>
            <w:pPr>
              <w:adjustRightInd w:val="0"/>
              <w:snapToGrid w:val="0"/>
              <w:spacing w:line="480" w:lineRule="exact"/>
              <w:ind w:firstLine="482" w:firstLineChars="200"/>
              <w:rPr>
                <w:b/>
                <w:sz w:val="24"/>
              </w:rPr>
            </w:pPr>
            <w:r>
              <w:rPr>
                <w:b/>
                <w:sz w:val="24"/>
              </w:rPr>
              <w:t>1、施工期工艺流程简述</w:t>
            </w:r>
          </w:p>
          <w:p>
            <w:pPr>
              <w:adjustRightInd w:val="0"/>
              <w:snapToGrid w:val="0"/>
              <w:spacing w:line="480" w:lineRule="exact"/>
              <w:ind w:firstLine="482" w:firstLineChars="200"/>
              <w:rPr>
                <w:b/>
                <w:sz w:val="24"/>
              </w:rPr>
            </w:pPr>
            <w:r>
              <w:rPr>
                <w:rFonts w:hint="eastAsia"/>
                <w:b/>
                <w:sz w:val="24"/>
              </w:rPr>
              <w:t>（1）施工期工艺流程</w:t>
            </w:r>
          </w:p>
          <w:p>
            <w:pPr>
              <w:adjustRightInd w:val="0"/>
              <w:snapToGrid w:val="0"/>
              <w:spacing w:line="480" w:lineRule="exact"/>
              <w:ind w:firstLine="480" w:firstLineChars="200"/>
              <w:rPr>
                <w:bCs/>
                <w:sz w:val="24"/>
              </w:rPr>
            </w:pPr>
            <w:r>
              <w:rPr>
                <w:rFonts w:hint="eastAsia"/>
                <w:bCs/>
                <w:sz w:val="24"/>
              </w:rPr>
              <w:t>本项目为新建项目，拟建项目场址现状为耕地；项目建筑主要为框架结构，施工期分以下几步进行：场地平整，基础工程，主体工程（建筑及配套设施建设工程），设备安装工程（室内外装修及设备安置）。施工期工艺流程及各阶段产污环节见下图。</w:t>
            </w:r>
          </w:p>
          <w:p>
            <w:pPr>
              <w:adjustRightInd w:val="0"/>
              <w:snapToGrid w:val="0"/>
              <w:jc w:val="center"/>
              <w:rPr>
                <w:bCs/>
                <w:sz w:val="24"/>
              </w:rPr>
            </w:pPr>
            <w:r>
              <w:drawing>
                <wp:inline distT="0" distB="0" distL="0" distR="0">
                  <wp:extent cx="4933950" cy="1133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933950" cy="1133475"/>
                          </a:xfrm>
                          <a:prstGeom prst="rect">
                            <a:avLst/>
                          </a:prstGeom>
                          <a:noFill/>
                          <a:ln>
                            <a:noFill/>
                          </a:ln>
                        </pic:spPr>
                      </pic:pic>
                    </a:graphicData>
                  </a:graphic>
                </wp:inline>
              </w:drawing>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w:t>
            </w:r>
            <w:r>
              <w:rPr>
                <w:rFonts w:ascii="黑体" w:hAnsi="黑体" w:eastAsia="黑体"/>
                <w:bCs/>
                <w:sz w:val="24"/>
              </w:rPr>
              <w:t>2-3</w:t>
            </w:r>
            <w:r>
              <w:rPr>
                <w:rFonts w:hint="eastAsia" w:ascii="黑体" w:hAnsi="黑体" w:eastAsia="黑体"/>
                <w:bCs/>
                <w:sz w:val="24"/>
              </w:rPr>
              <w:t xml:space="preserve">  施工期工艺流程及产排污环节示意图</w:t>
            </w:r>
          </w:p>
          <w:p>
            <w:pPr>
              <w:adjustRightInd w:val="0"/>
              <w:snapToGrid w:val="0"/>
              <w:spacing w:line="480" w:lineRule="exact"/>
              <w:ind w:firstLine="482" w:firstLineChars="200"/>
              <w:rPr>
                <w:bCs/>
                <w:sz w:val="24"/>
              </w:rPr>
            </w:pPr>
            <w:r>
              <w:rPr>
                <w:rFonts w:hint="eastAsia"/>
                <w:b/>
                <w:sz w:val="24"/>
              </w:rPr>
              <w:t>（2）</w:t>
            </w:r>
            <w:r>
              <w:rPr>
                <w:b/>
                <w:bCs/>
                <w:sz w:val="24"/>
              </w:rPr>
              <w:t>施工期主要污染工序</w:t>
            </w:r>
          </w:p>
          <w:p>
            <w:pPr>
              <w:adjustRightInd w:val="0"/>
              <w:snapToGrid w:val="0"/>
              <w:spacing w:line="480" w:lineRule="exact"/>
              <w:ind w:firstLine="480" w:firstLineChars="200"/>
              <w:rPr>
                <w:bCs/>
                <w:sz w:val="24"/>
              </w:rPr>
            </w:pPr>
            <w:r>
              <w:rPr>
                <w:rFonts w:hint="eastAsia"/>
                <w:bCs/>
                <w:sz w:val="24"/>
              </w:rPr>
              <w:t>①大气污染物：车辆运输时产生的扬尘，排放的主要污染物为TSP；各类燃油动力机械在设备运输等施工作业时，会排出各类燃油废气，排放的主要污染物为CO、NO</w:t>
            </w:r>
            <w:r>
              <w:rPr>
                <w:bCs/>
                <w:sz w:val="24"/>
                <w:vertAlign w:val="subscript"/>
              </w:rPr>
              <w:t>x</w:t>
            </w:r>
            <w:r>
              <w:rPr>
                <w:rFonts w:hint="eastAsia"/>
                <w:bCs/>
                <w:sz w:val="24"/>
              </w:rPr>
              <w:t>、SO</w:t>
            </w:r>
            <w:r>
              <w:rPr>
                <w:rFonts w:hint="eastAsia"/>
                <w:bCs/>
                <w:sz w:val="24"/>
                <w:vertAlign w:val="subscript"/>
              </w:rPr>
              <w:t>2</w:t>
            </w:r>
            <w:r>
              <w:rPr>
                <w:rFonts w:hint="eastAsia"/>
                <w:bCs/>
                <w:sz w:val="24"/>
              </w:rPr>
              <w:t>、烟尘。</w:t>
            </w:r>
          </w:p>
          <w:p>
            <w:pPr>
              <w:adjustRightInd w:val="0"/>
              <w:snapToGrid w:val="0"/>
              <w:spacing w:line="480" w:lineRule="exact"/>
              <w:ind w:firstLine="480" w:firstLineChars="200"/>
              <w:rPr>
                <w:bCs/>
                <w:sz w:val="24"/>
              </w:rPr>
            </w:pPr>
            <w:r>
              <w:rPr>
                <w:rFonts w:hint="eastAsia"/>
                <w:bCs/>
                <w:sz w:val="24"/>
              </w:rPr>
              <w:t>②水污染物：施工人员产生的生活污水，主要污染物为BOD</w:t>
            </w:r>
            <w:r>
              <w:rPr>
                <w:rFonts w:hint="eastAsia"/>
                <w:bCs/>
                <w:sz w:val="24"/>
                <w:vertAlign w:val="subscript"/>
              </w:rPr>
              <w:t>5</w:t>
            </w:r>
            <w:r>
              <w:rPr>
                <w:rFonts w:hint="eastAsia"/>
                <w:bCs/>
                <w:sz w:val="24"/>
              </w:rPr>
              <w:t>、COD、SS。</w:t>
            </w:r>
          </w:p>
          <w:p>
            <w:pPr>
              <w:adjustRightInd w:val="0"/>
              <w:snapToGrid w:val="0"/>
              <w:spacing w:line="480" w:lineRule="exact"/>
              <w:ind w:firstLine="480" w:firstLineChars="200"/>
              <w:rPr>
                <w:bCs/>
                <w:sz w:val="24"/>
              </w:rPr>
            </w:pPr>
            <w:r>
              <w:rPr>
                <w:rFonts w:hint="eastAsia"/>
                <w:bCs/>
                <w:sz w:val="24"/>
              </w:rPr>
              <w:t>③固体废物：施工期产生的施工垃圾，主要为废弃包装物；施工人员的生活垃圾。</w:t>
            </w:r>
          </w:p>
          <w:p>
            <w:pPr>
              <w:adjustRightInd w:val="0"/>
              <w:snapToGrid w:val="0"/>
              <w:spacing w:line="480" w:lineRule="exact"/>
              <w:ind w:firstLine="480" w:firstLineChars="200"/>
              <w:rPr>
                <w:bCs/>
                <w:sz w:val="24"/>
              </w:rPr>
            </w:pPr>
            <w:r>
              <w:rPr>
                <w:rFonts w:hint="eastAsia"/>
                <w:bCs/>
                <w:sz w:val="24"/>
              </w:rPr>
              <w:t>④噪声：运输车辆等施工机械作业时产生的噪声；施工机械产生的噪声值为65-100dB（A）。</w:t>
            </w:r>
          </w:p>
          <w:p>
            <w:pPr>
              <w:adjustRightInd w:val="0"/>
              <w:snapToGrid w:val="0"/>
              <w:spacing w:line="480" w:lineRule="exact"/>
              <w:ind w:firstLine="482" w:firstLineChars="200"/>
              <w:rPr>
                <w:b/>
                <w:sz w:val="24"/>
              </w:rPr>
            </w:pPr>
            <w:r>
              <w:rPr>
                <w:b/>
                <w:sz w:val="24"/>
              </w:rPr>
              <w:t>2、</w:t>
            </w:r>
            <w:r>
              <w:rPr>
                <w:rFonts w:hint="eastAsia"/>
                <w:b/>
                <w:sz w:val="24"/>
              </w:rPr>
              <w:t>运营</w:t>
            </w:r>
            <w:r>
              <w:rPr>
                <w:b/>
                <w:sz w:val="24"/>
              </w:rPr>
              <w:t>期工艺流程简述</w:t>
            </w:r>
          </w:p>
          <w:p>
            <w:pPr>
              <w:adjustRightInd w:val="0"/>
              <w:snapToGrid w:val="0"/>
              <w:spacing w:line="480" w:lineRule="exact"/>
              <w:ind w:firstLine="482" w:firstLineChars="200"/>
              <w:rPr>
                <w:bCs/>
                <w:sz w:val="24"/>
              </w:rPr>
            </w:pPr>
            <w:r>
              <w:rPr>
                <w:rFonts w:hint="eastAsia"/>
                <w:b/>
                <w:sz w:val="24"/>
              </w:rPr>
              <w:t>（1）运营</w:t>
            </w:r>
            <w:r>
              <w:rPr>
                <w:b/>
                <w:sz w:val="24"/>
              </w:rPr>
              <w:t>期工艺流程</w:t>
            </w:r>
          </w:p>
          <w:p>
            <w:pPr>
              <w:adjustRightInd w:val="0"/>
              <w:snapToGrid w:val="0"/>
              <w:spacing w:line="480" w:lineRule="exact"/>
              <w:ind w:firstLine="480" w:firstLineChars="200"/>
              <w:rPr>
                <w:bCs/>
                <w:sz w:val="24"/>
              </w:rPr>
            </w:pPr>
            <w:r>
              <w:rPr>
                <w:rFonts w:hint="eastAsia"/>
                <w:bCs/>
                <w:sz w:val="24"/>
                <w:lang w:val="en-GB"/>
              </w:rPr>
              <w:t>本项目为殡葬服务项目，提供</w:t>
            </w:r>
            <w:r>
              <w:rPr>
                <w:rFonts w:hint="eastAsia"/>
                <w:bCs/>
                <w:sz w:val="24"/>
              </w:rPr>
              <w:t>遗体</w:t>
            </w:r>
            <w:r>
              <w:rPr>
                <w:rFonts w:hint="eastAsia"/>
                <w:bCs/>
                <w:sz w:val="24"/>
                <w:lang w:val="en-GB"/>
              </w:rPr>
              <w:t>火化、追悼、</w:t>
            </w:r>
            <w:r>
              <w:rPr>
                <w:rFonts w:hint="eastAsia"/>
                <w:bCs/>
                <w:sz w:val="24"/>
              </w:rPr>
              <w:t>骨灰寄存等</w:t>
            </w:r>
            <w:r>
              <w:rPr>
                <w:rFonts w:hint="eastAsia"/>
                <w:bCs/>
                <w:sz w:val="24"/>
                <w:lang w:val="en-GB"/>
              </w:rPr>
              <w:t>服务。</w:t>
            </w:r>
          </w:p>
          <w:p>
            <w:pPr>
              <w:adjustRightInd w:val="0"/>
              <w:snapToGrid w:val="0"/>
              <w:spacing w:line="480" w:lineRule="exact"/>
              <w:ind w:firstLine="480" w:firstLineChars="200"/>
              <w:rPr>
                <w:bCs/>
                <w:sz w:val="24"/>
                <w:lang w:val="en-GB"/>
              </w:rPr>
            </w:pPr>
            <w:r>
              <w:rPr>
                <w:rFonts w:hint="eastAsia"/>
                <w:bCs/>
                <w:sz w:val="24"/>
              </w:rPr>
              <w:t>①</w:t>
            </w:r>
            <w:r>
              <w:rPr>
                <w:rFonts w:hint="eastAsia"/>
                <w:bCs/>
                <w:sz w:val="24"/>
                <w:lang w:val="en-GB"/>
              </w:rPr>
              <w:t>遗体运送：由专用殡仪车辆经专用车道进行遗体运送。</w:t>
            </w:r>
          </w:p>
          <w:p>
            <w:pPr>
              <w:adjustRightInd w:val="0"/>
              <w:snapToGrid w:val="0"/>
              <w:spacing w:line="480" w:lineRule="exact"/>
              <w:ind w:firstLine="480" w:firstLineChars="200"/>
              <w:rPr>
                <w:bCs/>
                <w:sz w:val="24"/>
              </w:rPr>
            </w:pPr>
            <w:r>
              <w:rPr>
                <w:rFonts w:hint="eastAsia"/>
                <w:bCs/>
                <w:sz w:val="24"/>
                <w:lang w:val="en-GB"/>
              </w:rPr>
              <w:t>②遗体处置：需要进行遗体清洁的，可在遗体冷藏间洗浴台进行遗体清洁，政策情况下遗体处理为沐浴、更衣和化妆。</w:t>
            </w:r>
          </w:p>
          <w:p>
            <w:pPr>
              <w:adjustRightInd w:val="0"/>
              <w:snapToGrid w:val="0"/>
              <w:spacing w:line="480" w:lineRule="exact"/>
              <w:ind w:firstLine="480" w:firstLineChars="200"/>
              <w:rPr>
                <w:bCs/>
                <w:sz w:val="24"/>
              </w:rPr>
            </w:pPr>
            <w:r>
              <w:rPr>
                <w:rFonts w:hint="eastAsia"/>
                <w:bCs/>
                <w:sz w:val="24"/>
              </w:rPr>
              <w:t>③遗体暂存：对于无法立即进行火化的遗体，需在遗体冷藏柜中进行停放，停放温度为-</w:t>
            </w:r>
            <w:r>
              <w:rPr>
                <w:bCs/>
                <w:sz w:val="24"/>
              </w:rPr>
              <w:t>5</w:t>
            </w:r>
            <w:r>
              <w:rPr>
                <w:rFonts w:hint="eastAsia"/>
                <w:bCs/>
                <w:sz w:val="24"/>
              </w:rPr>
              <w:t>℃，停放时间最长不超过3天。</w:t>
            </w:r>
          </w:p>
          <w:p>
            <w:pPr>
              <w:adjustRightInd w:val="0"/>
              <w:snapToGrid w:val="0"/>
              <w:spacing w:line="480" w:lineRule="exact"/>
              <w:ind w:firstLine="480" w:firstLineChars="200"/>
              <w:rPr>
                <w:bCs/>
                <w:sz w:val="24"/>
              </w:rPr>
            </w:pPr>
            <w:r>
              <w:rPr>
                <w:rFonts w:hint="eastAsia"/>
                <w:bCs/>
                <w:sz w:val="24"/>
              </w:rPr>
              <w:t>④</w:t>
            </w:r>
            <w:r>
              <w:rPr>
                <w:rFonts w:hint="eastAsia"/>
                <w:bCs/>
                <w:sz w:val="24"/>
                <w:lang w:val="en-GB"/>
              </w:rPr>
              <w:t>遗体告别：遗体进行火化前在守灵厅、悼念厅、告别厅进行守灵、悼念、告别等仪式。</w:t>
            </w:r>
          </w:p>
          <w:p>
            <w:pPr>
              <w:adjustRightInd w:val="0"/>
              <w:snapToGrid w:val="0"/>
              <w:spacing w:line="480" w:lineRule="exact"/>
              <w:ind w:firstLine="480" w:firstLineChars="200"/>
              <w:rPr>
                <w:bCs/>
                <w:sz w:val="24"/>
                <w:lang w:val="en-GB"/>
              </w:rPr>
            </w:pPr>
            <w:r>
              <w:rPr>
                <w:rFonts w:hint="eastAsia"/>
                <w:bCs/>
                <w:sz w:val="24"/>
              </w:rPr>
              <w:t>⑤火化：</w:t>
            </w:r>
            <w:r>
              <w:rPr>
                <w:rFonts w:hint="eastAsia"/>
                <w:bCs/>
                <w:sz w:val="24"/>
                <w:lang w:val="en-GB"/>
              </w:rPr>
              <w:t>遗体由运尸车运送到火化间，进入火化炉进行火化，火化炉采用轻柴油作为燃料，将尸体等在燃烧室里充分燃烧氧化分解。</w:t>
            </w:r>
          </w:p>
          <w:p>
            <w:pPr>
              <w:adjustRightInd w:val="0"/>
              <w:snapToGrid w:val="0"/>
              <w:spacing w:line="480" w:lineRule="exact"/>
              <w:ind w:firstLine="480" w:firstLineChars="200"/>
              <w:rPr>
                <w:bCs/>
                <w:sz w:val="24"/>
              </w:rPr>
            </w:pPr>
            <w:r>
              <w:rPr>
                <w:rFonts w:hint="eastAsia"/>
                <w:bCs/>
                <w:sz w:val="24"/>
              </w:rPr>
              <w:t>本项目购置的YQ欧亚式火化机，属目前国内先进的火化设备，燃烧过程采用</w:t>
            </w:r>
            <w:r>
              <w:rPr>
                <w:bCs/>
                <w:sz w:val="24"/>
              </w:rPr>
              <w:t>FWC</w:t>
            </w:r>
            <w:r>
              <w:rPr>
                <w:rFonts w:hint="eastAsia"/>
                <w:bCs/>
                <w:sz w:val="24"/>
              </w:rPr>
              <w:t>型控制器，全自动控制实现自动点火、自动调整炉膛压力、自动调整炉膛内燃烧用的空气量、自动控制炉膛内的温度在合适的范围内。采用的是二级燃烧技术，以充分氧化分解产生的污染物，从而达到去除烟尘、恶臭气体的目的。主燃烧室（一级燃烧室）燃烧的对象是尸体及随葬品：二级燃烧室燃烧的对象是烟气，燃烧过程中的各个参数如炉膛的稳度、压力、氧含量等通过传感器到控制台的计算机，计算机将自动调节各个参数，使烟气中的有毒有害物质在最佳的燃烧状态下被充分氧化分解。本项目火化炉烟气经急冷+消石灰喷射+旋风离心器+活性炭喷射+布袋除尘器处理后由1</w:t>
            </w:r>
            <w:r>
              <w:rPr>
                <w:bCs/>
                <w:sz w:val="24"/>
              </w:rPr>
              <w:t>3</w:t>
            </w:r>
            <w:r>
              <w:rPr>
                <w:rFonts w:hint="eastAsia"/>
                <w:bCs/>
                <w:sz w:val="24"/>
              </w:rPr>
              <w:t>m高排气筒外排。</w:t>
            </w:r>
          </w:p>
          <w:p>
            <w:pPr>
              <w:adjustRightInd w:val="0"/>
              <w:snapToGrid w:val="0"/>
              <w:spacing w:line="480" w:lineRule="exact"/>
              <w:ind w:firstLine="480" w:firstLineChars="200"/>
              <w:rPr>
                <w:bCs/>
                <w:sz w:val="24"/>
              </w:rPr>
            </w:pPr>
            <w:r>
              <w:rPr>
                <w:rFonts w:hint="eastAsia"/>
                <w:bCs/>
                <w:sz w:val="24"/>
              </w:rPr>
              <w:t>本项目火化机设备参数见下表。</w:t>
            </w:r>
          </w:p>
          <w:p>
            <w:pPr>
              <w:adjustRightInd w:val="0"/>
              <w:snapToGrid w:val="0"/>
              <w:spacing w:line="480" w:lineRule="exact"/>
              <w:jc w:val="center"/>
              <w:rPr>
                <w:rFonts w:ascii="黑体" w:hAnsi="黑体" w:eastAsia="黑体"/>
                <w:bCs/>
                <w:sz w:val="24"/>
              </w:rPr>
            </w:pPr>
            <w:r>
              <w:rPr>
                <w:rFonts w:ascii="黑体" w:hAnsi="黑体" w:eastAsia="黑体"/>
                <w:bCs/>
                <w:sz w:val="24"/>
              </w:rPr>
              <w:t>表2-6  主要原辅材料及能源消耗情况表</w:t>
            </w:r>
          </w:p>
          <w:tbl>
            <w:tblPr>
              <w:tblStyle w:val="19"/>
              <w:tblpPr w:leftFromText="181" w:rightFromText="181" w:vertAnchor="text" w:horzAnchor="page" w:tblpX="97"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4"/>
              <w:gridCol w:w="5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项目</w:t>
                  </w:r>
                </w:p>
              </w:tc>
              <w:tc>
                <w:tcPr>
                  <w:tcW w:w="2954" w:type="pct"/>
                  <w:vAlign w:val="center"/>
                </w:tcPr>
                <w:p>
                  <w:pPr>
                    <w:pStyle w:val="44"/>
                    <w:rPr>
                      <w:szCs w:val="21"/>
                    </w:rPr>
                  </w:pPr>
                  <w:r>
                    <w:rPr>
                      <w:rFonts w:hint="eastAsia"/>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型号</w:t>
                  </w:r>
                </w:p>
              </w:tc>
              <w:tc>
                <w:tcPr>
                  <w:tcW w:w="2954" w:type="pct"/>
                  <w:vAlign w:val="center"/>
                </w:tcPr>
                <w:p>
                  <w:pPr>
                    <w:pStyle w:val="44"/>
                    <w:rPr>
                      <w:szCs w:val="21"/>
                    </w:rPr>
                  </w:pPr>
                  <w:r>
                    <w:rPr>
                      <w:rFonts w:hint="eastAsia"/>
                      <w:bCs/>
                      <w:szCs w:val="21"/>
                    </w:rPr>
                    <w:t>YQ欧亚式火化机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jc w:val="center"/>
                    <w:rPr>
                      <w:kern w:val="0"/>
                      <w:szCs w:val="21"/>
                    </w:rPr>
                  </w:pPr>
                  <w:r>
                    <w:rPr>
                      <w:rFonts w:hint="eastAsia"/>
                      <w:kern w:val="0"/>
                      <w:szCs w:val="21"/>
                    </w:rPr>
                    <w:t>使用燃料</w:t>
                  </w:r>
                </w:p>
              </w:tc>
              <w:tc>
                <w:tcPr>
                  <w:tcW w:w="2954" w:type="pct"/>
                  <w:vAlign w:val="center"/>
                </w:tcPr>
                <w:p>
                  <w:pPr>
                    <w:jc w:val="center"/>
                    <w:rPr>
                      <w:kern w:val="0"/>
                      <w:szCs w:val="21"/>
                    </w:rPr>
                  </w:pPr>
                  <w:r>
                    <w:rPr>
                      <w:rFonts w:hint="eastAsia"/>
                      <w:kern w:val="0"/>
                      <w:szCs w:val="21"/>
                    </w:rPr>
                    <w:t>轻质柴油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jc w:val="center"/>
                    <w:rPr>
                      <w:kern w:val="0"/>
                      <w:szCs w:val="21"/>
                    </w:rPr>
                  </w:pPr>
                  <w:r>
                    <w:rPr>
                      <w:rFonts w:hint="eastAsia"/>
                      <w:kern w:val="0"/>
                      <w:szCs w:val="21"/>
                    </w:rPr>
                    <w:t>耗油量</w:t>
                  </w:r>
                </w:p>
              </w:tc>
              <w:tc>
                <w:tcPr>
                  <w:tcW w:w="2954" w:type="pct"/>
                  <w:vAlign w:val="center"/>
                </w:tcPr>
                <w:p>
                  <w:pPr>
                    <w:jc w:val="center"/>
                    <w:rPr>
                      <w:kern w:val="0"/>
                      <w:szCs w:val="21"/>
                    </w:rPr>
                  </w:pPr>
                  <w:r>
                    <w:rPr>
                      <w:rFonts w:hint="eastAsia"/>
                      <w:kern w:val="0"/>
                      <w:szCs w:val="21"/>
                    </w:rPr>
                    <w:t>约</w:t>
                  </w:r>
                  <w:r>
                    <w:rPr>
                      <w:kern w:val="0"/>
                      <w:szCs w:val="21"/>
                    </w:rPr>
                    <w:t>40L/</w:t>
                  </w:r>
                  <w:r>
                    <w:rPr>
                      <w:rFonts w:hint="eastAsia"/>
                      <w:kern w:val="0"/>
                      <w:szCs w:val="21"/>
                    </w:rPr>
                    <w:t>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火化时间</w:t>
                  </w:r>
                </w:p>
              </w:tc>
              <w:tc>
                <w:tcPr>
                  <w:tcW w:w="2954" w:type="pct"/>
                  <w:vAlign w:val="center"/>
                </w:tcPr>
                <w:p>
                  <w:pPr>
                    <w:pStyle w:val="44"/>
                    <w:rPr>
                      <w:szCs w:val="21"/>
                    </w:rPr>
                  </w:pPr>
                  <w:r>
                    <w:rPr>
                      <w:rFonts w:hint="eastAsia"/>
                      <w:szCs w:val="21"/>
                    </w:rPr>
                    <w:t>约</w:t>
                  </w:r>
                  <w:r>
                    <w:rPr>
                      <w:szCs w:val="21"/>
                    </w:rPr>
                    <w:t>45</w:t>
                  </w:r>
                  <w:r>
                    <w:rPr>
                      <w:rFonts w:hint="eastAsia"/>
                      <w:szCs w:val="21"/>
                    </w:rPr>
                    <w:t>min</w:t>
                  </w:r>
                  <w:r>
                    <w:rPr>
                      <w:szCs w:val="21"/>
                    </w:rPr>
                    <w:t>/</w:t>
                  </w:r>
                  <w:r>
                    <w:rPr>
                      <w:rFonts w:hint="eastAsia"/>
                      <w:szCs w:val="21"/>
                    </w:rPr>
                    <w:t>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主炉膛工作压力</w:t>
                  </w:r>
                </w:p>
              </w:tc>
              <w:tc>
                <w:tcPr>
                  <w:tcW w:w="2954" w:type="pct"/>
                  <w:vAlign w:val="center"/>
                </w:tcPr>
                <w:p>
                  <w:pPr>
                    <w:pStyle w:val="44"/>
                    <w:rPr>
                      <w:szCs w:val="21"/>
                    </w:rPr>
                  </w:pPr>
                  <w:r>
                    <w:rPr>
                      <w:rFonts w:hint="eastAsia"/>
                      <w:szCs w:val="21"/>
                    </w:rPr>
                    <w:t>-</w:t>
                  </w:r>
                  <w:r>
                    <w:rPr>
                      <w:szCs w:val="21"/>
                    </w:rPr>
                    <w:t>9.8Pa~30P</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主炉膛最大负压</w:t>
                  </w:r>
                </w:p>
              </w:tc>
              <w:tc>
                <w:tcPr>
                  <w:tcW w:w="2954" w:type="pct"/>
                  <w:vAlign w:val="center"/>
                </w:tcPr>
                <w:p>
                  <w:pPr>
                    <w:pStyle w:val="44"/>
                    <w:rPr>
                      <w:szCs w:val="21"/>
                    </w:rPr>
                  </w:pPr>
                  <w:r>
                    <w:rPr>
                      <w:rFonts w:hint="eastAsia"/>
                      <w:szCs w:val="21"/>
                    </w:rPr>
                    <w:t>＞-</w:t>
                  </w:r>
                  <w:r>
                    <w:rPr>
                      <w:szCs w:val="21"/>
                    </w:rPr>
                    <w:t>500P</w:t>
                  </w:r>
                  <w:r>
                    <w:rPr>
                      <w:rFonts w:hint="eastAsia"/>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主炉膛工作温度</w:t>
                  </w:r>
                </w:p>
              </w:tc>
              <w:tc>
                <w:tcPr>
                  <w:tcW w:w="2954" w:type="pct"/>
                  <w:vAlign w:val="center"/>
                </w:tcPr>
                <w:p>
                  <w:pPr>
                    <w:pStyle w:val="44"/>
                    <w:rPr>
                      <w:szCs w:val="21"/>
                    </w:rPr>
                  </w:pPr>
                  <w:r>
                    <w:rPr>
                      <w:rFonts w:hint="eastAsia"/>
                      <w:szCs w:val="21"/>
                    </w:rPr>
                    <w:t>7</w:t>
                  </w:r>
                  <w:r>
                    <w:rPr>
                      <w:szCs w:val="21"/>
                    </w:rPr>
                    <w:t>50</w:t>
                  </w:r>
                  <w:r>
                    <w:rPr>
                      <w:rFonts w:hint="eastAsia"/>
                      <w:szCs w:val="21"/>
                    </w:rPr>
                    <w:t>℃~</w:t>
                  </w:r>
                  <w:r>
                    <w:rPr>
                      <w:szCs w:val="21"/>
                    </w:rPr>
                    <w:t>950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再燃室炉膛温度</w:t>
                  </w:r>
                </w:p>
              </w:tc>
              <w:tc>
                <w:tcPr>
                  <w:tcW w:w="2954" w:type="pct"/>
                  <w:vAlign w:val="center"/>
                </w:tcPr>
                <w:p>
                  <w:pPr>
                    <w:pStyle w:val="44"/>
                    <w:rPr>
                      <w:szCs w:val="21"/>
                    </w:rPr>
                  </w:pPr>
                  <w:r>
                    <w:rPr>
                      <w:rFonts w:hint="eastAsia"/>
                      <w:szCs w:val="21"/>
                    </w:rPr>
                    <w:t>＞8</w:t>
                  </w:r>
                  <w:r>
                    <w:rPr>
                      <w:szCs w:val="21"/>
                    </w:rPr>
                    <w:t>50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再燃室烟气停留时间</w:t>
                  </w:r>
                </w:p>
              </w:tc>
              <w:tc>
                <w:tcPr>
                  <w:tcW w:w="2954" w:type="pct"/>
                  <w:vAlign w:val="center"/>
                </w:tcPr>
                <w:p>
                  <w:pPr>
                    <w:pStyle w:val="44"/>
                    <w:rPr>
                      <w:szCs w:val="21"/>
                    </w:rPr>
                  </w:pPr>
                  <w:r>
                    <w:rPr>
                      <w:rFonts w:hint="eastAsia"/>
                      <w:szCs w:val="21"/>
                    </w:rPr>
                    <w:t>＞2</w:t>
                  </w:r>
                  <w:r>
                    <w:rPr>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火化炉表面温升</w:t>
                  </w:r>
                </w:p>
              </w:tc>
              <w:tc>
                <w:tcPr>
                  <w:tcW w:w="2954" w:type="pct"/>
                  <w:vAlign w:val="center"/>
                </w:tcPr>
                <w:p>
                  <w:pPr>
                    <w:pStyle w:val="44"/>
                    <w:rPr>
                      <w:szCs w:val="21"/>
                    </w:rPr>
                  </w:pPr>
                  <w:r>
                    <w:rPr>
                      <w:rFonts w:hint="eastAsia"/>
                      <w:szCs w:val="21"/>
                    </w:rPr>
                    <w:t>＜3</w:t>
                  </w:r>
                  <w:r>
                    <w:rPr>
                      <w:szCs w:val="21"/>
                    </w:rPr>
                    <w:t>0</w:t>
                  </w:r>
                  <w:r>
                    <w:rPr>
                      <w:rFonts w:hint="eastAsia"/>
                      <w:szCs w:val="21"/>
                    </w:rPr>
                    <w:t>℃，局部＜6</w:t>
                  </w:r>
                  <w:r>
                    <w:rPr>
                      <w:szCs w:val="21"/>
                    </w:rPr>
                    <w:t>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保温性能</w:t>
                  </w:r>
                </w:p>
              </w:tc>
              <w:tc>
                <w:tcPr>
                  <w:tcW w:w="2954" w:type="pct"/>
                  <w:vAlign w:val="center"/>
                </w:tcPr>
                <w:p>
                  <w:pPr>
                    <w:pStyle w:val="44"/>
                    <w:rPr>
                      <w:szCs w:val="21"/>
                    </w:rPr>
                  </w:pPr>
                  <w:r>
                    <w:rPr>
                      <w:rFonts w:hint="eastAsia"/>
                      <w:szCs w:val="21"/>
                    </w:rPr>
                    <w:t>3</w:t>
                  </w:r>
                  <w:r>
                    <w:rPr>
                      <w:szCs w:val="21"/>
                    </w:rPr>
                    <w:t>50</w:t>
                  </w:r>
                  <w:r>
                    <w:rPr>
                      <w:rFonts w:hint="eastAsia"/>
                      <w:szCs w:val="21"/>
                    </w:rPr>
                    <w:t>℃~</w:t>
                  </w:r>
                  <w:r>
                    <w:rPr>
                      <w:szCs w:val="21"/>
                    </w:rPr>
                    <w:t>900</w:t>
                  </w: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除尘方式</w:t>
                  </w:r>
                </w:p>
              </w:tc>
              <w:tc>
                <w:tcPr>
                  <w:tcW w:w="2954" w:type="pct"/>
                  <w:vAlign w:val="center"/>
                </w:tcPr>
                <w:p>
                  <w:pPr>
                    <w:pStyle w:val="44"/>
                    <w:rPr>
                      <w:szCs w:val="21"/>
                    </w:rPr>
                  </w:pPr>
                  <w:r>
                    <w:rPr>
                      <w:rFonts w:hint="eastAsia"/>
                      <w:bCs/>
                      <w:szCs w:val="21"/>
                    </w:rPr>
                    <w:t>急冷+消石灰喷射+旋风离心器+活性炭喷射+布袋除尘器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排放方式</w:t>
                  </w:r>
                </w:p>
              </w:tc>
              <w:tc>
                <w:tcPr>
                  <w:tcW w:w="2954" w:type="pct"/>
                  <w:vAlign w:val="center"/>
                </w:tcPr>
                <w:p>
                  <w:pPr>
                    <w:pStyle w:val="44"/>
                    <w:rPr>
                      <w:szCs w:val="21"/>
                    </w:rPr>
                  </w:pPr>
                  <w:r>
                    <w:rPr>
                      <w:rFonts w:hint="eastAsia"/>
                      <w:szCs w:val="21"/>
                    </w:rPr>
                    <w:t>下排式烟道，引射式烟囱，高度1</w:t>
                  </w:r>
                  <w:r>
                    <w:rPr>
                      <w:szCs w:val="21"/>
                    </w:rPr>
                    <w:t>2</w:t>
                  </w:r>
                  <w:r>
                    <w:rPr>
                      <w:rFonts w:hint="eastAsia"/>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出口烟气氧含量</w:t>
                  </w:r>
                </w:p>
              </w:tc>
              <w:tc>
                <w:tcPr>
                  <w:tcW w:w="2954" w:type="pct"/>
                  <w:vAlign w:val="center"/>
                </w:tcPr>
                <w:p>
                  <w:pPr>
                    <w:pStyle w:val="44"/>
                    <w:rPr>
                      <w:szCs w:val="21"/>
                    </w:rPr>
                  </w:pPr>
                  <w:r>
                    <w:rPr>
                      <w:rFonts w:hint="eastAsia"/>
                      <w:szCs w:val="21"/>
                    </w:rPr>
                    <w:t>≥</w:t>
                  </w:r>
                  <w:r>
                    <w:rPr>
                      <w:szCs w:val="21"/>
                    </w:rPr>
                    <w:t>8</w:t>
                  </w:r>
                  <w:r>
                    <w:rPr>
                      <w:rFonts w:hint="eastAsia"/>
                      <w:szCs w:val="21"/>
                    </w:rPr>
                    <w:t>%（干烟气）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2046" w:type="pct"/>
                  <w:vAlign w:val="center"/>
                </w:tcPr>
                <w:p>
                  <w:pPr>
                    <w:pStyle w:val="44"/>
                    <w:rPr>
                      <w:szCs w:val="21"/>
                    </w:rPr>
                  </w:pPr>
                  <w:r>
                    <w:rPr>
                      <w:rFonts w:hint="eastAsia"/>
                      <w:szCs w:val="21"/>
                    </w:rPr>
                    <w:t>总功率</w:t>
                  </w:r>
                </w:p>
              </w:tc>
              <w:tc>
                <w:tcPr>
                  <w:tcW w:w="2954" w:type="pct"/>
                  <w:vAlign w:val="center"/>
                </w:tcPr>
                <w:p>
                  <w:pPr>
                    <w:pStyle w:val="44"/>
                    <w:rPr>
                      <w:szCs w:val="21"/>
                    </w:rPr>
                  </w:pPr>
                  <w:r>
                    <w:rPr>
                      <w:rFonts w:hint="eastAsia"/>
                      <w:szCs w:val="21"/>
                    </w:rPr>
                    <w:t>≤</w:t>
                  </w:r>
                  <w:r>
                    <w:rPr>
                      <w:szCs w:val="21"/>
                    </w:rPr>
                    <w:t>20</w:t>
                  </w:r>
                  <w:r>
                    <w:rPr>
                      <w:rFonts w:hint="eastAsia"/>
                      <w:szCs w:val="21"/>
                    </w:rPr>
                    <w:t>k</w:t>
                  </w:r>
                  <w:r>
                    <w:rPr>
                      <w:szCs w:val="21"/>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46" w:type="pct"/>
                  <w:vAlign w:val="center"/>
                </w:tcPr>
                <w:p>
                  <w:pPr>
                    <w:pStyle w:val="44"/>
                    <w:rPr>
                      <w:szCs w:val="21"/>
                    </w:rPr>
                  </w:pPr>
                  <w:r>
                    <w:rPr>
                      <w:rFonts w:hint="eastAsia"/>
                      <w:szCs w:val="21"/>
                    </w:rPr>
                    <w:t>工作电压</w:t>
                  </w:r>
                </w:p>
              </w:tc>
              <w:tc>
                <w:tcPr>
                  <w:tcW w:w="2954" w:type="pct"/>
                  <w:vAlign w:val="center"/>
                </w:tcPr>
                <w:p>
                  <w:pPr>
                    <w:pStyle w:val="44"/>
                    <w:rPr>
                      <w:szCs w:val="21"/>
                    </w:rPr>
                  </w:pPr>
                  <w:r>
                    <w:rPr>
                      <w:rFonts w:hint="eastAsia"/>
                      <w:szCs w:val="21"/>
                    </w:rPr>
                    <w:t>3</w:t>
                  </w:r>
                  <w:r>
                    <w:rPr>
                      <w:szCs w:val="21"/>
                    </w:rPr>
                    <w:t>80V</w:t>
                  </w:r>
                  <w:r>
                    <w:rPr>
                      <w:rFonts w:hint="eastAsia"/>
                      <w:szCs w:val="21"/>
                    </w:rPr>
                    <w:t>±</w:t>
                  </w:r>
                  <w:r>
                    <w:rPr>
                      <w:szCs w:val="21"/>
                    </w:rPr>
                    <w:t>5</w:t>
                  </w:r>
                  <w:r>
                    <w:rPr>
                      <w:rFonts w:hint="eastAsia"/>
                      <w:szCs w:val="21"/>
                    </w:rPr>
                    <w:t>%</w:t>
                  </w:r>
                </w:p>
              </w:tc>
            </w:tr>
          </w:tbl>
          <w:p>
            <w:pPr>
              <w:adjustRightInd w:val="0"/>
              <w:snapToGrid w:val="0"/>
              <w:spacing w:line="480" w:lineRule="exact"/>
              <w:ind w:firstLine="480" w:firstLineChars="200"/>
              <w:rPr>
                <w:bCs/>
                <w:sz w:val="24"/>
              </w:rPr>
            </w:pPr>
            <w:r>
              <w:rPr>
                <w:rFonts w:hint="eastAsia"/>
                <w:bCs/>
                <w:sz w:val="24"/>
              </w:rPr>
              <w:t>⑥骨灰验装：遗体燃烧完成后，剩余的骨灰主要是含有钙、镁、磷等氧化物的灰渣，火化炉配有自动收集装置对灰渣进行收集，收集后放入骨灰盒，由死者亲属领走自行安葬或寄存于殡仪馆。</w:t>
            </w:r>
          </w:p>
          <w:p>
            <w:pPr>
              <w:adjustRightInd w:val="0"/>
              <w:snapToGrid w:val="0"/>
              <w:spacing w:line="480" w:lineRule="exact"/>
              <w:ind w:firstLine="480" w:firstLineChars="200"/>
              <w:rPr>
                <w:bCs/>
                <w:sz w:val="24"/>
              </w:rPr>
            </w:pPr>
            <w:r>
              <w:rPr>
                <w:rFonts w:hint="eastAsia"/>
                <w:bCs/>
                <w:sz w:val="24"/>
              </w:rPr>
              <w:t>⑦遗物、祭品焚烧：</w:t>
            </w:r>
            <w:r>
              <w:rPr>
                <w:bCs/>
                <w:sz w:val="24"/>
                <w:lang w:val="en-GB"/>
              </w:rPr>
              <w:t>本项目设置了</w:t>
            </w:r>
            <w:r>
              <w:rPr>
                <w:rFonts w:hint="eastAsia"/>
                <w:bCs/>
                <w:sz w:val="24"/>
              </w:rPr>
              <w:t>遗物祭品</w:t>
            </w:r>
            <w:r>
              <w:rPr>
                <w:bCs/>
                <w:sz w:val="24"/>
                <w:lang w:val="en-GB"/>
              </w:rPr>
              <w:t>焚烧炉</w:t>
            </w:r>
            <w:r>
              <w:rPr>
                <w:bCs/>
                <w:sz w:val="24"/>
              </w:rPr>
              <w:t>1</w:t>
            </w:r>
            <w:r>
              <w:rPr>
                <w:bCs/>
                <w:sz w:val="24"/>
                <w:lang w:val="en-GB"/>
              </w:rPr>
              <w:t>座，</w:t>
            </w:r>
            <w:r>
              <w:rPr>
                <w:rFonts w:hint="eastAsia"/>
                <w:bCs/>
                <w:sz w:val="24"/>
                <w:lang w:val="en-GB"/>
              </w:rPr>
              <w:t>主要焚烧逝者衣物等随身用品及祭奠用品；</w:t>
            </w:r>
            <w:r>
              <w:rPr>
                <w:bCs/>
                <w:sz w:val="24"/>
                <w:lang w:val="en-GB"/>
              </w:rPr>
              <w:t>烟气通过引风机引入废气处理装置处理后通过地下烟道引至</w:t>
            </w:r>
            <w:r>
              <w:rPr>
                <w:bCs/>
                <w:sz w:val="24"/>
              </w:rPr>
              <w:t>13</w:t>
            </w:r>
            <w:r>
              <w:rPr>
                <w:bCs/>
                <w:sz w:val="24"/>
                <w:lang w:val="en-GB"/>
              </w:rPr>
              <w:t>m高的烟囱排放。</w:t>
            </w:r>
          </w:p>
          <w:p>
            <w:pPr>
              <w:adjustRightInd w:val="0"/>
              <w:snapToGrid w:val="0"/>
              <w:spacing w:line="480" w:lineRule="exact"/>
              <w:ind w:firstLine="480" w:firstLineChars="200"/>
              <w:rPr>
                <w:bCs/>
                <w:sz w:val="24"/>
              </w:rPr>
            </w:pPr>
            <w:r>
              <w:rPr>
                <w:rFonts w:hint="eastAsia"/>
                <w:bCs/>
                <w:sz w:val="24"/>
              </w:rPr>
              <w:t>本项目主要工艺流程及产污节点见下图。</w:t>
            </w:r>
          </w:p>
          <w:p>
            <w:pPr>
              <w:adjustRightInd w:val="0"/>
              <w:snapToGrid w:val="0"/>
              <w:jc w:val="center"/>
              <w:rPr>
                <w:bCs/>
                <w:sz w:val="24"/>
              </w:rPr>
            </w:pPr>
            <w:r>
              <w:object>
                <v:shape id="_x0000_i1027" o:spt="75" type="#_x0000_t75" style="height:244.5pt;width:420.75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图</w:t>
            </w:r>
            <w:r>
              <w:rPr>
                <w:rFonts w:ascii="黑体" w:hAnsi="黑体" w:eastAsia="黑体"/>
                <w:bCs/>
                <w:sz w:val="24"/>
              </w:rPr>
              <w:t>2-4</w:t>
            </w:r>
            <w:r>
              <w:rPr>
                <w:rFonts w:hint="eastAsia" w:ascii="黑体" w:hAnsi="黑体" w:eastAsia="黑体"/>
                <w:bCs/>
                <w:sz w:val="24"/>
              </w:rPr>
              <w:t xml:space="preserve">  运营期工艺流程及产排污环节示意图</w:t>
            </w:r>
          </w:p>
          <w:p>
            <w:pPr>
              <w:adjustRightInd w:val="0"/>
              <w:snapToGrid w:val="0"/>
              <w:spacing w:line="480" w:lineRule="exact"/>
              <w:ind w:firstLine="482" w:firstLineChars="200"/>
              <w:rPr>
                <w:bCs/>
                <w:sz w:val="24"/>
              </w:rPr>
            </w:pPr>
            <w:r>
              <w:rPr>
                <w:rFonts w:hint="eastAsia"/>
                <w:b/>
                <w:sz w:val="24"/>
              </w:rPr>
              <w:t>（</w:t>
            </w:r>
            <w:r>
              <w:rPr>
                <w:b/>
                <w:sz w:val="24"/>
              </w:rPr>
              <w:t>2</w:t>
            </w:r>
            <w:r>
              <w:rPr>
                <w:rFonts w:hint="eastAsia"/>
                <w:b/>
                <w:sz w:val="24"/>
              </w:rPr>
              <w:t>）运营</w:t>
            </w:r>
            <w:r>
              <w:rPr>
                <w:b/>
                <w:sz w:val="24"/>
              </w:rPr>
              <w:t>期工艺流程</w:t>
            </w:r>
            <w:r>
              <w:rPr>
                <w:rFonts w:hint="eastAsia"/>
                <w:b/>
                <w:sz w:val="24"/>
              </w:rPr>
              <w:t>产排污环节</w:t>
            </w:r>
          </w:p>
          <w:p>
            <w:pPr>
              <w:adjustRightInd w:val="0"/>
              <w:snapToGrid w:val="0"/>
              <w:spacing w:line="480" w:lineRule="exact"/>
              <w:ind w:firstLine="482" w:firstLineChars="200"/>
              <w:rPr>
                <w:b/>
                <w:sz w:val="24"/>
              </w:rPr>
            </w:pPr>
            <w:r>
              <w:rPr>
                <w:rFonts w:hint="eastAsia"/>
                <w:b/>
                <w:sz w:val="24"/>
              </w:rPr>
              <w:t>①废气：</w:t>
            </w:r>
          </w:p>
          <w:p>
            <w:pPr>
              <w:adjustRightInd w:val="0"/>
              <w:snapToGrid w:val="0"/>
              <w:spacing w:line="480" w:lineRule="exact"/>
              <w:ind w:firstLine="482" w:firstLineChars="200"/>
              <w:rPr>
                <w:bCs/>
                <w:sz w:val="24"/>
              </w:rPr>
            </w:pPr>
            <w:r>
              <w:rPr>
                <w:b/>
                <w:bCs/>
                <w:sz w:val="24"/>
              </w:rPr>
              <w:t>G</w:t>
            </w:r>
            <w:r>
              <w:rPr>
                <w:b/>
                <w:bCs/>
                <w:sz w:val="24"/>
                <w:vertAlign w:val="subscript"/>
              </w:rPr>
              <w:t>1</w:t>
            </w:r>
            <w:r>
              <w:rPr>
                <w:rFonts w:hint="eastAsia"/>
                <w:b/>
                <w:bCs/>
                <w:sz w:val="24"/>
              </w:rPr>
              <w:t>：</w:t>
            </w:r>
            <w:r>
              <w:rPr>
                <w:rFonts w:hint="eastAsia"/>
                <w:bCs/>
                <w:sz w:val="24"/>
              </w:rPr>
              <w:t>遗体火化废气；</w:t>
            </w:r>
          </w:p>
          <w:p>
            <w:pPr>
              <w:adjustRightInd w:val="0"/>
              <w:snapToGrid w:val="0"/>
              <w:spacing w:line="480" w:lineRule="exact"/>
              <w:ind w:firstLine="482" w:firstLineChars="200"/>
              <w:rPr>
                <w:bCs/>
                <w:sz w:val="24"/>
              </w:rPr>
            </w:pPr>
            <w:r>
              <w:rPr>
                <w:b/>
                <w:bCs/>
                <w:sz w:val="24"/>
              </w:rPr>
              <w:t>G</w:t>
            </w:r>
            <w:r>
              <w:rPr>
                <w:b/>
                <w:bCs/>
                <w:sz w:val="24"/>
                <w:vertAlign w:val="subscript"/>
              </w:rPr>
              <w:t>2</w:t>
            </w:r>
            <w:r>
              <w:rPr>
                <w:rFonts w:hint="eastAsia"/>
                <w:b/>
                <w:bCs/>
                <w:sz w:val="24"/>
              </w:rPr>
              <w:t>：</w:t>
            </w:r>
            <w:r>
              <w:rPr>
                <w:rFonts w:hint="eastAsia"/>
                <w:bCs/>
                <w:sz w:val="24"/>
              </w:rPr>
              <w:t>遗物祭品焚烧废气；</w:t>
            </w:r>
          </w:p>
          <w:p>
            <w:pPr>
              <w:adjustRightInd w:val="0"/>
              <w:snapToGrid w:val="0"/>
              <w:spacing w:line="480" w:lineRule="exact"/>
              <w:ind w:firstLine="482" w:firstLineChars="200"/>
              <w:rPr>
                <w:bCs/>
                <w:sz w:val="24"/>
              </w:rPr>
            </w:pPr>
            <w:r>
              <w:rPr>
                <w:b/>
                <w:bCs/>
                <w:sz w:val="24"/>
              </w:rPr>
              <w:t>G</w:t>
            </w:r>
            <w:r>
              <w:rPr>
                <w:b/>
                <w:bCs/>
                <w:sz w:val="24"/>
                <w:vertAlign w:val="subscript"/>
              </w:rPr>
              <w:t>3</w:t>
            </w:r>
            <w:r>
              <w:rPr>
                <w:rFonts w:hint="eastAsia"/>
                <w:b/>
                <w:bCs/>
                <w:sz w:val="24"/>
              </w:rPr>
              <w:t>：</w:t>
            </w:r>
            <w:r>
              <w:rPr>
                <w:rFonts w:hint="eastAsia"/>
                <w:bCs/>
                <w:sz w:val="24"/>
              </w:rPr>
              <w:t>汽车尾气；</w:t>
            </w:r>
          </w:p>
          <w:p>
            <w:pPr>
              <w:adjustRightInd w:val="0"/>
              <w:snapToGrid w:val="0"/>
              <w:spacing w:line="480" w:lineRule="exact"/>
              <w:ind w:firstLine="482" w:firstLineChars="200"/>
              <w:rPr>
                <w:bCs/>
                <w:sz w:val="24"/>
              </w:rPr>
            </w:pPr>
            <w:r>
              <w:rPr>
                <w:b/>
                <w:bCs/>
                <w:sz w:val="24"/>
              </w:rPr>
              <w:t>G</w:t>
            </w:r>
            <w:r>
              <w:rPr>
                <w:b/>
                <w:bCs/>
                <w:sz w:val="24"/>
                <w:vertAlign w:val="subscript"/>
              </w:rPr>
              <w:t>4</w:t>
            </w:r>
            <w:r>
              <w:rPr>
                <w:rFonts w:hint="eastAsia"/>
                <w:b/>
                <w:bCs/>
                <w:sz w:val="24"/>
              </w:rPr>
              <w:t>：</w:t>
            </w:r>
            <w:r>
              <w:rPr>
                <w:rFonts w:hint="eastAsia"/>
                <w:bCs/>
                <w:sz w:val="24"/>
              </w:rPr>
              <w:t>备用发电机废气；</w:t>
            </w:r>
          </w:p>
          <w:p>
            <w:pPr>
              <w:adjustRightInd w:val="0"/>
              <w:snapToGrid w:val="0"/>
              <w:spacing w:line="480" w:lineRule="exact"/>
              <w:ind w:firstLine="482" w:firstLineChars="200"/>
              <w:rPr>
                <w:bCs/>
                <w:sz w:val="24"/>
              </w:rPr>
            </w:pPr>
            <w:r>
              <w:rPr>
                <w:b/>
                <w:bCs/>
                <w:sz w:val="24"/>
              </w:rPr>
              <w:t>G</w:t>
            </w:r>
            <w:r>
              <w:rPr>
                <w:b/>
                <w:bCs/>
                <w:sz w:val="24"/>
                <w:vertAlign w:val="subscript"/>
              </w:rPr>
              <w:t>5</w:t>
            </w:r>
            <w:r>
              <w:rPr>
                <w:rFonts w:hint="eastAsia"/>
                <w:b/>
                <w:bCs/>
                <w:sz w:val="24"/>
              </w:rPr>
              <w:t>：</w:t>
            </w:r>
            <w:r>
              <w:rPr>
                <w:rFonts w:hint="eastAsia"/>
                <w:sz w:val="24"/>
              </w:rPr>
              <w:t>遗体火化、污水处理站及生活垃圾产生的</w:t>
            </w:r>
            <w:r>
              <w:rPr>
                <w:rFonts w:hint="eastAsia"/>
                <w:bCs/>
                <w:sz w:val="24"/>
              </w:rPr>
              <w:t>恶臭污染物。</w:t>
            </w:r>
          </w:p>
          <w:p>
            <w:pPr>
              <w:adjustRightInd w:val="0"/>
              <w:snapToGrid w:val="0"/>
              <w:spacing w:line="480" w:lineRule="exact"/>
              <w:ind w:firstLine="482" w:firstLineChars="200"/>
              <w:rPr>
                <w:b/>
                <w:sz w:val="24"/>
              </w:rPr>
            </w:pPr>
            <w:r>
              <w:rPr>
                <w:rFonts w:hint="eastAsia"/>
                <w:b/>
                <w:sz w:val="24"/>
              </w:rPr>
              <w:t>②废水</w:t>
            </w:r>
          </w:p>
          <w:p>
            <w:pPr>
              <w:pStyle w:val="46"/>
              <w:spacing w:before="0" w:after="0"/>
              <w:ind w:firstLine="482"/>
            </w:pPr>
            <w:r>
              <w:rPr>
                <w:rFonts w:hint="eastAsia"/>
                <w:b/>
              </w:rPr>
              <w:t>W</w:t>
            </w:r>
            <w:r>
              <w:rPr>
                <w:rFonts w:hint="eastAsia"/>
                <w:b/>
                <w:vertAlign w:val="subscript"/>
              </w:rPr>
              <w:t>1</w:t>
            </w:r>
            <w:r>
              <w:rPr>
                <w:rFonts w:hint="eastAsia"/>
                <w:b/>
              </w:rPr>
              <w:t>：</w:t>
            </w:r>
            <w:r>
              <w:rPr>
                <w:rFonts w:hint="eastAsia"/>
              </w:rPr>
              <w:t>遗体处置清洗、消毒废水；</w:t>
            </w:r>
          </w:p>
          <w:p>
            <w:pPr>
              <w:pStyle w:val="46"/>
              <w:spacing w:before="0" w:after="0"/>
              <w:ind w:firstLine="482"/>
            </w:pPr>
            <w:r>
              <w:rPr>
                <w:rFonts w:hint="eastAsia"/>
                <w:b/>
              </w:rPr>
              <w:t>W</w:t>
            </w:r>
            <w:r>
              <w:rPr>
                <w:b/>
                <w:vertAlign w:val="subscript"/>
              </w:rPr>
              <w:t>2</w:t>
            </w:r>
            <w:r>
              <w:rPr>
                <w:rFonts w:hint="eastAsia"/>
                <w:b/>
              </w:rPr>
              <w:t>：</w:t>
            </w:r>
            <w:r>
              <w:rPr>
                <w:rFonts w:hint="eastAsia"/>
                <w:spacing w:val="4"/>
              </w:rPr>
              <w:t>专用殡仪车辆清洗、消毒废水</w:t>
            </w:r>
            <w:r>
              <w:rPr>
                <w:rFonts w:hint="eastAsia"/>
              </w:rPr>
              <w:t>；</w:t>
            </w:r>
          </w:p>
          <w:p>
            <w:pPr>
              <w:pStyle w:val="46"/>
              <w:spacing w:before="0" w:after="0"/>
              <w:ind w:firstLine="482"/>
            </w:pPr>
            <w:r>
              <w:rPr>
                <w:rFonts w:hint="eastAsia"/>
                <w:b/>
              </w:rPr>
              <w:t>W</w:t>
            </w:r>
            <w:r>
              <w:rPr>
                <w:b/>
                <w:vertAlign w:val="subscript"/>
              </w:rPr>
              <w:t>3</w:t>
            </w:r>
            <w:r>
              <w:rPr>
                <w:rFonts w:hint="eastAsia"/>
                <w:b/>
              </w:rPr>
              <w:t>：</w:t>
            </w:r>
            <w:r>
              <w:rPr>
                <w:rFonts w:hint="eastAsia"/>
                <w:spacing w:val="4"/>
              </w:rPr>
              <w:t>悼念、来访人员及工作人员生活污水</w:t>
            </w:r>
            <w:r>
              <w:rPr>
                <w:rFonts w:hint="eastAsia"/>
              </w:rPr>
              <w:t>。</w:t>
            </w:r>
          </w:p>
          <w:p>
            <w:pPr>
              <w:adjustRightInd w:val="0"/>
              <w:snapToGrid w:val="0"/>
              <w:spacing w:line="480" w:lineRule="exact"/>
              <w:ind w:firstLine="482" w:firstLineChars="200"/>
              <w:rPr>
                <w:b/>
                <w:sz w:val="24"/>
              </w:rPr>
            </w:pPr>
            <w:r>
              <w:rPr>
                <w:rFonts w:hint="eastAsia"/>
                <w:b/>
                <w:sz w:val="24"/>
              </w:rPr>
              <w:t>③固废</w:t>
            </w:r>
          </w:p>
          <w:p>
            <w:pPr>
              <w:adjustRightInd w:val="0"/>
              <w:snapToGrid w:val="0"/>
              <w:spacing w:line="480" w:lineRule="exact"/>
              <w:ind w:firstLine="482" w:firstLineChars="200"/>
              <w:rPr>
                <w:bCs/>
                <w:sz w:val="24"/>
              </w:rPr>
            </w:pPr>
            <w:r>
              <w:rPr>
                <w:b/>
                <w:bCs/>
                <w:sz w:val="24"/>
              </w:rPr>
              <w:t>S</w:t>
            </w:r>
            <w:r>
              <w:rPr>
                <w:b/>
                <w:bCs/>
                <w:sz w:val="24"/>
                <w:vertAlign w:val="subscript"/>
              </w:rPr>
              <w:t>1</w:t>
            </w:r>
            <w:r>
              <w:rPr>
                <w:rFonts w:hint="eastAsia"/>
                <w:b/>
                <w:bCs/>
                <w:sz w:val="24"/>
              </w:rPr>
              <w:t>：</w:t>
            </w:r>
            <w:r>
              <w:rPr>
                <w:rFonts w:hint="eastAsia"/>
                <w:bCs/>
                <w:sz w:val="24"/>
              </w:rPr>
              <w:t>遗体火化产生的骨灰；</w:t>
            </w:r>
          </w:p>
          <w:p>
            <w:pPr>
              <w:pStyle w:val="46"/>
              <w:snapToGrid/>
              <w:spacing w:before="0" w:after="0"/>
              <w:ind w:firstLine="482"/>
              <w:rPr>
                <w:bCs/>
              </w:rPr>
            </w:pPr>
            <w:r>
              <w:rPr>
                <w:b/>
              </w:rPr>
              <w:t>S</w:t>
            </w:r>
            <w:r>
              <w:rPr>
                <w:b/>
                <w:vertAlign w:val="subscript"/>
              </w:rPr>
              <w:t>2</w:t>
            </w:r>
            <w:r>
              <w:rPr>
                <w:rFonts w:hint="eastAsia"/>
                <w:b/>
              </w:rPr>
              <w:t>：</w:t>
            </w:r>
            <w:r>
              <w:rPr>
                <w:rFonts w:hint="eastAsia"/>
                <w:bCs/>
              </w:rPr>
              <w:t>火化炉遗留的灰渣；</w:t>
            </w:r>
          </w:p>
          <w:p>
            <w:pPr>
              <w:pStyle w:val="46"/>
              <w:snapToGrid/>
              <w:spacing w:before="0" w:after="0"/>
              <w:ind w:firstLine="482"/>
              <w:rPr>
                <w:bCs/>
              </w:rPr>
            </w:pPr>
            <w:r>
              <w:rPr>
                <w:b/>
              </w:rPr>
              <w:t>S</w:t>
            </w:r>
            <w:r>
              <w:rPr>
                <w:b/>
                <w:vertAlign w:val="subscript"/>
              </w:rPr>
              <w:t>3</w:t>
            </w:r>
            <w:r>
              <w:rPr>
                <w:rFonts w:hint="eastAsia"/>
                <w:b/>
              </w:rPr>
              <w:t>：</w:t>
            </w:r>
            <w:r>
              <w:rPr>
                <w:rFonts w:hint="eastAsia"/>
                <w:bCs/>
              </w:rPr>
              <w:t>遗物祭品焚烧灰渣；</w:t>
            </w:r>
          </w:p>
          <w:p>
            <w:pPr>
              <w:pStyle w:val="46"/>
              <w:snapToGrid/>
              <w:spacing w:before="0" w:after="0"/>
              <w:ind w:firstLine="482"/>
              <w:rPr>
                <w:bCs/>
              </w:rPr>
            </w:pPr>
            <w:r>
              <w:rPr>
                <w:b/>
              </w:rPr>
              <w:t>S</w:t>
            </w:r>
            <w:r>
              <w:rPr>
                <w:b/>
                <w:vertAlign w:val="subscript"/>
              </w:rPr>
              <w:t>4</w:t>
            </w:r>
            <w:r>
              <w:rPr>
                <w:rFonts w:hint="eastAsia"/>
                <w:b/>
              </w:rPr>
              <w:t>：</w:t>
            </w:r>
            <w:r>
              <w:rPr>
                <w:rFonts w:hint="eastAsia"/>
                <w:bCs/>
              </w:rPr>
              <w:t>污水处理设施污泥；</w:t>
            </w:r>
          </w:p>
          <w:p>
            <w:pPr>
              <w:pStyle w:val="46"/>
              <w:snapToGrid/>
              <w:spacing w:before="0" w:after="0"/>
              <w:ind w:firstLine="482"/>
              <w:rPr>
                <w:bCs/>
              </w:rPr>
            </w:pPr>
            <w:r>
              <w:rPr>
                <w:b/>
              </w:rPr>
              <w:t>S</w:t>
            </w:r>
            <w:r>
              <w:rPr>
                <w:b/>
                <w:vertAlign w:val="subscript"/>
              </w:rPr>
              <w:t>5</w:t>
            </w:r>
            <w:r>
              <w:rPr>
                <w:rFonts w:hint="eastAsia"/>
                <w:b/>
              </w:rPr>
              <w:t>：</w:t>
            </w:r>
            <w:r>
              <w:rPr>
                <w:rFonts w:hint="eastAsia"/>
                <w:bCs/>
              </w:rPr>
              <w:t>火化炉、焚烧炉配套烟气处理设施收集的焚烧飞灰、废脱硫粉、废活性炭；</w:t>
            </w:r>
          </w:p>
          <w:p>
            <w:pPr>
              <w:pStyle w:val="46"/>
              <w:snapToGrid/>
              <w:spacing w:before="0" w:after="0"/>
              <w:ind w:firstLine="482"/>
            </w:pPr>
            <w:r>
              <w:rPr>
                <w:b/>
              </w:rPr>
              <w:t>S</w:t>
            </w:r>
            <w:r>
              <w:rPr>
                <w:b/>
                <w:vertAlign w:val="subscript"/>
              </w:rPr>
              <w:t>6</w:t>
            </w:r>
            <w:r>
              <w:rPr>
                <w:rFonts w:hint="eastAsia"/>
                <w:b/>
              </w:rPr>
              <w:t>：</w:t>
            </w:r>
            <w:r>
              <w:rPr>
                <w:rFonts w:hint="eastAsia"/>
                <w:spacing w:val="4"/>
              </w:rPr>
              <w:t>悼念、来访人员及工作人员</w:t>
            </w:r>
            <w:r>
              <w:rPr>
                <w:rFonts w:hint="eastAsia"/>
                <w:bCs/>
              </w:rPr>
              <w:t>产生的生活垃圾。</w:t>
            </w:r>
          </w:p>
          <w:p>
            <w:pPr>
              <w:adjustRightInd w:val="0"/>
              <w:snapToGrid w:val="0"/>
              <w:spacing w:line="480" w:lineRule="exact"/>
              <w:ind w:firstLine="482" w:firstLineChars="200"/>
              <w:rPr>
                <w:b/>
                <w:sz w:val="24"/>
              </w:rPr>
            </w:pPr>
            <w:r>
              <w:rPr>
                <w:rFonts w:hint="eastAsia"/>
                <w:b/>
                <w:sz w:val="24"/>
              </w:rPr>
              <w:t>④噪声</w:t>
            </w:r>
          </w:p>
          <w:p>
            <w:pPr>
              <w:adjustRightInd w:val="0"/>
              <w:snapToGrid w:val="0"/>
              <w:spacing w:line="480" w:lineRule="exact"/>
              <w:ind w:firstLine="480" w:firstLineChars="200"/>
              <w:rPr>
                <w:bCs/>
                <w:sz w:val="24"/>
              </w:rPr>
            </w:pPr>
            <w:r>
              <w:rPr>
                <w:rFonts w:hint="eastAsia"/>
                <w:bCs/>
                <w:sz w:val="24"/>
              </w:rPr>
              <w:t>本项目主要噪声源为火化机、焚烧炉的鼓、引风机，烟气处理设施引风机，冰柜制冷机运行噪声，悼念活动时高音喇叭、乐队奏乐以及人群哀悼等产生的噪声，以及交通噪声；这些噪声源强为70～</w:t>
            </w:r>
            <w:r>
              <w:rPr>
                <w:bCs/>
                <w:sz w:val="24"/>
              </w:rPr>
              <w:t>105</w:t>
            </w:r>
            <w:r>
              <w:rPr>
                <w:rFonts w:hint="eastAsia"/>
                <w:bCs/>
                <w:sz w:val="24"/>
              </w:rPr>
              <w:t>dB(A)。</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37" w:hRule="atLeast"/>
          <w:jc w:val="center"/>
        </w:trPr>
        <w:tc>
          <w:tcPr>
            <w:tcW w:w="241" w:type="pct"/>
            <w:vAlign w:val="center"/>
          </w:tcPr>
          <w:p>
            <w:pPr>
              <w:pStyle w:val="16"/>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4759" w:type="pct"/>
            <w:vAlign w:val="center"/>
          </w:tcPr>
          <w:p>
            <w:pPr>
              <w:adjustRightInd w:val="0"/>
              <w:snapToGrid w:val="0"/>
              <w:spacing w:line="480" w:lineRule="exact"/>
              <w:rPr>
                <w:rFonts w:ascii="宋体" w:hAnsi="宋体"/>
                <w:bCs/>
                <w:szCs w:val="21"/>
              </w:rPr>
            </w:pPr>
            <w:r>
              <w:rPr>
                <w:rFonts w:hint="eastAsia" w:ascii="宋体" w:hAnsi="宋体"/>
                <w:bCs/>
                <w:sz w:val="24"/>
              </w:rPr>
              <w:t xml:space="preserve"> </w:t>
            </w:r>
            <w:r>
              <w:rPr>
                <w:rFonts w:ascii="宋体" w:hAnsi="宋体"/>
                <w:bCs/>
                <w:sz w:val="24"/>
              </w:rPr>
              <w:t xml:space="preserve">   </w:t>
            </w:r>
            <w:r>
              <w:rPr>
                <w:rFonts w:hint="eastAsia" w:ascii="宋体" w:hAnsi="宋体"/>
                <w:bCs/>
                <w:sz w:val="24"/>
              </w:rPr>
              <w:t>本项目为新建项目，拟建场址现状为耕地，无</w:t>
            </w:r>
            <w:r>
              <w:rPr>
                <w:rFonts w:hint="eastAsia" w:cs="宋体"/>
                <w:bCs/>
                <w:sz w:val="24"/>
              </w:rPr>
              <w:t>与项目有关的原有环境污染问题。</w:t>
            </w:r>
          </w:p>
        </w:tc>
      </w:tr>
    </w:tbl>
    <w:p>
      <w:pPr>
        <w:pStyle w:val="16"/>
        <w:jc w:val="center"/>
        <w:rPr>
          <w:rFonts w:ascii="黑体" w:hAnsi="黑体" w:eastAsia="黑体"/>
          <w:snapToGrid w:val="0"/>
          <w:sz w:val="36"/>
          <w:szCs w:val="36"/>
        </w:rPr>
        <w:sectPr>
          <w:pgSz w:w="11906" w:h="16838"/>
          <w:pgMar w:top="1418" w:right="1418" w:bottom="1418" w:left="1418" w:header="851" w:footer="851" w:gutter="0"/>
          <w:pgNumType w:fmt="numberInDash"/>
          <w:cols w:space="720" w:num="1"/>
          <w:docGrid w:linePitch="312" w:charSpace="0"/>
        </w:sectPr>
      </w:pPr>
    </w:p>
    <w:p>
      <w:pPr>
        <w:pStyle w:val="16"/>
        <w:adjustRightInd w:val="0"/>
        <w:snapToGrid w:val="0"/>
        <w:spacing w:before="0" w:beforeAutospacing="0" w:after="0" w:afterAutospacing="0" w:line="14" w:lineRule="auto"/>
        <w:jc w:val="center"/>
        <w:outlineLvl w:val="0"/>
        <w:rPr>
          <w:rFonts w:ascii="黑体" w:hAnsi="黑体" w:eastAsia="黑体"/>
          <w:snapToGrid w:val="0"/>
          <w:sz w:val="30"/>
          <w:szCs w:val="30"/>
        </w:r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8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906"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4759" w:type="pct"/>
            <w:vAlign w:val="center"/>
          </w:tcPr>
          <w:p>
            <w:pPr>
              <w:adjustRightInd w:val="0"/>
              <w:snapToGrid w:val="0"/>
              <w:spacing w:line="480" w:lineRule="exact"/>
              <w:ind w:firstLine="482" w:firstLineChars="200"/>
              <w:rPr>
                <w:b/>
                <w:bCs/>
                <w:kern w:val="0"/>
                <w:sz w:val="24"/>
              </w:rPr>
            </w:pPr>
            <w:r>
              <w:rPr>
                <w:b/>
                <w:bCs/>
                <w:kern w:val="0"/>
                <w:sz w:val="24"/>
              </w:rPr>
              <w:t>1、环境空气质量现状</w:t>
            </w:r>
          </w:p>
          <w:p>
            <w:pPr>
              <w:adjustRightInd w:val="0"/>
              <w:snapToGrid w:val="0"/>
              <w:spacing w:line="480" w:lineRule="exact"/>
              <w:ind w:firstLine="482" w:firstLineChars="200"/>
              <w:rPr>
                <w:b/>
                <w:bCs/>
                <w:kern w:val="0"/>
                <w:sz w:val="24"/>
              </w:rPr>
            </w:pPr>
            <w:r>
              <w:rPr>
                <w:rFonts w:hint="eastAsia"/>
                <w:b/>
                <w:bCs/>
                <w:kern w:val="0"/>
                <w:sz w:val="24"/>
              </w:rPr>
              <w:t>（1）区域环境空气质量现状</w:t>
            </w:r>
          </w:p>
          <w:p>
            <w:pPr>
              <w:spacing w:line="480" w:lineRule="exact"/>
              <w:ind w:firstLine="480" w:firstLineChars="200"/>
              <w:rPr>
                <w:bCs/>
                <w:sz w:val="24"/>
              </w:rPr>
            </w:pPr>
            <w:r>
              <w:rPr>
                <w:rFonts w:hint="eastAsia"/>
                <w:bCs/>
                <w:sz w:val="24"/>
              </w:rPr>
              <w:t>本次评价收集到了忻州市五台县2</w:t>
            </w:r>
            <w:r>
              <w:rPr>
                <w:bCs/>
                <w:sz w:val="24"/>
              </w:rPr>
              <w:t>020</w:t>
            </w:r>
            <w:r>
              <w:rPr>
                <w:rFonts w:hint="eastAsia"/>
                <w:bCs/>
                <w:sz w:val="24"/>
              </w:rPr>
              <w:t>年环境空气质量例行监测资料，具体年均浓度值及与2</w:t>
            </w:r>
            <w:r>
              <w:rPr>
                <w:bCs/>
                <w:sz w:val="24"/>
              </w:rPr>
              <w:t>019</w:t>
            </w:r>
            <w:r>
              <w:rPr>
                <w:rFonts w:hint="eastAsia"/>
                <w:bCs/>
                <w:sz w:val="24"/>
              </w:rPr>
              <w:t>年同比变化率见下表。</w:t>
            </w:r>
          </w:p>
          <w:p>
            <w:pPr>
              <w:spacing w:line="480" w:lineRule="exact"/>
              <w:jc w:val="center"/>
              <w:rPr>
                <w:rFonts w:ascii="黑体" w:hAnsi="黑体" w:eastAsia="黑体"/>
                <w:sz w:val="24"/>
                <w:vertAlign w:val="superscript"/>
              </w:rPr>
            </w:pPr>
            <w:r>
              <w:rPr>
                <w:rFonts w:ascii="黑体" w:hAnsi="黑体" w:eastAsia="黑体"/>
                <w:sz w:val="24"/>
              </w:rPr>
              <w:t xml:space="preserve">表3-1  </w:t>
            </w:r>
            <w:r>
              <w:rPr>
                <w:rFonts w:hint="eastAsia" w:ascii="黑体" w:hAnsi="黑体" w:eastAsia="黑体"/>
                <w:bCs/>
                <w:sz w:val="24"/>
              </w:rPr>
              <w:t>忻州市五台县</w:t>
            </w:r>
            <w:r>
              <w:rPr>
                <w:rFonts w:hint="eastAsia" w:ascii="黑体" w:hAnsi="黑体" w:eastAsia="黑体"/>
                <w:sz w:val="24"/>
              </w:rPr>
              <w:t>20</w:t>
            </w:r>
            <w:r>
              <w:rPr>
                <w:rFonts w:ascii="黑体" w:hAnsi="黑体" w:eastAsia="黑体"/>
                <w:sz w:val="24"/>
              </w:rPr>
              <w:t>20</w:t>
            </w:r>
            <w:r>
              <w:rPr>
                <w:rFonts w:hint="eastAsia" w:ascii="黑体" w:hAnsi="黑体" w:eastAsia="黑体"/>
                <w:sz w:val="24"/>
              </w:rPr>
              <w:t>年环境空气质量例行监测评价表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35"/>
              <w:gridCol w:w="1600"/>
              <w:gridCol w:w="1257"/>
              <w:gridCol w:w="1257"/>
              <w:gridCol w:w="1195"/>
              <w:gridCol w:w="1007"/>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29" w:type="pct"/>
                  <w:vAlign w:val="center"/>
                </w:tcPr>
                <w:p>
                  <w:pPr>
                    <w:jc w:val="center"/>
                    <w:rPr>
                      <w:szCs w:val="21"/>
                    </w:rPr>
                  </w:pPr>
                  <w:r>
                    <w:rPr>
                      <w:szCs w:val="21"/>
                    </w:rPr>
                    <w:t>点位</w:t>
                  </w:r>
                </w:p>
              </w:tc>
              <w:tc>
                <w:tcPr>
                  <w:tcW w:w="543" w:type="pct"/>
                  <w:vAlign w:val="center"/>
                </w:tcPr>
                <w:p>
                  <w:pPr>
                    <w:jc w:val="center"/>
                    <w:rPr>
                      <w:szCs w:val="21"/>
                    </w:rPr>
                  </w:pPr>
                  <w:r>
                    <w:rPr>
                      <w:rFonts w:hint="eastAsia"/>
                      <w:szCs w:val="21"/>
                    </w:rPr>
                    <w:t>污染物</w:t>
                  </w:r>
                </w:p>
              </w:tc>
              <w:tc>
                <w:tcPr>
                  <w:tcW w:w="929" w:type="pct"/>
                  <w:vAlign w:val="center"/>
                </w:tcPr>
                <w:p>
                  <w:pPr>
                    <w:jc w:val="center"/>
                    <w:rPr>
                      <w:szCs w:val="21"/>
                    </w:rPr>
                  </w:pPr>
                  <w:r>
                    <w:rPr>
                      <w:rFonts w:hint="eastAsia"/>
                      <w:szCs w:val="21"/>
                    </w:rPr>
                    <w:t>评价指标</w:t>
                  </w:r>
                </w:p>
              </w:tc>
              <w:tc>
                <w:tcPr>
                  <w:tcW w:w="730" w:type="pct"/>
                  <w:vAlign w:val="center"/>
                </w:tcPr>
                <w:p>
                  <w:pPr>
                    <w:jc w:val="center"/>
                    <w:rPr>
                      <w:szCs w:val="21"/>
                    </w:rPr>
                  </w:pPr>
                  <w:r>
                    <w:rPr>
                      <w:szCs w:val="21"/>
                    </w:rPr>
                    <w:t>浓度</w:t>
                  </w:r>
                </w:p>
              </w:tc>
              <w:tc>
                <w:tcPr>
                  <w:tcW w:w="730" w:type="pct"/>
                  <w:vAlign w:val="center"/>
                </w:tcPr>
                <w:p>
                  <w:pPr>
                    <w:jc w:val="center"/>
                    <w:rPr>
                      <w:szCs w:val="21"/>
                    </w:rPr>
                  </w:pPr>
                  <w:r>
                    <w:rPr>
                      <w:rFonts w:hint="eastAsia"/>
                      <w:szCs w:val="21"/>
                    </w:rPr>
                    <w:t>同比</w:t>
                  </w:r>
                </w:p>
                <w:p>
                  <w:pPr>
                    <w:jc w:val="center"/>
                    <w:rPr>
                      <w:szCs w:val="21"/>
                    </w:rPr>
                  </w:pPr>
                  <w:r>
                    <w:rPr>
                      <w:rFonts w:hint="eastAsia"/>
                      <w:szCs w:val="21"/>
                    </w:rPr>
                    <w:t>变化率</w:t>
                  </w:r>
                </w:p>
              </w:tc>
              <w:tc>
                <w:tcPr>
                  <w:tcW w:w="694" w:type="pct"/>
                  <w:vAlign w:val="center"/>
                </w:tcPr>
                <w:p>
                  <w:pPr>
                    <w:jc w:val="center"/>
                    <w:rPr>
                      <w:szCs w:val="21"/>
                    </w:rPr>
                  </w:pPr>
                  <w:r>
                    <w:rPr>
                      <w:rFonts w:hint="eastAsia"/>
                      <w:szCs w:val="21"/>
                    </w:rPr>
                    <w:t>标准值</w:t>
                  </w:r>
                </w:p>
              </w:tc>
              <w:tc>
                <w:tcPr>
                  <w:tcW w:w="584" w:type="pct"/>
                  <w:vAlign w:val="center"/>
                </w:tcPr>
                <w:p>
                  <w:pPr>
                    <w:jc w:val="center"/>
                    <w:rPr>
                      <w:szCs w:val="21"/>
                    </w:rPr>
                  </w:pPr>
                  <w:r>
                    <w:rPr>
                      <w:rFonts w:hint="eastAsia"/>
                      <w:szCs w:val="21"/>
                    </w:rPr>
                    <w:t>占标率</w:t>
                  </w:r>
                </w:p>
              </w:tc>
              <w:tc>
                <w:tcPr>
                  <w:tcW w:w="461" w:type="pct"/>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29" w:type="pct"/>
                  <w:vMerge w:val="restart"/>
                  <w:vAlign w:val="center"/>
                </w:tcPr>
                <w:p>
                  <w:pPr>
                    <w:jc w:val="center"/>
                  </w:pPr>
                  <w:r>
                    <w:rPr>
                      <w:rFonts w:hint="eastAsia"/>
                      <w:bCs/>
                    </w:rPr>
                    <w:t>忻州市五台县</w:t>
                  </w:r>
                </w:p>
              </w:tc>
              <w:tc>
                <w:tcPr>
                  <w:tcW w:w="543" w:type="pct"/>
                  <w:vAlign w:val="center"/>
                </w:tcPr>
                <w:p>
                  <w:pPr>
                    <w:jc w:val="center"/>
                    <w:rPr>
                      <w:szCs w:val="21"/>
                    </w:rPr>
                  </w:pPr>
                  <w:r>
                    <w:rPr>
                      <w:rFonts w:hint="eastAsia"/>
                      <w:szCs w:val="21"/>
                    </w:rPr>
                    <w:t>S</w:t>
                  </w:r>
                  <w:r>
                    <w:rPr>
                      <w:szCs w:val="21"/>
                    </w:rPr>
                    <w:t>O</w:t>
                  </w:r>
                  <w:r>
                    <w:rPr>
                      <w:szCs w:val="21"/>
                      <w:vertAlign w:val="subscript"/>
                    </w:rPr>
                    <w:t>2</w:t>
                  </w:r>
                </w:p>
              </w:tc>
              <w:tc>
                <w:tcPr>
                  <w:tcW w:w="929" w:type="pct"/>
                  <w:vAlign w:val="center"/>
                </w:tcPr>
                <w:p>
                  <w:pPr>
                    <w:jc w:val="center"/>
                    <w:rPr>
                      <w:szCs w:val="21"/>
                    </w:rPr>
                  </w:pPr>
                  <w:r>
                    <w:rPr>
                      <w:rFonts w:hint="eastAsia"/>
                      <w:szCs w:val="21"/>
                    </w:rPr>
                    <w:t>年平均浓度</w:t>
                  </w:r>
                </w:p>
              </w:tc>
              <w:tc>
                <w:tcPr>
                  <w:tcW w:w="730" w:type="pct"/>
                  <w:vAlign w:val="center"/>
                </w:tcPr>
                <w:p>
                  <w:pPr>
                    <w:jc w:val="center"/>
                    <w:rPr>
                      <w:szCs w:val="21"/>
                    </w:rPr>
                  </w:pPr>
                  <w:r>
                    <w:rPr>
                      <w:szCs w:val="21"/>
                    </w:rPr>
                    <w:t>15 μ</w:t>
                  </w:r>
                  <w:r>
                    <w:rPr>
                      <w:rFonts w:hint="eastAsia"/>
                      <w:szCs w:val="21"/>
                    </w:rPr>
                    <w:t>g</w:t>
                  </w:r>
                  <w:r>
                    <w:rPr>
                      <w:szCs w:val="21"/>
                    </w:rPr>
                    <w:t>/m</w:t>
                  </w:r>
                  <w:r>
                    <w:rPr>
                      <w:szCs w:val="21"/>
                      <w:vertAlign w:val="superscript"/>
                    </w:rPr>
                    <w:t>3</w:t>
                  </w:r>
                </w:p>
              </w:tc>
              <w:tc>
                <w:tcPr>
                  <w:tcW w:w="730" w:type="pct"/>
                  <w:vAlign w:val="center"/>
                </w:tcPr>
                <w:p>
                  <w:pPr>
                    <w:jc w:val="center"/>
                    <w:rPr>
                      <w:szCs w:val="21"/>
                    </w:rPr>
                  </w:pPr>
                  <w:r>
                    <w:rPr>
                      <w:rFonts w:hint="eastAsia"/>
                      <w:szCs w:val="21"/>
                    </w:rPr>
                    <w:t>-</w:t>
                  </w:r>
                  <w:r>
                    <w:rPr>
                      <w:szCs w:val="21"/>
                    </w:rPr>
                    <w:t>31.80</w:t>
                  </w:r>
                  <w:r>
                    <w:rPr>
                      <w:rFonts w:hint="eastAsia"/>
                      <w:szCs w:val="21"/>
                    </w:rPr>
                    <w:t>%</w:t>
                  </w:r>
                </w:p>
              </w:tc>
              <w:tc>
                <w:tcPr>
                  <w:tcW w:w="694" w:type="pct"/>
                  <w:vAlign w:val="center"/>
                </w:tcPr>
                <w:p>
                  <w:pPr>
                    <w:jc w:val="center"/>
                    <w:rPr>
                      <w:szCs w:val="21"/>
                    </w:rPr>
                  </w:pPr>
                  <w:r>
                    <w:rPr>
                      <w:rFonts w:hint="eastAsia"/>
                      <w:szCs w:val="21"/>
                    </w:rPr>
                    <w:t>6</w:t>
                  </w:r>
                  <w:r>
                    <w:rPr>
                      <w:szCs w:val="21"/>
                    </w:rPr>
                    <w:t>0 μ/m</w:t>
                  </w:r>
                  <w:r>
                    <w:rPr>
                      <w:szCs w:val="21"/>
                      <w:vertAlign w:val="superscript"/>
                    </w:rPr>
                    <w:t>3</w:t>
                  </w:r>
                </w:p>
              </w:tc>
              <w:tc>
                <w:tcPr>
                  <w:tcW w:w="584" w:type="pct"/>
                  <w:vAlign w:val="center"/>
                </w:tcPr>
                <w:p>
                  <w:pPr>
                    <w:jc w:val="center"/>
                    <w:rPr>
                      <w:szCs w:val="21"/>
                    </w:rPr>
                  </w:pPr>
                  <w:r>
                    <w:rPr>
                      <w:szCs w:val="21"/>
                    </w:rPr>
                    <w:t>25%</w:t>
                  </w:r>
                </w:p>
              </w:tc>
              <w:tc>
                <w:tcPr>
                  <w:tcW w:w="461"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29" w:type="pct"/>
                  <w:vMerge w:val="continue"/>
                  <w:vAlign w:val="center"/>
                </w:tcPr>
                <w:p>
                  <w:pPr>
                    <w:jc w:val="center"/>
                    <w:rPr>
                      <w:szCs w:val="21"/>
                    </w:rPr>
                  </w:pPr>
                </w:p>
              </w:tc>
              <w:tc>
                <w:tcPr>
                  <w:tcW w:w="543" w:type="pct"/>
                  <w:vAlign w:val="center"/>
                </w:tcPr>
                <w:p>
                  <w:pPr>
                    <w:jc w:val="center"/>
                    <w:rPr>
                      <w:szCs w:val="21"/>
                    </w:rPr>
                  </w:pPr>
                  <w:r>
                    <w:rPr>
                      <w:rFonts w:hint="eastAsia"/>
                      <w:szCs w:val="21"/>
                    </w:rPr>
                    <w:t>N</w:t>
                  </w:r>
                  <w:r>
                    <w:rPr>
                      <w:szCs w:val="21"/>
                    </w:rPr>
                    <w:t>O</w:t>
                  </w:r>
                  <w:r>
                    <w:rPr>
                      <w:szCs w:val="21"/>
                      <w:vertAlign w:val="subscript"/>
                    </w:rPr>
                    <w:t>2</w:t>
                  </w:r>
                </w:p>
              </w:tc>
              <w:tc>
                <w:tcPr>
                  <w:tcW w:w="929" w:type="pct"/>
                  <w:vAlign w:val="center"/>
                </w:tcPr>
                <w:p>
                  <w:pPr>
                    <w:autoSpaceDE w:val="0"/>
                    <w:autoSpaceDN w:val="0"/>
                    <w:jc w:val="center"/>
                    <w:rPr>
                      <w:szCs w:val="21"/>
                    </w:rPr>
                  </w:pPr>
                  <w:r>
                    <w:rPr>
                      <w:rFonts w:hint="eastAsia"/>
                      <w:szCs w:val="21"/>
                    </w:rPr>
                    <w:t>年平均浓度</w:t>
                  </w:r>
                </w:p>
              </w:tc>
              <w:tc>
                <w:tcPr>
                  <w:tcW w:w="730" w:type="pct"/>
                  <w:vAlign w:val="center"/>
                </w:tcPr>
                <w:p>
                  <w:pPr>
                    <w:jc w:val="center"/>
                    <w:rPr>
                      <w:szCs w:val="21"/>
                    </w:rPr>
                  </w:pPr>
                  <w:r>
                    <w:rPr>
                      <w:szCs w:val="21"/>
                    </w:rPr>
                    <w:t>20 μ</w:t>
                  </w:r>
                  <w:r>
                    <w:rPr>
                      <w:rFonts w:hint="eastAsia"/>
                      <w:szCs w:val="21"/>
                    </w:rPr>
                    <w:t>g</w:t>
                  </w:r>
                  <w:r>
                    <w:rPr>
                      <w:szCs w:val="21"/>
                    </w:rPr>
                    <w:t>/m</w:t>
                  </w:r>
                  <w:r>
                    <w:rPr>
                      <w:szCs w:val="21"/>
                      <w:vertAlign w:val="superscript"/>
                    </w:rPr>
                    <w:t>3</w:t>
                  </w:r>
                </w:p>
              </w:tc>
              <w:tc>
                <w:tcPr>
                  <w:tcW w:w="730" w:type="pct"/>
                  <w:vAlign w:val="center"/>
                </w:tcPr>
                <w:p>
                  <w:pPr>
                    <w:jc w:val="center"/>
                    <w:rPr>
                      <w:szCs w:val="21"/>
                    </w:rPr>
                  </w:pPr>
                  <w:r>
                    <w:rPr>
                      <w:rFonts w:hint="eastAsia"/>
                      <w:szCs w:val="21"/>
                    </w:rPr>
                    <w:t>-</w:t>
                  </w:r>
                  <w:r>
                    <w:rPr>
                      <w:szCs w:val="21"/>
                    </w:rPr>
                    <w:t>0.00</w:t>
                  </w:r>
                  <w:r>
                    <w:rPr>
                      <w:rFonts w:hint="eastAsia"/>
                      <w:szCs w:val="21"/>
                    </w:rPr>
                    <w:t>%</w:t>
                  </w:r>
                </w:p>
              </w:tc>
              <w:tc>
                <w:tcPr>
                  <w:tcW w:w="694" w:type="pct"/>
                  <w:vAlign w:val="center"/>
                </w:tcPr>
                <w:p>
                  <w:pPr>
                    <w:jc w:val="center"/>
                    <w:rPr>
                      <w:szCs w:val="21"/>
                    </w:rPr>
                  </w:pPr>
                  <w:r>
                    <w:rPr>
                      <w:rFonts w:hint="eastAsia"/>
                      <w:szCs w:val="21"/>
                    </w:rPr>
                    <w:t>4</w:t>
                  </w:r>
                  <w:r>
                    <w:rPr>
                      <w:szCs w:val="21"/>
                    </w:rPr>
                    <w:t>0 μ/m</w:t>
                  </w:r>
                  <w:r>
                    <w:rPr>
                      <w:szCs w:val="21"/>
                      <w:vertAlign w:val="superscript"/>
                    </w:rPr>
                    <w:t>3</w:t>
                  </w:r>
                </w:p>
              </w:tc>
              <w:tc>
                <w:tcPr>
                  <w:tcW w:w="584" w:type="pct"/>
                  <w:vAlign w:val="center"/>
                </w:tcPr>
                <w:p>
                  <w:pPr>
                    <w:jc w:val="center"/>
                    <w:rPr>
                      <w:szCs w:val="21"/>
                    </w:rPr>
                  </w:pPr>
                  <w:r>
                    <w:rPr>
                      <w:szCs w:val="21"/>
                    </w:rPr>
                    <w:t>50%</w:t>
                  </w:r>
                </w:p>
              </w:tc>
              <w:tc>
                <w:tcPr>
                  <w:tcW w:w="461"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29" w:type="pct"/>
                  <w:vMerge w:val="continue"/>
                  <w:vAlign w:val="center"/>
                </w:tcPr>
                <w:p>
                  <w:pPr>
                    <w:jc w:val="center"/>
                    <w:rPr>
                      <w:szCs w:val="21"/>
                    </w:rPr>
                  </w:pPr>
                </w:p>
              </w:tc>
              <w:tc>
                <w:tcPr>
                  <w:tcW w:w="543" w:type="pct"/>
                  <w:vAlign w:val="center"/>
                </w:tcPr>
                <w:p>
                  <w:pPr>
                    <w:jc w:val="center"/>
                    <w:rPr>
                      <w:szCs w:val="21"/>
                    </w:rPr>
                  </w:pPr>
                  <w:r>
                    <w:rPr>
                      <w:rFonts w:hint="eastAsia"/>
                      <w:szCs w:val="21"/>
                    </w:rPr>
                    <w:t>P</w:t>
                  </w:r>
                  <w:r>
                    <w:rPr>
                      <w:szCs w:val="21"/>
                    </w:rPr>
                    <w:t>M</w:t>
                  </w:r>
                  <w:r>
                    <w:rPr>
                      <w:szCs w:val="21"/>
                      <w:vertAlign w:val="subscript"/>
                    </w:rPr>
                    <w:t>10</w:t>
                  </w:r>
                </w:p>
              </w:tc>
              <w:tc>
                <w:tcPr>
                  <w:tcW w:w="929" w:type="pct"/>
                  <w:vAlign w:val="center"/>
                </w:tcPr>
                <w:p>
                  <w:pPr>
                    <w:jc w:val="center"/>
                    <w:rPr>
                      <w:szCs w:val="21"/>
                    </w:rPr>
                  </w:pPr>
                  <w:r>
                    <w:rPr>
                      <w:rFonts w:hint="eastAsia"/>
                      <w:szCs w:val="21"/>
                    </w:rPr>
                    <w:t>年平均浓度</w:t>
                  </w:r>
                </w:p>
              </w:tc>
              <w:tc>
                <w:tcPr>
                  <w:tcW w:w="730" w:type="pct"/>
                  <w:vAlign w:val="center"/>
                </w:tcPr>
                <w:p>
                  <w:pPr>
                    <w:jc w:val="center"/>
                    <w:rPr>
                      <w:szCs w:val="21"/>
                    </w:rPr>
                  </w:pPr>
                  <w:r>
                    <w:rPr>
                      <w:szCs w:val="21"/>
                    </w:rPr>
                    <w:t>60 μ</w:t>
                  </w:r>
                  <w:r>
                    <w:rPr>
                      <w:rFonts w:hint="eastAsia"/>
                      <w:szCs w:val="21"/>
                    </w:rPr>
                    <w:t>g</w:t>
                  </w:r>
                  <w:r>
                    <w:rPr>
                      <w:szCs w:val="21"/>
                    </w:rPr>
                    <w:t>/m</w:t>
                  </w:r>
                  <w:r>
                    <w:rPr>
                      <w:szCs w:val="21"/>
                      <w:vertAlign w:val="superscript"/>
                    </w:rPr>
                    <w:t>3</w:t>
                  </w:r>
                </w:p>
              </w:tc>
              <w:tc>
                <w:tcPr>
                  <w:tcW w:w="730" w:type="pct"/>
                  <w:vAlign w:val="center"/>
                </w:tcPr>
                <w:p>
                  <w:pPr>
                    <w:jc w:val="center"/>
                    <w:rPr>
                      <w:szCs w:val="21"/>
                    </w:rPr>
                  </w:pPr>
                  <w:r>
                    <w:rPr>
                      <w:szCs w:val="21"/>
                    </w:rPr>
                    <w:t>7.10</w:t>
                  </w:r>
                  <w:r>
                    <w:rPr>
                      <w:rFonts w:hint="eastAsia"/>
                      <w:szCs w:val="21"/>
                    </w:rPr>
                    <w:t>%</w:t>
                  </w:r>
                </w:p>
              </w:tc>
              <w:tc>
                <w:tcPr>
                  <w:tcW w:w="694" w:type="pct"/>
                  <w:vAlign w:val="center"/>
                </w:tcPr>
                <w:p>
                  <w:pPr>
                    <w:jc w:val="center"/>
                    <w:rPr>
                      <w:szCs w:val="21"/>
                    </w:rPr>
                  </w:pPr>
                  <w:r>
                    <w:rPr>
                      <w:szCs w:val="21"/>
                    </w:rPr>
                    <w:t>70 μ/m</w:t>
                  </w:r>
                  <w:r>
                    <w:rPr>
                      <w:szCs w:val="21"/>
                      <w:vertAlign w:val="superscript"/>
                    </w:rPr>
                    <w:t>3</w:t>
                  </w:r>
                </w:p>
              </w:tc>
              <w:tc>
                <w:tcPr>
                  <w:tcW w:w="584" w:type="pct"/>
                  <w:vAlign w:val="center"/>
                </w:tcPr>
                <w:p>
                  <w:pPr>
                    <w:jc w:val="center"/>
                    <w:rPr>
                      <w:szCs w:val="21"/>
                    </w:rPr>
                  </w:pPr>
                  <w:r>
                    <w:rPr>
                      <w:szCs w:val="21"/>
                    </w:rPr>
                    <w:t>85.7%</w:t>
                  </w:r>
                </w:p>
              </w:tc>
              <w:tc>
                <w:tcPr>
                  <w:tcW w:w="461"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29" w:type="pct"/>
                  <w:vMerge w:val="continue"/>
                  <w:vAlign w:val="center"/>
                </w:tcPr>
                <w:p>
                  <w:pPr>
                    <w:jc w:val="center"/>
                    <w:rPr>
                      <w:szCs w:val="21"/>
                    </w:rPr>
                  </w:pPr>
                </w:p>
              </w:tc>
              <w:tc>
                <w:tcPr>
                  <w:tcW w:w="543" w:type="pct"/>
                  <w:vAlign w:val="center"/>
                </w:tcPr>
                <w:p>
                  <w:pPr>
                    <w:jc w:val="center"/>
                    <w:rPr>
                      <w:szCs w:val="21"/>
                    </w:rPr>
                  </w:pPr>
                  <w:r>
                    <w:rPr>
                      <w:rFonts w:hint="eastAsia"/>
                      <w:szCs w:val="21"/>
                    </w:rPr>
                    <w:t>P</w:t>
                  </w:r>
                  <w:r>
                    <w:rPr>
                      <w:szCs w:val="21"/>
                    </w:rPr>
                    <w:t>M</w:t>
                  </w:r>
                  <w:r>
                    <w:rPr>
                      <w:szCs w:val="21"/>
                      <w:vertAlign w:val="subscript"/>
                    </w:rPr>
                    <w:t>2.5</w:t>
                  </w:r>
                </w:p>
              </w:tc>
              <w:tc>
                <w:tcPr>
                  <w:tcW w:w="929" w:type="pct"/>
                  <w:vAlign w:val="center"/>
                </w:tcPr>
                <w:p>
                  <w:pPr>
                    <w:jc w:val="center"/>
                    <w:rPr>
                      <w:szCs w:val="21"/>
                    </w:rPr>
                  </w:pPr>
                  <w:r>
                    <w:rPr>
                      <w:rFonts w:hint="eastAsia"/>
                      <w:szCs w:val="21"/>
                    </w:rPr>
                    <w:t>年平均浓度</w:t>
                  </w:r>
                </w:p>
              </w:tc>
              <w:tc>
                <w:tcPr>
                  <w:tcW w:w="730" w:type="pct"/>
                  <w:vAlign w:val="center"/>
                </w:tcPr>
                <w:p>
                  <w:pPr>
                    <w:jc w:val="center"/>
                    <w:rPr>
                      <w:szCs w:val="21"/>
                    </w:rPr>
                  </w:pPr>
                  <w:r>
                    <w:rPr>
                      <w:szCs w:val="21"/>
                    </w:rPr>
                    <w:t>32 μ</w:t>
                  </w:r>
                  <w:r>
                    <w:rPr>
                      <w:rFonts w:hint="eastAsia"/>
                      <w:szCs w:val="21"/>
                    </w:rPr>
                    <w:t>g</w:t>
                  </w:r>
                  <w:r>
                    <w:rPr>
                      <w:szCs w:val="21"/>
                    </w:rPr>
                    <w:t>/m</w:t>
                  </w:r>
                  <w:r>
                    <w:rPr>
                      <w:szCs w:val="21"/>
                      <w:vertAlign w:val="superscript"/>
                    </w:rPr>
                    <w:t>3</w:t>
                  </w:r>
                </w:p>
              </w:tc>
              <w:tc>
                <w:tcPr>
                  <w:tcW w:w="730" w:type="pct"/>
                  <w:vAlign w:val="center"/>
                </w:tcPr>
                <w:p>
                  <w:pPr>
                    <w:jc w:val="center"/>
                    <w:rPr>
                      <w:szCs w:val="21"/>
                    </w:rPr>
                  </w:pPr>
                  <w:r>
                    <w:rPr>
                      <w:szCs w:val="21"/>
                    </w:rPr>
                    <w:t>3.20</w:t>
                  </w:r>
                  <w:r>
                    <w:rPr>
                      <w:rFonts w:hint="eastAsia"/>
                      <w:szCs w:val="21"/>
                    </w:rPr>
                    <w:t>%</w:t>
                  </w:r>
                </w:p>
              </w:tc>
              <w:tc>
                <w:tcPr>
                  <w:tcW w:w="694" w:type="pct"/>
                  <w:vAlign w:val="center"/>
                </w:tcPr>
                <w:p>
                  <w:pPr>
                    <w:jc w:val="center"/>
                    <w:rPr>
                      <w:szCs w:val="21"/>
                    </w:rPr>
                  </w:pPr>
                  <w:r>
                    <w:rPr>
                      <w:rFonts w:hint="eastAsia"/>
                      <w:szCs w:val="21"/>
                    </w:rPr>
                    <w:t>3</w:t>
                  </w:r>
                  <w:r>
                    <w:rPr>
                      <w:szCs w:val="21"/>
                    </w:rPr>
                    <w:t>5 μ/m</w:t>
                  </w:r>
                  <w:r>
                    <w:rPr>
                      <w:szCs w:val="21"/>
                      <w:vertAlign w:val="superscript"/>
                    </w:rPr>
                    <w:t>3</w:t>
                  </w:r>
                </w:p>
              </w:tc>
              <w:tc>
                <w:tcPr>
                  <w:tcW w:w="584" w:type="pct"/>
                  <w:vAlign w:val="center"/>
                </w:tcPr>
                <w:p>
                  <w:pPr>
                    <w:jc w:val="center"/>
                    <w:rPr>
                      <w:szCs w:val="21"/>
                    </w:rPr>
                  </w:pPr>
                  <w:r>
                    <w:rPr>
                      <w:szCs w:val="21"/>
                    </w:rPr>
                    <w:t>91.4%</w:t>
                  </w:r>
                </w:p>
              </w:tc>
              <w:tc>
                <w:tcPr>
                  <w:tcW w:w="461" w:type="pct"/>
                  <w:vAlign w:val="center"/>
                </w:tcPr>
                <w:p>
                  <w:pPr>
                    <w:jc w:val="center"/>
                    <w:rPr>
                      <w:b/>
                      <w:bCs/>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29" w:type="pct"/>
                  <w:vMerge w:val="continue"/>
                  <w:vAlign w:val="center"/>
                </w:tcPr>
                <w:p>
                  <w:pPr>
                    <w:jc w:val="center"/>
                    <w:rPr>
                      <w:szCs w:val="21"/>
                    </w:rPr>
                  </w:pPr>
                </w:p>
              </w:tc>
              <w:tc>
                <w:tcPr>
                  <w:tcW w:w="543" w:type="pct"/>
                  <w:vAlign w:val="center"/>
                </w:tcPr>
                <w:p>
                  <w:pPr>
                    <w:jc w:val="center"/>
                    <w:rPr>
                      <w:szCs w:val="21"/>
                    </w:rPr>
                  </w:pPr>
                  <w:r>
                    <w:rPr>
                      <w:rFonts w:hint="eastAsia"/>
                      <w:szCs w:val="21"/>
                    </w:rPr>
                    <w:t>C</w:t>
                  </w:r>
                  <w:r>
                    <w:rPr>
                      <w:szCs w:val="21"/>
                    </w:rPr>
                    <w:t>O</w:t>
                  </w:r>
                </w:p>
              </w:tc>
              <w:tc>
                <w:tcPr>
                  <w:tcW w:w="929" w:type="pct"/>
                  <w:vAlign w:val="center"/>
                </w:tcPr>
                <w:p>
                  <w:pPr>
                    <w:jc w:val="center"/>
                    <w:rPr>
                      <w:szCs w:val="21"/>
                    </w:rPr>
                  </w:pPr>
                  <w:r>
                    <w:rPr>
                      <w:rFonts w:hint="eastAsia"/>
                      <w:szCs w:val="21"/>
                    </w:rPr>
                    <w:t>百分位数</w:t>
                  </w:r>
                </w:p>
              </w:tc>
              <w:tc>
                <w:tcPr>
                  <w:tcW w:w="730" w:type="pct"/>
                  <w:vAlign w:val="center"/>
                </w:tcPr>
                <w:p>
                  <w:pPr>
                    <w:jc w:val="center"/>
                    <w:rPr>
                      <w:szCs w:val="21"/>
                    </w:rPr>
                  </w:pPr>
                  <w:r>
                    <w:rPr>
                      <w:szCs w:val="21"/>
                    </w:rPr>
                    <w:t xml:space="preserve">1.3 </w:t>
                  </w:r>
                  <w:r>
                    <w:rPr>
                      <w:rFonts w:hint="eastAsia"/>
                      <w:szCs w:val="21"/>
                    </w:rPr>
                    <w:t>mg</w:t>
                  </w:r>
                  <w:r>
                    <w:rPr>
                      <w:szCs w:val="21"/>
                    </w:rPr>
                    <w:t>/m</w:t>
                  </w:r>
                  <w:r>
                    <w:rPr>
                      <w:szCs w:val="21"/>
                      <w:vertAlign w:val="superscript"/>
                    </w:rPr>
                    <w:t>3</w:t>
                  </w:r>
                </w:p>
              </w:tc>
              <w:tc>
                <w:tcPr>
                  <w:tcW w:w="730" w:type="pct"/>
                  <w:vAlign w:val="center"/>
                </w:tcPr>
                <w:p>
                  <w:pPr>
                    <w:jc w:val="center"/>
                    <w:rPr>
                      <w:szCs w:val="21"/>
                    </w:rPr>
                  </w:pPr>
                  <w:r>
                    <w:rPr>
                      <w:rFonts w:hint="eastAsia"/>
                      <w:szCs w:val="21"/>
                    </w:rPr>
                    <w:t>-</w:t>
                  </w:r>
                  <w:r>
                    <w:rPr>
                      <w:szCs w:val="21"/>
                    </w:rPr>
                    <w:t>40.90</w:t>
                  </w:r>
                  <w:r>
                    <w:rPr>
                      <w:rFonts w:hint="eastAsia"/>
                      <w:szCs w:val="21"/>
                    </w:rPr>
                    <w:t>%</w:t>
                  </w:r>
                </w:p>
              </w:tc>
              <w:tc>
                <w:tcPr>
                  <w:tcW w:w="694" w:type="pct"/>
                  <w:vAlign w:val="center"/>
                </w:tcPr>
                <w:p>
                  <w:pPr>
                    <w:jc w:val="center"/>
                    <w:rPr>
                      <w:szCs w:val="21"/>
                    </w:rPr>
                  </w:pPr>
                  <w:r>
                    <w:rPr>
                      <w:rFonts w:hint="eastAsia"/>
                      <w:szCs w:val="21"/>
                    </w:rPr>
                    <w:t>4</w:t>
                  </w:r>
                  <w:r>
                    <w:rPr>
                      <w:szCs w:val="21"/>
                    </w:rPr>
                    <w:t xml:space="preserve"> </w:t>
                  </w:r>
                  <w:r>
                    <w:rPr>
                      <w:rFonts w:hint="eastAsia"/>
                      <w:szCs w:val="21"/>
                    </w:rPr>
                    <w:t>mg</w:t>
                  </w:r>
                  <w:r>
                    <w:rPr>
                      <w:szCs w:val="21"/>
                    </w:rPr>
                    <w:t>/m</w:t>
                  </w:r>
                  <w:r>
                    <w:rPr>
                      <w:szCs w:val="21"/>
                      <w:vertAlign w:val="superscript"/>
                    </w:rPr>
                    <w:t>3</w:t>
                  </w:r>
                </w:p>
              </w:tc>
              <w:tc>
                <w:tcPr>
                  <w:tcW w:w="584" w:type="pct"/>
                  <w:vAlign w:val="center"/>
                </w:tcPr>
                <w:p>
                  <w:pPr>
                    <w:jc w:val="center"/>
                    <w:rPr>
                      <w:szCs w:val="21"/>
                    </w:rPr>
                  </w:pPr>
                  <w:r>
                    <w:rPr>
                      <w:szCs w:val="21"/>
                    </w:rPr>
                    <w:t>32.5%</w:t>
                  </w:r>
                </w:p>
              </w:tc>
              <w:tc>
                <w:tcPr>
                  <w:tcW w:w="461" w:type="pct"/>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jc w:val="center"/>
              </w:trPr>
              <w:tc>
                <w:tcPr>
                  <w:tcW w:w="329" w:type="pct"/>
                  <w:vMerge w:val="continue"/>
                  <w:vAlign w:val="center"/>
                </w:tcPr>
                <w:p>
                  <w:pPr>
                    <w:jc w:val="center"/>
                    <w:rPr>
                      <w:szCs w:val="21"/>
                    </w:rPr>
                  </w:pPr>
                </w:p>
              </w:tc>
              <w:tc>
                <w:tcPr>
                  <w:tcW w:w="543" w:type="pct"/>
                  <w:vAlign w:val="center"/>
                </w:tcPr>
                <w:p>
                  <w:pPr>
                    <w:jc w:val="center"/>
                    <w:rPr>
                      <w:szCs w:val="21"/>
                    </w:rPr>
                  </w:pPr>
                  <w:r>
                    <w:rPr>
                      <w:rFonts w:hint="eastAsia"/>
                      <w:szCs w:val="21"/>
                    </w:rPr>
                    <w:t>O</w:t>
                  </w:r>
                  <w:r>
                    <w:rPr>
                      <w:szCs w:val="21"/>
                      <w:vertAlign w:val="subscript"/>
                    </w:rPr>
                    <w:t>3</w:t>
                  </w:r>
                </w:p>
              </w:tc>
              <w:tc>
                <w:tcPr>
                  <w:tcW w:w="929" w:type="pct"/>
                  <w:vAlign w:val="center"/>
                </w:tcPr>
                <w:p>
                  <w:pPr>
                    <w:jc w:val="center"/>
                    <w:rPr>
                      <w:szCs w:val="21"/>
                    </w:rPr>
                  </w:pPr>
                  <w:r>
                    <w:rPr>
                      <w:rFonts w:hint="eastAsia"/>
                      <w:szCs w:val="21"/>
                    </w:rPr>
                    <w:t>8h百分位数</w:t>
                  </w:r>
                </w:p>
              </w:tc>
              <w:tc>
                <w:tcPr>
                  <w:tcW w:w="730" w:type="pct"/>
                  <w:vAlign w:val="center"/>
                </w:tcPr>
                <w:p>
                  <w:pPr>
                    <w:jc w:val="center"/>
                    <w:rPr>
                      <w:szCs w:val="21"/>
                    </w:rPr>
                  </w:pPr>
                  <w:r>
                    <w:rPr>
                      <w:szCs w:val="21"/>
                    </w:rPr>
                    <w:t>160 μ/m</w:t>
                  </w:r>
                  <w:r>
                    <w:rPr>
                      <w:szCs w:val="21"/>
                      <w:vertAlign w:val="superscript"/>
                    </w:rPr>
                    <w:t>3</w:t>
                  </w:r>
                </w:p>
              </w:tc>
              <w:tc>
                <w:tcPr>
                  <w:tcW w:w="730" w:type="pct"/>
                  <w:vAlign w:val="center"/>
                </w:tcPr>
                <w:p>
                  <w:pPr>
                    <w:jc w:val="center"/>
                    <w:rPr>
                      <w:szCs w:val="21"/>
                    </w:rPr>
                  </w:pPr>
                  <w:r>
                    <w:rPr>
                      <w:szCs w:val="21"/>
                    </w:rPr>
                    <w:t>3.90</w:t>
                  </w:r>
                  <w:r>
                    <w:rPr>
                      <w:rFonts w:hint="eastAsia"/>
                      <w:szCs w:val="21"/>
                    </w:rPr>
                    <w:t>%</w:t>
                  </w:r>
                </w:p>
              </w:tc>
              <w:tc>
                <w:tcPr>
                  <w:tcW w:w="694" w:type="pct"/>
                  <w:vAlign w:val="center"/>
                </w:tcPr>
                <w:p>
                  <w:pPr>
                    <w:jc w:val="center"/>
                    <w:rPr>
                      <w:szCs w:val="21"/>
                    </w:rPr>
                  </w:pPr>
                  <w:r>
                    <w:rPr>
                      <w:rFonts w:hint="eastAsia"/>
                      <w:szCs w:val="21"/>
                    </w:rPr>
                    <w:t>1</w:t>
                  </w:r>
                  <w:r>
                    <w:rPr>
                      <w:szCs w:val="21"/>
                    </w:rPr>
                    <w:t>60 μ/m</w:t>
                  </w:r>
                  <w:r>
                    <w:rPr>
                      <w:szCs w:val="21"/>
                      <w:vertAlign w:val="superscript"/>
                    </w:rPr>
                    <w:t>3</w:t>
                  </w:r>
                </w:p>
              </w:tc>
              <w:tc>
                <w:tcPr>
                  <w:tcW w:w="584" w:type="pct"/>
                  <w:vAlign w:val="center"/>
                </w:tcPr>
                <w:p>
                  <w:pPr>
                    <w:jc w:val="center"/>
                    <w:rPr>
                      <w:szCs w:val="21"/>
                    </w:rPr>
                  </w:pPr>
                  <w:r>
                    <w:rPr>
                      <w:szCs w:val="21"/>
                    </w:rPr>
                    <w:t>100%</w:t>
                  </w:r>
                </w:p>
              </w:tc>
              <w:tc>
                <w:tcPr>
                  <w:tcW w:w="461" w:type="pct"/>
                  <w:vAlign w:val="center"/>
                </w:tcPr>
                <w:p>
                  <w:pPr>
                    <w:jc w:val="center"/>
                    <w:rPr>
                      <w:b/>
                      <w:bCs/>
                      <w:szCs w:val="21"/>
                    </w:rPr>
                  </w:pPr>
                  <w:r>
                    <w:rPr>
                      <w:rFonts w:hint="eastAsia"/>
                      <w:szCs w:val="21"/>
                    </w:rPr>
                    <w:t>达标</w:t>
                  </w:r>
                </w:p>
              </w:tc>
            </w:tr>
          </w:tbl>
          <w:p>
            <w:pPr>
              <w:spacing w:line="480" w:lineRule="exact"/>
              <w:ind w:firstLine="480" w:firstLineChars="200"/>
              <w:rPr>
                <w:sz w:val="24"/>
              </w:rPr>
            </w:pPr>
            <w:r>
              <w:rPr>
                <w:rFonts w:hint="eastAsia"/>
                <w:bCs/>
                <w:snapToGrid w:val="0"/>
                <w:kern w:val="0"/>
                <w:sz w:val="24"/>
              </w:rPr>
              <w:t>根据例行监测数据统计结果，2</w:t>
            </w:r>
            <w:r>
              <w:rPr>
                <w:bCs/>
                <w:snapToGrid w:val="0"/>
                <w:kern w:val="0"/>
                <w:sz w:val="24"/>
              </w:rPr>
              <w:t>020</w:t>
            </w:r>
            <w:r>
              <w:rPr>
                <w:rFonts w:hint="eastAsia"/>
                <w:bCs/>
                <w:snapToGrid w:val="0"/>
                <w:kern w:val="0"/>
                <w:sz w:val="24"/>
              </w:rPr>
              <w:t>年</w:t>
            </w:r>
            <w:r>
              <w:rPr>
                <w:rFonts w:hint="eastAsia"/>
                <w:bCs/>
                <w:sz w:val="24"/>
              </w:rPr>
              <w:t>忻州市五台县</w:t>
            </w:r>
            <w:r>
              <w:rPr>
                <w:rFonts w:hint="eastAsia"/>
                <w:sz w:val="24"/>
              </w:rPr>
              <w:t>S</w:t>
            </w:r>
            <w:r>
              <w:rPr>
                <w:sz w:val="24"/>
              </w:rPr>
              <w:t>O</w:t>
            </w:r>
            <w:r>
              <w:rPr>
                <w:sz w:val="24"/>
                <w:vertAlign w:val="subscript"/>
              </w:rPr>
              <w:t>2</w:t>
            </w:r>
            <w:r>
              <w:rPr>
                <w:rFonts w:hint="eastAsia"/>
                <w:sz w:val="24"/>
              </w:rPr>
              <w:t>年均浓度占标率为</w:t>
            </w:r>
            <w:r>
              <w:rPr>
                <w:sz w:val="24"/>
              </w:rPr>
              <w:t>25</w:t>
            </w:r>
            <w:r>
              <w:rPr>
                <w:rFonts w:hint="eastAsia"/>
                <w:sz w:val="24"/>
              </w:rPr>
              <w:t>%，N</w:t>
            </w:r>
            <w:r>
              <w:rPr>
                <w:sz w:val="24"/>
              </w:rPr>
              <w:t>O</w:t>
            </w:r>
            <w:r>
              <w:rPr>
                <w:sz w:val="24"/>
                <w:vertAlign w:val="subscript"/>
              </w:rPr>
              <w:t>2</w:t>
            </w:r>
            <w:r>
              <w:rPr>
                <w:rFonts w:hint="eastAsia"/>
                <w:sz w:val="24"/>
              </w:rPr>
              <w:t>年均浓度占标率为</w:t>
            </w:r>
            <w:r>
              <w:rPr>
                <w:sz w:val="24"/>
              </w:rPr>
              <w:t>50</w:t>
            </w:r>
            <w:r>
              <w:rPr>
                <w:rFonts w:hint="eastAsia"/>
                <w:sz w:val="24"/>
              </w:rPr>
              <w:t>%，P</w:t>
            </w:r>
            <w:r>
              <w:rPr>
                <w:sz w:val="24"/>
              </w:rPr>
              <w:t>M</w:t>
            </w:r>
            <w:r>
              <w:rPr>
                <w:sz w:val="24"/>
                <w:vertAlign w:val="subscript"/>
              </w:rPr>
              <w:t>10</w:t>
            </w:r>
            <w:r>
              <w:rPr>
                <w:rFonts w:hint="eastAsia"/>
                <w:sz w:val="24"/>
              </w:rPr>
              <w:t>年均浓度占标率为</w:t>
            </w:r>
            <w:r>
              <w:rPr>
                <w:sz w:val="24"/>
              </w:rPr>
              <w:t>85.7</w:t>
            </w:r>
            <w:r>
              <w:rPr>
                <w:rFonts w:hint="eastAsia"/>
                <w:sz w:val="24"/>
              </w:rPr>
              <w:t>%，P</w:t>
            </w:r>
            <w:r>
              <w:rPr>
                <w:sz w:val="24"/>
              </w:rPr>
              <w:t>M</w:t>
            </w:r>
            <w:r>
              <w:rPr>
                <w:sz w:val="24"/>
                <w:vertAlign w:val="subscript"/>
              </w:rPr>
              <w:t>2.5</w:t>
            </w:r>
            <w:r>
              <w:rPr>
                <w:rFonts w:hint="eastAsia"/>
                <w:sz w:val="24"/>
              </w:rPr>
              <w:t>年均浓度占标率为</w:t>
            </w:r>
            <w:r>
              <w:rPr>
                <w:sz w:val="24"/>
              </w:rPr>
              <w:t>91.4</w:t>
            </w:r>
            <w:r>
              <w:rPr>
                <w:rFonts w:hint="eastAsia"/>
                <w:sz w:val="24"/>
              </w:rPr>
              <w:t>%，C</w:t>
            </w:r>
            <w:r>
              <w:rPr>
                <w:sz w:val="24"/>
              </w:rPr>
              <w:t>O</w:t>
            </w:r>
            <w:r>
              <w:rPr>
                <w:rFonts w:hint="eastAsia"/>
                <w:sz w:val="24"/>
              </w:rPr>
              <w:t>年均浓度占标率为</w:t>
            </w:r>
            <w:r>
              <w:rPr>
                <w:sz w:val="24"/>
              </w:rPr>
              <w:t>32.5</w:t>
            </w:r>
            <w:r>
              <w:rPr>
                <w:rFonts w:hint="eastAsia"/>
                <w:sz w:val="24"/>
              </w:rPr>
              <w:t>%，O</w:t>
            </w:r>
            <w:r>
              <w:rPr>
                <w:sz w:val="24"/>
                <w:vertAlign w:val="subscript"/>
              </w:rPr>
              <w:t>3</w:t>
            </w:r>
            <w:r>
              <w:rPr>
                <w:rFonts w:hint="eastAsia"/>
                <w:sz w:val="24"/>
              </w:rPr>
              <w:t>年均浓度占标率为</w:t>
            </w:r>
            <w:r>
              <w:rPr>
                <w:sz w:val="24"/>
              </w:rPr>
              <w:t>100</w:t>
            </w:r>
            <w:r>
              <w:rPr>
                <w:rFonts w:hint="eastAsia"/>
                <w:sz w:val="24"/>
              </w:rPr>
              <w:t>%，</w:t>
            </w:r>
            <w:bookmarkStart w:id="4" w:name="_Hlk5610171"/>
            <w:r>
              <w:rPr>
                <w:rFonts w:hint="eastAsia"/>
                <w:sz w:val="24"/>
              </w:rPr>
              <w:t>六项基本污染物</w:t>
            </w:r>
            <w:r>
              <w:rPr>
                <w:rFonts w:hint="eastAsia"/>
                <w:bCs/>
                <w:snapToGrid w:val="0"/>
                <w:kern w:val="0"/>
                <w:sz w:val="24"/>
              </w:rPr>
              <w:t>年均</w:t>
            </w:r>
            <w:r>
              <w:rPr>
                <w:bCs/>
                <w:snapToGrid w:val="0"/>
                <w:kern w:val="0"/>
                <w:sz w:val="24"/>
              </w:rPr>
              <w:t>浓度</w:t>
            </w:r>
            <w:r>
              <w:rPr>
                <w:rFonts w:hint="eastAsia"/>
                <w:bCs/>
                <w:snapToGrid w:val="0"/>
                <w:kern w:val="0"/>
                <w:sz w:val="24"/>
              </w:rPr>
              <w:t>均未超标</w:t>
            </w:r>
            <w:bookmarkEnd w:id="4"/>
            <w:r>
              <w:rPr>
                <w:rFonts w:hint="eastAsia"/>
                <w:bCs/>
                <w:snapToGrid w:val="0"/>
                <w:kern w:val="0"/>
                <w:sz w:val="24"/>
              </w:rPr>
              <w:t>。</w:t>
            </w:r>
            <w:r>
              <w:rPr>
                <w:sz w:val="24"/>
              </w:rPr>
              <w:t>根据《环境影响评价技术导则 大气环境》（HJ2.2-2018）</w:t>
            </w:r>
            <w:r>
              <w:rPr>
                <w:rFonts w:hint="eastAsia"/>
                <w:sz w:val="24"/>
              </w:rPr>
              <w:t>和</w:t>
            </w:r>
            <w:r>
              <w:rPr>
                <w:rFonts w:hint="eastAsia"/>
                <w:bCs/>
                <w:snapToGrid w:val="0"/>
                <w:kern w:val="0"/>
                <w:sz w:val="24"/>
              </w:rPr>
              <w:t>例行监测资料</w:t>
            </w:r>
            <w:r>
              <w:rPr>
                <w:sz w:val="24"/>
              </w:rPr>
              <w:t>判定，</w:t>
            </w:r>
            <w:r>
              <w:rPr>
                <w:rFonts w:hint="eastAsia"/>
                <w:bCs/>
                <w:sz w:val="24"/>
              </w:rPr>
              <w:t>忻州市五台县</w:t>
            </w:r>
            <w:r>
              <w:rPr>
                <w:sz w:val="24"/>
              </w:rPr>
              <w:t>为达标区。</w:t>
            </w:r>
          </w:p>
          <w:p>
            <w:pPr>
              <w:adjustRightInd w:val="0"/>
              <w:snapToGrid w:val="0"/>
              <w:spacing w:line="480" w:lineRule="exact"/>
              <w:ind w:firstLine="482" w:firstLineChars="200"/>
              <w:rPr>
                <w:b/>
                <w:bCs/>
                <w:kern w:val="0"/>
                <w:sz w:val="24"/>
              </w:rPr>
            </w:pPr>
            <w:r>
              <w:rPr>
                <w:rFonts w:hint="eastAsia"/>
                <w:b/>
                <w:bCs/>
                <w:kern w:val="0"/>
                <w:sz w:val="24"/>
              </w:rPr>
              <w:t>（</w:t>
            </w:r>
            <w:r>
              <w:rPr>
                <w:b/>
                <w:bCs/>
                <w:kern w:val="0"/>
                <w:sz w:val="24"/>
              </w:rPr>
              <w:t>2</w:t>
            </w:r>
            <w:r>
              <w:rPr>
                <w:rFonts w:hint="eastAsia"/>
                <w:b/>
                <w:bCs/>
                <w:kern w:val="0"/>
                <w:sz w:val="24"/>
              </w:rPr>
              <w:t>）区域污染物质量现状监测与评价</w:t>
            </w:r>
          </w:p>
          <w:p>
            <w:pPr>
              <w:spacing w:line="480" w:lineRule="exact"/>
              <w:ind w:firstLine="482" w:firstLineChars="200"/>
              <w:rPr>
                <w:b/>
                <w:sz w:val="24"/>
              </w:rPr>
            </w:pPr>
            <w:r>
              <w:rPr>
                <w:rFonts w:hint="eastAsia"/>
                <w:b/>
                <w:sz w:val="24"/>
              </w:rPr>
              <w:t>①监测点位、项目及频次</w:t>
            </w:r>
          </w:p>
          <w:p>
            <w:pPr>
              <w:spacing w:line="480" w:lineRule="exact"/>
              <w:ind w:firstLine="480" w:firstLineChars="200"/>
              <w:rPr>
                <w:bCs/>
                <w:sz w:val="24"/>
              </w:rPr>
            </w:pPr>
            <w:r>
              <w:rPr>
                <w:rFonts w:hint="eastAsia"/>
                <w:bCs/>
                <w:sz w:val="24"/>
              </w:rPr>
              <w:t>本次评价委托河南鼎泰检测技术有限公司于2</w:t>
            </w:r>
            <w:r>
              <w:rPr>
                <w:bCs/>
                <w:sz w:val="24"/>
              </w:rPr>
              <w:t>021</w:t>
            </w:r>
            <w:r>
              <w:rPr>
                <w:rFonts w:hint="eastAsia"/>
                <w:bCs/>
                <w:sz w:val="24"/>
              </w:rPr>
              <w:t>年</w:t>
            </w:r>
            <w:r>
              <w:rPr>
                <w:bCs/>
                <w:sz w:val="24"/>
              </w:rPr>
              <w:t>7</w:t>
            </w:r>
            <w:r>
              <w:rPr>
                <w:rFonts w:hint="eastAsia"/>
                <w:bCs/>
                <w:sz w:val="24"/>
              </w:rPr>
              <w:t>月</w:t>
            </w:r>
            <w:r>
              <w:rPr>
                <w:bCs/>
                <w:sz w:val="24"/>
              </w:rPr>
              <w:t>1</w:t>
            </w:r>
            <w:r>
              <w:rPr>
                <w:rFonts w:hint="eastAsia"/>
                <w:bCs/>
                <w:sz w:val="24"/>
              </w:rPr>
              <w:t>日-</w:t>
            </w:r>
            <w:r>
              <w:rPr>
                <w:bCs/>
                <w:sz w:val="24"/>
              </w:rPr>
              <w:t>3</w:t>
            </w:r>
            <w:r>
              <w:rPr>
                <w:rFonts w:hint="eastAsia"/>
                <w:bCs/>
                <w:sz w:val="24"/>
              </w:rPr>
              <w:t>日对拟建厂址附近敏感目标东茹村进行了为期</w:t>
            </w:r>
            <w:r>
              <w:rPr>
                <w:bCs/>
                <w:sz w:val="24"/>
              </w:rPr>
              <w:t>3</w:t>
            </w:r>
            <w:r>
              <w:rPr>
                <w:rFonts w:hint="eastAsia"/>
                <w:bCs/>
                <w:sz w:val="24"/>
              </w:rPr>
              <w:t>天的环境空气污染物（氯化氢、汞）质量现状补充监测；委托江苏常理检测服务有限公司于2</w:t>
            </w:r>
            <w:r>
              <w:rPr>
                <w:bCs/>
                <w:sz w:val="24"/>
              </w:rPr>
              <w:t>021</w:t>
            </w:r>
            <w:r>
              <w:rPr>
                <w:rFonts w:hint="eastAsia"/>
                <w:bCs/>
                <w:sz w:val="24"/>
              </w:rPr>
              <w:t>年</w:t>
            </w:r>
            <w:r>
              <w:rPr>
                <w:bCs/>
                <w:sz w:val="24"/>
              </w:rPr>
              <w:t>7</w:t>
            </w:r>
            <w:r>
              <w:rPr>
                <w:rFonts w:hint="eastAsia"/>
                <w:bCs/>
                <w:sz w:val="24"/>
              </w:rPr>
              <w:t>月</w:t>
            </w:r>
            <w:r>
              <w:rPr>
                <w:bCs/>
                <w:sz w:val="24"/>
              </w:rPr>
              <w:t>3</w:t>
            </w:r>
            <w:r>
              <w:rPr>
                <w:rFonts w:hint="eastAsia"/>
                <w:bCs/>
                <w:sz w:val="24"/>
              </w:rPr>
              <w:t>日-</w:t>
            </w:r>
            <w:r>
              <w:rPr>
                <w:bCs/>
                <w:sz w:val="24"/>
              </w:rPr>
              <w:t>5</w:t>
            </w:r>
            <w:r>
              <w:rPr>
                <w:rFonts w:hint="eastAsia"/>
                <w:bCs/>
                <w:sz w:val="24"/>
              </w:rPr>
              <w:t>日对拟建厂址附近敏感目标东茹村进行了为期</w:t>
            </w:r>
            <w:r>
              <w:rPr>
                <w:bCs/>
                <w:sz w:val="24"/>
              </w:rPr>
              <w:t>3</w:t>
            </w:r>
            <w:r>
              <w:rPr>
                <w:rFonts w:hint="eastAsia"/>
                <w:bCs/>
                <w:sz w:val="24"/>
              </w:rPr>
              <w:t>天的环境空气污染物（二噁英类）质量现状补充监测。</w:t>
            </w:r>
            <w:r>
              <w:rPr>
                <w:rFonts w:hint="eastAsia"/>
                <w:sz w:val="24"/>
                <w:szCs w:val="20"/>
              </w:rPr>
              <w:t>监测点位、项目、频次、时间及要求见下表。监测布点图见图</w:t>
            </w:r>
            <w:r>
              <w:rPr>
                <w:sz w:val="24"/>
                <w:szCs w:val="20"/>
              </w:rPr>
              <w:t>3-1</w:t>
            </w:r>
            <w:r>
              <w:rPr>
                <w:rFonts w:hint="eastAsia"/>
                <w:sz w:val="24"/>
                <w:szCs w:val="20"/>
              </w:rPr>
              <w:t>。</w:t>
            </w:r>
          </w:p>
          <w:p>
            <w:pPr>
              <w:spacing w:line="480" w:lineRule="exact"/>
              <w:jc w:val="center"/>
              <w:rPr>
                <w:rFonts w:ascii="黑体" w:hAnsi="黑体" w:eastAsia="黑体"/>
                <w:bCs/>
                <w:sz w:val="24"/>
                <w:szCs w:val="32"/>
              </w:rPr>
            </w:pPr>
            <w:r>
              <w:rPr>
                <w:rFonts w:ascii="黑体" w:hAnsi="黑体" w:eastAsia="黑体"/>
                <w:sz w:val="24"/>
              </w:rPr>
              <w:t xml:space="preserve">表3-2  </w:t>
            </w:r>
            <w:r>
              <w:rPr>
                <w:rFonts w:hint="eastAsia" w:ascii="黑体" w:hAnsi="黑体" w:eastAsia="黑体"/>
                <w:bCs/>
                <w:sz w:val="24"/>
                <w:szCs w:val="32"/>
              </w:rPr>
              <w:t>区域大气污染物质量现状监测点位、项目、频次一览表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2"/>
              <w:gridCol w:w="5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Ansi="宋体"/>
                      <w:szCs w:val="21"/>
                    </w:rPr>
                    <w:t>序号</w:t>
                  </w:r>
                </w:p>
              </w:tc>
              <w:tc>
                <w:tcPr>
                  <w:tcW w:w="3228"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Ansi="宋体"/>
                      <w:szCs w:val="21"/>
                    </w:rPr>
                    <w:t>监测点</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sz w:val="21"/>
                      <w:szCs w:val="21"/>
                    </w:rPr>
                    <w:t>五台县</w:t>
                  </w:r>
                  <w:r>
                    <w:rPr>
                      <w:bCs/>
                      <w:sz w:val="21"/>
                      <w:szCs w:val="21"/>
                    </w:rPr>
                    <w:t>茹村乡东茹村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坐标</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sz w:val="21"/>
                      <w:szCs w:val="21"/>
                    </w:rPr>
                    <w:t>E 113.369862</w:t>
                  </w:r>
                </w:p>
                <w:p>
                  <w:pPr>
                    <w:pStyle w:val="14"/>
                    <w:jc w:val="center"/>
                    <w:rPr>
                      <w:sz w:val="21"/>
                      <w:szCs w:val="21"/>
                    </w:rPr>
                  </w:pPr>
                  <w:r>
                    <w:rPr>
                      <w:sz w:val="21"/>
                      <w:szCs w:val="21"/>
                    </w:rPr>
                    <w:t>N 38.737286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监测因子</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sz w:val="21"/>
                      <w:szCs w:val="21"/>
                    </w:rPr>
                    <w:t>特征因子：氯化氢、汞、</w:t>
                  </w:r>
                  <w:r>
                    <w:rPr>
                      <w:rFonts w:hint="eastAsia"/>
                      <w:bCs/>
                      <w:sz w:val="21"/>
                      <w:szCs w:val="21"/>
                    </w:rPr>
                    <w:t>二噁英（总毒性当量）</w:t>
                  </w:r>
                  <w:r>
                    <w:rPr>
                      <w:rFonts w:hint="eastAsia"/>
                      <w:sz w:val="21"/>
                      <w:szCs w:val="21"/>
                    </w:rPr>
                    <w:t>；</w:t>
                  </w:r>
                </w:p>
                <w:p>
                  <w:pPr>
                    <w:pStyle w:val="14"/>
                    <w:jc w:val="center"/>
                    <w:rPr>
                      <w:sz w:val="21"/>
                      <w:szCs w:val="21"/>
                    </w:rPr>
                  </w:pPr>
                  <w:r>
                    <w:rPr>
                      <w:bCs/>
                      <w:sz w:val="21"/>
                      <w:szCs w:val="21"/>
                    </w:rPr>
                    <w:t>同步观测风向、风速、气温、气压。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监测时间和频次</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both"/>
                    <w:rPr>
                      <w:bCs/>
                      <w:sz w:val="21"/>
                      <w:szCs w:val="21"/>
                    </w:rPr>
                  </w:pPr>
                  <w:r>
                    <w:rPr>
                      <w:rFonts w:hint="eastAsia"/>
                      <w:bCs/>
                      <w:sz w:val="21"/>
                      <w:szCs w:val="21"/>
                    </w:rPr>
                    <w:t>监测频率为连续</w:t>
                  </w:r>
                  <w:r>
                    <w:rPr>
                      <w:bCs/>
                      <w:sz w:val="21"/>
                      <w:szCs w:val="21"/>
                    </w:rPr>
                    <w:t>3</w:t>
                  </w:r>
                  <w:r>
                    <w:rPr>
                      <w:rFonts w:hint="eastAsia"/>
                      <w:bCs/>
                      <w:sz w:val="21"/>
                      <w:szCs w:val="21"/>
                    </w:rPr>
                    <w:t>天；</w:t>
                  </w:r>
                </w:p>
                <w:p>
                  <w:pPr>
                    <w:pStyle w:val="14"/>
                    <w:jc w:val="both"/>
                    <w:rPr>
                      <w:sz w:val="21"/>
                      <w:szCs w:val="21"/>
                    </w:rPr>
                  </w:pPr>
                  <w:r>
                    <w:rPr>
                      <w:rFonts w:hint="eastAsia"/>
                      <w:sz w:val="21"/>
                      <w:szCs w:val="21"/>
                    </w:rPr>
                    <w:t>其中：</w:t>
                  </w:r>
                </w:p>
                <w:p>
                  <w:pPr>
                    <w:pStyle w:val="14"/>
                    <w:jc w:val="both"/>
                    <w:rPr>
                      <w:bCs/>
                      <w:sz w:val="21"/>
                      <w:szCs w:val="21"/>
                    </w:rPr>
                  </w:pPr>
                  <w:r>
                    <w:rPr>
                      <w:rFonts w:hint="eastAsia"/>
                      <w:sz w:val="21"/>
                      <w:szCs w:val="21"/>
                    </w:rPr>
                    <w:t>氯化氢</w:t>
                  </w:r>
                  <w:r>
                    <w:rPr>
                      <w:rFonts w:hint="eastAsia"/>
                      <w:bCs/>
                      <w:sz w:val="21"/>
                      <w:szCs w:val="21"/>
                    </w:rPr>
                    <w:t>每天监测4次，时间为02、08、14、20时的浓度，每次至少有45分钟的采样时间；</w:t>
                  </w:r>
                </w:p>
                <w:p>
                  <w:pPr>
                    <w:pStyle w:val="14"/>
                    <w:jc w:val="both"/>
                    <w:rPr>
                      <w:bCs/>
                      <w:sz w:val="21"/>
                      <w:szCs w:val="21"/>
                    </w:rPr>
                  </w:pPr>
                  <w:r>
                    <w:rPr>
                      <w:rFonts w:hint="eastAsia"/>
                      <w:bCs/>
                      <w:sz w:val="21"/>
                      <w:szCs w:val="21"/>
                    </w:rPr>
                    <w:t>汞监测日均值；</w:t>
                  </w:r>
                </w:p>
                <w:p>
                  <w:pPr>
                    <w:pStyle w:val="14"/>
                    <w:jc w:val="both"/>
                    <w:rPr>
                      <w:sz w:val="21"/>
                      <w:szCs w:val="21"/>
                    </w:rPr>
                  </w:pPr>
                  <w:r>
                    <w:rPr>
                      <w:rFonts w:hint="eastAsia"/>
                      <w:bCs/>
                      <w:sz w:val="21"/>
                      <w:szCs w:val="21"/>
                    </w:rPr>
                    <w:t>二噁英每期监测每个监测点位不少于3d，并且每天累计采样时间不少于1</w:t>
                  </w:r>
                  <w:r>
                    <w:rPr>
                      <w:bCs/>
                      <w:sz w:val="21"/>
                      <w:szCs w:val="21"/>
                    </w:rPr>
                    <w:t>8</w:t>
                  </w:r>
                  <w:r>
                    <w:rPr>
                      <w:rFonts w:hint="eastAsia"/>
                      <w:bCs/>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布点原则</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sz w:val="21"/>
                      <w:szCs w:val="21"/>
                    </w:rPr>
                    <w:t>关心区域</w:t>
                  </w:r>
                </w:p>
              </w:tc>
            </w:tr>
          </w:tbl>
          <w:p>
            <w:pPr>
              <w:jc w:val="center"/>
              <w:rPr>
                <w:rFonts w:ascii="黑体" w:hAnsi="黑体" w:eastAsia="黑体"/>
                <w:sz w:val="24"/>
              </w:rPr>
            </w:pPr>
          </w:p>
          <w:p>
            <w:pPr>
              <w:rPr>
                <w:bCs/>
                <w:sz w:val="24"/>
              </w:rPr>
            </w:pPr>
            <w:r>
              <w:drawing>
                <wp:inline distT="0" distB="0" distL="0" distR="0">
                  <wp:extent cx="5193665" cy="339534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195286" cy="3396418"/>
                          </a:xfrm>
                          <a:prstGeom prst="rect">
                            <a:avLst/>
                          </a:prstGeom>
                        </pic:spPr>
                      </pic:pic>
                    </a:graphicData>
                  </a:graphic>
                </wp:inline>
              </w:drawing>
            </w:r>
          </w:p>
          <w:p>
            <w:pPr>
              <w:spacing w:line="480" w:lineRule="exact"/>
              <w:jc w:val="center"/>
              <w:rPr>
                <w:bCs/>
                <w:sz w:val="24"/>
              </w:rPr>
            </w:pPr>
            <w:r>
              <w:rPr>
                <w:rFonts w:hint="eastAsia" w:ascii="黑体" w:hAnsi="黑体" w:eastAsia="黑体"/>
                <w:kern w:val="0"/>
                <w:sz w:val="24"/>
              </w:rPr>
              <w:t>图</w:t>
            </w:r>
            <w:r>
              <w:rPr>
                <w:rFonts w:ascii="黑体" w:hAnsi="黑体" w:eastAsia="黑体"/>
                <w:kern w:val="0"/>
                <w:sz w:val="24"/>
              </w:rPr>
              <w:t>3-1</w:t>
            </w:r>
            <w:r>
              <w:rPr>
                <w:rFonts w:hint="eastAsia" w:ascii="黑体" w:hAnsi="黑体" w:eastAsia="黑体"/>
                <w:kern w:val="0"/>
                <w:sz w:val="24"/>
              </w:rPr>
              <w:t xml:space="preserve">  区域大气污染物质量现状监测布点图</w:t>
            </w:r>
          </w:p>
          <w:p>
            <w:pPr>
              <w:spacing w:line="480" w:lineRule="exact"/>
              <w:ind w:firstLine="482" w:firstLineChars="200"/>
              <w:rPr>
                <w:b/>
                <w:sz w:val="24"/>
              </w:rPr>
            </w:pPr>
            <w:r>
              <w:rPr>
                <w:rFonts w:hint="eastAsia"/>
                <w:b/>
                <w:sz w:val="24"/>
              </w:rPr>
              <w:t>②监测分析方法</w:t>
            </w:r>
          </w:p>
          <w:p>
            <w:pPr>
              <w:spacing w:line="480" w:lineRule="exact"/>
              <w:ind w:firstLine="480" w:firstLineChars="200"/>
              <w:rPr>
                <w:bCs/>
                <w:sz w:val="24"/>
              </w:rPr>
            </w:pPr>
            <w:r>
              <w:rPr>
                <w:rFonts w:hint="eastAsia"/>
                <w:bCs/>
                <w:sz w:val="24"/>
              </w:rPr>
              <w:t>本项目监测分析方法见下表。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3-3</w:t>
            </w:r>
            <w:r>
              <w:rPr>
                <w:rFonts w:hint="eastAsia" w:ascii="黑体" w:hAnsi="黑体" w:eastAsia="黑体"/>
                <w:bCs/>
                <w:sz w:val="24"/>
                <w:szCs w:val="32"/>
              </w:rPr>
              <w:t xml:space="preserve">  本项目监测分析方法一览表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547"/>
              <w:gridCol w:w="3169"/>
              <w:gridCol w:w="1804"/>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Align w:val="center"/>
                </w:tcPr>
                <w:p>
                  <w:pPr>
                    <w:pStyle w:val="32"/>
                    <w:overflowPunct w:val="0"/>
                    <w:topLinePunct/>
                    <w:spacing w:before="24" w:after="24" w:line="160" w:lineRule="atLeast"/>
                    <w:rPr>
                      <w:rFonts w:ascii="Times New Roman"/>
                      <w:bCs/>
                      <w:szCs w:val="21"/>
                    </w:rPr>
                  </w:pPr>
                  <w:r>
                    <w:rPr>
                      <w:rFonts w:hint="eastAsia" w:ascii="Times New Roman"/>
                      <w:bCs/>
                      <w:szCs w:val="21"/>
                    </w:rPr>
                    <w:t>检测类别</w:t>
                  </w:r>
                </w:p>
              </w:tc>
              <w:tc>
                <w:tcPr>
                  <w:tcW w:w="898" w:type="pct"/>
                  <w:vAlign w:val="center"/>
                </w:tcPr>
                <w:p>
                  <w:pPr>
                    <w:pStyle w:val="32"/>
                    <w:overflowPunct w:val="0"/>
                    <w:topLinePunct/>
                    <w:spacing w:before="24" w:after="24" w:line="160" w:lineRule="atLeast"/>
                    <w:ind w:left="-8" w:leftChars="-4" w:firstLine="6" w:firstLineChars="3"/>
                    <w:rPr>
                      <w:rFonts w:ascii="Times New Roman"/>
                      <w:bCs/>
                      <w:szCs w:val="21"/>
                    </w:rPr>
                  </w:pPr>
                  <w:r>
                    <w:rPr>
                      <w:rFonts w:hint="eastAsia" w:ascii="Times New Roman"/>
                      <w:bCs/>
                      <w:szCs w:val="21"/>
                    </w:rPr>
                    <w:t>检测</w:t>
                  </w:r>
                  <w:r>
                    <w:rPr>
                      <w:rFonts w:ascii="Times New Roman"/>
                      <w:bCs/>
                      <w:szCs w:val="21"/>
                    </w:rPr>
                    <w:t>项目</w:t>
                  </w:r>
                </w:p>
              </w:tc>
              <w:tc>
                <w:tcPr>
                  <w:tcW w:w="1839" w:type="pct"/>
                  <w:vAlign w:val="center"/>
                </w:tcPr>
                <w:p>
                  <w:pPr>
                    <w:pStyle w:val="32"/>
                    <w:overflowPunct w:val="0"/>
                    <w:topLinePunct/>
                    <w:spacing w:before="24" w:after="24" w:line="160" w:lineRule="atLeast"/>
                    <w:rPr>
                      <w:rFonts w:ascii="Times New Roman"/>
                      <w:bCs/>
                      <w:szCs w:val="21"/>
                    </w:rPr>
                  </w:pPr>
                  <w:r>
                    <w:rPr>
                      <w:rFonts w:hint="eastAsia" w:ascii="Times New Roman"/>
                      <w:bCs/>
                      <w:szCs w:val="21"/>
                    </w:rPr>
                    <w:t>检测</w:t>
                  </w:r>
                  <w:r>
                    <w:rPr>
                      <w:rFonts w:ascii="Times New Roman"/>
                      <w:bCs/>
                      <w:szCs w:val="21"/>
                    </w:rPr>
                    <w:t>分析方法与依据</w:t>
                  </w:r>
                </w:p>
              </w:tc>
              <w:tc>
                <w:tcPr>
                  <w:tcW w:w="1047" w:type="pct"/>
                  <w:vAlign w:val="center"/>
                </w:tcPr>
                <w:p>
                  <w:pPr>
                    <w:pStyle w:val="32"/>
                    <w:overflowPunct w:val="0"/>
                    <w:topLinePunct/>
                    <w:spacing w:before="24" w:after="24" w:line="160" w:lineRule="atLeast"/>
                    <w:rPr>
                      <w:rFonts w:ascii="Times New Roman"/>
                      <w:bCs/>
                      <w:szCs w:val="21"/>
                    </w:rPr>
                  </w:pPr>
                  <w:r>
                    <w:rPr>
                      <w:rFonts w:ascii="Times New Roman"/>
                      <w:bCs/>
                      <w:szCs w:val="21"/>
                    </w:rPr>
                    <w:t>主要使用仪器</w:t>
                  </w:r>
                </w:p>
              </w:tc>
              <w:tc>
                <w:tcPr>
                  <w:tcW w:w="725" w:type="pct"/>
                  <w:vAlign w:val="center"/>
                </w:tcPr>
                <w:p>
                  <w:pPr>
                    <w:pStyle w:val="32"/>
                    <w:overflowPunct w:val="0"/>
                    <w:topLinePunct/>
                    <w:spacing w:before="24" w:after="24" w:line="160" w:lineRule="atLeast"/>
                    <w:rPr>
                      <w:rFonts w:ascii="Times New Roman"/>
                      <w:bCs/>
                      <w:szCs w:val="21"/>
                    </w:rPr>
                  </w:pPr>
                  <w:r>
                    <w:rPr>
                      <w:rFonts w:ascii="Times New Roman"/>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restart"/>
                  <w:vAlign w:val="center"/>
                </w:tcPr>
                <w:p>
                  <w:pPr>
                    <w:pStyle w:val="32"/>
                    <w:overflowPunct w:val="0"/>
                    <w:topLinePunct/>
                    <w:spacing w:before="24" w:after="24" w:line="160" w:lineRule="atLeast"/>
                    <w:rPr>
                      <w:rFonts w:ascii="Times New Roman"/>
                      <w:bCs/>
                      <w:szCs w:val="21"/>
                    </w:rPr>
                  </w:pPr>
                  <w:r>
                    <w:rPr>
                      <w:rFonts w:hint="eastAsia" w:ascii="Times New Roman"/>
                      <w:bCs/>
                      <w:szCs w:val="21"/>
                    </w:rPr>
                    <w:t>环境空气</w:t>
                  </w:r>
                </w:p>
              </w:tc>
              <w:tc>
                <w:tcPr>
                  <w:tcW w:w="898" w:type="pct"/>
                  <w:vAlign w:val="center"/>
                </w:tcPr>
                <w:p>
                  <w:pPr>
                    <w:jc w:val="center"/>
                    <w:rPr>
                      <w:bCs/>
                      <w:szCs w:val="21"/>
                    </w:rPr>
                  </w:pPr>
                  <w:r>
                    <w:rPr>
                      <w:rFonts w:hint="eastAsia"/>
                      <w:bCs/>
                      <w:szCs w:val="21"/>
                    </w:rPr>
                    <w:t>氯化氢</w:t>
                  </w:r>
                </w:p>
              </w:tc>
              <w:tc>
                <w:tcPr>
                  <w:tcW w:w="1839" w:type="pct"/>
                  <w:vAlign w:val="center"/>
                </w:tcPr>
                <w:p>
                  <w:pPr>
                    <w:adjustRightInd w:val="0"/>
                    <w:snapToGrid w:val="0"/>
                    <w:jc w:val="center"/>
                    <w:rPr>
                      <w:bCs/>
                      <w:szCs w:val="21"/>
                    </w:rPr>
                  </w:pPr>
                  <w:r>
                    <w:rPr>
                      <w:bCs/>
                      <w:szCs w:val="21"/>
                    </w:rPr>
                    <w:t>环境空气和废气 氯化氢的测定 离子色谱法HJ 549-2016</w:t>
                  </w:r>
                </w:p>
              </w:tc>
              <w:tc>
                <w:tcPr>
                  <w:tcW w:w="1047" w:type="pct"/>
                  <w:vAlign w:val="center"/>
                </w:tcPr>
                <w:p>
                  <w:pPr>
                    <w:adjustRightInd w:val="0"/>
                    <w:snapToGrid w:val="0"/>
                    <w:jc w:val="center"/>
                    <w:rPr>
                      <w:szCs w:val="21"/>
                    </w:rPr>
                  </w:pPr>
                  <w:r>
                    <w:rPr>
                      <w:szCs w:val="21"/>
                    </w:rPr>
                    <w:t>离子色谱仪</w:t>
                  </w:r>
                </w:p>
              </w:tc>
              <w:tc>
                <w:tcPr>
                  <w:tcW w:w="725" w:type="pct"/>
                  <w:vAlign w:val="center"/>
                </w:tcPr>
                <w:p>
                  <w:pPr>
                    <w:adjustRightInd w:val="0"/>
                    <w:snapToGrid w:val="0"/>
                    <w:jc w:val="center"/>
                    <w:rPr>
                      <w:szCs w:val="21"/>
                    </w:rPr>
                  </w:pPr>
                  <w:r>
                    <w:rPr>
                      <w:szCs w:val="21"/>
                    </w:rPr>
                    <w:t>0.02mg/m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vAlign w:val="center"/>
                </w:tcPr>
                <w:p>
                  <w:pPr>
                    <w:pStyle w:val="32"/>
                    <w:overflowPunct w:val="0"/>
                    <w:topLinePunct/>
                    <w:spacing w:before="24" w:after="24" w:line="160" w:lineRule="atLeast"/>
                    <w:rPr>
                      <w:rFonts w:ascii="Times New Roman"/>
                      <w:bCs/>
                      <w:szCs w:val="21"/>
                    </w:rPr>
                  </w:pPr>
                </w:p>
              </w:tc>
              <w:tc>
                <w:tcPr>
                  <w:tcW w:w="898" w:type="pct"/>
                  <w:vAlign w:val="center"/>
                </w:tcPr>
                <w:p>
                  <w:pPr>
                    <w:pStyle w:val="32"/>
                    <w:overflowPunct w:val="0"/>
                    <w:topLinePunct/>
                    <w:spacing w:before="24" w:after="24" w:line="160" w:lineRule="atLeast"/>
                    <w:ind w:left="-8" w:leftChars="-4" w:firstLine="6" w:firstLineChars="3"/>
                    <w:rPr>
                      <w:rFonts w:ascii="Times New Roman"/>
                      <w:bCs/>
                      <w:szCs w:val="21"/>
                    </w:rPr>
                  </w:pPr>
                  <w:r>
                    <w:rPr>
                      <w:rFonts w:hint="eastAsia" w:ascii="Times New Roman"/>
                      <w:szCs w:val="21"/>
                    </w:rPr>
                    <w:t>汞及其化合物</w:t>
                  </w:r>
                </w:p>
              </w:tc>
              <w:tc>
                <w:tcPr>
                  <w:tcW w:w="1839" w:type="pct"/>
                  <w:vAlign w:val="center"/>
                </w:tcPr>
                <w:p>
                  <w:pPr>
                    <w:jc w:val="center"/>
                    <w:rPr>
                      <w:szCs w:val="21"/>
                    </w:rPr>
                  </w:pPr>
                  <w:r>
                    <w:rPr>
                      <w:rFonts w:hint="eastAsia"/>
                      <w:szCs w:val="21"/>
                    </w:rPr>
                    <w:t>固定污染源废气 汞的测定冷原子吸收分光光度法（暂行）HJ 543-2009</w:t>
                  </w:r>
                </w:p>
              </w:tc>
              <w:tc>
                <w:tcPr>
                  <w:tcW w:w="1047" w:type="pct"/>
                  <w:vAlign w:val="center"/>
                </w:tcPr>
                <w:p>
                  <w:pPr>
                    <w:pStyle w:val="32"/>
                    <w:overflowPunct w:val="0"/>
                    <w:topLinePunct/>
                    <w:spacing w:before="24" w:after="24" w:line="160" w:lineRule="atLeast"/>
                    <w:rPr>
                      <w:rFonts w:ascii="Times New Roman"/>
                      <w:szCs w:val="21"/>
                    </w:rPr>
                  </w:pPr>
                  <w:r>
                    <w:rPr>
                      <w:rFonts w:hint="eastAsia" w:ascii="Times New Roman"/>
                      <w:bCs/>
                      <w:szCs w:val="21"/>
                    </w:rPr>
                    <w:t>冷原子吸收测汞仪 F732-VJ型</w:t>
                  </w:r>
                </w:p>
              </w:tc>
              <w:tc>
                <w:tcPr>
                  <w:tcW w:w="725" w:type="pct"/>
                  <w:vAlign w:val="center"/>
                </w:tcPr>
                <w:p>
                  <w:pPr>
                    <w:pStyle w:val="32"/>
                    <w:overflowPunct w:val="0"/>
                    <w:topLinePunct/>
                    <w:spacing w:before="24" w:after="24" w:line="160" w:lineRule="atLeast"/>
                    <w:rPr>
                      <w:rFonts w:ascii="Times New Roman"/>
                      <w:bCs/>
                      <w:szCs w:val="21"/>
                    </w:rPr>
                  </w:pPr>
                  <w:r>
                    <w:rPr>
                      <w:rFonts w:ascii="Times New Roman"/>
                      <w:bCs/>
                      <w:szCs w:val="21"/>
                    </w:rPr>
                    <w:t>0.00</w:t>
                  </w:r>
                  <w:r>
                    <w:rPr>
                      <w:rFonts w:hint="eastAsia" w:ascii="Times New Roman"/>
                      <w:bCs/>
                      <w:szCs w:val="21"/>
                    </w:rPr>
                    <w:t>25</w:t>
                  </w:r>
                  <w:r>
                    <w:rPr>
                      <w:rFonts w:ascii="Times New Roman"/>
                      <w:bCs/>
                      <w:szCs w:val="21"/>
                    </w:rPr>
                    <w:t xml:space="preserve"> mg/m</w:t>
                  </w:r>
                  <w:r>
                    <w:rPr>
                      <w:rFonts w:ascii="Times New Roman"/>
                      <w:bCs/>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vAlign w:val="center"/>
                </w:tcPr>
                <w:p>
                  <w:pPr>
                    <w:pStyle w:val="32"/>
                    <w:overflowPunct w:val="0"/>
                    <w:topLinePunct/>
                    <w:spacing w:before="24" w:after="24" w:line="160" w:lineRule="atLeast"/>
                    <w:rPr>
                      <w:rFonts w:ascii="Times New Roman"/>
                      <w:bCs/>
                      <w:szCs w:val="21"/>
                    </w:rPr>
                  </w:pPr>
                </w:p>
              </w:tc>
              <w:tc>
                <w:tcPr>
                  <w:tcW w:w="898" w:type="pct"/>
                  <w:vAlign w:val="center"/>
                </w:tcPr>
                <w:p>
                  <w:pPr>
                    <w:pStyle w:val="32"/>
                    <w:overflowPunct w:val="0"/>
                    <w:topLinePunct/>
                    <w:spacing w:before="24" w:after="24" w:line="160" w:lineRule="atLeast"/>
                    <w:ind w:left="-8" w:leftChars="-4" w:firstLine="6" w:firstLineChars="3"/>
                    <w:rPr>
                      <w:rFonts w:ascii="Times New Roman"/>
                      <w:szCs w:val="21"/>
                    </w:rPr>
                  </w:pPr>
                  <w:r>
                    <w:rPr>
                      <w:rFonts w:hint="eastAsia" w:ascii="Times New Roman"/>
                      <w:szCs w:val="21"/>
                    </w:rPr>
                    <w:t>二噁英</w:t>
                  </w:r>
                </w:p>
              </w:tc>
              <w:tc>
                <w:tcPr>
                  <w:tcW w:w="1839" w:type="pct"/>
                  <w:vAlign w:val="center"/>
                </w:tcPr>
                <w:p>
                  <w:pPr>
                    <w:jc w:val="center"/>
                    <w:rPr>
                      <w:szCs w:val="21"/>
                    </w:rPr>
                  </w:pPr>
                  <w:r>
                    <w:rPr>
                      <w:rFonts w:hint="eastAsia"/>
                      <w:szCs w:val="21"/>
                    </w:rPr>
                    <w:t xml:space="preserve">环境空气和废气 二噁英类的测定 同位素稀释高分辨率气相色谱-高分辨质谱法 </w:t>
                  </w:r>
                  <w:r>
                    <w:rPr>
                      <w:szCs w:val="21"/>
                    </w:rPr>
                    <w:t>HJ77.2-2008</w:t>
                  </w:r>
                </w:p>
              </w:tc>
              <w:tc>
                <w:tcPr>
                  <w:tcW w:w="1047" w:type="pct"/>
                  <w:vAlign w:val="center"/>
                </w:tcPr>
                <w:p>
                  <w:pPr>
                    <w:pStyle w:val="32"/>
                    <w:overflowPunct w:val="0"/>
                    <w:topLinePunct/>
                    <w:spacing w:before="24" w:after="24" w:line="160" w:lineRule="atLeast"/>
                    <w:rPr>
                      <w:rFonts w:ascii="Times New Roman"/>
                      <w:bCs/>
                      <w:szCs w:val="21"/>
                    </w:rPr>
                  </w:pPr>
                  <w:r>
                    <w:rPr>
                      <w:rFonts w:hint="eastAsia" w:ascii="Times New Roman"/>
                      <w:bCs/>
                      <w:szCs w:val="21"/>
                    </w:rPr>
                    <w:t>高分辨气相色谱-高分辨双聚焦磁式质谱仪</w:t>
                  </w:r>
                </w:p>
              </w:tc>
              <w:tc>
                <w:tcPr>
                  <w:tcW w:w="725" w:type="pct"/>
                  <w:vAlign w:val="center"/>
                </w:tcPr>
                <w:p>
                  <w:pPr>
                    <w:pStyle w:val="32"/>
                    <w:overflowPunct w:val="0"/>
                    <w:topLinePunct/>
                    <w:spacing w:before="24" w:after="24" w:line="160" w:lineRule="atLeast"/>
                    <w:rPr>
                      <w:rFonts w:ascii="Times New Roman"/>
                      <w:bCs/>
                      <w:szCs w:val="21"/>
                    </w:rPr>
                  </w:pPr>
                  <w:r>
                    <w:rPr>
                      <w:rFonts w:hint="eastAsia" w:ascii="Times New Roman"/>
                      <w:bCs/>
                      <w:szCs w:val="21"/>
                    </w:rPr>
                    <w:t>/</w:t>
                  </w:r>
                </w:p>
              </w:tc>
            </w:tr>
          </w:tbl>
          <w:p>
            <w:pPr>
              <w:spacing w:line="480" w:lineRule="exact"/>
              <w:ind w:firstLine="482" w:firstLineChars="200"/>
              <w:rPr>
                <w:bCs/>
                <w:sz w:val="24"/>
              </w:rPr>
            </w:pPr>
            <w:r>
              <w:rPr>
                <w:rFonts w:hint="eastAsia"/>
                <w:b/>
                <w:sz w:val="24"/>
              </w:rPr>
              <w:t>③评价标准</w:t>
            </w:r>
          </w:p>
          <w:p>
            <w:pPr>
              <w:spacing w:line="480" w:lineRule="exact"/>
              <w:ind w:firstLine="480" w:firstLineChars="200"/>
              <w:rPr>
                <w:bCs/>
                <w:sz w:val="24"/>
              </w:rPr>
            </w:pPr>
            <w:r>
              <w:rPr>
                <w:rFonts w:hint="eastAsia"/>
                <w:bCs/>
                <w:sz w:val="24"/>
              </w:rPr>
              <w:t>环境空气质量现状评价标准值见表</w:t>
            </w:r>
            <w:r>
              <w:rPr>
                <w:bCs/>
                <w:sz w:val="24"/>
              </w:rPr>
              <w:t>3-4</w:t>
            </w:r>
            <w:r>
              <w:rPr>
                <w:rFonts w:hint="eastAsia"/>
                <w:bCs/>
                <w:sz w:val="24"/>
              </w:rPr>
              <w:t>。</w:t>
            </w:r>
          </w:p>
          <w:p>
            <w:pPr>
              <w:pStyle w:val="6"/>
              <w:spacing w:line="480" w:lineRule="exact"/>
              <w:ind w:firstLine="0"/>
              <w:jc w:val="center"/>
              <w:rPr>
                <w:rFonts w:ascii="黑体" w:hAnsi="黑体" w:eastAsia="黑体"/>
                <w:sz w:val="24"/>
                <w:szCs w:val="21"/>
              </w:rPr>
            </w:pPr>
            <w:r>
              <w:rPr>
                <w:rFonts w:ascii="黑体" w:hAnsi="黑体" w:eastAsia="黑体"/>
                <w:sz w:val="24"/>
                <w:szCs w:val="21"/>
              </w:rPr>
              <w:t>表3-4</w:t>
            </w:r>
            <w:r>
              <w:rPr>
                <w:rFonts w:hint="eastAsia" w:ascii="黑体" w:hAnsi="黑体" w:eastAsia="黑体"/>
                <w:sz w:val="24"/>
                <w:szCs w:val="21"/>
              </w:rPr>
              <w:t xml:space="preserve">  </w:t>
            </w:r>
            <w:r>
              <w:rPr>
                <w:rFonts w:ascii="黑体" w:hAnsi="黑体" w:eastAsia="黑体"/>
                <w:sz w:val="24"/>
                <w:szCs w:val="21"/>
              </w:rPr>
              <w:t>环境空气质量标准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00"/>
              <w:gridCol w:w="1226"/>
              <w:gridCol w:w="1244"/>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51"/>
                  </w:pPr>
                  <w:r>
                    <w:t>污染物名称</w:t>
                  </w:r>
                </w:p>
              </w:tc>
              <w:tc>
                <w:tcPr>
                  <w:tcW w:w="813" w:type="pct"/>
                  <w:vAlign w:val="center"/>
                </w:tcPr>
                <w:p>
                  <w:pPr>
                    <w:pStyle w:val="51"/>
                  </w:pPr>
                  <w:r>
                    <w:t>取值时间</w:t>
                  </w:r>
                </w:p>
              </w:tc>
              <w:tc>
                <w:tcPr>
                  <w:tcW w:w="712" w:type="pct"/>
                  <w:vAlign w:val="center"/>
                </w:tcPr>
                <w:p>
                  <w:pPr>
                    <w:pStyle w:val="51"/>
                  </w:pPr>
                  <w:r>
                    <w:t>浓度限值</w:t>
                  </w:r>
                </w:p>
              </w:tc>
              <w:tc>
                <w:tcPr>
                  <w:tcW w:w="722" w:type="pct"/>
                  <w:vAlign w:val="center"/>
                </w:tcPr>
                <w:p>
                  <w:pPr>
                    <w:pStyle w:val="51"/>
                  </w:pPr>
                  <w:r>
                    <w:t>浓度单位</w:t>
                  </w:r>
                </w:p>
              </w:tc>
              <w:tc>
                <w:tcPr>
                  <w:tcW w:w="2008" w:type="pct"/>
                  <w:vAlign w:val="center"/>
                </w:tcPr>
                <w:p>
                  <w:pPr>
                    <w:pStyle w:val="51"/>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51"/>
                  </w:pPr>
                  <w:r>
                    <w:rPr>
                      <w:rFonts w:hint="eastAsia"/>
                    </w:rPr>
                    <w:t>H</w:t>
                  </w:r>
                  <w:r>
                    <w:t>g</w:t>
                  </w:r>
                </w:p>
              </w:tc>
              <w:tc>
                <w:tcPr>
                  <w:tcW w:w="813" w:type="pct"/>
                  <w:vAlign w:val="center"/>
                </w:tcPr>
                <w:p>
                  <w:pPr>
                    <w:pStyle w:val="51"/>
                  </w:pPr>
                  <w:r>
                    <w:rPr>
                      <w:rFonts w:hint="eastAsia"/>
                    </w:rPr>
                    <w:t>年平均</w:t>
                  </w:r>
                </w:p>
              </w:tc>
              <w:tc>
                <w:tcPr>
                  <w:tcW w:w="712" w:type="pct"/>
                  <w:vAlign w:val="center"/>
                </w:tcPr>
                <w:p>
                  <w:pPr>
                    <w:pStyle w:val="51"/>
                  </w:pPr>
                  <w:r>
                    <w:rPr>
                      <w:rFonts w:hint="eastAsia"/>
                    </w:rPr>
                    <w:t>0</w:t>
                  </w:r>
                  <w:r>
                    <w:t>.05</w:t>
                  </w:r>
                </w:p>
              </w:tc>
              <w:tc>
                <w:tcPr>
                  <w:tcW w:w="722" w:type="pct"/>
                  <w:vAlign w:val="center"/>
                </w:tcPr>
                <w:p>
                  <w:pPr>
                    <w:pStyle w:val="51"/>
                  </w:pPr>
                  <w:r>
                    <w:t>μg/m</w:t>
                  </w:r>
                  <w:r>
                    <w:rPr>
                      <w:vertAlign w:val="superscript"/>
                    </w:rPr>
                    <w:t>3</w:t>
                  </w:r>
                </w:p>
              </w:tc>
              <w:tc>
                <w:tcPr>
                  <w:tcW w:w="2008" w:type="pct"/>
                  <w:vAlign w:val="center"/>
                </w:tcPr>
                <w:p>
                  <w:pPr>
                    <w:pStyle w:val="51"/>
                  </w:pPr>
                  <w:r>
                    <w:rPr>
                      <w:rFonts w:hint="eastAsia"/>
                    </w:rPr>
                    <w:t>《环境空气质量标准》(GB3095－2012)表A</w:t>
                  </w:r>
                  <w:r>
                    <w:t>.1</w:t>
                  </w:r>
                  <w:r>
                    <w:rPr>
                      <w:rFonts w:hint="eastAsia"/>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51"/>
                  </w:pPr>
                  <w:r>
                    <w:rPr>
                      <w:rFonts w:hint="eastAsia"/>
                    </w:rPr>
                    <w:t>氯化氢</w:t>
                  </w:r>
                </w:p>
              </w:tc>
              <w:tc>
                <w:tcPr>
                  <w:tcW w:w="813" w:type="pct"/>
                  <w:vAlign w:val="center"/>
                </w:tcPr>
                <w:p>
                  <w:pPr>
                    <w:pStyle w:val="51"/>
                  </w:pPr>
                  <w:r>
                    <w:rPr>
                      <w:rFonts w:hint="eastAsia"/>
                    </w:rPr>
                    <w:t>1</w:t>
                  </w:r>
                  <w:r>
                    <w:t>小时平均</w:t>
                  </w:r>
                </w:p>
              </w:tc>
              <w:tc>
                <w:tcPr>
                  <w:tcW w:w="712" w:type="pct"/>
                  <w:vAlign w:val="center"/>
                </w:tcPr>
                <w:p>
                  <w:pPr>
                    <w:pStyle w:val="51"/>
                  </w:pPr>
                  <w:r>
                    <w:t>50</w:t>
                  </w:r>
                </w:p>
              </w:tc>
              <w:tc>
                <w:tcPr>
                  <w:tcW w:w="722" w:type="pct"/>
                  <w:vAlign w:val="center"/>
                </w:tcPr>
                <w:p>
                  <w:pPr>
                    <w:pStyle w:val="51"/>
                  </w:pPr>
                  <w:r>
                    <w:t>μg/m</w:t>
                  </w:r>
                  <w:r>
                    <w:rPr>
                      <w:vertAlign w:val="superscript"/>
                    </w:rPr>
                    <w:t>3</w:t>
                  </w:r>
                </w:p>
              </w:tc>
              <w:tc>
                <w:tcPr>
                  <w:tcW w:w="2008" w:type="pct"/>
                  <w:vAlign w:val="center"/>
                </w:tcPr>
                <w:p>
                  <w:pPr>
                    <w:pStyle w:val="51"/>
                  </w:pPr>
                  <w:r>
                    <w:rPr>
                      <w:rFonts w:hint="eastAsia"/>
                    </w:rPr>
                    <w:t>《环境影响评价技术导则 大气环境》（HJ 2.2-2018）附录D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Align w:val="center"/>
                </w:tcPr>
                <w:p>
                  <w:pPr>
                    <w:pStyle w:val="51"/>
                  </w:pPr>
                  <w:r>
                    <w:rPr>
                      <w:rFonts w:hint="eastAsia"/>
                    </w:rPr>
                    <w:t>二噁英类</w:t>
                  </w:r>
                </w:p>
              </w:tc>
              <w:tc>
                <w:tcPr>
                  <w:tcW w:w="813" w:type="pct"/>
                  <w:vAlign w:val="center"/>
                </w:tcPr>
                <w:p>
                  <w:pPr>
                    <w:pStyle w:val="51"/>
                  </w:pPr>
                  <w:r>
                    <w:rPr>
                      <w:rFonts w:hint="eastAsia"/>
                    </w:rPr>
                    <w:t>年平均</w:t>
                  </w:r>
                </w:p>
              </w:tc>
              <w:tc>
                <w:tcPr>
                  <w:tcW w:w="712" w:type="pct"/>
                  <w:vAlign w:val="center"/>
                </w:tcPr>
                <w:p>
                  <w:pPr>
                    <w:pStyle w:val="51"/>
                  </w:pPr>
                  <w:r>
                    <w:rPr>
                      <w:rFonts w:hint="eastAsia"/>
                    </w:rPr>
                    <w:t>0</w:t>
                  </w:r>
                  <w:r>
                    <w:t>.6</w:t>
                  </w:r>
                </w:p>
              </w:tc>
              <w:tc>
                <w:tcPr>
                  <w:tcW w:w="722" w:type="pct"/>
                  <w:vAlign w:val="center"/>
                </w:tcPr>
                <w:p>
                  <w:pPr>
                    <w:pStyle w:val="51"/>
                    <w:rPr>
                      <w:vertAlign w:val="superscript"/>
                    </w:rPr>
                  </w:pPr>
                  <w:r>
                    <w:rPr>
                      <w:rFonts w:hint="eastAsia"/>
                    </w:rPr>
                    <w:t>T</w:t>
                  </w:r>
                  <w:r>
                    <w:t>EQpg/m</w:t>
                  </w:r>
                  <w:r>
                    <w:rPr>
                      <w:vertAlign w:val="superscript"/>
                    </w:rPr>
                    <w:t>3</w:t>
                  </w:r>
                </w:p>
              </w:tc>
              <w:tc>
                <w:tcPr>
                  <w:tcW w:w="2008" w:type="pct"/>
                  <w:vAlign w:val="center"/>
                </w:tcPr>
                <w:p>
                  <w:pPr>
                    <w:pStyle w:val="51"/>
                  </w:pPr>
                  <w:r>
                    <w:rPr>
                      <w:rFonts w:hint="eastAsia"/>
                    </w:rPr>
                    <w:t>参照日本空气质量标准</w:t>
                  </w:r>
                </w:p>
              </w:tc>
            </w:tr>
          </w:tbl>
          <w:p>
            <w:pPr>
              <w:spacing w:line="480" w:lineRule="exact"/>
              <w:ind w:firstLine="482" w:firstLineChars="200"/>
              <w:rPr>
                <w:b/>
                <w:sz w:val="24"/>
              </w:rPr>
            </w:pPr>
            <w:r>
              <w:rPr>
                <w:rFonts w:hint="eastAsia"/>
                <w:b/>
                <w:sz w:val="24"/>
              </w:rPr>
              <w:t>④监测结果</w:t>
            </w:r>
          </w:p>
          <w:p>
            <w:pPr>
              <w:spacing w:line="480" w:lineRule="exact"/>
              <w:ind w:firstLine="480" w:firstLineChars="200"/>
              <w:rPr>
                <w:bCs/>
                <w:sz w:val="24"/>
              </w:rPr>
            </w:pPr>
            <w:r>
              <w:rPr>
                <w:rFonts w:hint="eastAsia"/>
                <w:bCs/>
                <w:sz w:val="24"/>
              </w:rPr>
              <w:t>氯化氢小时浓度监测统计结果见表3</w:t>
            </w:r>
            <w:r>
              <w:rPr>
                <w:bCs/>
                <w:sz w:val="24"/>
              </w:rPr>
              <w:t>-5</w:t>
            </w:r>
            <w:r>
              <w:rPr>
                <w:rFonts w:hint="eastAsia"/>
                <w:bCs/>
                <w:sz w:val="24"/>
              </w:rPr>
              <w:t>，Hg日均浓度监测统计结果见表3</w:t>
            </w:r>
            <w:r>
              <w:rPr>
                <w:bCs/>
                <w:sz w:val="24"/>
              </w:rPr>
              <w:t>-6</w:t>
            </w:r>
            <w:r>
              <w:rPr>
                <w:rFonts w:hint="eastAsia"/>
                <w:bCs/>
                <w:sz w:val="24"/>
              </w:rPr>
              <w:t>，二噁英日均浓度监测统计结果见表3</w:t>
            </w:r>
            <w:r>
              <w:rPr>
                <w:bCs/>
                <w:sz w:val="24"/>
              </w:rPr>
              <w:t>-7</w:t>
            </w:r>
            <w:r>
              <w:rPr>
                <w:rFonts w:hint="eastAsia"/>
                <w:bCs/>
                <w:sz w:val="24"/>
              </w:rPr>
              <w:t>。</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3-5</w:t>
            </w:r>
            <w:r>
              <w:rPr>
                <w:rFonts w:hint="eastAsia" w:ascii="黑体" w:hAnsi="黑体" w:eastAsia="黑体"/>
                <w:bCs/>
                <w:sz w:val="24"/>
                <w:szCs w:val="32"/>
              </w:rPr>
              <w:t xml:space="preserve">  氯化氢小时浓度监测统计结果一览表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994"/>
              <w:gridCol w:w="1227"/>
              <w:gridCol w:w="1227"/>
              <w:gridCol w:w="1227"/>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pPr>
                    <w:jc w:val="center"/>
                    <w:rPr>
                      <w:szCs w:val="21"/>
                    </w:rPr>
                  </w:pPr>
                  <w:r>
                    <w:rPr>
                      <w:szCs w:val="21"/>
                    </w:rPr>
                    <w:t>监测点</w:t>
                  </w:r>
                </w:p>
              </w:tc>
              <w:tc>
                <w:tcPr>
                  <w:tcW w:w="1159" w:type="pct"/>
                  <w:vAlign w:val="center"/>
                </w:tcPr>
                <w:p>
                  <w:pPr>
                    <w:jc w:val="center"/>
                    <w:rPr>
                      <w:szCs w:val="21"/>
                    </w:rPr>
                  </w:pPr>
                  <w:r>
                    <w:rPr>
                      <w:szCs w:val="21"/>
                    </w:rPr>
                    <w:t>小时浓度范围</w:t>
                  </w:r>
                </w:p>
                <w:p>
                  <w:pPr>
                    <w:jc w:val="center"/>
                    <w:rPr>
                      <w:szCs w:val="21"/>
                    </w:rPr>
                  </w:pPr>
                  <w:r>
                    <w:rPr>
                      <w:szCs w:val="21"/>
                    </w:rPr>
                    <w:t>(mg/Nm</w:t>
                  </w:r>
                  <w:r>
                    <w:rPr>
                      <w:szCs w:val="21"/>
                      <w:vertAlign w:val="superscript"/>
                    </w:rPr>
                    <w:t>3</w:t>
                  </w:r>
                  <w:r>
                    <w:rPr>
                      <w:szCs w:val="21"/>
                    </w:rPr>
                    <w:t>)</w:t>
                  </w:r>
                </w:p>
              </w:tc>
              <w:tc>
                <w:tcPr>
                  <w:tcW w:w="713" w:type="pct"/>
                  <w:vAlign w:val="center"/>
                </w:tcPr>
                <w:p>
                  <w:pPr>
                    <w:jc w:val="center"/>
                    <w:rPr>
                      <w:szCs w:val="21"/>
                    </w:rPr>
                  </w:pPr>
                  <w:r>
                    <w:rPr>
                      <w:szCs w:val="21"/>
                    </w:rPr>
                    <w:t>样品数</w:t>
                  </w:r>
                </w:p>
              </w:tc>
              <w:tc>
                <w:tcPr>
                  <w:tcW w:w="713" w:type="pct"/>
                  <w:vAlign w:val="center"/>
                </w:tcPr>
                <w:p>
                  <w:pPr>
                    <w:adjustRightInd w:val="0"/>
                    <w:snapToGrid w:val="0"/>
                    <w:jc w:val="center"/>
                    <w:rPr>
                      <w:szCs w:val="21"/>
                    </w:rPr>
                  </w:pPr>
                  <w:r>
                    <w:rPr>
                      <w:szCs w:val="21"/>
                    </w:rPr>
                    <w:t>超标数</w:t>
                  </w:r>
                </w:p>
              </w:tc>
              <w:tc>
                <w:tcPr>
                  <w:tcW w:w="713" w:type="pct"/>
                  <w:vAlign w:val="center"/>
                </w:tcPr>
                <w:p>
                  <w:pPr>
                    <w:jc w:val="center"/>
                    <w:rPr>
                      <w:szCs w:val="21"/>
                    </w:rPr>
                  </w:pPr>
                  <w:r>
                    <w:rPr>
                      <w:szCs w:val="21"/>
                    </w:rPr>
                    <w:t>超标率</w:t>
                  </w:r>
                </w:p>
                <w:p>
                  <w:pPr>
                    <w:jc w:val="center"/>
                    <w:rPr>
                      <w:szCs w:val="21"/>
                    </w:rPr>
                  </w:pPr>
                  <w:r>
                    <w:rPr>
                      <w:szCs w:val="21"/>
                    </w:rPr>
                    <w:t>(%)</w:t>
                  </w:r>
                </w:p>
              </w:tc>
              <w:tc>
                <w:tcPr>
                  <w:tcW w:w="858" w:type="pct"/>
                  <w:vAlign w:val="center"/>
                </w:tcPr>
                <w:p>
                  <w:pPr>
                    <w:jc w:val="center"/>
                    <w:rPr>
                      <w:szCs w:val="21"/>
                    </w:rPr>
                  </w:pPr>
                  <w:r>
                    <w:rPr>
                      <w:szCs w:val="21"/>
                    </w:rPr>
                    <w:t>最大</w:t>
                  </w:r>
                  <w:r>
                    <w:rPr>
                      <w:rFonts w:hint="eastAsia"/>
                      <w:szCs w:val="21"/>
                    </w:rPr>
                    <w:t>浓度</w:t>
                  </w:r>
                  <w:r>
                    <w:rPr>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pPr>
                    <w:pStyle w:val="49"/>
                    <w:jc w:val="center"/>
                    <w:rPr>
                      <w:szCs w:val="21"/>
                    </w:rPr>
                  </w:pPr>
                  <w:r>
                    <w:rPr>
                      <w:rFonts w:hint="eastAsia"/>
                      <w:szCs w:val="21"/>
                    </w:rPr>
                    <w:t>东茹村</w:t>
                  </w:r>
                </w:p>
              </w:tc>
              <w:tc>
                <w:tcPr>
                  <w:tcW w:w="1159" w:type="pct"/>
                  <w:vAlign w:val="center"/>
                </w:tcPr>
                <w:p>
                  <w:pPr>
                    <w:jc w:val="center"/>
                    <w:rPr>
                      <w:szCs w:val="21"/>
                    </w:rPr>
                  </w:pPr>
                  <w:r>
                    <w:rPr>
                      <w:szCs w:val="21"/>
                    </w:rPr>
                    <w:t>0.021-0.024</w:t>
                  </w:r>
                </w:p>
              </w:tc>
              <w:tc>
                <w:tcPr>
                  <w:tcW w:w="713" w:type="pct"/>
                  <w:vAlign w:val="center"/>
                </w:tcPr>
                <w:p>
                  <w:pPr>
                    <w:jc w:val="center"/>
                    <w:rPr>
                      <w:szCs w:val="21"/>
                    </w:rPr>
                  </w:pPr>
                  <w:r>
                    <w:rPr>
                      <w:szCs w:val="21"/>
                    </w:rPr>
                    <w:t>12</w:t>
                  </w:r>
                </w:p>
              </w:tc>
              <w:tc>
                <w:tcPr>
                  <w:tcW w:w="713" w:type="pct"/>
                  <w:vAlign w:val="center"/>
                </w:tcPr>
                <w:p>
                  <w:pPr>
                    <w:jc w:val="center"/>
                    <w:rPr>
                      <w:szCs w:val="21"/>
                    </w:rPr>
                  </w:pPr>
                  <w:r>
                    <w:rPr>
                      <w:szCs w:val="21"/>
                    </w:rPr>
                    <w:t>0</w:t>
                  </w:r>
                </w:p>
              </w:tc>
              <w:tc>
                <w:tcPr>
                  <w:tcW w:w="713" w:type="pct"/>
                  <w:vAlign w:val="center"/>
                </w:tcPr>
                <w:p>
                  <w:pPr>
                    <w:jc w:val="center"/>
                    <w:rPr>
                      <w:szCs w:val="21"/>
                    </w:rPr>
                  </w:pPr>
                  <w:r>
                    <w:rPr>
                      <w:szCs w:val="21"/>
                    </w:rPr>
                    <w:t>0</w:t>
                  </w:r>
                </w:p>
              </w:tc>
              <w:tc>
                <w:tcPr>
                  <w:tcW w:w="858" w:type="pct"/>
                  <w:vAlign w:val="center"/>
                </w:tcPr>
                <w:p>
                  <w:pPr>
                    <w:jc w:val="center"/>
                    <w:rPr>
                      <w:szCs w:val="21"/>
                    </w:rPr>
                  </w:pPr>
                  <w:r>
                    <w:rPr>
                      <w:szCs w:val="21"/>
                    </w:rPr>
                    <w:t>48.0</w:t>
                  </w:r>
                </w:p>
              </w:tc>
            </w:tr>
          </w:tbl>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 xml:space="preserve">3-6 </w:t>
            </w:r>
            <w:r>
              <w:rPr>
                <w:rFonts w:hint="eastAsia" w:ascii="黑体" w:hAnsi="黑体" w:eastAsia="黑体"/>
                <w:bCs/>
                <w:sz w:val="24"/>
                <w:szCs w:val="32"/>
              </w:rPr>
              <w:t xml:space="preserve"> Hg日均浓度监测统计结果一览表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994"/>
              <w:gridCol w:w="1227"/>
              <w:gridCol w:w="1227"/>
              <w:gridCol w:w="1227"/>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844" w:type="pct"/>
                  <w:vAlign w:val="center"/>
                </w:tcPr>
                <w:p>
                  <w:pPr>
                    <w:jc w:val="center"/>
                    <w:rPr>
                      <w:szCs w:val="21"/>
                    </w:rPr>
                  </w:pPr>
                  <w:r>
                    <w:rPr>
                      <w:szCs w:val="21"/>
                    </w:rPr>
                    <w:t>监测点</w:t>
                  </w:r>
                </w:p>
              </w:tc>
              <w:tc>
                <w:tcPr>
                  <w:tcW w:w="1159" w:type="pct"/>
                  <w:vAlign w:val="center"/>
                </w:tcPr>
                <w:p>
                  <w:pPr>
                    <w:jc w:val="center"/>
                    <w:rPr>
                      <w:szCs w:val="21"/>
                    </w:rPr>
                  </w:pPr>
                  <w:r>
                    <w:rPr>
                      <w:rFonts w:hint="eastAsia"/>
                      <w:szCs w:val="21"/>
                    </w:rPr>
                    <w:t>日均</w:t>
                  </w:r>
                  <w:r>
                    <w:rPr>
                      <w:szCs w:val="21"/>
                    </w:rPr>
                    <w:t>浓度范围</w:t>
                  </w:r>
                </w:p>
                <w:p>
                  <w:pPr>
                    <w:jc w:val="center"/>
                    <w:rPr>
                      <w:szCs w:val="21"/>
                    </w:rPr>
                  </w:pPr>
                  <w:r>
                    <w:rPr>
                      <w:szCs w:val="21"/>
                    </w:rPr>
                    <w:t>(mg/Nm</w:t>
                  </w:r>
                  <w:r>
                    <w:rPr>
                      <w:szCs w:val="21"/>
                      <w:vertAlign w:val="superscript"/>
                    </w:rPr>
                    <w:t>3</w:t>
                  </w:r>
                  <w:r>
                    <w:rPr>
                      <w:szCs w:val="21"/>
                    </w:rPr>
                    <w:t>)</w:t>
                  </w:r>
                </w:p>
              </w:tc>
              <w:tc>
                <w:tcPr>
                  <w:tcW w:w="713" w:type="pct"/>
                  <w:vAlign w:val="center"/>
                </w:tcPr>
                <w:p>
                  <w:pPr>
                    <w:jc w:val="center"/>
                    <w:rPr>
                      <w:szCs w:val="21"/>
                    </w:rPr>
                  </w:pPr>
                  <w:r>
                    <w:rPr>
                      <w:szCs w:val="21"/>
                    </w:rPr>
                    <w:t>样品数</w:t>
                  </w:r>
                </w:p>
              </w:tc>
              <w:tc>
                <w:tcPr>
                  <w:tcW w:w="713" w:type="pct"/>
                  <w:vAlign w:val="center"/>
                </w:tcPr>
                <w:p>
                  <w:pPr>
                    <w:adjustRightInd w:val="0"/>
                    <w:snapToGrid w:val="0"/>
                    <w:jc w:val="center"/>
                    <w:rPr>
                      <w:szCs w:val="21"/>
                    </w:rPr>
                  </w:pPr>
                  <w:r>
                    <w:rPr>
                      <w:szCs w:val="21"/>
                    </w:rPr>
                    <w:t>超标数</w:t>
                  </w:r>
                </w:p>
              </w:tc>
              <w:tc>
                <w:tcPr>
                  <w:tcW w:w="713" w:type="pct"/>
                  <w:vAlign w:val="center"/>
                </w:tcPr>
                <w:p>
                  <w:pPr>
                    <w:jc w:val="center"/>
                    <w:rPr>
                      <w:szCs w:val="21"/>
                    </w:rPr>
                  </w:pPr>
                  <w:r>
                    <w:rPr>
                      <w:szCs w:val="21"/>
                    </w:rPr>
                    <w:t>超标率</w:t>
                  </w:r>
                </w:p>
                <w:p>
                  <w:pPr>
                    <w:jc w:val="center"/>
                    <w:rPr>
                      <w:szCs w:val="21"/>
                    </w:rPr>
                  </w:pPr>
                  <w:r>
                    <w:rPr>
                      <w:szCs w:val="21"/>
                    </w:rPr>
                    <w:t>(%)</w:t>
                  </w:r>
                </w:p>
              </w:tc>
              <w:tc>
                <w:tcPr>
                  <w:tcW w:w="858" w:type="pct"/>
                  <w:vAlign w:val="center"/>
                </w:tcPr>
                <w:p>
                  <w:pPr>
                    <w:jc w:val="center"/>
                    <w:rPr>
                      <w:szCs w:val="21"/>
                    </w:rPr>
                  </w:pPr>
                  <w:r>
                    <w:rPr>
                      <w:szCs w:val="21"/>
                    </w:rPr>
                    <w:t>最大</w:t>
                  </w:r>
                  <w:r>
                    <w:rPr>
                      <w:rFonts w:hint="eastAsia"/>
                      <w:szCs w:val="21"/>
                    </w:rPr>
                    <w:t>浓度</w:t>
                  </w:r>
                  <w:r>
                    <w:rPr>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pPr>
                    <w:pStyle w:val="49"/>
                    <w:jc w:val="center"/>
                    <w:rPr>
                      <w:szCs w:val="21"/>
                    </w:rPr>
                  </w:pPr>
                  <w:r>
                    <w:rPr>
                      <w:rFonts w:hint="eastAsia"/>
                      <w:szCs w:val="21"/>
                    </w:rPr>
                    <w:t>东茹村</w:t>
                  </w:r>
                </w:p>
              </w:tc>
              <w:tc>
                <w:tcPr>
                  <w:tcW w:w="1159" w:type="pct"/>
                  <w:vAlign w:val="center"/>
                </w:tcPr>
                <w:p>
                  <w:pPr>
                    <w:jc w:val="center"/>
                    <w:rPr>
                      <w:szCs w:val="21"/>
                    </w:rPr>
                  </w:pPr>
                  <w:r>
                    <w:rPr>
                      <w:szCs w:val="21"/>
                    </w:rPr>
                    <w:t>ND</w:t>
                  </w:r>
                </w:p>
              </w:tc>
              <w:tc>
                <w:tcPr>
                  <w:tcW w:w="713" w:type="pct"/>
                  <w:vAlign w:val="center"/>
                </w:tcPr>
                <w:p>
                  <w:pPr>
                    <w:jc w:val="center"/>
                    <w:rPr>
                      <w:szCs w:val="21"/>
                    </w:rPr>
                  </w:pPr>
                  <w:r>
                    <w:rPr>
                      <w:szCs w:val="21"/>
                    </w:rPr>
                    <w:t>3</w:t>
                  </w:r>
                </w:p>
              </w:tc>
              <w:tc>
                <w:tcPr>
                  <w:tcW w:w="713" w:type="pct"/>
                  <w:vAlign w:val="center"/>
                </w:tcPr>
                <w:p>
                  <w:pPr>
                    <w:jc w:val="center"/>
                    <w:rPr>
                      <w:szCs w:val="21"/>
                    </w:rPr>
                  </w:pPr>
                  <w:r>
                    <w:rPr>
                      <w:szCs w:val="21"/>
                    </w:rPr>
                    <w:t>0</w:t>
                  </w:r>
                </w:p>
              </w:tc>
              <w:tc>
                <w:tcPr>
                  <w:tcW w:w="713" w:type="pct"/>
                  <w:vAlign w:val="center"/>
                </w:tcPr>
                <w:p>
                  <w:pPr>
                    <w:jc w:val="center"/>
                    <w:rPr>
                      <w:szCs w:val="21"/>
                    </w:rPr>
                  </w:pPr>
                  <w:r>
                    <w:rPr>
                      <w:szCs w:val="21"/>
                    </w:rPr>
                    <w:t>0</w:t>
                  </w:r>
                </w:p>
              </w:tc>
              <w:tc>
                <w:tcPr>
                  <w:tcW w:w="858" w:type="pct"/>
                  <w:vAlign w:val="center"/>
                </w:tcPr>
                <w:p>
                  <w:pPr>
                    <w:jc w:val="center"/>
                    <w:rPr>
                      <w:szCs w:val="21"/>
                    </w:rPr>
                  </w:pPr>
                  <w:r>
                    <w:rPr>
                      <w:szCs w:val="21"/>
                    </w:rPr>
                    <w:t>0</w:t>
                  </w:r>
                </w:p>
              </w:tc>
            </w:tr>
          </w:tbl>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 xml:space="preserve">3-7 </w:t>
            </w:r>
            <w:r>
              <w:rPr>
                <w:rFonts w:hint="eastAsia" w:ascii="黑体" w:hAnsi="黑体" w:eastAsia="黑体"/>
                <w:bCs/>
                <w:sz w:val="24"/>
                <w:szCs w:val="32"/>
              </w:rPr>
              <w:t xml:space="preserve"> 二噁英日均浓度监测统计结果一览表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994"/>
              <w:gridCol w:w="1227"/>
              <w:gridCol w:w="1227"/>
              <w:gridCol w:w="1227"/>
              <w:gridCol w:w="14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844" w:type="pct"/>
                  <w:vAlign w:val="center"/>
                </w:tcPr>
                <w:p>
                  <w:pPr>
                    <w:jc w:val="center"/>
                    <w:rPr>
                      <w:szCs w:val="21"/>
                    </w:rPr>
                  </w:pPr>
                  <w:r>
                    <w:rPr>
                      <w:szCs w:val="21"/>
                    </w:rPr>
                    <w:t>监测点</w:t>
                  </w:r>
                </w:p>
              </w:tc>
              <w:tc>
                <w:tcPr>
                  <w:tcW w:w="1159" w:type="pct"/>
                  <w:vAlign w:val="center"/>
                </w:tcPr>
                <w:p>
                  <w:pPr>
                    <w:jc w:val="center"/>
                    <w:rPr>
                      <w:szCs w:val="21"/>
                    </w:rPr>
                  </w:pPr>
                  <w:r>
                    <w:rPr>
                      <w:rFonts w:hint="eastAsia"/>
                      <w:szCs w:val="21"/>
                    </w:rPr>
                    <w:t>日均</w:t>
                  </w:r>
                  <w:r>
                    <w:rPr>
                      <w:szCs w:val="21"/>
                    </w:rPr>
                    <w:t>浓度范围</w:t>
                  </w:r>
                </w:p>
                <w:p>
                  <w:pPr>
                    <w:jc w:val="center"/>
                    <w:rPr>
                      <w:szCs w:val="21"/>
                    </w:rPr>
                  </w:pPr>
                  <w:r>
                    <w:rPr>
                      <w:szCs w:val="21"/>
                    </w:rPr>
                    <w:t>(pgTEQ/Nm</w:t>
                  </w:r>
                  <w:r>
                    <w:rPr>
                      <w:szCs w:val="21"/>
                      <w:vertAlign w:val="superscript"/>
                    </w:rPr>
                    <w:t>3</w:t>
                  </w:r>
                  <w:r>
                    <w:rPr>
                      <w:szCs w:val="21"/>
                    </w:rPr>
                    <w:t>)</w:t>
                  </w:r>
                </w:p>
              </w:tc>
              <w:tc>
                <w:tcPr>
                  <w:tcW w:w="713" w:type="pct"/>
                  <w:vAlign w:val="center"/>
                </w:tcPr>
                <w:p>
                  <w:pPr>
                    <w:jc w:val="center"/>
                    <w:rPr>
                      <w:szCs w:val="21"/>
                    </w:rPr>
                  </w:pPr>
                  <w:r>
                    <w:rPr>
                      <w:szCs w:val="21"/>
                    </w:rPr>
                    <w:t>样品数</w:t>
                  </w:r>
                </w:p>
              </w:tc>
              <w:tc>
                <w:tcPr>
                  <w:tcW w:w="713" w:type="pct"/>
                  <w:vAlign w:val="center"/>
                </w:tcPr>
                <w:p>
                  <w:pPr>
                    <w:adjustRightInd w:val="0"/>
                    <w:snapToGrid w:val="0"/>
                    <w:jc w:val="center"/>
                    <w:rPr>
                      <w:szCs w:val="21"/>
                    </w:rPr>
                  </w:pPr>
                  <w:r>
                    <w:rPr>
                      <w:szCs w:val="21"/>
                    </w:rPr>
                    <w:t>超标数</w:t>
                  </w:r>
                </w:p>
              </w:tc>
              <w:tc>
                <w:tcPr>
                  <w:tcW w:w="713" w:type="pct"/>
                  <w:vAlign w:val="center"/>
                </w:tcPr>
                <w:p>
                  <w:pPr>
                    <w:jc w:val="center"/>
                    <w:rPr>
                      <w:szCs w:val="21"/>
                    </w:rPr>
                  </w:pPr>
                  <w:r>
                    <w:rPr>
                      <w:szCs w:val="21"/>
                    </w:rPr>
                    <w:t>超标率</w:t>
                  </w:r>
                </w:p>
                <w:p>
                  <w:pPr>
                    <w:jc w:val="center"/>
                    <w:rPr>
                      <w:szCs w:val="21"/>
                    </w:rPr>
                  </w:pPr>
                  <w:r>
                    <w:rPr>
                      <w:szCs w:val="21"/>
                    </w:rPr>
                    <w:t>(%)</w:t>
                  </w:r>
                </w:p>
              </w:tc>
              <w:tc>
                <w:tcPr>
                  <w:tcW w:w="858" w:type="pct"/>
                  <w:vAlign w:val="center"/>
                </w:tcPr>
                <w:p>
                  <w:pPr>
                    <w:jc w:val="center"/>
                    <w:rPr>
                      <w:szCs w:val="21"/>
                    </w:rPr>
                  </w:pPr>
                  <w:r>
                    <w:rPr>
                      <w:szCs w:val="21"/>
                    </w:rPr>
                    <w:t>最大</w:t>
                  </w:r>
                  <w:r>
                    <w:rPr>
                      <w:rFonts w:hint="eastAsia"/>
                      <w:szCs w:val="21"/>
                    </w:rPr>
                    <w:t>浓度</w:t>
                  </w:r>
                  <w:r>
                    <w:rPr>
                      <w:szCs w:val="21"/>
                    </w:rPr>
                    <w:t>占标率(%)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 w:type="pct"/>
                  <w:vAlign w:val="center"/>
                </w:tcPr>
                <w:p>
                  <w:pPr>
                    <w:pStyle w:val="49"/>
                    <w:jc w:val="center"/>
                    <w:rPr>
                      <w:szCs w:val="21"/>
                    </w:rPr>
                  </w:pPr>
                  <w:r>
                    <w:rPr>
                      <w:rFonts w:hint="eastAsia"/>
                      <w:szCs w:val="21"/>
                    </w:rPr>
                    <w:t>东茹村</w:t>
                  </w:r>
                </w:p>
              </w:tc>
              <w:tc>
                <w:tcPr>
                  <w:tcW w:w="1159" w:type="pct"/>
                  <w:vAlign w:val="center"/>
                </w:tcPr>
                <w:p>
                  <w:pPr>
                    <w:jc w:val="center"/>
                    <w:rPr>
                      <w:szCs w:val="21"/>
                    </w:rPr>
                  </w:pPr>
                  <w:r>
                    <w:rPr>
                      <w:szCs w:val="21"/>
                    </w:rPr>
                    <w:t>0.022-0.077</w:t>
                  </w:r>
                </w:p>
              </w:tc>
              <w:tc>
                <w:tcPr>
                  <w:tcW w:w="713" w:type="pct"/>
                  <w:vAlign w:val="center"/>
                </w:tcPr>
                <w:p>
                  <w:pPr>
                    <w:jc w:val="center"/>
                    <w:rPr>
                      <w:szCs w:val="21"/>
                    </w:rPr>
                  </w:pPr>
                  <w:r>
                    <w:rPr>
                      <w:szCs w:val="21"/>
                    </w:rPr>
                    <w:t>3</w:t>
                  </w:r>
                </w:p>
              </w:tc>
              <w:tc>
                <w:tcPr>
                  <w:tcW w:w="713" w:type="pct"/>
                  <w:vAlign w:val="center"/>
                </w:tcPr>
                <w:p>
                  <w:pPr>
                    <w:jc w:val="center"/>
                    <w:rPr>
                      <w:szCs w:val="21"/>
                    </w:rPr>
                  </w:pPr>
                  <w:r>
                    <w:rPr>
                      <w:szCs w:val="21"/>
                    </w:rPr>
                    <w:t>0</w:t>
                  </w:r>
                </w:p>
              </w:tc>
              <w:tc>
                <w:tcPr>
                  <w:tcW w:w="713" w:type="pct"/>
                  <w:vAlign w:val="center"/>
                </w:tcPr>
                <w:p>
                  <w:pPr>
                    <w:jc w:val="center"/>
                    <w:rPr>
                      <w:szCs w:val="21"/>
                    </w:rPr>
                  </w:pPr>
                  <w:r>
                    <w:rPr>
                      <w:szCs w:val="21"/>
                    </w:rPr>
                    <w:t>0</w:t>
                  </w:r>
                </w:p>
              </w:tc>
              <w:tc>
                <w:tcPr>
                  <w:tcW w:w="858" w:type="pct"/>
                  <w:vAlign w:val="center"/>
                </w:tcPr>
                <w:p>
                  <w:pPr>
                    <w:jc w:val="center"/>
                    <w:rPr>
                      <w:szCs w:val="21"/>
                    </w:rPr>
                  </w:pPr>
                  <w:r>
                    <w:rPr>
                      <w:szCs w:val="21"/>
                    </w:rPr>
                    <w:t>12.8</w:t>
                  </w:r>
                </w:p>
              </w:tc>
            </w:tr>
          </w:tbl>
          <w:p>
            <w:pPr>
              <w:spacing w:line="480" w:lineRule="exact"/>
              <w:ind w:firstLine="480" w:firstLineChars="200"/>
              <w:rPr>
                <w:bCs/>
                <w:sz w:val="24"/>
              </w:rPr>
            </w:pPr>
            <w:r>
              <w:rPr>
                <w:rFonts w:hint="eastAsia"/>
                <w:bCs/>
                <w:sz w:val="24"/>
              </w:rPr>
              <w:t>由上表可知，</w:t>
            </w:r>
            <w:r>
              <w:rPr>
                <w:rFonts w:hint="eastAsia"/>
                <w:sz w:val="24"/>
                <w:szCs w:val="32"/>
              </w:rPr>
              <w:t>监测期间，东茹村环境空气中</w:t>
            </w:r>
            <w:r>
              <w:rPr>
                <w:sz w:val="24"/>
                <w:szCs w:val="32"/>
              </w:rPr>
              <w:t>Hg</w:t>
            </w:r>
            <w:r>
              <w:rPr>
                <w:rFonts w:hint="eastAsia"/>
                <w:sz w:val="24"/>
                <w:szCs w:val="32"/>
              </w:rPr>
              <w:t>为未检出，满足</w:t>
            </w:r>
            <w:r>
              <w:rPr>
                <w:sz w:val="24"/>
                <w:szCs w:val="32"/>
              </w:rPr>
              <w:t>《环境空气质量标准》（GB3095-</w:t>
            </w:r>
            <w:r>
              <w:rPr>
                <w:rFonts w:hint="eastAsia"/>
                <w:sz w:val="24"/>
                <w:szCs w:val="32"/>
              </w:rPr>
              <w:t>2012</w:t>
            </w:r>
            <w:r>
              <w:rPr>
                <w:sz w:val="24"/>
                <w:szCs w:val="32"/>
              </w:rPr>
              <w:t>）</w:t>
            </w:r>
            <w:r>
              <w:rPr>
                <w:rFonts w:hint="eastAsia"/>
                <w:sz w:val="24"/>
                <w:szCs w:val="32"/>
              </w:rPr>
              <w:t>及其修改单</w:t>
            </w:r>
            <w:r>
              <w:rPr>
                <w:sz w:val="24"/>
                <w:szCs w:val="32"/>
              </w:rPr>
              <w:t>中Hg二级标准</w:t>
            </w:r>
            <w:r>
              <w:rPr>
                <w:rFonts w:hint="eastAsia"/>
                <w:sz w:val="24"/>
                <w:szCs w:val="32"/>
              </w:rPr>
              <w:t>限值（0</w:t>
            </w:r>
            <w:r>
              <w:rPr>
                <w:sz w:val="24"/>
                <w:szCs w:val="32"/>
              </w:rPr>
              <w:t>.05</w:t>
            </w:r>
            <w:r>
              <w:t>μ</w:t>
            </w:r>
            <w:r>
              <w:rPr>
                <w:rFonts w:hint="eastAsia"/>
                <w:sz w:val="24"/>
                <w:szCs w:val="32"/>
              </w:rPr>
              <w:t>g</w:t>
            </w:r>
            <w:r>
              <w:rPr>
                <w:sz w:val="24"/>
                <w:szCs w:val="32"/>
              </w:rPr>
              <w:t>/m</w:t>
            </w:r>
            <w:r>
              <w:rPr>
                <w:sz w:val="24"/>
                <w:szCs w:val="32"/>
                <w:vertAlign w:val="superscript"/>
              </w:rPr>
              <w:t>3</w:t>
            </w:r>
            <w:r>
              <w:rPr>
                <w:rFonts w:hint="eastAsia"/>
                <w:sz w:val="24"/>
                <w:szCs w:val="32"/>
              </w:rPr>
              <w:t>）要求；氯化氢小时浓度范围在0</w:t>
            </w:r>
            <w:r>
              <w:rPr>
                <w:sz w:val="24"/>
                <w:szCs w:val="32"/>
              </w:rPr>
              <w:t>.021-0.024</w:t>
            </w:r>
            <w:r>
              <w:rPr>
                <w:rFonts w:hint="eastAsia"/>
                <w:sz w:val="24"/>
                <w:szCs w:val="32"/>
              </w:rPr>
              <w:t>mg</w:t>
            </w:r>
            <w:r>
              <w:rPr>
                <w:sz w:val="24"/>
                <w:szCs w:val="32"/>
              </w:rPr>
              <w:t>/m</w:t>
            </w:r>
            <w:r>
              <w:rPr>
                <w:sz w:val="24"/>
                <w:szCs w:val="32"/>
                <w:vertAlign w:val="superscript"/>
              </w:rPr>
              <w:t>3</w:t>
            </w:r>
            <w:r>
              <w:rPr>
                <w:rFonts w:hint="eastAsia"/>
                <w:sz w:val="24"/>
                <w:szCs w:val="32"/>
              </w:rPr>
              <w:t>之间，最大浓度占标率为4</w:t>
            </w:r>
            <w:r>
              <w:rPr>
                <w:sz w:val="24"/>
                <w:szCs w:val="32"/>
              </w:rPr>
              <w:t>8.0</w:t>
            </w:r>
            <w:r>
              <w:rPr>
                <w:rFonts w:hint="eastAsia"/>
                <w:sz w:val="24"/>
                <w:szCs w:val="32"/>
              </w:rPr>
              <w:t>%，满足</w:t>
            </w:r>
            <w:r>
              <w:rPr>
                <w:sz w:val="24"/>
                <w:szCs w:val="32"/>
              </w:rPr>
              <w:t>《</w:t>
            </w:r>
            <w:r>
              <w:rPr>
                <w:rFonts w:hint="eastAsia"/>
                <w:sz w:val="24"/>
                <w:szCs w:val="32"/>
              </w:rPr>
              <w:t>《环境影响评价技术导则 大气环境》（HJ 2.2-2018）附录D</w:t>
            </w:r>
            <w:r>
              <w:rPr>
                <w:sz w:val="24"/>
                <w:szCs w:val="32"/>
              </w:rPr>
              <w:t>中</w:t>
            </w:r>
            <w:r>
              <w:rPr>
                <w:rFonts w:hint="eastAsia"/>
                <w:sz w:val="24"/>
                <w:szCs w:val="32"/>
              </w:rPr>
              <w:t>氯化氢小时浓度限值（</w:t>
            </w:r>
            <w:r>
              <w:rPr>
                <w:sz w:val="24"/>
                <w:szCs w:val="32"/>
              </w:rPr>
              <w:t>50</w:t>
            </w:r>
            <w:r>
              <w:t>μ</w:t>
            </w:r>
            <w:r>
              <w:rPr>
                <w:rFonts w:hint="eastAsia"/>
                <w:sz w:val="24"/>
                <w:szCs w:val="32"/>
              </w:rPr>
              <w:t>g</w:t>
            </w:r>
            <w:r>
              <w:rPr>
                <w:sz w:val="24"/>
                <w:szCs w:val="32"/>
              </w:rPr>
              <w:t>/m</w:t>
            </w:r>
            <w:r>
              <w:rPr>
                <w:sz w:val="24"/>
                <w:szCs w:val="32"/>
                <w:vertAlign w:val="superscript"/>
              </w:rPr>
              <w:t>3</w:t>
            </w:r>
            <w:r>
              <w:rPr>
                <w:rFonts w:hint="eastAsia"/>
                <w:sz w:val="24"/>
                <w:szCs w:val="32"/>
              </w:rPr>
              <w:t>）要求；二噁英类</w:t>
            </w:r>
            <w:r>
              <w:rPr>
                <w:rFonts w:hint="eastAsia"/>
                <w:bCs/>
                <w:sz w:val="24"/>
                <w:szCs w:val="32"/>
              </w:rPr>
              <w:t>总毒性当量</w:t>
            </w:r>
            <w:r>
              <w:rPr>
                <w:bCs/>
                <w:sz w:val="24"/>
                <w:szCs w:val="32"/>
              </w:rPr>
              <w:t>范围为</w:t>
            </w:r>
            <w:r>
              <w:rPr>
                <w:sz w:val="24"/>
                <w:szCs w:val="32"/>
              </w:rPr>
              <w:t>0.022-0.077</w:t>
            </w:r>
            <w:r>
              <w:rPr>
                <w:rFonts w:hint="eastAsia"/>
                <w:sz w:val="24"/>
                <w:szCs w:val="32"/>
              </w:rPr>
              <w:t>T</w:t>
            </w:r>
            <w:r>
              <w:rPr>
                <w:sz w:val="24"/>
                <w:szCs w:val="32"/>
              </w:rPr>
              <w:t>EQpg/m</w:t>
            </w:r>
            <w:r>
              <w:rPr>
                <w:sz w:val="24"/>
                <w:szCs w:val="32"/>
                <w:vertAlign w:val="superscript"/>
              </w:rPr>
              <w:t>3</w:t>
            </w:r>
            <w:r>
              <w:rPr>
                <w:sz w:val="24"/>
                <w:szCs w:val="32"/>
              </w:rPr>
              <w:t>之间</w:t>
            </w:r>
            <w:r>
              <w:rPr>
                <w:bCs/>
                <w:sz w:val="24"/>
                <w:szCs w:val="32"/>
              </w:rPr>
              <w:t>，最大浓度占标率为</w:t>
            </w:r>
            <w:r>
              <w:rPr>
                <w:sz w:val="24"/>
                <w:szCs w:val="32"/>
              </w:rPr>
              <w:t>12.8%</w:t>
            </w:r>
            <w:r>
              <w:rPr>
                <w:rFonts w:hint="eastAsia"/>
                <w:bCs/>
                <w:sz w:val="24"/>
                <w:szCs w:val="32"/>
              </w:rPr>
              <w:t>，</w:t>
            </w:r>
            <w:r>
              <w:rPr>
                <w:rFonts w:hint="eastAsia"/>
                <w:sz w:val="24"/>
                <w:szCs w:val="32"/>
              </w:rPr>
              <w:t>二噁英类</w:t>
            </w:r>
            <w:r>
              <w:rPr>
                <w:rFonts w:hint="eastAsia"/>
                <w:bCs/>
                <w:sz w:val="24"/>
                <w:szCs w:val="32"/>
              </w:rPr>
              <w:t>总毒性当量</w:t>
            </w:r>
            <w:r>
              <w:rPr>
                <w:rFonts w:hint="eastAsia"/>
                <w:sz w:val="24"/>
                <w:szCs w:val="32"/>
              </w:rPr>
              <w:t>均未超过评价标准限值要求（0</w:t>
            </w:r>
            <w:r>
              <w:rPr>
                <w:sz w:val="24"/>
                <w:szCs w:val="32"/>
              </w:rPr>
              <w:t>.6</w:t>
            </w:r>
            <w:r>
              <w:rPr>
                <w:rFonts w:hint="eastAsia"/>
                <w:sz w:val="24"/>
                <w:szCs w:val="32"/>
              </w:rPr>
              <w:t xml:space="preserve"> T</w:t>
            </w:r>
            <w:r>
              <w:rPr>
                <w:sz w:val="24"/>
                <w:szCs w:val="32"/>
              </w:rPr>
              <w:t>EQpg/Nm</w:t>
            </w:r>
            <w:r>
              <w:rPr>
                <w:sz w:val="24"/>
                <w:szCs w:val="32"/>
                <w:vertAlign w:val="superscript"/>
              </w:rPr>
              <w:t>3</w:t>
            </w:r>
            <w:r>
              <w:rPr>
                <w:rFonts w:hint="eastAsia"/>
                <w:sz w:val="24"/>
                <w:szCs w:val="32"/>
              </w:rPr>
              <w:t>）。区域大气污染物现状质量浓度达标。</w:t>
            </w:r>
          </w:p>
          <w:p>
            <w:pPr>
              <w:adjustRightInd w:val="0"/>
              <w:snapToGrid w:val="0"/>
              <w:spacing w:line="480" w:lineRule="exact"/>
              <w:ind w:firstLine="482" w:firstLineChars="200"/>
              <w:rPr>
                <w:b/>
                <w:bCs/>
                <w:kern w:val="0"/>
                <w:sz w:val="24"/>
              </w:rPr>
            </w:pPr>
            <w:r>
              <w:rPr>
                <w:b/>
                <w:bCs/>
                <w:kern w:val="0"/>
                <w:sz w:val="24"/>
              </w:rPr>
              <w:t>2、</w:t>
            </w:r>
            <w:r>
              <w:rPr>
                <w:rFonts w:hint="eastAsia" w:hAnsi="宋体"/>
                <w:b/>
                <w:sz w:val="24"/>
                <w:szCs w:val="32"/>
              </w:rPr>
              <w:t>地表水水环境质量现状</w:t>
            </w:r>
          </w:p>
          <w:p>
            <w:pPr>
              <w:spacing w:line="480" w:lineRule="exact"/>
              <w:ind w:firstLine="480" w:firstLineChars="200"/>
              <w:rPr>
                <w:bCs/>
                <w:sz w:val="24"/>
              </w:rPr>
            </w:pPr>
            <w:r>
              <w:rPr>
                <w:rFonts w:hint="eastAsia"/>
                <w:bCs/>
                <w:sz w:val="24"/>
              </w:rPr>
              <w:t>本项目所在区域地表水系为海河流域-滹沱河山区-滹沱河水系-清水河河流（门限石至环椿坪段）。本项目产生的废水经污水处理站处理后夏季可用于道路浇洒及绿化浇灌，冬季定期统一抽送至五台县生活污水处理厂。</w:t>
            </w:r>
          </w:p>
          <w:p>
            <w:pPr>
              <w:spacing w:line="480" w:lineRule="exact"/>
              <w:ind w:firstLine="480" w:firstLineChars="200"/>
              <w:rPr>
                <w:bCs/>
                <w:sz w:val="24"/>
              </w:rPr>
            </w:pPr>
            <w:r>
              <w:rPr>
                <w:rFonts w:hint="eastAsia"/>
                <w:bCs/>
                <w:sz w:val="24"/>
              </w:rPr>
              <w:t>根据忻州市水污染防治工作领导小组办公室以忻水防办发[</w:t>
            </w:r>
            <w:r>
              <w:rPr>
                <w:bCs/>
                <w:sz w:val="24"/>
              </w:rPr>
              <w:t>2021]1</w:t>
            </w:r>
            <w:r>
              <w:rPr>
                <w:rFonts w:hint="eastAsia"/>
                <w:bCs/>
                <w:sz w:val="24"/>
              </w:rPr>
              <w:t>号文发布的“关于忻州市2020年地表水环境质量情况的通报”文件，忻州市全市8个国考断面水质考核目标：清水河坪上桥II类、滹沱河南庄II类、汾河河西村II类、黄河碛塄II类、牧马河陈家营II类、滹沱河代县桥II类、桑干河梵王寺</w:t>
            </w:r>
            <w:r>
              <w:rPr>
                <w:bCs/>
                <w:sz w:val="24"/>
              </w:rPr>
              <w:t>Ⅲ</w:t>
            </w:r>
            <w:r>
              <w:rPr>
                <w:rFonts w:hint="eastAsia"/>
                <w:bCs/>
                <w:sz w:val="24"/>
              </w:rPr>
              <w:t>类、滹沱河定襄桥IV类。本项目位于清水河坪上桥上游区域。</w:t>
            </w:r>
          </w:p>
          <w:p>
            <w:pPr>
              <w:spacing w:line="480" w:lineRule="exact"/>
              <w:ind w:firstLine="480" w:firstLineChars="200"/>
              <w:rPr>
                <w:bCs/>
                <w:sz w:val="24"/>
              </w:rPr>
            </w:pPr>
            <w:r>
              <w:rPr>
                <w:rFonts w:hint="eastAsia"/>
                <w:bCs/>
                <w:sz w:val="24"/>
              </w:rPr>
              <w:t>2020年1-12月水质状况中清水河坪上桥水质为I类，满足清水河坪上桥II类水质考核目标，因此，评价区域地表水水环境质量现状较好。</w:t>
            </w:r>
          </w:p>
          <w:p>
            <w:pPr>
              <w:adjustRightInd w:val="0"/>
              <w:snapToGrid w:val="0"/>
              <w:spacing w:line="480" w:lineRule="exact"/>
              <w:ind w:firstLine="482" w:firstLineChars="200"/>
              <w:rPr>
                <w:b/>
                <w:bCs/>
                <w:kern w:val="0"/>
                <w:sz w:val="24"/>
              </w:rPr>
            </w:pPr>
            <w:r>
              <w:rPr>
                <w:b/>
                <w:bCs/>
                <w:kern w:val="0"/>
                <w:sz w:val="24"/>
              </w:rPr>
              <w:t>3、</w:t>
            </w:r>
            <w:r>
              <w:rPr>
                <w:rFonts w:hint="eastAsia" w:hAnsi="宋体"/>
                <w:b/>
                <w:sz w:val="24"/>
                <w:szCs w:val="32"/>
              </w:rPr>
              <w:t>土壤环境质量现状</w:t>
            </w:r>
          </w:p>
          <w:p>
            <w:pPr>
              <w:spacing w:line="480" w:lineRule="exact"/>
              <w:ind w:firstLine="480" w:firstLineChars="200"/>
              <w:rPr>
                <w:bCs/>
                <w:sz w:val="24"/>
              </w:rPr>
            </w:pPr>
            <w:r>
              <w:rPr>
                <w:rFonts w:hint="eastAsia"/>
                <w:bCs/>
                <w:sz w:val="24"/>
              </w:rPr>
              <w:t>根据《建设项目环境影响报告表编制技术指南》（污染影响类）中区域环境质量现状调查原则，建设项目存在土壤、地下水环境污染途径的，应结合污染源、保护目标分布情况开展现状调查以留作背景值。本项目存在土壤污染影响且周边存在耕地等土壤环境保护目标，污染途径为大气沉降；因此于厂址下风向设置1个土壤监测点，留作背景值。</w:t>
            </w:r>
          </w:p>
          <w:p>
            <w:pPr>
              <w:spacing w:line="480" w:lineRule="exact"/>
              <w:ind w:firstLine="482" w:firstLineChars="200"/>
              <w:rPr>
                <w:b/>
                <w:sz w:val="24"/>
              </w:rPr>
            </w:pPr>
            <w:r>
              <w:rPr>
                <w:rFonts w:hint="eastAsia"/>
                <w:b/>
                <w:sz w:val="24"/>
              </w:rPr>
              <w:t>①监测点位、项目及频次</w:t>
            </w:r>
          </w:p>
          <w:p>
            <w:pPr>
              <w:spacing w:line="480" w:lineRule="exact"/>
              <w:ind w:firstLine="480" w:firstLineChars="200"/>
              <w:rPr>
                <w:bCs/>
                <w:sz w:val="24"/>
              </w:rPr>
            </w:pPr>
            <w:r>
              <w:rPr>
                <w:rFonts w:hint="eastAsia"/>
                <w:bCs/>
                <w:sz w:val="24"/>
              </w:rPr>
              <w:t>本次评价委托河南鼎泰检测技术有限公司于2</w:t>
            </w:r>
            <w:r>
              <w:rPr>
                <w:bCs/>
                <w:sz w:val="24"/>
              </w:rPr>
              <w:t>021</w:t>
            </w:r>
            <w:r>
              <w:rPr>
                <w:rFonts w:hint="eastAsia"/>
                <w:bCs/>
                <w:sz w:val="24"/>
              </w:rPr>
              <w:t>年</w:t>
            </w:r>
            <w:r>
              <w:rPr>
                <w:bCs/>
                <w:sz w:val="24"/>
              </w:rPr>
              <w:t>7</w:t>
            </w:r>
            <w:r>
              <w:rPr>
                <w:rFonts w:hint="eastAsia"/>
                <w:bCs/>
                <w:sz w:val="24"/>
              </w:rPr>
              <w:t>月</w:t>
            </w:r>
            <w:r>
              <w:rPr>
                <w:bCs/>
                <w:sz w:val="24"/>
              </w:rPr>
              <w:t>2</w:t>
            </w:r>
            <w:r>
              <w:rPr>
                <w:rFonts w:hint="eastAsia"/>
                <w:bCs/>
                <w:sz w:val="24"/>
              </w:rPr>
              <w:t>日对拟建厂址附近土壤进行了为期</w:t>
            </w:r>
            <w:r>
              <w:rPr>
                <w:bCs/>
                <w:sz w:val="24"/>
              </w:rPr>
              <w:t>1</w:t>
            </w:r>
            <w:r>
              <w:rPr>
                <w:rFonts w:hint="eastAsia"/>
                <w:bCs/>
                <w:sz w:val="24"/>
              </w:rPr>
              <w:t>次的土壤质量（p</w:t>
            </w:r>
            <w:r>
              <w:rPr>
                <w:bCs/>
                <w:sz w:val="24"/>
              </w:rPr>
              <w:t>H</w:t>
            </w:r>
            <w:r>
              <w:rPr>
                <w:rFonts w:hint="eastAsia"/>
                <w:bCs/>
                <w:sz w:val="24"/>
              </w:rPr>
              <w:t>、汞）现状监测；委托江苏常理检测服务有限公司于2</w:t>
            </w:r>
            <w:r>
              <w:rPr>
                <w:bCs/>
                <w:sz w:val="24"/>
              </w:rPr>
              <w:t>021</w:t>
            </w:r>
            <w:r>
              <w:rPr>
                <w:rFonts w:hint="eastAsia"/>
                <w:bCs/>
                <w:sz w:val="24"/>
              </w:rPr>
              <w:t>年</w:t>
            </w:r>
            <w:r>
              <w:rPr>
                <w:bCs/>
                <w:sz w:val="24"/>
              </w:rPr>
              <w:t>7</w:t>
            </w:r>
            <w:r>
              <w:rPr>
                <w:rFonts w:hint="eastAsia"/>
                <w:bCs/>
                <w:sz w:val="24"/>
              </w:rPr>
              <w:t>月</w:t>
            </w:r>
            <w:r>
              <w:rPr>
                <w:bCs/>
                <w:sz w:val="24"/>
              </w:rPr>
              <w:t>3</w:t>
            </w:r>
            <w:r>
              <w:rPr>
                <w:rFonts w:hint="eastAsia"/>
                <w:bCs/>
                <w:sz w:val="24"/>
              </w:rPr>
              <w:t>日对对拟建厂址附近土壤进行了为期</w:t>
            </w:r>
            <w:r>
              <w:rPr>
                <w:bCs/>
                <w:sz w:val="24"/>
              </w:rPr>
              <w:t>1</w:t>
            </w:r>
            <w:r>
              <w:rPr>
                <w:rFonts w:hint="eastAsia"/>
                <w:bCs/>
                <w:sz w:val="24"/>
              </w:rPr>
              <w:t>次的土壤质量（二噁英类）现状监测。</w:t>
            </w:r>
            <w:r>
              <w:rPr>
                <w:rFonts w:hint="eastAsia"/>
                <w:sz w:val="24"/>
                <w:szCs w:val="20"/>
              </w:rPr>
              <w:t>监测点位、项目、频次、时间及要求见下表。监测布点图见图</w:t>
            </w:r>
            <w:r>
              <w:rPr>
                <w:sz w:val="24"/>
                <w:szCs w:val="20"/>
              </w:rPr>
              <w:t>3-1</w:t>
            </w:r>
            <w:r>
              <w:rPr>
                <w:rFonts w:hint="eastAsia"/>
                <w:sz w:val="24"/>
                <w:szCs w:val="20"/>
              </w:rPr>
              <w:t>。</w:t>
            </w:r>
          </w:p>
          <w:p>
            <w:pPr>
              <w:spacing w:line="480" w:lineRule="exact"/>
              <w:jc w:val="center"/>
              <w:rPr>
                <w:rFonts w:ascii="黑体" w:hAnsi="黑体" w:eastAsia="黑体"/>
                <w:bCs/>
                <w:sz w:val="24"/>
                <w:szCs w:val="32"/>
              </w:rPr>
            </w:pPr>
            <w:r>
              <w:rPr>
                <w:rFonts w:ascii="黑体" w:hAnsi="黑体" w:eastAsia="黑体"/>
                <w:sz w:val="24"/>
              </w:rPr>
              <w:t xml:space="preserve">表3-8  </w:t>
            </w:r>
            <w:r>
              <w:rPr>
                <w:rFonts w:hint="eastAsia" w:ascii="黑体" w:hAnsi="黑体" w:eastAsia="黑体"/>
                <w:bCs/>
                <w:sz w:val="24"/>
                <w:szCs w:val="32"/>
              </w:rPr>
              <w:t>土壤环境质量现状监测点位、项目、频次一览表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2"/>
              <w:gridCol w:w="5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Ansi="宋体"/>
                      <w:szCs w:val="21"/>
                    </w:rPr>
                    <w:t>序号</w:t>
                  </w:r>
                </w:p>
              </w:tc>
              <w:tc>
                <w:tcPr>
                  <w:tcW w:w="3228"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Ansi="宋体"/>
                      <w:szCs w:val="21"/>
                    </w:rPr>
                    <w:t>监测点</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sz w:val="21"/>
                      <w:szCs w:val="21"/>
                    </w:rPr>
                    <w:t>厂址下风向2</w:t>
                  </w:r>
                  <w:r>
                    <w:rPr>
                      <w:sz w:val="21"/>
                      <w:szCs w:val="21"/>
                    </w:rPr>
                    <w:t>50</w:t>
                  </w:r>
                  <w:r>
                    <w:rPr>
                      <w:rFonts w:hint="eastAsia"/>
                      <w:sz w:val="21"/>
                      <w:szCs w:val="21"/>
                    </w:rPr>
                    <w:t>m土壤监测点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rFonts w:hAnsi="宋体"/>
                      <w:szCs w:val="21"/>
                    </w:rPr>
                  </w:pPr>
                  <w:r>
                    <w:rPr>
                      <w:rFonts w:hAnsi="宋体"/>
                      <w:szCs w:val="21"/>
                    </w:rPr>
                    <w:t>监测类型</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bCs/>
                      <w:sz w:val="21"/>
                      <w:szCs w:val="21"/>
                    </w:rPr>
                    <w:t>表层样点（0</w:t>
                  </w:r>
                  <w:r>
                    <w:rPr>
                      <w:bCs/>
                      <w:sz w:val="21"/>
                      <w:szCs w:val="21"/>
                    </w:rPr>
                    <w:t>-0.2</w:t>
                  </w:r>
                  <w:r>
                    <w:rPr>
                      <w:rFonts w:hint="eastAsia"/>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坐标</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sz w:val="21"/>
                      <w:szCs w:val="21"/>
                    </w:rPr>
                    <w:t>E 113.378735  N 38.736144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监测因子</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bCs/>
                      <w:sz w:val="21"/>
                      <w:szCs w:val="21"/>
                    </w:rPr>
                    <w:t>p</w:t>
                  </w:r>
                  <w:r>
                    <w:rPr>
                      <w:bCs/>
                      <w:sz w:val="21"/>
                      <w:szCs w:val="21"/>
                    </w:rPr>
                    <w:t>H</w:t>
                  </w:r>
                  <w:r>
                    <w:rPr>
                      <w:rFonts w:hint="eastAsia"/>
                      <w:bCs/>
                      <w:sz w:val="21"/>
                      <w:szCs w:val="21"/>
                    </w:rPr>
                    <w:t>、汞、二噁英（总毒性当量）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监测时间和频次</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bCs/>
                      <w:sz w:val="21"/>
                      <w:szCs w:val="21"/>
                    </w:rPr>
                    <w:t>监测频次：1次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72" w:type="pct"/>
                  <w:tcBorders>
                    <w:top w:val="single" w:color="auto" w:sz="4" w:space="0"/>
                    <w:left w:val="single" w:color="auto" w:sz="4" w:space="0"/>
                    <w:bottom w:val="single" w:color="auto" w:sz="4" w:space="0"/>
                    <w:right w:val="single" w:color="auto" w:sz="4" w:space="0"/>
                  </w:tcBorders>
                  <w:vAlign w:val="center"/>
                </w:tcPr>
                <w:p>
                  <w:pPr>
                    <w:pStyle w:val="48"/>
                    <w:widowControl w:val="0"/>
                    <w:spacing w:line="240" w:lineRule="auto"/>
                    <w:rPr>
                      <w:szCs w:val="21"/>
                    </w:rPr>
                  </w:pPr>
                  <w:r>
                    <w:rPr>
                      <w:rFonts w:hint="eastAsia"/>
                      <w:szCs w:val="21"/>
                    </w:rPr>
                    <w:t>布点原则</w:t>
                  </w:r>
                </w:p>
              </w:tc>
              <w:tc>
                <w:tcPr>
                  <w:tcW w:w="3228" w:type="pct"/>
                  <w:tcBorders>
                    <w:top w:val="single" w:color="auto" w:sz="4" w:space="0"/>
                    <w:left w:val="single" w:color="auto" w:sz="4" w:space="0"/>
                    <w:bottom w:val="single" w:color="auto" w:sz="4" w:space="0"/>
                    <w:right w:val="single" w:color="auto" w:sz="4" w:space="0"/>
                  </w:tcBorders>
                  <w:vAlign w:val="center"/>
                </w:tcPr>
                <w:p>
                  <w:pPr>
                    <w:pStyle w:val="14"/>
                    <w:jc w:val="center"/>
                    <w:rPr>
                      <w:sz w:val="21"/>
                      <w:szCs w:val="21"/>
                    </w:rPr>
                  </w:pPr>
                  <w:r>
                    <w:rPr>
                      <w:rFonts w:hint="eastAsia"/>
                      <w:sz w:val="21"/>
                      <w:szCs w:val="21"/>
                    </w:rPr>
                    <w:t>下风向最大落地浓度点</w:t>
                  </w:r>
                </w:p>
              </w:tc>
            </w:tr>
          </w:tbl>
          <w:p>
            <w:pPr>
              <w:spacing w:line="480" w:lineRule="exact"/>
              <w:ind w:firstLine="482" w:firstLineChars="200"/>
              <w:rPr>
                <w:b/>
                <w:sz w:val="24"/>
              </w:rPr>
            </w:pPr>
            <w:r>
              <w:rPr>
                <w:rFonts w:hint="eastAsia"/>
                <w:b/>
                <w:sz w:val="24"/>
              </w:rPr>
              <w:t>②监测分析方法</w:t>
            </w:r>
          </w:p>
          <w:p>
            <w:pPr>
              <w:spacing w:line="480" w:lineRule="exact"/>
              <w:ind w:firstLine="480" w:firstLineChars="200"/>
              <w:rPr>
                <w:bCs/>
                <w:sz w:val="24"/>
              </w:rPr>
            </w:pPr>
            <w:r>
              <w:rPr>
                <w:rFonts w:hint="eastAsia"/>
                <w:bCs/>
                <w:sz w:val="24"/>
              </w:rPr>
              <w:t>本项目监测分析方法见下表。</w:t>
            </w:r>
          </w:p>
          <w:p>
            <w:pPr>
              <w:spacing w:line="480" w:lineRule="exact"/>
              <w:ind w:firstLine="480"/>
              <w:jc w:val="center"/>
              <w:rPr>
                <w:rFonts w:ascii="黑体" w:hAnsi="黑体" w:eastAsia="黑体"/>
                <w:bCs/>
                <w:sz w:val="24"/>
                <w:szCs w:val="32"/>
              </w:rPr>
            </w:pPr>
          </w:p>
          <w:p>
            <w:pPr>
              <w:spacing w:line="480" w:lineRule="exact"/>
              <w:ind w:firstLine="480"/>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3-9</w:t>
            </w:r>
            <w:r>
              <w:rPr>
                <w:rFonts w:hint="eastAsia" w:ascii="黑体" w:hAnsi="黑体" w:eastAsia="黑体"/>
                <w:bCs/>
                <w:sz w:val="24"/>
                <w:szCs w:val="32"/>
              </w:rPr>
              <w:t xml:space="preserve">  本项目监测分析方法一览表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327"/>
              <w:gridCol w:w="2949"/>
              <w:gridCol w:w="1584"/>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检测类别</w:t>
                  </w:r>
                </w:p>
              </w:tc>
              <w:tc>
                <w:tcPr>
                  <w:tcW w:w="898"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项目</w:t>
                  </w:r>
                </w:p>
              </w:tc>
              <w:tc>
                <w:tcPr>
                  <w:tcW w:w="1839"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分析方法与依据</w:t>
                  </w:r>
                </w:p>
              </w:tc>
              <w:tc>
                <w:tcPr>
                  <w:tcW w:w="1047"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主要使用仪器</w:t>
                  </w:r>
                </w:p>
              </w:tc>
              <w:tc>
                <w:tcPr>
                  <w:tcW w:w="725"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restar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土壤</w:t>
                  </w:r>
                </w:p>
              </w:tc>
              <w:tc>
                <w:tcPr>
                  <w:tcW w:w="898" w:type="pct"/>
                  <w:vAlign w:val="center"/>
                </w:tcPr>
                <w:p>
                  <w:pPr>
                    <w:jc w:val="center"/>
                    <w:rPr>
                      <w:bCs/>
                      <w:szCs w:val="21"/>
                    </w:rPr>
                  </w:pPr>
                  <w:r>
                    <w:rPr>
                      <w:bCs/>
                      <w:sz w:val="24"/>
                    </w:rPr>
                    <w:t>p</w:t>
                  </w:r>
                  <w:r>
                    <w:rPr>
                      <w:rFonts w:hint="eastAsia"/>
                      <w:bCs/>
                      <w:sz w:val="24"/>
                    </w:rPr>
                    <w:t>H</w:t>
                  </w:r>
                </w:p>
              </w:tc>
              <w:tc>
                <w:tcPr>
                  <w:tcW w:w="1839" w:type="pct"/>
                  <w:vAlign w:val="center"/>
                </w:tcPr>
                <w:p>
                  <w:pPr>
                    <w:jc w:val="center"/>
                    <w:rPr>
                      <w:bCs/>
                      <w:szCs w:val="21"/>
                    </w:rPr>
                  </w:pPr>
                  <w:r>
                    <w:rPr>
                      <w:rFonts w:hint="eastAsia"/>
                      <w:bCs/>
                      <w:szCs w:val="21"/>
                    </w:rPr>
                    <w:t>土壤 pH值的测定 电位法</w:t>
                  </w:r>
                  <w:r>
                    <w:rPr>
                      <w:bCs/>
                      <w:szCs w:val="21"/>
                    </w:rPr>
                    <w:t>HJ 962-2018</w:t>
                  </w:r>
                </w:p>
              </w:tc>
              <w:tc>
                <w:tcPr>
                  <w:tcW w:w="1047" w:type="pct"/>
                  <w:vAlign w:val="center"/>
                </w:tcPr>
                <w:p>
                  <w:pPr>
                    <w:jc w:val="center"/>
                    <w:rPr>
                      <w:szCs w:val="21"/>
                    </w:rPr>
                  </w:pPr>
                  <w:r>
                    <w:rPr>
                      <w:bCs/>
                      <w:sz w:val="24"/>
                    </w:rPr>
                    <w:t>p</w:t>
                  </w:r>
                  <w:r>
                    <w:rPr>
                      <w:rFonts w:hint="eastAsia"/>
                      <w:bCs/>
                      <w:sz w:val="24"/>
                    </w:rPr>
                    <w:t>H计</w:t>
                  </w:r>
                </w:p>
              </w:tc>
              <w:tc>
                <w:tcPr>
                  <w:tcW w:w="725" w:type="pct"/>
                  <w:vAlign w:val="center"/>
                </w:tcPr>
                <w:p>
                  <w:pPr>
                    <w:jc w:val="center"/>
                    <w:rPr>
                      <w:szCs w:val="21"/>
                    </w:rPr>
                  </w:pP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898"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szCs w:val="21"/>
                    </w:rPr>
                    <w:t>汞</w:t>
                  </w:r>
                </w:p>
              </w:tc>
              <w:tc>
                <w:tcPr>
                  <w:tcW w:w="1839" w:type="pct"/>
                  <w:vAlign w:val="center"/>
                </w:tcPr>
                <w:p>
                  <w:pPr>
                    <w:jc w:val="center"/>
                    <w:rPr>
                      <w:szCs w:val="21"/>
                    </w:rPr>
                  </w:pPr>
                  <w:r>
                    <w:rPr>
                      <w:rFonts w:hint="eastAsia"/>
                      <w:szCs w:val="21"/>
                    </w:rPr>
                    <w:t>土壤和沉积物 汞、砷、硒、铋、锑的测定 微波消解/原子荧光法HJ 680-2013</w:t>
                  </w:r>
                </w:p>
              </w:tc>
              <w:tc>
                <w:tcPr>
                  <w:tcW w:w="1047" w:type="pct"/>
                  <w:vAlign w:val="center"/>
                </w:tcPr>
                <w:p>
                  <w:pPr>
                    <w:pStyle w:val="32"/>
                    <w:overflowPunct w:val="0"/>
                    <w:topLinePunct/>
                    <w:adjustRightInd/>
                    <w:snapToGrid/>
                    <w:spacing w:beforeLines="0" w:afterLines="0" w:line="240" w:lineRule="auto"/>
                    <w:rPr>
                      <w:rFonts w:ascii="Times New Roman"/>
                      <w:szCs w:val="21"/>
                    </w:rPr>
                  </w:pPr>
                  <w:r>
                    <w:rPr>
                      <w:rFonts w:ascii="Times New Roman"/>
                      <w:bCs/>
                      <w:szCs w:val="21"/>
                    </w:rPr>
                    <w:t>原子荧光光度计PF31</w:t>
                  </w:r>
                </w:p>
              </w:tc>
              <w:tc>
                <w:tcPr>
                  <w:tcW w:w="725"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0.002 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898" w:type="pct"/>
                  <w:vAlign w:val="center"/>
                </w:tcPr>
                <w:p>
                  <w:pPr>
                    <w:pStyle w:val="32"/>
                    <w:overflowPunct w:val="0"/>
                    <w:topLinePunct/>
                    <w:adjustRightInd/>
                    <w:snapToGrid/>
                    <w:spacing w:beforeLines="0" w:afterLines="0" w:line="240" w:lineRule="auto"/>
                    <w:rPr>
                      <w:rFonts w:ascii="Times New Roman"/>
                      <w:szCs w:val="21"/>
                    </w:rPr>
                  </w:pPr>
                  <w:r>
                    <w:rPr>
                      <w:rFonts w:hint="eastAsia" w:ascii="Times New Roman"/>
                      <w:szCs w:val="21"/>
                    </w:rPr>
                    <w:t>二噁英</w:t>
                  </w:r>
                </w:p>
              </w:tc>
              <w:tc>
                <w:tcPr>
                  <w:tcW w:w="1839" w:type="pct"/>
                  <w:vAlign w:val="center"/>
                </w:tcPr>
                <w:p>
                  <w:pPr>
                    <w:jc w:val="center"/>
                    <w:rPr>
                      <w:szCs w:val="21"/>
                    </w:rPr>
                  </w:pPr>
                  <w:r>
                    <w:rPr>
                      <w:rFonts w:hint="eastAsia"/>
                      <w:szCs w:val="21"/>
                    </w:rPr>
                    <w:t>H</w:t>
                  </w:r>
                  <w:r>
                    <w:rPr>
                      <w:szCs w:val="21"/>
                    </w:rPr>
                    <w:t xml:space="preserve">J77.4-2008 </w:t>
                  </w:r>
                  <w:r>
                    <w:rPr>
                      <w:rFonts w:hint="eastAsia"/>
                      <w:szCs w:val="21"/>
                    </w:rPr>
                    <w:t>土壤和沉积物 二噁英类的测定 同位素稀释高分辨气相色谱 高分辨质谱法</w:t>
                  </w:r>
                </w:p>
              </w:tc>
              <w:tc>
                <w:tcPr>
                  <w:tcW w:w="1047"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高分辨气相色谱-高分辨双聚焦磁式质谱仪</w:t>
                  </w:r>
                </w:p>
              </w:tc>
              <w:tc>
                <w:tcPr>
                  <w:tcW w:w="725" w:type="pct"/>
                  <w:vAlign w:val="center"/>
                </w:tcPr>
                <w:p>
                  <w:pPr>
                    <w:pStyle w:val="32"/>
                    <w:overflowPunct w:val="0"/>
                    <w:topLinePunct/>
                    <w:snapToGrid/>
                    <w:spacing w:before="24" w:after="24"/>
                    <w:rPr>
                      <w:rFonts w:ascii="Times New Roman"/>
                      <w:bCs/>
                      <w:szCs w:val="21"/>
                    </w:rPr>
                  </w:pPr>
                  <w:r>
                    <w:rPr>
                      <w:rFonts w:ascii="Times New Roman"/>
                      <w:bCs/>
                      <w:szCs w:val="21"/>
                    </w:rPr>
                    <w:t>0.000074-0.00029ng/g</w:t>
                  </w:r>
                </w:p>
              </w:tc>
            </w:tr>
          </w:tbl>
          <w:p>
            <w:pPr>
              <w:spacing w:line="480" w:lineRule="exact"/>
              <w:ind w:firstLine="482" w:firstLineChars="200"/>
              <w:rPr>
                <w:bCs/>
                <w:sz w:val="24"/>
              </w:rPr>
            </w:pPr>
            <w:r>
              <w:rPr>
                <w:rFonts w:hint="eastAsia"/>
                <w:b/>
                <w:sz w:val="24"/>
              </w:rPr>
              <w:t>③评价标准</w:t>
            </w:r>
          </w:p>
          <w:p>
            <w:pPr>
              <w:spacing w:line="480" w:lineRule="exact"/>
              <w:ind w:firstLine="480" w:firstLineChars="200"/>
              <w:rPr>
                <w:bCs/>
                <w:sz w:val="24"/>
              </w:rPr>
            </w:pPr>
            <w:r>
              <w:rPr>
                <w:rFonts w:hint="eastAsia"/>
                <w:bCs/>
                <w:sz w:val="24"/>
              </w:rPr>
              <w:t>土壤环境质量现状评价标准值见表</w:t>
            </w:r>
            <w:r>
              <w:rPr>
                <w:bCs/>
                <w:sz w:val="24"/>
              </w:rPr>
              <w:t>3-10</w:t>
            </w:r>
            <w:r>
              <w:rPr>
                <w:rFonts w:hint="eastAsia"/>
                <w:bCs/>
                <w:sz w:val="24"/>
              </w:rPr>
              <w:t>。</w:t>
            </w:r>
          </w:p>
          <w:p>
            <w:pPr>
              <w:pStyle w:val="6"/>
              <w:spacing w:line="480" w:lineRule="exact"/>
              <w:ind w:firstLine="0"/>
              <w:jc w:val="center"/>
              <w:rPr>
                <w:rFonts w:ascii="黑体" w:hAnsi="黑体" w:eastAsia="黑体"/>
                <w:sz w:val="24"/>
                <w:szCs w:val="21"/>
              </w:rPr>
            </w:pPr>
            <w:r>
              <w:rPr>
                <w:rFonts w:ascii="黑体" w:hAnsi="黑体" w:eastAsia="黑体"/>
                <w:sz w:val="24"/>
                <w:szCs w:val="21"/>
              </w:rPr>
              <w:t>表3-10</w:t>
            </w:r>
            <w:r>
              <w:rPr>
                <w:rFonts w:hint="eastAsia" w:ascii="黑体" w:hAnsi="黑体" w:eastAsia="黑体"/>
                <w:sz w:val="24"/>
                <w:szCs w:val="21"/>
              </w:rPr>
              <w:t xml:space="preserve">  土壤环境</w:t>
            </w:r>
            <w:r>
              <w:rPr>
                <w:rFonts w:ascii="黑体" w:hAnsi="黑体" w:eastAsia="黑体"/>
                <w:sz w:val="24"/>
                <w:szCs w:val="21"/>
              </w:rPr>
              <w:t>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073"/>
              <w:gridCol w:w="1689"/>
              <w:gridCol w:w="1378"/>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污染物名称</w:t>
                  </w:r>
                </w:p>
              </w:tc>
              <w:tc>
                <w:tcPr>
                  <w:tcW w:w="1603" w:type="pct"/>
                  <w:gridSpan w:val="2"/>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浓度限值</w:t>
                  </w:r>
                </w:p>
              </w:tc>
              <w:tc>
                <w:tcPr>
                  <w:tcW w:w="800"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浓度单位</w:t>
                  </w:r>
                </w:p>
              </w:tc>
              <w:tc>
                <w:tcPr>
                  <w:tcW w:w="1661"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restar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H</w:t>
                  </w:r>
                  <w:r>
                    <w:rPr>
                      <w:rFonts w:ascii="Times New Roman"/>
                      <w:bCs/>
                      <w:szCs w:val="21"/>
                    </w:rPr>
                    <w:t>g</w:t>
                  </w:r>
                </w:p>
              </w:tc>
              <w:tc>
                <w:tcPr>
                  <w:tcW w:w="623" w:type="pct"/>
                  <w:vAlign w:val="center"/>
                </w:tcPr>
                <w:p>
                  <w:pPr>
                    <w:jc w:val="center"/>
                  </w:pPr>
                  <w:r>
                    <w:rPr>
                      <w:rFonts w:hint="eastAsia"/>
                    </w:rPr>
                    <w:t>1</w:t>
                  </w:r>
                  <w:r>
                    <w:t>.3</w:t>
                  </w:r>
                </w:p>
              </w:tc>
              <w:tc>
                <w:tcPr>
                  <w:tcW w:w="980"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pH</w:t>
                  </w:r>
                  <w:r>
                    <w:rPr>
                      <w:rFonts w:hint="eastAsia" w:ascii="Times New Roman"/>
                      <w:bCs/>
                      <w:szCs w:val="21"/>
                    </w:rPr>
                    <w:t>≤</w:t>
                  </w:r>
                  <w:r>
                    <w:rPr>
                      <w:rFonts w:ascii="Times New Roman"/>
                      <w:bCs/>
                      <w:szCs w:val="21"/>
                    </w:rPr>
                    <w:t>5.5</w:t>
                  </w:r>
                </w:p>
              </w:tc>
              <w:tc>
                <w:tcPr>
                  <w:tcW w:w="800" w:type="pct"/>
                  <w:vMerge w:val="restar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μg/m</w:t>
                  </w:r>
                  <w:r>
                    <w:rPr>
                      <w:rFonts w:ascii="Times New Roman"/>
                      <w:bCs/>
                      <w:szCs w:val="21"/>
                      <w:vertAlign w:val="superscript"/>
                    </w:rPr>
                    <w:t>3</w:t>
                  </w:r>
                </w:p>
              </w:tc>
              <w:tc>
                <w:tcPr>
                  <w:tcW w:w="1661" w:type="pct"/>
                  <w:vMerge w:val="restar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《土壤环境质量 农用地土壤污染风险管控标准》（G</w:t>
                  </w:r>
                  <w:r>
                    <w:rPr>
                      <w:rFonts w:ascii="Times New Roman"/>
                      <w:bCs/>
                      <w:szCs w:val="21"/>
                    </w:rPr>
                    <w:t>B15618-2018</w:t>
                  </w:r>
                  <w:r>
                    <w:rPr>
                      <w:rFonts w:hint="eastAsia" w:ascii="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623"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1</w:t>
                  </w:r>
                  <w:r>
                    <w:rPr>
                      <w:rFonts w:ascii="Times New Roman"/>
                      <w:bCs/>
                      <w:szCs w:val="21"/>
                    </w:rPr>
                    <w:t>.8</w:t>
                  </w:r>
                </w:p>
              </w:tc>
              <w:tc>
                <w:tcPr>
                  <w:tcW w:w="980"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5</w:t>
                  </w:r>
                  <w:r>
                    <w:rPr>
                      <w:rFonts w:ascii="Times New Roman"/>
                      <w:bCs/>
                      <w:szCs w:val="21"/>
                    </w:rPr>
                    <w:t>.5</w:t>
                  </w:r>
                  <w:r>
                    <w:rPr>
                      <w:rFonts w:hint="eastAsia" w:ascii="Times New Roman"/>
                      <w:bCs/>
                      <w:szCs w:val="21"/>
                    </w:rPr>
                    <w:t>＜</w:t>
                  </w:r>
                  <w:r>
                    <w:rPr>
                      <w:rFonts w:ascii="Times New Roman"/>
                      <w:bCs/>
                      <w:szCs w:val="21"/>
                    </w:rPr>
                    <w:t>pH</w:t>
                  </w:r>
                  <w:r>
                    <w:rPr>
                      <w:rFonts w:hint="eastAsia" w:ascii="Times New Roman"/>
                      <w:bCs/>
                      <w:szCs w:val="21"/>
                    </w:rPr>
                    <w:t>≤</w:t>
                  </w:r>
                  <w:r>
                    <w:rPr>
                      <w:rFonts w:ascii="Times New Roman"/>
                      <w:bCs/>
                      <w:szCs w:val="21"/>
                    </w:rPr>
                    <w:t>6.5</w:t>
                  </w:r>
                </w:p>
              </w:tc>
              <w:tc>
                <w:tcPr>
                  <w:tcW w:w="800"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1661" w:type="pct"/>
                  <w:vMerge w:val="continue"/>
                  <w:vAlign w:val="center"/>
                </w:tcPr>
                <w:p>
                  <w:pPr>
                    <w:pStyle w:val="32"/>
                    <w:overflowPunct w:val="0"/>
                    <w:topLinePunct/>
                    <w:adjustRightInd/>
                    <w:snapToGrid/>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623"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2</w:t>
                  </w:r>
                  <w:r>
                    <w:rPr>
                      <w:rFonts w:ascii="Times New Roman"/>
                      <w:bCs/>
                      <w:szCs w:val="21"/>
                    </w:rPr>
                    <w:t>.4</w:t>
                  </w:r>
                </w:p>
              </w:tc>
              <w:tc>
                <w:tcPr>
                  <w:tcW w:w="980"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6.5</w:t>
                  </w:r>
                  <w:r>
                    <w:rPr>
                      <w:rFonts w:hint="eastAsia" w:ascii="Times New Roman"/>
                      <w:bCs/>
                      <w:szCs w:val="21"/>
                    </w:rPr>
                    <w:t>＜</w:t>
                  </w:r>
                  <w:r>
                    <w:rPr>
                      <w:rFonts w:ascii="Times New Roman"/>
                      <w:bCs/>
                      <w:szCs w:val="21"/>
                    </w:rPr>
                    <w:t>pH</w:t>
                  </w:r>
                  <w:r>
                    <w:rPr>
                      <w:rFonts w:hint="eastAsia" w:ascii="Times New Roman"/>
                      <w:bCs/>
                      <w:szCs w:val="21"/>
                    </w:rPr>
                    <w:t>≤</w:t>
                  </w:r>
                  <w:r>
                    <w:rPr>
                      <w:rFonts w:ascii="Times New Roman"/>
                      <w:bCs/>
                      <w:szCs w:val="21"/>
                    </w:rPr>
                    <w:t>7.5</w:t>
                  </w:r>
                </w:p>
              </w:tc>
              <w:tc>
                <w:tcPr>
                  <w:tcW w:w="800"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1661" w:type="pct"/>
                  <w:vMerge w:val="continue"/>
                  <w:vAlign w:val="center"/>
                </w:tcPr>
                <w:p>
                  <w:pPr>
                    <w:pStyle w:val="32"/>
                    <w:overflowPunct w:val="0"/>
                    <w:topLinePunct/>
                    <w:adjustRightInd/>
                    <w:snapToGrid/>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623"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3</w:t>
                  </w:r>
                  <w:r>
                    <w:rPr>
                      <w:rFonts w:ascii="Times New Roman"/>
                      <w:bCs/>
                      <w:szCs w:val="21"/>
                    </w:rPr>
                    <w:t>.4</w:t>
                  </w:r>
                </w:p>
              </w:tc>
              <w:tc>
                <w:tcPr>
                  <w:tcW w:w="980"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pH</w:t>
                  </w:r>
                  <w:r>
                    <w:rPr>
                      <w:rFonts w:hint="eastAsia" w:ascii="Times New Roman"/>
                      <w:bCs/>
                      <w:szCs w:val="21"/>
                    </w:rPr>
                    <w:t>＞</w:t>
                  </w:r>
                  <w:r>
                    <w:rPr>
                      <w:rFonts w:ascii="Times New Roman"/>
                      <w:bCs/>
                      <w:szCs w:val="21"/>
                    </w:rPr>
                    <w:t>7.5</w:t>
                  </w:r>
                </w:p>
              </w:tc>
              <w:tc>
                <w:tcPr>
                  <w:tcW w:w="800" w:type="pct"/>
                  <w:vMerge w:val="continue"/>
                  <w:vAlign w:val="center"/>
                </w:tcPr>
                <w:p>
                  <w:pPr>
                    <w:pStyle w:val="32"/>
                    <w:overflowPunct w:val="0"/>
                    <w:topLinePunct/>
                    <w:adjustRightInd/>
                    <w:snapToGrid/>
                    <w:spacing w:beforeLines="0" w:afterLines="0" w:line="240" w:lineRule="auto"/>
                    <w:rPr>
                      <w:rFonts w:ascii="Times New Roman"/>
                      <w:bCs/>
                      <w:szCs w:val="21"/>
                    </w:rPr>
                  </w:pPr>
                </w:p>
              </w:tc>
              <w:tc>
                <w:tcPr>
                  <w:tcW w:w="1661" w:type="pct"/>
                  <w:vMerge w:val="continue"/>
                  <w:vAlign w:val="center"/>
                </w:tcPr>
                <w:p>
                  <w:pPr>
                    <w:pStyle w:val="32"/>
                    <w:overflowPunct w:val="0"/>
                    <w:topLinePunct/>
                    <w:adjustRightInd/>
                    <w:snapToGrid/>
                    <w:spacing w:beforeLines="0" w:afterLines="0" w:line="240" w:lineRule="auto"/>
                    <w:rPr>
                      <w:rFonts w:ascii="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5"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二噁英类（总毒性当量）</w:t>
                  </w:r>
                </w:p>
              </w:tc>
              <w:tc>
                <w:tcPr>
                  <w:tcW w:w="1603" w:type="pct"/>
                  <w:gridSpan w:val="2"/>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1×1</w:t>
                  </w:r>
                  <w:r>
                    <w:rPr>
                      <w:rFonts w:ascii="Times New Roman"/>
                      <w:bCs/>
                      <w:szCs w:val="21"/>
                    </w:rPr>
                    <w:t>0</w:t>
                  </w:r>
                  <w:r>
                    <w:rPr>
                      <w:rFonts w:ascii="Times New Roman"/>
                      <w:bCs/>
                      <w:szCs w:val="21"/>
                      <w:vertAlign w:val="superscript"/>
                    </w:rPr>
                    <w:t>-5</w:t>
                  </w:r>
                </w:p>
              </w:tc>
              <w:tc>
                <w:tcPr>
                  <w:tcW w:w="800"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T</w:t>
                  </w:r>
                  <w:r>
                    <w:rPr>
                      <w:rFonts w:ascii="Times New Roman"/>
                      <w:bCs/>
                      <w:szCs w:val="21"/>
                    </w:rPr>
                    <w:t>EQmg/</w:t>
                  </w:r>
                  <w:r>
                    <w:rPr>
                      <w:rFonts w:hint="eastAsia" w:ascii="Times New Roman"/>
                      <w:bCs/>
                      <w:szCs w:val="21"/>
                    </w:rPr>
                    <w:t>kg</w:t>
                  </w:r>
                </w:p>
              </w:tc>
              <w:tc>
                <w:tcPr>
                  <w:tcW w:w="1661"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《土壤环境质量 建设用地土壤污染风险管控标准》（G</w:t>
                  </w:r>
                  <w:r>
                    <w:rPr>
                      <w:rFonts w:ascii="Times New Roman"/>
                      <w:bCs/>
                      <w:szCs w:val="21"/>
                    </w:rPr>
                    <w:t>B36600-2018</w:t>
                  </w:r>
                  <w:r>
                    <w:rPr>
                      <w:rFonts w:hint="eastAsia" w:ascii="Times New Roman"/>
                      <w:bCs/>
                      <w:szCs w:val="21"/>
                    </w:rPr>
                    <w:t>）第一类用地筛选值</w:t>
                  </w:r>
                </w:p>
              </w:tc>
            </w:tr>
          </w:tbl>
          <w:p>
            <w:pPr>
              <w:spacing w:line="480" w:lineRule="exact"/>
              <w:ind w:firstLine="482" w:firstLineChars="200"/>
              <w:rPr>
                <w:b/>
                <w:sz w:val="24"/>
              </w:rPr>
            </w:pPr>
            <w:r>
              <w:rPr>
                <w:rFonts w:hint="eastAsia"/>
                <w:b/>
                <w:sz w:val="24"/>
              </w:rPr>
              <w:t>④监测结果</w:t>
            </w:r>
          </w:p>
          <w:p>
            <w:pPr>
              <w:spacing w:line="480" w:lineRule="exact"/>
              <w:ind w:firstLine="480" w:firstLineChars="200"/>
              <w:rPr>
                <w:bCs/>
                <w:sz w:val="24"/>
              </w:rPr>
            </w:pPr>
            <w:r>
              <w:rPr>
                <w:rFonts w:hint="eastAsia"/>
                <w:bCs/>
                <w:sz w:val="24"/>
              </w:rPr>
              <w:t>土壤中H</w:t>
            </w:r>
            <w:r>
              <w:rPr>
                <w:bCs/>
                <w:sz w:val="24"/>
              </w:rPr>
              <w:t>g</w:t>
            </w:r>
            <w:r>
              <w:rPr>
                <w:rFonts w:hint="eastAsia"/>
                <w:bCs/>
                <w:sz w:val="24"/>
              </w:rPr>
              <w:t>、二噁英类（总毒性当量）监测统计结果见表3</w:t>
            </w:r>
            <w:r>
              <w:rPr>
                <w:bCs/>
                <w:sz w:val="24"/>
              </w:rPr>
              <w:t>-11</w:t>
            </w:r>
            <w:r>
              <w:rPr>
                <w:rFonts w:hint="eastAsia"/>
                <w:bCs/>
                <w:sz w:val="24"/>
              </w:rPr>
              <w:t>。</w:t>
            </w:r>
          </w:p>
          <w:p>
            <w:pPr>
              <w:spacing w:line="480" w:lineRule="exact"/>
              <w:ind w:firstLine="480"/>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3-11</w:t>
            </w:r>
            <w:r>
              <w:rPr>
                <w:rFonts w:hint="eastAsia" w:ascii="黑体" w:hAnsi="黑体" w:eastAsia="黑体"/>
                <w:bCs/>
                <w:sz w:val="24"/>
                <w:szCs w:val="32"/>
              </w:rPr>
              <w:t xml:space="preserve">  二噁英类（总毒性当量）浓度监测统计结果一览表</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550"/>
              <w:gridCol w:w="2017"/>
              <w:gridCol w:w="2018"/>
              <w:gridCol w:w="20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szCs w:val="21"/>
                    </w:rPr>
                    <w:t>监测点</w:t>
                  </w:r>
                </w:p>
              </w:tc>
              <w:tc>
                <w:tcPr>
                  <w:tcW w:w="3518" w:type="pct"/>
                  <w:gridSpan w:val="3"/>
                  <w:vAlign w:val="center"/>
                </w:tcPr>
                <w:p>
                  <w:pPr>
                    <w:adjustRightInd w:val="0"/>
                    <w:snapToGrid w:val="0"/>
                    <w:jc w:val="center"/>
                    <w:rPr>
                      <w:szCs w:val="21"/>
                    </w:rPr>
                  </w:pPr>
                  <w:r>
                    <w:rPr>
                      <w:rFonts w:hint="eastAsia"/>
                      <w:szCs w:val="21"/>
                    </w:rPr>
                    <w:t>厂址下风向250m土壤监测点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2" w:type="pct"/>
                  <w:vAlign w:val="center"/>
                </w:tcPr>
                <w:p>
                  <w:pPr>
                    <w:jc w:val="center"/>
                    <w:rPr>
                      <w:szCs w:val="21"/>
                    </w:rPr>
                  </w:pPr>
                  <w:r>
                    <w:rPr>
                      <w:rFonts w:hint="eastAsia"/>
                      <w:szCs w:val="21"/>
                    </w:rPr>
                    <w:t>监测项目</w:t>
                  </w:r>
                </w:p>
              </w:tc>
              <w:tc>
                <w:tcPr>
                  <w:tcW w:w="1172" w:type="pct"/>
                  <w:vAlign w:val="center"/>
                </w:tcPr>
                <w:p>
                  <w:pPr>
                    <w:jc w:val="center"/>
                    <w:rPr>
                      <w:szCs w:val="21"/>
                    </w:rPr>
                  </w:pPr>
                  <w:r>
                    <w:rPr>
                      <w:rFonts w:hint="eastAsia"/>
                      <w:szCs w:val="21"/>
                    </w:rPr>
                    <w:t>p</w:t>
                  </w:r>
                  <w:r>
                    <w:rPr>
                      <w:szCs w:val="21"/>
                    </w:rPr>
                    <w:t>H</w:t>
                  </w:r>
                </w:p>
              </w:tc>
              <w:tc>
                <w:tcPr>
                  <w:tcW w:w="1173" w:type="pct"/>
                  <w:vAlign w:val="center"/>
                </w:tcPr>
                <w:p>
                  <w:pPr>
                    <w:jc w:val="center"/>
                    <w:rPr>
                      <w:szCs w:val="21"/>
                    </w:rPr>
                  </w:pPr>
                  <w:r>
                    <w:rPr>
                      <w:rFonts w:hint="eastAsia"/>
                      <w:szCs w:val="21"/>
                    </w:rPr>
                    <w:t>H</w:t>
                  </w:r>
                  <w:r>
                    <w:rPr>
                      <w:szCs w:val="21"/>
                    </w:rPr>
                    <w:t>g</w:t>
                  </w:r>
                </w:p>
              </w:tc>
              <w:tc>
                <w:tcPr>
                  <w:tcW w:w="1173" w:type="pct"/>
                  <w:vAlign w:val="center"/>
                </w:tcPr>
                <w:p>
                  <w:pPr>
                    <w:adjustRightInd w:val="0"/>
                    <w:snapToGrid w:val="0"/>
                    <w:jc w:val="center"/>
                    <w:rPr>
                      <w:szCs w:val="21"/>
                    </w:rPr>
                  </w:pPr>
                  <w:r>
                    <w:rPr>
                      <w:rFonts w:hint="eastAsia"/>
                      <w:bCs/>
                      <w:szCs w:val="21"/>
                    </w:rPr>
                    <w:t>二噁英类（总毒性当量）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rFonts w:hint="eastAsia"/>
                      <w:szCs w:val="21"/>
                    </w:rPr>
                    <w:t>监测浓度mg/kg</w:t>
                  </w:r>
                </w:p>
              </w:tc>
              <w:tc>
                <w:tcPr>
                  <w:tcW w:w="1172" w:type="pct"/>
                  <w:vAlign w:val="center"/>
                </w:tcPr>
                <w:p>
                  <w:pPr>
                    <w:jc w:val="center"/>
                    <w:rPr>
                      <w:szCs w:val="21"/>
                    </w:rPr>
                  </w:pPr>
                  <w:r>
                    <w:rPr>
                      <w:rFonts w:hint="eastAsia"/>
                      <w:szCs w:val="21"/>
                    </w:rPr>
                    <w:t>7</w:t>
                  </w:r>
                  <w:r>
                    <w:rPr>
                      <w:szCs w:val="21"/>
                    </w:rPr>
                    <w:t>.6(</w:t>
                  </w:r>
                  <w:r>
                    <w:rPr>
                      <w:rFonts w:hint="eastAsia"/>
                      <w:szCs w:val="21"/>
                    </w:rPr>
                    <w:t>无量纲</w:t>
                  </w:r>
                  <w:r>
                    <w:rPr>
                      <w:szCs w:val="21"/>
                    </w:rPr>
                    <w:t>)</w:t>
                  </w:r>
                </w:p>
              </w:tc>
              <w:tc>
                <w:tcPr>
                  <w:tcW w:w="1173" w:type="pct"/>
                  <w:vAlign w:val="center"/>
                </w:tcPr>
                <w:p>
                  <w:pPr>
                    <w:jc w:val="center"/>
                    <w:rPr>
                      <w:szCs w:val="21"/>
                    </w:rPr>
                  </w:pPr>
                  <w:r>
                    <w:rPr>
                      <w:rFonts w:hint="eastAsia"/>
                      <w:szCs w:val="21"/>
                    </w:rPr>
                    <w:t>0</w:t>
                  </w:r>
                  <w:r>
                    <w:rPr>
                      <w:szCs w:val="21"/>
                    </w:rPr>
                    <w:t>.049</w:t>
                  </w:r>
                </w:p>
              </w:tc>
              <w:tc>
                <w:tcPr>
                  <w:tcW w:w="1173" w:type="pct"/>
                  <w:vAlign w:val="center"/>
                </w:tcPr>
                <w:p>
                  <w:pPr>
                    <w:adjustRightInd w:val="0"/>
                    <w:snapToGrid w:val="0"/>
                    <w:jc w:val="center"/>
                    <w:rPr>
                      <w:szCs w:val="21"/>
                    </w:rPr>
                  </w:pPr>
                  <w:r>
                    <w:rPr>
                      <w:rFonts w:hint="eastAsia"/>
                      <w:szCs w:val="21"/>
                    </w:rPr>
                    <w:t>0</w:t>
                  </w:r>
                  <w:r>
                    <w:rPr>
                      <w:szCs w:val="21"/>
                    </w:rPr>
                    <w:t>.53</w:t>
                  </w:r>
                  <w:r>
                    <w:rPr>
                      <w:rFonts w:hint="eastAsia"/>
                      <w:bCs/>
                      <w:szCs w:val="21"/>
                    </w:rPr>
                    <w:t>×1</w:t>
                  </w:r>
                  <w:r>
                    <w:rPr>
                      <w:bCs/>
                      <w:szCs w:val="21"/>
                    </w:rPr>
                    <w:t>0</w:t>
                  </w:r>
                  <w:r>
                    <w:rPr>
                      <w:bCs/>
                      <w:szCs w:val="21"/>
                      <w:vertAlign w:val="superscript"/>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rFonts w:hint="eastAsia"/>
                      <w:szCs w:val="21"/>
                    </w:rPr>
                    <w:t>样品数</w:t>
                  </w:r>
                </w:p>
              </w:tc>
              <w:tc>
                <w:tcPr>
                  <w:tcW w:w="1172" w:type="pct"/>
                  <w:vAlign w:val="center"/>
                </w:tcPr>
                <w:p>
                  <w:pPr>
                    <w:jc w:val="center"/>
                    <w:rPr>
                      <w:szCs w:val="21"/>
                    </w:rPr>
                  </w:pPr>
                  <w:r>
                    <w:rPr>
                      <w:rFonts w:hint="eastAsia"/>
                      <w:szCs w:val="21"/>
                    </w:rPr>
                    <w:t>1</w:t>
                  </w:r>
                </w:p>
              </w:tc>
              <w:tc>
                <w:tcPr>
                  <w:tcW w:w="1173" w:type="pct"/>
                  <w:vAlign w:val="center"/>
                </w:tcPr>
                <w:p>
                  <w:pPr>
                    <w:jc w:val="center"/>
                    <w:rPr>
                      <w:szCs w:val="21"/>
                    </w:rPr>
                  </w:pPr>
                  <w:r>
                    <w:rPr>
                      <w:rFonts w:hint="eastAsia"/>
                      <w:szCs w:val="21"/>
                    </w:rPr>
                    <w:t>1</w:t>
                  </w:r>
                </w:p>
              </w:tc>
              <w:tc>
                <w:tcPr>
                  <w:tcW w:w="1173" w:type="pct"/>
                  <w:vAlign w:val="center"/>
                </w:tcPr>
                <w:p>
                  <w:pPr>
                    <w:adjustRightInd w:val="0"/>
                    <w:snapToGrid w:val="0"/>
                    <w:jc w:val="center"/>
                    <w:rPr>
                      <w:szCs w:val="21"/>
                    </w:rPr>
                  </w:pPr>
                  <w:r>
                    <w:rPr>
                      <w:rFonts w:hint="eastAsia"/>
                      <w:szCs w:val="21"/>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rFonts w:hint="eastAsia"/>
                      <w:szCs w:val="21"/>
                    </w:rPr>
                    <w:t>超标数</w:t>
                  </w:r>
                </w:p>
              </w:tc>
              <w:tc>
                <w:tcPr>
                  <w:tcW w:w="1172" w:type="pct"/>
                  <w:vAlign w:val="center"/>
                </w:tcPr>
                <w:p>
                  <w:pPr>
                    <w:jc w:val="center"/>
                    <w:rPr>
                      <w:szCs w:val="21"/>
                    </w:rPr>
                  </w:pPr>
                  <w:r>
                    <w:rPr>
                      <w:rFonts w:hint="eastAsia"/>
                      <w:szCs w:val="21"/>
                    </w:rPr>
                    <w:t>0</w:t>
                  </w:r>
                </w:p>
              </w:tc>
              <w:tc>
                <w:tcPr>
                  <w:tcW w:w="1173" w:type="pct"/>
                  <w:vAlign w:val="center"/>
                </w:tcPr>
                <w:p>
                  <w:pPr>
                    <w:jc w:val="center"/>
                    <w:rPr>
                      <w:szCs w:val="21"/>
                    </w:rPr>
                  </w:pPr>
                  <w:r>
                    <w:rPr>
                      <w:rFonts w:hint="eastAsia"/>
                      <w:szCs w:val="21"/>
                    </w:rPr>
                    <w:t>0</w:t>
                  </w:r>
                </w:p>
              </w:tc>
              <w:tc>
                <w:tcPr>
                  <w:tcW w:w="1173" w:type="pct"/>
                  <w:vAlign w:val="center"/>
                </w:tcPr>
                <w:p>
                  <w:pPr>
                    <w:adjustRightInd w:val="0"/>
                    <w:snapToGrid w:val="0"/>
                    <w:jc w:val="center"/>
                    <w:rPr>
                      <w:szCs w:val="21"/>
                    </w:rPr>
                  </w:pPr>
                  <w:r>
                    <w:rPr>
                      <w:rFonts w:hint="eastAsia"/>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rFonts w:hint="eastAsia"/>
                      <w:szCs w:val="21"/>
                    </w:rPr>
                    <w:t>超标率%</w:t>
                  </w:r>
                </w:p>
              </w:tc>
              <w:tc>
                <w:tcPr>
                  <w:tcW w:w="1172" w:type="pct"/>
                  <w:vAlign w:val="center"/>
                </w:tcPr>
                <w:p>
                  <w:pPr>
                    <w:jc w:val="center"/>
                    <w:rPr>
                      <w:szCs w:val="21"/>
                    </w:rPr>
                  </w:pPr>
                  <w:r>
                    <w:rPr>
                      <w:rFonts w:hint="eastAsia"/>
                      <w:szCs w:val="21"/>
                    </w:rPr>
                    <w:t>0</w:t>
                  </w:r>
                </w:p>
              </w:tc>
              <w:tc>
                <w:tcPr>
                  <w:tcW w:w="1173" w:type="pct"/>
                  <w:vAlign w:val="center"/>
                </w:tcPr>
                <w:p>
                  <w:pPr>
                    <w:jc w:val="center"/>
                    <w:rPr>
                      <w:szCs w:val="21"/>
                    </w:rPr>
                  </w:pPr>
                  <w:r>
                    <w:rPr>
                      <w:rFonts w:hint="eastAsia"/>
                      <w:szCs w:val="21"/>
                    </w:rPr>
                    <w:t>0</w:t>
                  </w:r>
                </w:p>
              </w:tc>
              <w:tc>
                <w:tcPr>
                  <w:tcW w:w="1173" w:type="pct"/>
                  <w:vAlign w:val="center"/>
                </w:tcPr>
                <w:p>
                  <w:pPr>
                    <w:adjustRightInd w:val="0"/>
                    <w:snapToGrid w:val="0"/>
                    <w:jc w:val="center"/>
                    <w:rPr>
                      <w:szCs w:val="21"/>
                    </w:rPr>
                  </w:pPr>
                  <w:r>
                    <w:rPr>
                      <w:rFonts w:hint="eastAsia"/>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482" w:type="pct"/>
                  <w:vAlign w:val="center"/>
                </w:tcPr>
                <w:p>
                  <w:pPr>
                    <w:jc w:val="center"/>
                    <w:rPr>
                      <w:szCs w:val="21"/>
                    </w:rPr>
                  </w:pPr>
                  <w:r>
                    <w:rPr>
                      <w:rFonts w:hint="eastAsia"/>
                      <w:szCs w:val="21"/>
                    </w:rPr>
                    <w:t>最大浓度占标率%</w:t>
                  </w:r>
                </w:p>
              </w:tc>
              <w:tc>
                <w:tcPr>
                  <w:tcW w:w="1172" w:type="pct"/>
                  <w:vAlign w:val="center"/>
                </w:tcPr>
                <w:p>
                  <w:pPr>
                    <w:jc w:val="center"/>
                    <w:rPr>
                      <w:szCs w:val="21"/>
                    </w:rPr>
                  </w:pPr>
                  <w:r>
                    <w:rPr>
                      <w:rFonts w:hint="eastAsia"/>
                      <w:szCs w:val="21"/>
                    </w:rPr>
                    <w:t>/</w:t>
                  </w:r>
                </w:p>
              </w:tc>
              <w:tc>
                <w:tcPr>
                  <w:tcW w:w="1173" w:type="pct"/>
                  <w:vAlign w:val="center"/>
                </w:tcPr>
                <w:p>
                  <w:pPr>
                    <w:jc w:val="center"/>
                    <w:rPr>
                      <w:szCs w:val="21"/>
                    </w:rPr>
                  </w:pPr>
                  <w:r>
                    <w:rPr>
                      <w:rFonts w:hint="eastAsia"/>
                      <w:szCs w:val="21"/>
                    </w:rPr>
                    <w:t>1</w:t>
                  </w:r>
                  <w:r>
                    <w:rPr>
                      <w:szCs w:val="21"/>
                    </w:rPr>
                    <w:t>.44</w:t>
                  </w:r>
                </w:p>
              </w:tc>
              <w:tc>
                <w:tcPr>
                  <w:tcW w:w="1173" w:type="pct"/>
                  <w:vAlign w:val="center"/>
                </w:tcPr>
                <w:p>
                  <w:pPr>
                    <w:adjustRightInd w:val="0"/>
                    <w:snapToGrid w:val="0"/>
                    <w:jc w:val="center"/>
                    <w:rPr>
                      <w:szCs w:val="21"/>
                    </w:rPr>
                  </w:pPr>
                  <w:r>
                    <w:rPr>
                      <w:rFonts w:hint="eastAsia"/>
                      <w:szCs w:val="21"/>
                    </w:rPr>
                    <w:t>5</w:t>
                  </w:r>
                  <w:r>
                    <w:rPr>
                      <w:szCs w:val="21"/>
                    </w:rPr>
                    <w:t>.3</w:t>
                  </w:r>
                </w:p>
              </w:tc>
            </w:tr>
          </w:tbl>
          <w:p>
            <w:pPr>
              <w:adjustRightInd w:val="0"/>
              <w:snapToGrid w:val="0"/>
              <w:spacing w:line="480" w:lineRule="exact"/>
              <w:ind w:firstLine="480" w:firstLineChars="200"/>
              <w:rPr>
                <w:b/>
                <w:bCs/>
                <w:kern w:val="0"/>
                <w:sz w:val="24"/>
              </w:rPr>
            </w:pPr>
            <w:r>
              <w:rPr>
                <w:rFonts w:hint="eastAsia"/>
                <w:kern w:val="0"/>
                <w:sz w:val="24"/>
              </w:rPr>
              <w:t>由上表可知，</w:t>
            </w:r>
            <w:r>
              <w:rPr>
                <w:rFonts w:hint="eastAsia"/>
                <w:sz w:val="24"/>
                <w:szCs w:val="32"/>
              </w:rPr>
              <w:t>本项目所在区域土壤检测因子中Hg可以达到</w:t>
            </w:r>
            <w:r>
              <w:rPr>
                <w:rFonts w:hint="eastAsia"/>
                <w:bCs/>
                <w:sz w:val="24"/>
                <w:szCs w:val="32"/>
              </w:rPr>
              <w:t>《土壤环境质量 农用地土壤污染风险管控标准》（G</w:t>
            </w:r>
            <w:r>
              <w:rPr>
                <w:bCs/>
                <w:sz w:val="24"/>
                <w:szCs w:val="32"/>
              </w:rPr>
              <w:t>B15618-2018</w:t>
            </w:r>
            <w:r>
              <w:rPr>
                <w:rFonts w:hint="eastAsia"/>
                <w:bCs/>
                <w:sz w:val="24"/>
                <w:szCs w:val="32"/>
              </w:rPr>
              <w:t>）中农用地土壤污染筛选值限值要求；二噁英类（总毒性当量）</w:t>
            </w:r>
            <w:r>
              <w:rPr>
                <w:rFonts w:hint="eastAsia"/>
                <w:sz w:val="24"/>
                <w:szCs w:val="32"/>
              </w:rPr>
              <w:t>可以达到《土壤环境质量 建设用地土壤污染风险管控标准》（GB36600-2018）第一类用地筛选值限值要求；区域土壤环境质量较好。</w:t>
            </w:r>
          </w:p>
          <w:p>
            <w:pPr>
              <w:adjustRightInd w:val="0"/>
              <w:snapToGrid w:val="0"/>
              <w:spacing w:line="480" w:lineRule="exact"/>
              <w:ind w:firstLine="482" w:firstLineChars="200"/>
              <w:rPr>
                <w:b/>
                <w:bCs/>
                <w:kern w:val="0"/>
                <w:sz w:val="24"/>
              </w:rPr>
            </w:pPr>
            <w:r>
              <w:rPr>
                <w:b/>
                <w:bCs/>
                <w:kern w:val="0"/>
                <w:sz w:val="24"/>
              </w:rPr>
              <w:t>4、</w:t>
            </w:r>
            <w:r>
              <w:rPr>
                <w:rFonts w:hAnsi="宋体"/>
                <w:b/>
                <w:sz w:val="24"/>
                <w:szCs w:val="32"/>
              </w:rPr>
              <w:t>声环境</w:t>
            </w:r>
            <w:r>
              <w:rPr>
                <w:rFonts w:hint="eastAsia" w:hAnsi="宋体"/>
                <w:b/>
                <w:sz w:val="24"/>
                <w:szCs w:val="32"/>
              </w:rPr>
              <w:t>现状</w:t>
            </w:r>
          </w:p>
          <w:p>
            <w:pPr>
              <w:spacing w:line="480" w:lineRule="exact"/>
              <w:ind w:firstLine="482" w:firstLineChars="200"/>
              <w:rPr>
                <w:b/>
                <w:sz w:val="24"/>
              </w:rPr>
            </w:pPr>
            <w:r>
              <w:rPr>
                <w:rFonts w:hint="eastAsia"/>
                <w:b/>
                <w:sz w:val="24"/>
              </w:rPr>
              <w:t>①监测点位、项目及频次</w:t>
            </w:r>
          </w:p>
          <w:p>
            <w:pPr>
              <w:spacing w:line="480" w:lineRule="exact"/>
              <w:ind w:firstLine="480" w:firstLineChars="200"/>
              <w:rPr>
                <w:bCs/>
                <w:sz w:val="24"/>
              </w:rPr>
            </w:pPr>
            <w:r>
              <w:rPr>
                <w:rFonts w:hint="eastAsia"/>
                <w:bCs/>
                <w:sz w:val="24"/>
              </w:rPr>
              <w:t>本次评价委托河南鼎泰检测技术有限公司于2</w:t>
            </w:r>
            <w:r>
              <w:rPr>
                <w:bCs/>
                <w:sz w:val="24"/>
              </w:rPr>
              <w:t>021</w:t>
            </w:r>
            <w:r>
              <w:rPr>
                <w:rFonts w:hint="eastAsia"/>
                <w:bCs/>
                <w:sz w:val="24"/>
              </w:rPr>
              <w:t>年</w:t>
            </w:r>
            <w:r>
              <w:rPr>
                <w:bCs/>
                <w:sz w:val="24"/>
              </w:rPr>
              <w:t>7</w:t>
            </w:r>
            <w:r>
              <w:rPr>
                <w:rFonts w:hint="eastAsia"/>
                <w:bCs/>
                <w:sz w:val="24"/>
              </w:rPr>
              <w:t>月</w:t>
            </w:r>
            <w:r>
              <w:rPr>
                <w:bCs/>
                <w:sz w:val="24"/>
              </w:rPr>
              <w:t>2</w:t>
            </w:r>
            <w:r>
              <w:rPr>
                <w:rFonts w:hint="eastAsia"/>
                <w:bCs/>
                <w:sz w:val="24"/>
              </w:rPr>
              <w:t>日对拟建厂址厂界进行了为期</w:t>
            </w:r>
            <w:r>
              <w:rPr>
                <w:bCs/>
                <w:sz w:val="24"/>
              </w:rPr>
              <w:t>1</w:t>
            </w:r>
            <w:r>
              <w:rPr>
                <w:rFonts w:hint="eastAsia"/>
                <w:bCs/>
                <w:sz w:val="24"/>
              </w:rPr>
              <w:t>天的声环境现状监测。</w:t>
            </w:r>
            <w:r>
              <w:rPr>
                <w:rFonts w:hint="eastAsia"/>
                <w:sz w:val="24"/>
                <w:szCs w:val="20"/>
              </w:rPr>
              <w:t>监测点位、项目、频次、时间及要求见下表。监测布点图见图</w:t>
            </w:r>
            <w:r>
              <w:rPr>
                <w:sz w:val="24"/>
                <w:szCs w:val="20"/>
              </w:rPr>
              <w:t>3-2</w:t>
            </w:r>
            <w:r>
              <w:rPr>
                <w:rFonts w:hint="eastAsia"/>
                <w:sz w:val="24"/>
                <w:szCs w:val="20"/>
              </w:rPr>
              <w:t>。</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 xml:space="preserve">3-12 </w:t>
            </w:r>
            <w:r>
              <w:rPr>
                <w:rFonts w:hint="eastAsia" w:ascii="黑体" w:hAnsi="黑体" w:eastAsia="黑体"/>
                <w:bCs/>
                <w:sz w:val="24"/>
                <w:szCs w:val="32"/>
              </w:rPr>
              <w:t xml:space="preserve"> 厂界声环境质量现状监测点位、项目、频次一览表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354"/>
              <w:gridCol w:w="1310"/>
              <w:gridCol w:w="1249"/>
              <w:gridCol w:w="1687"/>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23" w:type="pct"/>
                  <w:vAlign w:val="center"/>
                </w:tcPr>
                <w:p>
                  <w:pPr>
                    <w:jc w:val="center"/>
                    <w:rPr>
                      <w:szCs w:val="21"/>
                    </w:rPr>
                  </w:pPr>
                  <w:r>
                    <w:rPr>
                      <w:rFonts w:hint="eastAsia"/>
                      <w:szCs w:val="21"/>
                    </w:rPr>
                    <w:t>监测类别</w:t>
                  </w:r>
                </w:p>
              </w:tc>
              <w:tc>
                <w:tcPr>
                  <w:tcW w:w="786" w:type="pct"/>
                  <w:vAlign w:val="center"/>
                </w:tcPr>
                <w:p>
                  <w:pPr>
                    <w:jc w:val="center"/>
                    <w:rPr>
                      <w:szCs w:val="21"/>
                    </w:rPr>
                  </w:pPr>
                  <w:r>
                    <w:rPr>
                      <w:rFonts w:hint="eastAsia"/>
                      <w:szCs w:val="21"/>
                    </w:rPr>
                    <w:t>监测点位</w:t>
                  </w:r>
                </w:p>
              </w:tc>
              <w:tc>
                <w:tcPr>
                  <w:tcW w:w="760" w:type="pct"/>
                  <w:vAlign w:val="center"/>
                </w:tcPr>
                <w:p>
                  <w:pPr>
                    <w:jc w:val="center"/>
                    <w:rPr>
                      <w:szCs w:val="21"/>
                    </w:rPr>
                  </w:pPr>
                  <w:r>
                    <w:rPr>
                      <w:rFonts w:hint="eastAsia"/>
                      <w:szCs w:val="21"/>
                    </w:rPr>
                    <w:t>方位距离</w:t>
                  </w:r>
                </w:p>
              </w:tc>
              <w:tc>
                <w:tcPr>
                  <w:tcW w:w="725" w:type="pct"/>
                  <w:vAlign w:val="center"/>
                </w:tcPr>
                <w:p>
                  <w:pPr>
                    <w:jc w:val="center"/>
                    <w:rPr>
                      <w:szCs w:val="21"/>
                    </w:rPr>
                  </w:pPr>
                  <w:r>
                    <w:rPr>
                      <w:rFonts w:hint="eastAsia"/>
                      <w:szCs w:val="21"/>
                    </w:rPr>
                    <w:t>监测项目</w:t>
                  </w:r>
                </w:p>
              </w:tc>
              <w:tc>
                <w:tcPr>
                  <w:tcW w:w="979" w:type="pct"/>
                  <w:vAlign w:val="center"/>
                </w:tcPr>
                <w:p>
                  <w:pPr>
                    <w:jc w:val="center"/>
                    <w:rPr>
                      <w:szCs w:val="21"/>
                    </w:rPr>
                  </w:pPr>
                  <w:r>
                    <w:rPr>
                      <w:rFonts w:hint="eastAsia"/>
                      <w:szCs w:val="21"/>
                    </w:rPr>
                    <w:t>监测频次、时间</w:t>
                  </w:r>
                </w:p>
              </w:tc>
              <w:tc>
                <w:tcPr>
                  <w:tcW w:w="1125" w:type="pct"/>
                  <w:vAlign w:val="center"/>
                </w:tcPr>
                <w:p>
                  <w:pPr>
                    <w:jc w:val="center"/>
                    <w:rPr>
                      <w:szCs w:val="21"/>
                    </w:rPr>
                  </w:pPr>
                  <w:r>
                    <w:rPr>
                      <w:rFonts w:hint="eastAsia"/>
                      <w:szCs w:val="21"/>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3" w:type="pct"/>
                  <w:vAlign w:val="center"/>
                </w:tcPr>
                <w:p>
                  <w:pPr>
                    <w:jc w:val="center"/>
                    <w:rPr>
                      <w:szCs w:val="21"/>
                    </w:rPr>
                  </w:pPr>
                  <w:r>
                    <w:rPr>
                      <w:rFonts w:hint="eastAsia"/>
                      <w:szCs w:val="21"/>
                    </w:rPr>
                    <w:t>噪声</w:t>
                  </w:r>
                </w:p>
              </w:tc>
              <w:tc>
                <w:tcPr>
                  <w:tcW w:w="786" w:type="pct"/>
                  <w:vAlign w:val="center"/>
                </w:tcPr>
                <w:p>
                  <w:pPr>
                    <w:jc w:val="center"/>
                    <w:rPr>
                      <w:szCs w:val="21"/>
                    </w:rPr>
                  </w:pPr>
                  <w:r>
                    <w:rPr>
                      <w:rFonts w:hint="eastAsia"/>
                      <w:szCs w:val="21"/>
                    </w:rPr>
                    <w:t>厂界1#-</w:t>
                  </w:r>
                  <w:r>
                    <w:rPr>
                      <w:szCs w:val="21"/>
                    </w:rPr>
                    <w:t>4</w:t>
                  </w:r>
                  <w:r>
                    <w:rPr>
                      <w:rFonts w:hint="eastAsia"/>
                      <w:szCs w:val="21"/>
                    </w:rPr>
                    <w:t>#</w:t>
                  </w:r>
                </w:p>
              </w:tc>
              <w:tc>
                <w:tcPr>
                  <w:tcW w:w="760" w:type="pct"/>
                  <w:vAlign w:val="center"/>
                </w:tcPr>
                <w:p>
                  <w:pPr>
                    <w:jc w:val="center"/>
                    <w:rPr>
                      <w:szCs w:val="21"/>
                    </w:rPr>
                  </w:pPr>
                  <w:r>
                    <w:rPr>
                      <w:szCs w:val="21"/>
                    </w:rPr>
                    <w:t>/</w:t>
                  </w:r>
                </w:p>
              </w:tc>
              <w:tc>
                <w:tcPr>
                  <w:tcW w:w="725" w:type="pct"/>
                  <w:vAlign w:val="center"/>
                </w:tcPr>
                <w:p>
                  <w:pPr>
                    <w:jc w:val="center"/>
                    <w:rPr>
                      <w:szCs w:val="21"/>
                    </w:rPr>
                  </w:pPr>
                  <w:r>
                    <w:rPr>
                      <w:szCs w:val="21"/>
                    </w:rPr>
                    <w:t>L</w:t>
                  </w:r>
                  <w:r>
                    <w:rPr>
                      <w:rFonts w:hint="eastAsia"/>
                      <w:szCs w:val="21"/>
                      <w:vertAlign w:val="subscript"/>
                    </w:rPr>
                    <w:t>eq</w:t>
                  </w:r>
                </w:p>
              </w:tc>
              <w:tc>
                <w:tcPr>
                  <w:tcW w:w="979" w:type="pct"/>
                  <w:vAlign w:val="center"/>
                </w:tcPr>
                <w:p>
                  <w:pPr>
                    <w:jc w:val="center"/>
                    <w:rPr>
                      <w:szCs w:val="21"/>
                    </w:rPr>
                  </w:pPr>
                  <w:r>
                    <w:rPr>
                      <w:rFonts w:hint="eastAsia"/>
                      <w:szCs w:val="21"/>
                    </w:rPr>
                    <w:t>监测1天，昼夜各1次</w:t>
                  </w:r>
                </w:p>
              </w:tc>
              <w:tc>
                <w:tcPr>
                  <w:tcW w:w="1125" w:type="pct"/>
                  <w:vAlign w:val="center"/>
                </w:tcPr>
                <w:p>
                  <w:pPr>
                    <w:jc w:val="center"/>
                    <w:rPr>
                      <w:szCs w:val="21"/>
                    </w:rPr>
                  </w:pPr>
                  <w:r>
                    <w:rPr>
                      <w:rFonts w:hint="eastAsia"/>
                      <w:szCs w:val="21"/>
                    </w:rPr>
                    <w:t>无雨雪、雷电天气，风速＜5m/s</w:t>
                  </w:r>
                </w:p>
              </w:tc>
            </w:tr>
          </w:tbl>
          <w:p>
            <w:pPr>
              <w:ind w:firstLine="482" w:firstLineChars="200"/>
              <w:rPr>
                <w:b/>
                <w:sz w:val="24"/>
              </w:rPr>
            </w:pPr>
          </w:p>
          <w:p>
            <w:pPr>
              <w:jc w:val="center"/>
              <w:rPr>
                <w:b/>
                <w:sz w:val="24"/>
              </w:rPr>
            </w:pPr>
            <w:r>
              <w:drawing>
                <wp:inline distT="0" distB="0" distL="0" distR="0">
                  <wp:extent cx="3289300" cy="3980180"/>
                  <wp:effectExtent l="0" t="0" r="635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1"/>
                          <a:stretch>
                            <a:fillRect/>
                          </a:stretch>
                        </pic:blipFill>
                        <pic:spPr>
                          <a:xfrm>
                            <a:off x="0" y="0"/>
                            <a:ext cx="3293990" cy="3985321"/>
                          </a:xfrm>
                          <a:prstGeom prst="rect">
                            <a:avLst/>
                          </a:prstGeom>
                        </pic:spPr>
                      </pic:pic>
                    </a:graphicData>
                  </a:graphic>
                </wp:inline>
              </w:drawing>
            </w:r>
          </w:p>
          <w:p>
            <w:pPr>
              <w:spacing w:line="480" w:lineRule="exact"/>
              <w:jc w:val="center"/>
              <w:rPr>
                <w:bCs/>
                <w:sz w:val="24"/>
              </w:rPr>
            </w:pPr>
            <w:r>
              <w:rPr>
                <w:rFonts w:hint="eastAsia" w:ascii="黑体" w:hAnsi="黑体" w:eastAsia="黑体"/>
                <w:kern w:val="0"/>
                <w:sz w:val="24"/>
              </w:rPr>
              <w:t>图</w:t>
            </w:r>
            <w:r>
              <w:rPr>
                <w:rFonts w:ascii="黑体" w:hAnsi="黑体" w:eastAsia="黑体"/>
                <w:kern w:val="0"/>
                <w:sz w:val="24"/>
              </w:rPr>
              <w:t>3-2</w:t>
            </w:r>
            <w:r>
              <w:rPr>
                <w:rFonts w:hint="eastAsia" w:ascii="黑体" w:hAnsi="黑体" w:eastAsia="黑体"/>
                <w:kern w:val="0"/>
                <w:sz w:val="24"/>
              </w:rPr>
              <w:t xml:space="preserve">  厂界声环境监测布点图</w:t>
            </w:r>
          </w:p>
          <w:p>
            <w:pPr>
              <w:spacing w:line="480" w:lineRule="exact"/>
              <w:ind w:firstLine="482" w:firstLineChars="200"/>
              <w:rPr>
                <w:b/>
                <w:sz w:val="24"/>
              </w:rPr>
            </w:pPr>
            <w:r>
              <w:rPr>
                <w:rFonts w:hint="eastAsia"/>
                <w:b/>
                <w:sz w:val="24"/>
              </w:rPr>
              <w:t>②监测分析方法</w:t>
            </w:r>
          </w:p>
          <w:p>
            <w:pPr>
              <w:spacing w:line="480" w:lineRule="exact"/>
              <w:ind w:firstLine="480" w:firstLineChars="200"/>
              <w:rPr>
                <w:bCs/>
                <w:sz w:val="24"/>
              </w:rPr>
            </w:pPr>
            <w:r>
              <w:rPr>
                <w:rFonts w:hint="eastAsia"/>
                <w:bCs/>
                <w:sz w:val="24"/>
              </w:rPr>
              <w:t>本项目监测分析方法见下表。</w:t>
            </w:r>
          </w:p>
          <w:p>
            <w:pPr>
              <w:spacing w:line="480" w:lineRule="exact"/>
              <w:jc w:val="center"/>
              <w:rPr>
                <w:rFonts w:ascii="黑体" w:hAnsi="黑体" w:eastAsia="黑体"/>
                <w:bCs/>
                <w:sz w:val="24"/>
                <w:szCs w:val="32"/>
              </w:rPr>
            </w:pPr>
          </w:p>
          <w:p>
            <w:pPr>
              <w:spacing w:line="480" w:lineRule="exact"/>
              <w:jc w:val="center"/>
              <w:rPr>
                <w:rFonts w:ascii="黑体" w:hAnsi="黑体" w:eastAsia="黑体"/>
                <w:bCs/>
                <w:sz w:val="24"/>
                <w:szCs w:val="32"/>
              </w:rPr>
            </w:pPr>
          </w:p>
          <w:p>
            <w:pPr>
              <w:spacing w:line="480" w:lineRule="exact"/>
              <w:jc w:val="center"/>
              <w:rPr>
                <w:rFonts w:ascii="黑体" w:hAnsi="黑体" w:eastAsia="黑体"/>
                <w:bCs/>
                <w:sz w:val="24"/>
                <w:szCs w:val="32"/>
              </w:rPr>
            </w:pP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3-13</w:t>
            </w:r>
            <w:r>
              <w:rPr>
                <w:rFonts w:hint="eastAsia" w:ascii="黑体" w:hAnsi="黑体" w:eastAsia="黑体"/>
                <w:bCs/>
                <w:sz w:val="24"/>
                <w:szCs w:val="32"/>
              </w:rPr>
              <w:t xml:space="preserve">  监测分析方法一览表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47"/>
              <w:gridCol w:w="3168"/>
              <w:gridCol w:w="1804"/>
              <w:gridCol w:w="1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1"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检测类别</w:t>
                  </w:r>
                </w:p>
              </w:tc>
              <w:tc>
                <w:tcPr>
                  <w:tcW w:w="898"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项目</w:t>
                  </w:r>
                </w:p>
              </w:tc>
              <w:tc>
                <w:tcPr>
                  <w:tcW w:w="1839" w:type="pct"/>
                  <w:vAlign w:val="center"/>
                </w:tcPr>
                <w:p>
                  <w:pPr>
                    <w:pStyle w:val="32"/>
                    <w:overflowPunct w:val="0"/>
                    <w:topLinePunct/>
                    <w:adjustRightInd/>
                    <w:snapToGrid/>
                    <w:spacing w:beforeLines="0" w:afterLines="0" w:line="240" w:lineRule="auto"/>
                    <w:rPr>
                      <w:rFonts w:ascii="Times New Roman"/>
                      <w:bCs/>
                      <w:szCs w:val="21"/>
                    </w:rPr>
                  </w:pPr>
                  <w:r>
                    <w:rPr>
                      <w:rFonts w:hint="eastAsia" w:ascii="Times New Roman"/>
                      <w:bCs/>
                      <w:szCs w:val="21"/>
                    </w:rPr>
                    <w:t>检测</w:t>
                  </w:r>
                  <w:r>
                    <w:rPr>
                      <w:rFonts w:ascii="Times New Roman"/>
                      <w:bCs/>
                      <w:szCs w:val="21"/>
                    </w:rPr>
                    <w:t>分析方法与依据</w:t>
                  </w:r>
                </w:p>
              </w:tc>
              <w:tc>
                <w:tcPr>
                  <w:tcW w:w="1047"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主要使用仪器</w:t>
                  </w:r>
                </w:p>
              </w:tc>
              <w:tc>
                <w:tcPr>
                  <w:tcW w:w="725" w:type="pct"/>
                  <w:vAlign w:val="center"/>
                </w:tcPr>
                <w:p>
                  <w:pPr>
                    <w:pStyle w:val="32"/>
                    <w:overflowPunct w:val="0"/>
                    <w:topLinePunct/>
                    <w:adjustRightInd/>
                    <w:snapToGrid/>
                    <w:spacing w:beforeLines="0" w:afterLines="0" w:line="240" w:lineRule="auto"/>
                    <w:rPr>
                      <w:rFonts w:ascii="Times New Roman"/>
                      <w:bCs/>
                      <w:szCs w:val="21"/>
                    </w:rPr>
                  </w:pPr>
                  <w:r>
                    <w:rPr>
                      <w:rFonts w:ascii="Times New Roman"/>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1" w:type="pct"/>
                  <w:vAlign w:val="center"/>
                </w:tcPr>
                <w:p>
                  <w:pPr>
                    <w:pStyle w:val="32"/>
                    <w:overflowPunct w:val="0"/>
                    <w:topLinePunct/>
                    <w:adjustRightInd/>
                    <w:snapToGrid/>
                    <w:spacing w:beforeLines="0" w:afterLines="0" w:line="240" w:lineRule="auto"/>
                    <w:rPr>
                      <w:rFonts w:ascii="Times New Roman"/>
                      <w:bCs/>
                      <w:szCs w:val="22"/>
                    </w:rPr>
                  </w:pPr>
                  <w:r>
                    <w:rPr>
                      <w:rFonts w:hint="eastAsia"/>
                      <w:szCs w:val="22"/>
                    </w:rPr>
                    <w:t>噪声</w:t>
                  </w:r>
                </w:p>
              </w:tc>
              <w:tc>
                <w:tcPr>
                  <w:tcW w:w="898" w:type="pct"/>
                  <w:vAlign w:val="center"/>
                </w:tcPr>
                <w:p>
                  <w:pPr>
                    <w:jc w:val="center"/>
                    <w:rPr>
                      <w:bCs/>
                      <w:szCs w:val="22"/>
                    </w:rPr>
                  </w:pPr>
                  <w:r>
                    <w:rPr>
                      <w:rFonts w:hint="eastAsia"/>
                      <w:szCs w:val="22"/>
                    </w:rPr>
                    <w:t>厂界噪声</w:t>
                  </w:r>
                </w:p>
              </w:tc>
              <w:tc>
                <w:tcPr>
                  <w:tcW w:w="1839" w:type="pct"/>
                  <w:vAlign w:val="center"/>
                </w:tcPr>
                <w:p>
                  <w:pPr>
                    <w:jc w:val="center"/>
                    <w:rPr>
                      <w:bCs/>
                      <w:szCs w:val="22"/>
                    </w:rPr>
                  </w:pPr>
                  <w:r>
                    <w:rPr>
                      <w:rFonts w:hint="eastAsia"/>
                      <w:szCs w:val="22"/>
                    </w:rPr>
                    <w:t>工业企业厂界环境噪声排放标准  GB 12348-2008</w:t>
                  </w:r>
                </w:p>
              </w:tc>
              <w:tc>
                <w:tcPr>
                  <w:tcW w:w="1047" w:type="pct"/>
                  <w:vAlign w:val="center"/>
                </w:tcPr>
                <w:p>
                  <w:pPr>
                    <w:jc w:val="center"/>
                    <w:rPr>
                      <w:szCs w:val="22"/>
                    </w:rPr>
                  </w:pPr>
                  <w:r>
                    <w:rPr>
                      <w:rFonts w:hint="eastAsia"/>
                      <w:szCs w:val="22"/>
                    </w:rPr>
                    <w:t>多功能声级计AWA5688型</w:t>
                  </w:r>
                </w:p>
              </w:tc>
              <w:tc>
                <w:tcPr>
                  <w:tcW w:w="725" w:type="pct"/>
                  <w:vAlign w:val="center"/>
                </w:tcPr>
                <w:p>
                  <w:pPr>
                    <w:jc w:val="center"/>
                    <w:rPr>
                      <w:szCs w:val="22"/>
                    </w:rPr>
                  </w:pPr>
                  <w:r>
                    <w:rPr>
                      <w:rFonts w:hint="eastAsia"/>
                      <w:szCs w:val="22"/>
                    </w:rPr>
                    <w:t>/</w:t>
                  </w:r>
                </w:p>
              </w:tc>
            </w:tr>
          </w:tbl>
          <w:p>
            <w:pPr>
              <w:spacing w:line="480" w:lineRule="exact"/>
              <w:ind w:firstLine="482" w:firstLineChars="200"/>
              <w:rPr>
                <w:bCs/>
                <w:sz w:val="24"/>
              </w:rPr>
            </w:pPr>
            <w:r>
              <w:rPr>
                <w:rFonts w:hint="eastAsia"/>
                <w:b/>
                <w:sz w:val="24"/>
              </w:rPr>
              <w:t>③评价标准</w:t>
            </w:r>
          </w:p>
          <w:p>
            <w:pPr>
              <w:spacing w:line="480" w:lineRule="exact"/>
              <w:ind w:firstLine="480" w:firstLineChars="200"/>
              <w:rPr>
                <w:bCs/>
                <w:sz w:val="24"/>
              </w:rPr>
            </w:pPr>
            <w:r>
              <w:rPr>
                <w:rFonts w:hint="eastAsia"/>
                <w:bCs/>
                <w:sz w:val="24"/>
              </w:rPr>
              <w:t>声环境质量现状评价标准值见表</w:t>
            </w:r>
            <w:r>
              <w:rPr>
                <w:bCs/>
                <w:sz w:val="24"/>
              </w:rPr>
              <w:t>3-14</w:t>
            </w:r>
            <w:r>
              <w:rPr>
                <w:rFonts w:hint="eastAsia"/>
                <w:bCs/>
                <w:sz w:val="24"/>
              </w:rPr>
              <w:t>。</w:t>
            </w:r>
          </w:p>
          <w:p>
            <w:pPr>
              <w:pStyle w:val="6"/>
              <w:spacing w:line="480" w:lineRule="exact"/>
              <w:ind w:firstLine="0"/>
              <w:jc w:val="center"/>
              <w:rPr>
                <w:rFonts w:ascii="黑体" w:hAnsi="黑体" w:eastAsia="黑体"/>
                <w:sz w:val="24"/>
                <w:szCs w:val="21"/>
              </w:rPr>
            </w:pPr>
            <w:r>
              <w:rPr>
                <w:rFonts w:ascii="黑体" w:hAnsi="黑体" w:eastAsia="黑体"/>
                <w:sz w:val="24"/>
                <w:szCs w:val="21"/>
              </w:rPr>
              <w:t>表3-14</w:t>
            </w:r>
            <w:r>
              <w:rPr>
                <w:rFonts w:hint="eastAsia" w:ascii="黑体" w:hAnsi="黑体" w:eastAsia="黑体"/>
                <w:sz w:val="24"/>
                <w:szCs w:val="21"/>
              </w:rPr>
              <w:t xml:space="preserve">  声环境</w:t>
            </w:r>
            <w:r>
              <w:rPr>
                <w:rFonts w:ascii="黑体" w:hAnsi="黑体" w:eastAsia="黑体"/>
                <w:sz w:val="24"/>
                <w:szCs w:val="21"/>
              </w:rPr>
              <w:t>质量标准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400"/>
              <w:gridCol w:w="1226"/>
              <w:gridCol w:w="1244"/>
              <w:gridCol w:w="3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45" w:type="pct"/>
                  <w:vAlign w:val="center"/>
                </w:tcPr>
                <w:p>
                  <w:pPr>
                    <w:pStyle w:val="51"/>
                  </w:pPr>
                  <w:r>
                    <w:t>污染物名称</w:t>
                  </w:r>
                </w:p>
              </w:tc>
              <w:tc>
                <w:tcPr>
                  <w:tcW w:w="813" w:type="pct"/>
                  <w:vAlign w:val="center"/>
                </w:tcPr>
                <w:p>
                  <w:pPr>
                    <w:pStyle w:val="51"/>
                  </w:pPr>
                  <w:r>
                    <w:t>取值时间</w:t>
                  </w:r>
                </w:p>
              </w:tc>
              <w:tc>
                <w:tcPr>
                  <w:tcW w:w="712" w:type="pct"/>
                  <w:vAlign w:val="center"/>
                </w:tcPr>
                <w:p>
                  <w:pPr>
                    <w:pStyle w:val="51"/>
                  </w:pPr>
                  <w:r>
                    <w:t>浓度限值</w:t>
                  </w:r>
                </w:p>
              </w:tc>
              <w:tc>
                <w:tcPr>
                  <w:tcW w:w="722" w:type="pct"/>
                  <w:vAlign w:val="center"/>
                </w:tcPr>
                <w:p>
                  <w:pPr>
                    <w:pStyle w:val="51"/>
                  </w:pPr>
                  <w:r>
                    <w:t>浓度单位</w:t>
                  </w:r>
                </w:p>
              </w:tc>
              <w:tc>
                <w:tcPr>
                  <w:tcW w:w="2008" w:type="pct"/>
                  <w:vAlign w:val="center"/>
                </w:tcPr>
                <w:p>
                  <w:pPr>
                    <w:pStyle w:val="51"/>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5" w:type="pct"/>
                  <w:vMerge w:val="restart"/>
                  <w:vAlign w:val="center"/>
                </w:tcPr>
                <w:p>
                  <w:pPr>
                    <w:pStyle w:val="51"/>
                  </w:pPr>
                  <w:r>
                    <w:rPr>
                      <w:rFonts w:hint="eastAsia"/>
                    </w:rPr>
                    <w:t>噪声</w:t>
                  </w:r>
                </w:p>
              </w:tc>
              <w:tc>
                <w:tcPr>
                  <w:tcW w:w="813" w:type="pct"/>
                  <w:vAlign w:val="center"/>
                </w:tcPr>
                <w:p>
                  <w:pPr>
                    <w:pStyle w:val="51"/>
                  </w:pPr>
                  <w:r>
                    <w:rPr>
                      <w:rFonts w:hint="eastAsia"/>
                    </w:rPr>
                    <w:t>昼间</w:t>
                  </w:r>
                </w:p>
              </w:tc>
              <w:tc>
                <w:tcPr>
                  <w:tcW w:w="712" w:type="pct"/>
                  <w:vAlign w:val="center"/>
                </w:tcPr>
                <w:p>
                  <w:pPr>
                    <w:pStyle w:val="51"/>
                  </w:pPr>
                  <w:r>
                    <w:t>60</w:t>
                  </w:r>
                </w:p>
              </w:tc>
              <w:tc>
                <w:tcPr>
                  <w:tcW w:w="722" w:type="pct"/>
                  <w:vAlign w:val="center"/>
                </w:tcPr>
                <w:p>
                  <w:pPr>
                    <w:pStyle w:val="51"/>
                  </w:pPr>
                  <w:r>
                    <w:t>dB（A）</w:t>
                  </w:r>
                </w:p>
              </w:tc>
              <w:tc>
                <w:tcPr>
                  <w:tcW w:w="2008" w:type="pct"/>
                  <w:vMerge w:val="restart"/>
                  <w:vAlign w:val="center"/>
                </w:tcPr>
                <w:p>
                  <w:pPr>
                    <w:pStyle w:val="51"/>
                  </w:pPr>
                  <w:r>
                    <w:rPr>
                      <w:rFonts w:hint="eastAsia"/>
                    </w:rPr>
                    <w:t>《</w:t>
                  </w:r>
                  <w:r>
                    <w:t>声环境质量标准</w:t>
                  </w:r>
                  <w:r>
                    <w:rPr>
                      <w:rFonts w:hint="eastAsia"/>
                    </w:rPr>
                    <w:t>》</w:t>
                  </w:r>
                  <w:r>
                    <w:t>(GB3096-2008)</w:t>
                  </w:r>
                  <w:r>
                    <w:rPr>
                      <w:rFonts w:hint="eastAsia"/>
                    </w:rPr>
                    <w:t>2类标准限值要求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745" w:type="pct"/>
                  <w:vMerge w:val="continue"/>
                  <w:vAlign w:val="center"/>
                </w:tcPr>
                <w:p>
                  <w:pPr>
                    <w:pStyle w:val="51"/>
                  </w:pPr>
                </w:p>
              </w:tc>
              <w:tc>
                <w:tcPr>
                  <w:tcW w:w="813" w:type="pct"/>
                  <w:vAlign w:val="center"/>
                </w:tcPr>
                <w:p>
                  <w:pPr>
                    <w:pStyle w:val="51"/>
                  </w:pPr>
                  <w:r>
                    <w:rPr>
                      <w:rFonts w:hint="eastAsia"/>
                    </w:rPr>
                    <w:t>夜间</w:t>
                  </w:r>
                </w:p>
              </w:tc>
              <w:tc>
                <w:tcPr>
                  <w:tcW w:w="712" w:type="pct"/>
                  <w:vAlign w:val="center"/>
                </w:tcPr>
                <w:p>
                  <w:pPr>
                    <w:pStyle w:val="51"/>
                  </w:pPr>
                  <w:r>
                    <w:rPr>
                      <w:rFonts w:hint="eastAsia"/>
                    </w:rPr>
                    <w:t>5</w:t>
                  </w:r>
                  <w:r>
                    <w:t>0</w:t>
                  </w:r>
                </w:p>
              </w:tc>
              <w:tc>
                <w:tcPr>
                  <w:tcW w:w="722" w:type="pct"/>
                  <w:vAlign w:val="center"/>
                </w:tcPr>
                <w:p>
                  <w:pPr>
                    <w:pStyle w:val="51"/>
                  </w:pPr>
                  <w:r>
                    <w:t>dB（A）</w:t>
                  </w:r>
                </w:p>
              </w:tc>
              <w:tc>
                <w:tcPr>
                  <w:tcW w:w="2008" w:type="pct"/>
                  <w:vMerge w:val="continue"/>
                  <w:vAlign w:val="center"/>
                </w:tcPr>
                <w:p>
                  <w:pPr>
                    <w:pStyle w:val="51"/>
                  </w:pPr>
                </w:p>
              </w:tc>
            </w:tr>
          </w:tbl>
          <w:p>
            <w:pPr>
              <w:spacing w:line="480" w:lineRule="exact"/>
              <w:ind w:firstLine="482" w:firstLineChars="200"/>
              <w:rPr>
                <w:b/>
                <w:sz w:val="24"/>
              </w:rPr>
            </w:pPr>
            <w:r>
              <w:rPr>
                <w:rFonts w:hint="eastAsia"/>
                <w:b/>
                <w:sz w:val="24"/>
              </w:rPr>
              <w:t>④监测结果</w:t>
            </w:r>
          </w:p>
          <w:p>
            <w:pPr>
              <w:spacing w:line="480" w:lineRule="exact"/>
              <w:ind w:firstLine="480" w:firstLineChars="200"/>
              <w:rPr>
                <w:sz w:val="24"/>
                <w:szCs w:val="21"/>
              </w:rPr>
            </w:pPr>
            <w:r>
              <w:rPr>
                <w:rFonts w:hint="eastAsia" w:hAnsi="宋体"/>
                <w:sz w:val="24"/>
                <w:szCs w:val="21"/>
              </w:rPr>
              <w:t>厂界声环境质量现状</w:t>
            </w:r>
            <w:r>
              <w:rPr>
                <w:rFonts w:hAnsi="宋体"/>
                <w:sz w:val="24"/>
                <w:szCs w:val="21"/>
              </w:rPr>
              <w:t>监测结果见</w:t>
            </w:r>
            <w:r>
              <w:rPr>
                <w:rFonts w:hint="eastAsia" w:hAnsi="宋体"/>
                <w:sz w:val="24"/>
                <w:szCs w:val="21"/>
              </w:rPr>
              <w:t>下</w:t>
            </w:r>
            <w:r>
              <w:rPr>
                <w:rFonts w:hAnsi="宋体"/>
                <w:sz w:val="24"/>
                <w:szCs w:val="21"/>
              </w:rPr>
              <w:t>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3-15</w:t>
            </w:r>
            <w:r>
              <w:rPr>
                <w:rFonts w:hint="eastAsia" w:ascii="黑体" w:hAnsi="黑体" w:eastAsia="黑体"/>
                <w:bCs/>
                <w:sz w:val="24"/>
                <w:szCs w:val="32"/>
              </w:rPr>
              <w:t xml:space="preserve">  厂界声环境监测结果一览表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2"/>
              <w:gridCol w:w="802"/>
              <w:gridCol w:w="803"/>
              <w:gridCol w:w="803"/>
              <w:gridCol w:w="803"/>
              <w:gridCol w:w="803"/>
              <w:gridCol w:w="803"/>
              <w:gridCol w:w="803"/>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73" w:type="pct"/>
                  <w:vMerge w:val="restart"/>
                  <w:vAlign w:val="center"/>
                </w:tcPr>
                <w:p>
                  <w:pPr>
                    <w:jc w:val="center"/>
                    <w:rPr>
                      <w:szCs w:val="21"/>
                    </w:rPr>
                  </w:pPr>
                  <w:r>
                    <w:rPr>
                      <w:szCs w:val="21"/>
                    </w:rPr>
                    <w:t>监测点</w:t>
                  </w:r>
                </w:p>
              </w:tc>
              <w:tc>
                <w:tcPr>
                  <w:tcW w:w="1864" w:type="pct"/>
                  <w:gridSpan w:val="4"/>
                  <w:vAlign w:val="center"/>
                </w:tcPr>
                <w:p>
                  <w:pPr>
                    <w:jc w:val="center"/>
                    <w:rPr>
                      <w:bCs/>
                      <w:szCs w:val="21"/>
                    </w:rPr>
                  </w:pPr>
                  <w:r>
                    <w:rPr>
                      <w:bCs/>
                      <w:szCs w:val="21"/>
                    </w:rPr>
                    <w:t>昼间</w:t>
                  </w:r>
                </w:p>
              </w:tc>
              <w:tc>
                <w:tcPr>
                  <w:tcW w:w="1864" w:type="pct"/>
                  <w:gridSpan w:val="4"/>
                  <w:vAlign w:val="center"/>
                </w:tcPr>
                <w:p>
                  <w:pPr>
                    <w:jc w:val="center"/>
                    <w:rPr>
                      <w:bCs/>
                      <w:szCs w:val="21"/>
                    </w:rPr>
                  </w:pPr>
                  <w:r>
                    <w:rPr>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3" w:type="pct"/>
                  <w:vMerge w:val="continue"/>
                  <w:vAlign w:val="center"/>
                </w:tcPr>
                <w:p>
                  <w:pPr>
                    <w:jc w:val="center"/>
                    <w:textAlignment w:val="baseline"/>
                    <w:rPr>
                      <w:rFonts w:eastAsia="Times New Roman"/>
                      <w:szCs w:val="21"/>
                    </w:rPr>
                  </w:pP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eq</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10</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50</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90</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eq</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10</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50</w:t>
                  </w:r>
                </w:p>
              </w:tc>
              <w:tc>
                <w:tcPr>
                  <w:tcW w:w="466" w:type="pct"/>
                  <w:vAlign w:val="center"/>
                </w:tcPr>
                <w:p>
                  <w:pPr>
                    <w:jc w:val="center"/>
                    <w:textAlignment w:val="baseline"/>
                    <w:rPr>
                      <w:rFonts w:eastAsia="Times New Roman"/>
                      <w:bCs/>
                      <w:szCs w:val="21"/>
                    </w:rPr>
                  </w:pPr>
                  <w:r>
                    <w:rPr>
                      <w:rFonts w:eastAsia="Times New Roman"/>
                      <w:bCs/>
                      <w:szCs w:val="21"/>
                    </w:rPr>
                    <w:t>L</w:t>
                  </w:r>
                  <w:r>
                    <w:rPr>
                      <w:rFonts w:eastAsia="Times New Roman"/>
                      <w:bCs/>
                      <w:szCs w:val="21"/>
                      <w:vertAlign w:val="subscript"/>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1273" w:type="pct"/>
                  <w:vAlign w:val="center"/>
                </w:tcPr>
                <w:p>
                  <w:pPr>
                    <w:jc w:val="center"/>
                    <w:rPr>
                      <w:szCs w:val="21"/>
                    </w:rPr>
                  </w:pPr>
                  <w:r>
                    <w:rPr>
                      <w:rFonts w:hint="eastAsia"/>
                      <w:szCs w:val="21"/>
                    </w:rPr>
                    <w:t>厂界</w:t>
                  </w:r>
                  <w:r>
                    <w:rPr>
                      <w:szCs w:val="21"/>
                    </w:rPr>
                    <w:t>1#</w:t>
                  </w:r>
                </w:p>
              </w:tc>
              <w:tc>
                <w:tcPr>
                  <w:tcW w:w="466" w:type="pct"/>
                  <w:vAlign w:val="center"/>
                </w:tcPr>
                <w:p>
                  <w:pPr>
                    <w:jc w:val="center"/>
                    <w:textAlignment w:val="baseline"/>
                    <w:rPr>
                      <w:bCs/>
                      <w:szCs w:val="21"/>
                    </w:rPr>
                  </w:pPr>
                  <w:r>
                    <w:rPr>
                      <w:rFonts w:hint="eastAsia"/>
                      <w:bCs/>
                      <w:szCs w:val="21"/>
                    </w:rPr>
                    <w:t>5</w:t>
                  </w:r>
                  <w:r>
                    <w:rPr>
                      <w:bCs/>
                      <w:szCs w:val="21"/>
                    </w:rPr>
                    <w:t>6.4</w:t>
                  </w:r>
                </w:p>
              </w:tc>
              <w:tc>
                <w:tcPr>
                  <w:tcW w:w="466" w:type="pct"/>
                  <w:vAlign w:val="center"/>
                </w:tcPr>
                <w:p>
                  <w:pPr>
                    <w:jc w:val="center"/>
                    <w:textAlignment w:val="baseline"/>
                    <w:rPr>
                      <w:bCs/>
                      <w:szCs w:val="21"/>
                    </w:rPr>
                  </w:pPr>
                  <w:r>
                    <w:rPr>
                      <w:rFonts w:hint="eastAsia"/>
                      <w:bCs/>
                      <w:szCs w:val="21"/>
                    </w:rPr>
                    <w:t>5</w:t>
                  </w:r>
                  <w:r>
                    <w:rPr>
                      <w:bCs/>
                      <w:szCs w:val="21"/>
                    </w:rPr>
                    <w:t>6.7</w:t>
                  </w:r>
                </w:p>
              </w:tc>
              <w:tc>
                <w:tcPr>
                  <w:tcW w:w="466" w:type="pct"/>
                  <w:vAlign w:val="center"/>
                </w:tcPr>
                <w:p>
                  <w:pPr>
                    <w:jc w:val="center"/>
                    <w:textAlignment w:val="baseline"/>
                    <w:rPr>
                      <w:bCs/>
                      <w:szCs w:val="21"/>
                    </w:rPr>
                  </w:pPr>
                  <w:r>
                    <w:rPr>
                      <w:rFonts w:hint="eastAsia"/>
                      <w:bCs/>
                      <w:szCs w:val="21"/>
                    </w:rPr>
                    <w:t>5</w:t>
                  </w:r>
                  <w:r>
                    <w:rPr>
                      <w:bCs/>
                      <w:szCs w:val="21"/>
                    </w:rPr>
                    <w:t>3.6</w:t>
                  </w:r>
                </w:p>
              </w:tc>
              <w:tc>
                <w:tcPr>
                  <w:tcW w:w="466" w:type="pct"/>
                  <w:vAlign w:val="center"/>
                </w:tcPr>
                <w:p>
                  <w:pPr>
                    <w:jc w:val="center"/>
                    <w:textAlignment w:val="baseline"/>
                    <w:rPr>
                      <w:bCs/>
                      <w:szCs w:val="21"/>
                    </w:rPr>
                  </w:pPr>
                  <w:r>
                    <w:rPr>
                      <w:rFonts w:hint="eastAsia"/>
                      <w:bCs/>
                      <w:szCs w:val="21"/>
                    </w:rPr>
                    <w:t>5</w:t>
                  </w:r>
                  <w:r>
                    <w:rPr>
                      <w:bCs/>
                      <w:szCs w:val="21"/>
                    </w:rPr>
                    <w:t>2.0</w:t>
                  </w:r>
                </w:p>
              </w:tc>
              <w:tc>
                <w:tcPr>
                  <w:tcW w:w="466" w:type="pct"/>
                  <w:vAlign w:val="center"/>
                </w:tcPr>
                <w:p>
                  <w:pPr>
                    <w:widowControl/>
                    <w:jc w:val="center"/>
                    <w:textAlignment w:val="center"/>
                    <w:rPr>
                      <w:bCs/>
                      <w:szCs w:val="21"/>
                    </w:rPr>
                  </w:pPr>
                  <w:r>
                    <w:rPr>
                      <w:rFonts w:hint="eastAsia"/>
                      <w:bCs/>
                      <w:szCs w:val="21"/>
                    </w:rPr>
                    <w:t>4</w:t>
                  </w:r>
                  <w:r>
                    <w:rPr>
                      <w:bCs/>
                      <w:szCs w:val="21"/>
                    </w:rPr>
                    <w:t>5.5</w:t>
                  </w:r>
                </w:p>
              </w:tc>
              <w:tc>
                <w:tcPr>
                  <w:tcW w:w="466" w:type="pct"/>
                  <w:vAlign w:val="center"/>
                </w:tcPr>
                <w:p>
                  <w:pPr>
                    <w:widowControl/>
                    <w:jc w:val="center"/>
                    <w:textAlignment w:val="center"/>
                    <w:rPr>
                      <w:bCs/>
                      <w:szCs w:val="21"/>
                    </w:rPr>
                  </w:pPr>
                  <w:r>
                    <w:rPr>
                      <w:rFonts w:hint="eastAsia"/>
                      <w:bCs/>
                      <w:szCs w:val="21"/>
                    </w:rPr>
                    <w:t>4</w:t>
                  </w:r>
                  <w:r>
                    <w:rPr>
                      <w:bCs/>
                      <w:szCs w:val="21"/>
                    </w:rPr>
                    <w:t>7.2</w:t>
                  </w:r>
                </w:p>
              </w:tc>
              <w:tc>
                <w:tcPr>
                  <w:tcW w:w="466" w:type="pct"/>
                  <w:vAlign w:val="center"/>
                </w:tcPr>
                <w:p>
                  <w:pPr>
                    <w:widowControl/>
                    <w:jc w:val="center"/>
                    <w:textAlignment w:val="center"/>
                    <w:rPr>
                      <w:bCs/>
                      <w:szCs w:val="21"/>
                    </w:rPr>
                  </w:pPr>
                  <w:r>
                    <w:rPr>
                      <w:rFonts w:hint="eastAsia"/>
                      <w:bCs/>
                      <w:szCs w:val="21"/>
                    </w:rPr>
                    <w:t>4</w:t>
                  </w:r>
                  <w:r>
                    <w:rPr>
                      <w:bCs/>
                      <w:szCs w:val="21"/>
                    </w:rPr>
                    <w:t>1.1</w:t>
                  </w:r>
                </w:p>
              </w:tc>
              <w:tc>
                <w:tcPr>
                  <w:tcW w:w="466" w:type="pct"/>
                  <w:vAlign w:val="center"/>
                </w:tcPr>
                <w:p>
                  <w:pPr>
                    <w:widowControl/>
                    <w:jc w:val="center"/>
                    <w:textAlignment w:val="center"/>
                    <w:rPr>
                      <w:bCs/>
                      <w:szCs w:val="21"/>
                    </w:rPr>
                  </w:pPr>
                  <w:r>
                    <w:rPr>
                      <w:rFonts w:hint="eastAsia"/>
                      <w:bCs/>
                      <w:szCs w:val="21"/>
                    </w:rPr>
                    <w:t>3</w:t>
                  </w:r>
                  <w:r>
                    <w:rPr>
                      <w:bCs/>
                      <w:szCs w:val="21"/>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73" w:type="pct"/>
                  <w:vAlign w:val="center"/>
                </w:tcPr>
                <w:p>
                  <w:pPr>
                    <w:jc w:val="center"/>
                    <w:rPr>
                      <w:szCs w:val="21"/>
                    </w:rPr>
                  </w:pPr>
                  <w:r>
                    <w:rPr>
                      <w:rFonts w:hint="eastAsia"/>
                      <w:szCs w:val="21"/>
                    </w:rPr>
                    <w:t>厂界</w:t>
                  </w:r>
                  <w:r>
                    <w:rPr>
                      <w:szCs w:val="21"/>
                    </w:rPr>
                    <w:t>2#</w:t>
                  </w:r>
                </w:p>
              </w:tc>
              <w:tc>
                <w:tcPr>
                  <w:tcW w:w="466" w:type="pct"/>
                  <w:vAlign w:val="center"/>
                </w:tcPr>
                <w:p>
                  <w:pPr>
                    <w:jc w:val="center"/>
                    <w:textAlignment w:val="baseline"/>
                    <w:rPr>
                      <w:bCs/>
                      <w:szCs w:val="21"/>
                    </w:rPr>
                  </w:pPr>
                  <w:r>
                    <w:rPr>
                      <w:rFonts w:hint="eastAsia"/>
                      <w:bCs/>
                      <w:szCs w:val="21"/>
                    </w:rPr>
                    <w:t>5</w:t>
                  </w:r>
                  <w:r>
                    <w:rPr>
                      <w:bCs/>
                      <w:szCs w:val="21"/>
                    </w:rPr>
                    <w:t>5.7</w:t>
                  </w:r>
                </w:p>
              </w:tc>
              <w:tc>
                <w:tcPr>
                  <w:tcW w:w="466" w:type="pct"/>
                  <w:vAlign w:val="center"/>
                </w:tcPr>
                <w:p>
                  <w:pPr>
                    <w:jc w:val="center"/>
                    <w:textAlignment w:val="baseline"/>
                    <w:rPr>
                      <w:bCs/>
                      <w:szCs w:val="21"/>
                    </w:rPr>
                  </w:pPr>
                  <w:r>
                    <w:rPr>
                      <w:rFonts w:hint="eastAsia"/>
                      <w:bCs/>
                      <w:szCs w:val="21"/>
                    </w:rPr>
                    <w:t>5</w:t>
                  </w:r>
                  <w:r>
                    <w:rPr>
                      <w:bCs/>
                      <w:szCs w:val="21"/>
                    </w:rPr>
                    <w:t>7.5</w:t>
                  </w:r>
                </w:p>
              </w:tc>
              <w:tc>
                <w:tcPr>
                  <w:tcW w:w="466" w:type="pct"/>
                  <w:vAlign w:val="center"/>
                </w:tcPr>
                <w:p>
                  <w:pPr>
                    <w:jc w:val="center"/>
                    <w:textAlignment w:val="baseline"/>
                    <w:rPr>
                      <w:bCs/>
                      <w:szCs w:val="21"/>
                    </w:rPr>
                  </w:pPr>
                  <w:r>
                    <w:rPr>
                      <w:rFonts w:hint="eastAsia"/>
                      <w:bCs/>
                      <w:szCs w:val="21"/>
                    </w:rPr>
                    <w:t>5</w:t>
                  </w:r>
                  <w:r>
                    <w:rPr>
                      <w:bCs/>
                      <w:szCs w:val="21"/>
                    </w:rPr>
                    <w:t>4.5</w:t>
                  </w:r>
                </w:p>
              </w:tc>
              <w:tc>
                <w:tcPr>
                  <w:tcW w:w="466" w:type="pct"/>
                  <w:vAlign w:val="center"/>
                </w:tcPr>
                <w:p>
                  <w:pPr>
                    <w:jc w:val="center"/>
                    <w:textAlignment w:val="baseline"/>
                    <w:rPr>
                      <w:bCs/>
                      <w:szCs w:val="21"/>
                    </w:rPr>
                  </w:pPr>
                  <w:r>
                    <w:rPr>
                      <w:rFonts w:hint="eastAsia"/>
                      <w:bCs/>
                      <w:szCs w:val="21"/>
                    </w:rPr>
                    <w:t>5</w:t>
                  </w:r>
                  <w:r>
                    <w:rPr>
                      <w:bCs/>
                      <w:szCs w:val="21"/>
                    </w:rPr>
                    <w:t>2.3</w:t>
                  </w:r>
                </w:p>
              </w:tc>
              <w:tc>
                <w:tcPr>
                  <w:tcW w:w="466" w:type="pct"/>
                  <w:vAlign w:val="center"/>
                </w:tcPr>
                <w:p>
                  <w:pPr>
                    <w:widowControl/>
                    <w:jc w:val="center"/>
                    <w:textAlignment w:val="center"/>
                    <w:rPr>
                      <w:bCs/>
                      <w:szCs w:val="21"/>
                    </w:rPr>
                  </w:pPr>
                  <w:r>
                    <w:rPr>
                      <w:rFonts w:hint="eastAsia"/>
                      <w:bCs/>
                      <w:szCs w:val="21"/>
                    </w:rPr>
                    <w:t>4</w:t>
                  </w:r>
                  <w:r>
                    <w:rPr>
                      <w:bCs/>
                      <w:szCs w:val="21"/>
                    </w:rPr>
                    <w:t>7.1</w:t>
                  </w:r>
                </w:p>
              </w:tc>
              <w:tc>
                <w:tcPr>
                  <w:tcW w:w="466" w:type="pct"/>
                  <w:vAlign w:val="center"/>
                </w:tcPr>
                <w:p>
                  <w:pPr>
                    <w:widowControl/>
                    <w:jc w:val="center"/>
                    <w:textAlignment w:val="center"/>
                    <w:rPr>
                      <w:bCs/>
                      <w:szCs w:val="21"/>
                    </w:rPr>
                  </w:pPr>
                  <w:r>
                    <w:rPr>
                      <w:rFonts w:hint="eastAsia"/>
                      <w:bCs/>
                      <w:szCs w:val="21"/>
                    </w:rPr>
                    <w:t>4</w:t>
                  </w:r>
                  <w:r>
                    <w:rPr>
                      <w:bCs/>
                      <w:szCs w:val="21"/>
                    </w:rPr>
                    <w:t>6.1</w:t>
                  </w:r>
                </w:p>
              </w:tc>
              <w:tc>
                <w:tcPr>
                  <w:tcW w:w="466" w:type="pct"/>
                  <w:vAlign w:val="center"/>
                </w:tcPr>
                <w:p>
                  <w:pPr>
                    <w:widowControl/>
                    <w:jc w:val="center"/>
                    <w:textAlignment w:val="center"/>
                    <w:rPr>
                      <w:bCs/>
                      <w:szCs w:val="21"/>
                    </w:rPr>
                  </w:pPr>
                  <w:r>
                    <w:rPr>
                      <w:rFonts w:hint="eastAsia"/>
                      <w:bCs/>
                      <w:szCs w:val="21"/>
                    </w:rPr>
                    <w:t>4</w:t>
                  </w:r>
                  <w:r>
                    <w:rPr>
                      <w:bCs/>
                      <w:szCs w:val="21"/>
                    </w:rPr>
                    <w:t>5.0</w:t>
                  </w:r>
                </w:p>
              </w:tc>
              <w:tc>
                <w:tcPr>
                  <w:tcW w:w="466" w:type="pct"/>
                  <w:vAlign w:val="center"/>
                </w:tcPr>
                <w:p>
                  <w:pPr>
                    <w:widowControl/>
                    <w:jc w:val="center"/>
                    <w:textAlignment w:val="center"/>
                    <w:rPr>
                      <w:bCs/>
                      <w:szCs w:val="21"/>
                    </w:rPr>
                  </w:pPr>
                  <w:r>
                    <w:rPr>
                      <w:rFonts w:hint="eastAsia"/>
                      <w:bCs/>
                      <w:szCs w:val="21"/>
                    </w:rPr>
                    <w:t>4</w:t>
                  </w:r>
                  <w:r>
                    <w:rPr>
                      <w:bCs/>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73" w:type="pct"/>
                  <w:vAlign w:val="center"/>
                </w:tcPr>
                <w:p>
                  <w:pPr>
                    <w:jc w:val="center"/>
                    <w:rPr>
                      <w:szCs w:val="21"/>
                    </w:rPr>
                  </w:pPr>
                  <w:r>
                    <w:rPr>
                      <w:rFonts w:hint="eastAsia"/>
                      <w:szCs w:val="21"/>
                    </w:rPr>
                    <w:t>厂界</w:t>
                  </w:r>
                  <w:r>
                    <w:rPr>
                      <w:szCs w:val="21"/>
                    </w:rPr>
                    <w:t>3#</w:t>
                  </w:r>
                </w:p>
              </w:tc>
              <w:tc>
                <w:tcPr>
                  <w:tcW w:w="466" w:type="pct"/>
                  <w:vAlign w:val="center"/>
                </w:tcPr>
                <w:p>
                  <w:pPr>
                    <w:jc w:val="center"/>
                    <w:textAlignment w:val="baseline"/>
                    <w:rPr>
                      <w:bCs/>
                      <w:szCs w:val="21"/>
                    </w:rPr>
                  </w:pPr>
                  <w:r>
                    <w:rPr>
                      <w:rFonts w:hint="eastAsia"/>
                      <w:bCs/>
                      <w:szCs w:val="21"/>
                    </w:rPr>
                    <w:t>5</w:t>
                  </w:r>
                  <w:r>
                    <w:rPr>
                      <w:bCs/>
                      <w:szCs w:val="21"/>
                    </w:rPr>
                    <w:t>4.9</w:t>
                  </w:r>
                </w:p>
              </w:tc>
              <w:tc>
                <w:tcPr>
                  <w:tcW w:w="466" w:type="pct"/>
                  <w:vAlign w:val="center"/>
                </w:tcPr>
                <w:p>
                  <w:pPr>
                    <w:jc w:val="center"/>
                    <w:textAlignment w:val="baseline"/>
                    <w:rPr>
                      <w:bCs/>
                      <w:szCs w:val="21"/>
                    </w:rPr>
                  </w:pPr>
                  <w:r>
                    <w:rPr>
                      <w:rFonts w:hint="eastAsia"/>
                      <w:bCs/>
                      <w:szCs w:val="21"/>
                    </w:rPr>
                    <w:t>5</w:t>
                  </w:r>
                  <w:r>
                    <w:rPr>
                      <w:bCs/>
                      <w:szCs w:val="21"/>
                    </w:rPr>
                    <w:t>7.0</w:t>
                  </w:r>
                </w:p>
              </w:tc>
              <w:tc>
                <w:tcPr>
                  <w:tcW w:w="466" w:type="pct"/>
                  <w:vAlign w:val="center"/>
                </w:tcPr>
                <w:p>
                  <w:pPr>
                    <w:jc w:val="center"/>
                    <w:textAlignment w:val="baseline"/>
                    <w:rPr>
                      <w:bCs/>
                      <w:szCs w:val="21"/>
                    </w:rPr>
                  </w:pPr>
                  <w:r>
                    <w:rPr>
                      <w:rFonts w:hint="eastAsia"/>
                      <w:bCs/>
                      <w:szCs w:val="21"/>
                    </w:rPr>
                    <w:t>5</w:t>
                  </w:r>
                  <w:r>
                    <w:rPr>
                      <w:bCs/>
                      <w:szCs w:val="21"/>
                    </w:rPr>
                    <w:t>4.3</w:t>
                  </w:r>
                </w:p>
              </w:tc>
              <w:tc>
                <w:tcPr>
                  <w:tcW w:w="466" w:type="pct"/>
                  <w:vAlign w:val="center"/>
                </w:tcPr>
                <w:p>
                  <w:pPr>
                    <w:jc w:val="center"/>
                    <w:textAlignment w:val="baseline"/>
                    <w:rPr>
                      <w:bCs/>
                      <w:szCs w:val="21"/>
                    </w:rPr>
                  </w:pPr>
                  <w:r>
                    <w:rPr>
                      <w:rFonts w:hint="eastAsia"/>
                      <w:bCs/>
                      <w:szCs w:val="21"/>
                    </w:rPr>
                    <w:t>5</w:t>
                  </w:r>
                  <w:r>
                    <w:rPr>
                      <w:bCs/>
                      <w:szCs w:val="21"/>
                    </w:rPr>
                    <w:t>2.4</w:t>
                  </w:r>
                </w:p>
              </w:tc>
              <w:tc>
                <w:tcPr>
                  <w:tcW w:w="466" w:type="pct"/>
                  <w:vAlign w:val="center"/>
                </w:tcPr>
                <w:p>
                  <w:pPr>
                    <w:widowControl/>
                    <w:jc w:val="center"/>
                    <w:textAlignment w:val="center"/>
                    <w:rPr>
                      <w:bCs/>
                      <w:szCs w:val="21"/>
                    </w:rPr>
                  </w:pPr>
                  <w:r>
                    <w:rPr>
                      <w:rFonts w:hint="eastAsia"/>
                      <w:bCs/>
                      <w:szCs w:val="21"/>
                    </w:rPr>
                    <w:t>4</w:t>
                  </w:r>
                  <w:r>
                    <w:rPr>
                      <w:bCs/>
                      <w:szCs w:val="21"/>
                    </w:rPr>
                    <w:t>6.4</w:t>
                  </w:r>
                </w:p>
              </w:tc>
              <w:tc>
                <w:tcPr>
                  <w:tcW w:w="466" w:type="pct"/>
                  <w:vAlign w:val="center"/>
                </w:tcPr>
                <w:p>
                  <w:pPr>
                    <w:widowControl/>
                    <w:jc w:val="center"/>
                    <w:textAlignment w:val="center"/>
                    <w:rPr>
                      <w:bCs/>
                      <w:szCs w:val="21"/>
                    </w:rPr>
                  </w:pPr>
                  <w:r>
                    <w:rPr>
                      <w:rFonts w:hint="eastAsia"/>
                      <w:bCs/>
                      <w:szCs w:val="21"/>
                    </w:rPr>
                    <w:t>4</w:t>
                  </w:r>
                  <w:r>
                    <w:rPr>
                      <w:bCs/>
                      <w:szCs w:val="21"/>
                    </w:rPr>
                    <w:t>7.1</w:t>
                  </w:r>
                </w:p>
              </w:tc>
              <w:tc>
                <w:tcPr>
                  <w:tcW w:w="466" w:type="pct"/>
                  <w:vAlign w:val="center"/>
                </w:tcPr>
                <w:p>
                  <w:pPr>
                    <w:widowControl/>
                    <w:jc w:val="center"/>
                    <w:textAlignment w:val="center"/>
                    <w:rPr>
                      <w:bCs/>
                      <w:szCs w:val="21"/>
                    </w:rPr>
                  </w:pPr>
                  <w:r>
                    <w:rPr>
                      <w:rFonts w:hint="eastAsia"/>
                      <w:bCs/>
                      <w:szCs w:val="21"/>
                    </w:rPr>
                    <w:t>4</w:t>
                  </w:r>
                  <w:r>
                    <w:rPr>
                      <w:bCs/>
                      <w:szCs w:val="21"/>
                    </w:rPr>
                    <w:t>6.0</w:t>
                  </w:r>
                </w:p>
              </w:tc>
              <w:tc>
                <w:tcPr>
                  <w:tcW w:w="466" w:type="pct"/>
                  <w:vAlign w:val="center"/>
                </w:tcPr>
                <w:p>
                  <w:pPr>
                    <w:widowControl/>
                    <w:jc w:val="center"/>
                    <w:textAlignment w:val="center"/>
                    <w:rPr>
                      <w:bCs/>
                      <w:szCs w:val="21"/>
                    </w:rPr>
                  </w:pPr>
                  <w:r>
                    <w:rPr>
                      <w:rFonts w:hint="eastAsia"/>
                      <w:bCs/>
                      <w:szCs w:val="21"/>
                    </w:rPr>
                    <w:t>4</w:t>
                  </w:r>
                  <w:r>
                    <w:rPr>
                      <w:bCs/>
                      <w:szCs w:val="21"/>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73" w:type="pct"/>
                  <w:vAlign w:val="center"/>
                </w:tcPr>
                <w:p>
                  <w:pPr>
                    <w:jc w:val="center"/>
                    <w:rPr>
                      <w:szCs w:val="21"/>
                    </w:rPr>
                  </w:pPr>
                  <w:r>
                    <w:rPr>
                      <w:rFonts w:hint="eastAsia"/>
                      <w:szCs w:val="21"/>
                    </w:rPr>
                    <w:t>厂界</w:t>
                  </w:r>
                  <w:r>
                    <w:rPr>
                      <w:szCs w:val="21"/>
                    </w:rPr>
                    <w:t>4#</w:t>
                  </w:r>
                </w:p>
              </w:tc>
              <w:tc>
                <w:tcPr>
                  <w:tcW w:w="466" w:type="pct"/>
                  <w:vAlign w:val="center"/>
                </w:tcPr>
                <w:p>
                  <w:pPr>
                    <w:jc w:val="center"/>
                    <w:textAlignment w:val="baseline"/>
                    <w:rPr>
                      <w:bCs/>
                      <w:szCs w:val="21"/>
                    </w:rPr>
                  </w:pPr>
                  <w:r>
                    <w:rPr>
                      <w:rFonts w:hint="eastAsia"/>
                      <w:bCs/>
                      <w:szCs w:val="21"/>
                    </w:rPr>
                    <w:t>5</w:t>
                  </w:r>
                  <w:r>
                    <w:rPr>
                      <w:bCs/>
                      <w:szCs w:val="21"/>
                    </w:rPr>
                    <w:t>5.3</w:t>
                  </w:r>
                </w:p>
              </w:tc>
              <w:tc>
                <w:tcPr>
                  <w:tcW w:w="466" w:type="pct"/>
                  <w:vAlign w:val="center"/>
                </w:tcPr>
                <w:p>
                  <w:pPr>
                    <w:jc w:val="center"/>
                    <w:textAlignment w:val="baseline"/>
                    <w:rPr>
                      <w:bCs/>
                      <w:szCs w:val="21"/>
                    </w:rPr>
                  </w:pPr>
                  <w:r>
                    <w:rPr>
                      <w:rFonts w:hint="eastAsia"/>
                      <w:bCs/>
                      <w:szCs w:val="21"/>
                    </w:rPr>
                    <w:t>5</w:t>
                  </w:r>
                  <w:r>
                    <w:rPr>
                      <w:bCs/>
                      <w:szCs w:val="21"/>
                    </w:rPr>
                    <w:t>8.4</w:t>
                  </w:r>
                </w:p>
              </w:tc>
              <w:tc>
                <w:tcPr>
                  <w:tcW w:w="466" w:type="pct"/>
                  <w:vAlign w:val="center"/>
                </w:tcPr>
                <w:p>
                  <w:pPr>
                    <w:jc w:val="center"/>
                    <w:textAlignment w:val="baseline"/>
                    <w:rPr>
                      <w:bCs/>
                      <w:szCs w:val="21"/>
                    </w:rPr>
                  </w:pPr>
                  <w:r>
                    <w:rPr>
                      <w:rFonts w:hint="eastAsia"/>
                      <w:bCs/>
                      <w:szCs w:val="21"/>
                    </w:rPr>
                    <w:t>5</w:t>
                  </w:r>
                  <w:r>
                    <w:rPr>
                      <w:bCs/>
                      <w:szCs w:val="21"/>
                    </w:rPr>
                    <w:t>4.4</w:t>
                  </w:r>
                </w:p>
              </w:tc>
              <w:tc>
                <w:tcPr>
                  <w:tcW w:w="466" w:type="pct"/>
                  <w:vAlign w:val="center"/>
                </w:tcPr>
                <w:p>
                  <w:pPr>
                    <w:jc w:val="center"/>
                    <w:textAlignment w:val="baseline"/>
                    <w:rPr>
                      <w:bCs/>
                      <w:szCs w:val="21"/>
                    </w:rPr>
                  </w:pPr>
                  <w:r>
                    <w:rPr>
                      <w:rFonts w:hint="eastAsia"/>
                      <w:bCs/>
                      <w:szCs w:val="21"/>
                    </w:rPr>
                    <w:t>5</w:t>
                  </w:r>
                  <w:r>
                    <w:rPr>
                      <w:bCs/>
                      <w:szCs w:val="21"/>
                    </w:rPr>
                    <w:t>2.6</w:t>
                  </w:r>
                </w:p>
              </w:tc>
              <w:tc>
                <w:tcPr>
                  <w:tcW w:w="466" w:type="pct"/>
                  <w:vAlign w:val="center"/>
                </w:tcPr>
                <w:p>
                  <w:pPr>
                    <w:widowControl/>
                    <w:jc w:val="center"/>
                    <w:textAlignment w:val="center"/>
                    <w:rPr>
                      <w:bCs/>
                      <w:szCs w:val="21"/>
                    </w:rPr>
                  </w:pPr>
                  <w:r>
                    <w:rPr>
                      <w:rFonts w:hint="eastAsia"/>
                      <w:bCs/>
                      <w:szCs w:val="21"/>
                    </w:rPr>
                    <w:t>4</w:t>
                  </w:r>
                  <w:r>
                    <w:rPr>
                      <w:bCs/>
                      <w:szCs w:val="21"/>
                    </w:rPr>
                    <w:t>4.6</w:t>
                  </w:r>
                </w:p>
              </w:tc>
              <w:tc>
                <w:tcPr>
                  <w:tcW w:w="466" w:type="pct"/>
                  <w:vAlign w:val="center"/>
                </w:tcPr>
                <w:p>
                  <w:pPr>
                    <w:widowControl/>
                    <w:jc w:val="center"/>
                    <w:textAlignment w:val="center"/>
                    <w:rPr>
                      <w:bCs/>
                      <w:szCs w:val="21"/>
                    </w:rPr>
                  </w:pPr>
                  <w:r>
                    <w:rPr>
                      <w:rFonts w:hint="eastAsia"/>
                      <w:bCs/>
                      <w:szCs w:val="21"/>
                    </w:rPr>
                    <w:t>4</w:t>
                  </w:r>
                  <w:r>
                    <w:rPr>
                      <w:bCs/>
                      <w:szCs w:val="21"/>
                    </w:rPr>
                    <w:t>6.1</w:t>
                  </w:r>
                </w:p>
              </w:tc>
              <w:tc>
                <w:tcPr>
                  <w:tcW w:w="466" w:type="pct"/>
                  <w:vAlign w:val="center"/>
                </w:tcPr>
                <w:p>
                  <w:pPr>
                    <w:widowControl/>
                    <w:jc w:val="center"/>
                    <w:textAlignment w:val="center"/>
                    <w:rPr>
                      <w:bCs/>
                      <w:szCs w:val="21"/>
                    </w:rPr>
                  </w:pPr>
                  <w:r>
                    <w:rPr>
                      <w:rFonts w:hint="eastAsia"/>
                      <w:bCs/>
                      <w:szCs w:val="21"/>
                    </w:rPr>
                    <w:t>4</w:t>
                  </w:r>
                  <w:r>
                    <w:rPr>
                      <w:bCs/>
                      <w:szCs w:val="21"/>
                    </w:rPr>
                    <w:t>3.2</w:t>
                  </w:r>
                </w:p>
              </w:tc>
              <w:tc>
                <w:tcPr>
                  <w:tcW w:w="466" w:type="pct"/>
                  <w:vAlign w:val="center"/>
                </w:tcPr>
                <w:p>
                  <w:pPr>
                    <w:widowControl/>
                    <w:jc w:val="center"/>
                    <w:textAlignment w:val="center"/>
                    <w:rPr>
                      <w:bCs/>
                      <w:szCs w:val="21"/>
                    </w:rPr>
                  </w:pPr>
                  <w:r>
                    <w:rPr>
                      <w:rFonts w:hint="eastAsia"/>
                      <w:bCs/>
                      <w:szCs w:val="21"/>
                    </w:rPr>
                    <w:t>4</w:t>
                  </w:r>
                  <w:r>
                    <w:rPr>
                      <w:bCs/>
                      <w:szCs w:val="21"/>
                    </w:rPr>
                    <w:t>1.8</w:t>
                  </w:r>
                </w:p>
              </w:tc>
            </w:tr>
          </w:tbl>
          <w:p>
            <w:pPr>
              <w:spacing w:line="480" w:lineRule="exact"/>
              <w:ind w:firstLine="480" w:firstLineChars="200"/>
              <w:rPr>
                <w:bCs/>
                <w:sz w:val="24"/>
              </w:rPr>
            </w:pPr>
            <w:r>
              <w:rPr>
                <w:sz w:val="24"/>
                <w:szCs w:val="20"/>
              </w:rPr>
              <w:t>根据上表可知：</w:t>
            </w:r>
            <w:r>
              <w:rPr>
                <w:rFonts w:hint="eastAsia"/>
                <w:sz w:val="24"/>
                <w:szCs w:val="20"/>
              </w:rPr>
              <w:t>监测期间项目厂界昼间噪声值在</w:t>
            </w:r>
            <w:r>
              <w:rPr>
                <w:sz w:val="24"/>
                <w:szCs w:val="20"/>
              </w:rPr>
              <w:t>54.9</w:t>
            </w:r>
            <w:r>
              <w:rPr>
                <w:rFonts w:hint="eastAsia"/>
                <w:sz w:val="24"/>
                <w:szCs w:val="20"/>
              </w:rPr>
              <w:t>-5</w:t>
            </w:r>
            <w:r>
              <w:rPr>
                <w:sz w:val="24"/>
                <w:szCs w:val="20"/>
              </w:rPr>
              <w:t>6.4dB(A)</w:t>
            </w:r>
            <w:r>
              <w:rPr>
                <w:rFonts w:hint="eastAsia"/>
                <w:sz w:val="24"/>
                <w:szCs w:val="20"/>
              </w:rPr>
              <w:t>，夜间噪声值在</w:t>
            </w:r>
            <w:r>
              <w:rPr>
                <w:sz w:val="24"/>
                <w:szCs w:val="20"/>
              </w:rPr>
              <w:t>44.6-47.1dB(A)</w:t>
            </w:r>
            <w:r>
              <w:rPr>
                <w:rFonts w:hint="eastAsia"/>
                <w:sz w:val="24"/>
                <w:szCs w:val="20"/>
              </w:rPr>
              <w:t>，均满足</w:t>
            </w:r>
            <w:r>
              <w:rPr>
                <w:sz w:val="24"/>
                <w:szCs w:val="20"/>
              </w:rPr>
              <w:t>《声环境质量标准》(GB3096-2008)</w:t>
            </w:r>
            <w:r>
              <w:rPr>
                <w:rFonts w:hint="eastAsia"/>
                <w:sz w:val="24"/>
                <w:szCs w:val="20"/>
              </w:rPr>
              <w:t>2</w:t>
            </w:r>
            <w:r>
              <w:rPr>
                <w:sz w:val="24"/>
                <w:szCs w:val="20"/>
              </w:rPr>
              <w:t>类标准限值要求</w:t>
            </w:r>
            <w:r>
              <w:rPr>
                <w:rFonts w:hint="eastAsia"/>
                <w:sz w:val="24"/>
                <w:szCs w:val="20"/>
              </w:rPr>
              <w:t>，</w:t>
            </w:r>
            <w:r>
              <w:rPr>
                <w:sz w:val="24"/>
                <w:szCs w:val="20"/>
              </w:rPr>
              <w:t>说明区域声环境质量良好。</w:t>
            </w:r>
          </w:p>
          <w:p>
            <w:pPr>
              <w:adjustRightInd w:val="0"/>
              <w:snapToGrid w:val="0"/>
              <w:spacing w:line="480" w:lineRule="exact"/>
              <w:ind w:firstLine="482" w:firstLineChars="200"/>
              <w:rPr>
                <w:b/>
                <w:bCs/>
                <w:kern w:val="0"/>
                <w:sz w:val="24"/>
              </w:rPr>
            </w:pPr>
            <w:r>
              <w:rPr>
                <w:b/>
                <w:bCs/>
                <w:kern w:val="0"/>
                <w:sz w:val="24"/>
              </w:rPr>
              <w:t>5、</w:t>
            </w:r>
            <w:r>
              <w:rPr>
                <w:rFonts w:hint="eastAsia" w:hAnsi="宋体"/>
                <w:b/>
                <w:sz w:val="24"/>
                <w:szCs w:val="32"/>
              </w:rPr>
              <w:t>生态</w:t>
            </w:r>
            <w:r>
              <w:rPr>
                <w:rFonts w:hAnsi="宋体"/>
                <w:b/>
                <w:sz w:val="24"/>
                <w:szCs w:val="32"/>
              </w:rPr>
              <w:t>环境</w:t>
            </w:r>
            <w:r>
              <w:rPr>
                <w:rFonts w:hint="eastAsia" w:hAnsi="宋体"/>
                <w:b/>
                <w:sz w:val="24"/>
                <w:szCs w:val="32"/>
              </w:rPr>
              <w:t>现状</w:t>
            </w:r>
          </w:p>
          <w:p>
            <w:pPr>
              <w:spacing w:line="480" w:lineRule="exact"/>
              <w:ind w:firstLine="480" w:firstLineChars="200"/>
              <w:rPr>
                <w:sz w:val="24"/>
              </w:rPr>
            </w:pPr>
            <w:r>
              <w:rPr>
                <w:rFonts w:hint="eastAsia"/>
                <w:sz w:val="24"/>
              </w:rPr>
              <w:t>项目拟建场址位置位于山</w:t>
            </w:r>
            <w:r>
              <w:rPr>
                <w:sz w:val="24"/>
              </w:rPr>
              <w:t>西省忻州市五台县茹村乡东茹村恶山坪，拟建场址占地面积21954.68m</w:t>
            </w:r>
            <w:r>
              <w:rPr>
                <w:sz w:val="24"/>
                <w:vertAlign w:val="superscript"/>
              </w:rPr>
              <w:t>2</w:t>
            </w:r>
            <w:r>
              <w:rPr>
                <w:sz w:val="24"/>
              </w:rPr>
              <w:t>，中心点坐标为E</w:t>
            </w:r>
            <w:r>
              <w:rPr>
                <w:sz w:val="24"/>
                <w:szCs w:val="32"/>
              </w:rPr>
              <w:t xml:space="preserve"> </w:t>
            </w:r>
            <w:r>
              <w:rPr>
                <w:sz w:val="24"/>
              </w:rPr>
              <w:t>113°22′55.801″，N</w:t>
            </w:r>
            <w:r>
              <w:rPr>
                <w:sz w:val="24"/>
                <w:szCs w:val="32"/>
              </w:rPr>
              <w:t xml:space="preserve"> </w:t>
            </w:r>
            <w:r>
              <w:rPr>
                <w:sz w:val="24"/>
              </w:rPr>
              <w:t>38°44′9.293″；拟建场址四周均为耕地</w:t>
            </w:r>
            <w:r>
              <w:rPr>
                <w:rFonts w:hint="eastAsia"/>
                <w:sz w:val="24"/>
              </w:rPr>
              <w:t>。</w:t>
            </w:r>
            <w:r>
              <w:rPr>
                <w:spacing w:val="4"/>
                <w:sz w:val="24"/>
              </w:rPr>
              <w:t>项目附近以农业生态环境为主。</w:t>
            </w:r>
            <w:r>
              <w:rPr>
                <w:sz w:val="24"/>
              </w:rPr>
              <w:t>项目四周植被类型比较单一，自然环境一般，主要是农业生态环境为主，无天然林及珍稀植被。</w:t>
            </w:r>
            <w:r>
              <w:rPr>
                <w:spacing w:val="4"/>
                <w:sz w:val="24"/>
              </w:rPr>
              <w:t>因此</w:t>
            </w:r>
            <w:r>
              <w:rPr>
                <w:sz w:val="24"/>
              </w:rPr>
              <w:t>区域内生物多样性程度较低，无需要特殊保护的动植物资源。</w:t>
            </w: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bCs/>
                <w:sz w:val="24"/>
              </w:rPr>
            </w:pPr>
          </w:p>
          <w:p>
            <w:pPr>
              <w:adjustRightInd w:val="0"/>
              <w:snapToGrid w:val="0"/>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4759" w:type="pct"/>
            <w:vAlign w:val="center"/>
          </w:tcPr>
          <w:p>
            <w:pPr>
              <w:adjustRightInd w:val="0"/>
              <w:snapToGrid w:val="0"/>
              <w:spacing w:line="480" w:lineRule="exact"/>
              <w:ind w:firstLine="482" w:firstLineChars="200"/>
              <w:rPr>
                <w:b/>
                <w:bCs/>
                <w:sz w:val="24"/>
              </w:rPr>
            </w:pPr>
            <w:r>
              <w:rPr>
                <w:rFonts w:hint="eastAsia"/>
                <w:b/>
                <w:bCs/>
                <w:sz w:val="24"/>
              </w:rPr>
              <w:t>1、大气环境</w:t>
            </w:r>
          </w:p>
          <w:p>
            <w:pPr>
              <w:adjustRightInd w:val="0"/>
              <w:snapToGrid w:val="0"/>
              <w:spacing w:line="480" w:lineRule="exact"/>
              <w:ind w:firstLine="480" w:firstLineChars="200"/>
              <w:rPr>
                <w:sz w:val="24"/>
              </w:rPr>
            </w:pPr>
            <w:r>
              <w:rPr>
                <w:rFonts w:hint="eastAsia"/>
                <w:sz w:val="24"/>
              </w:rPr>
              <w:t>本项目厂界外500米范围内不存在自然保护区、风景名胜区、居住区、文化区和农村地区中人群较集中的区域等保护目标。</w:t>
            </w:r>
          </w:p>
          <w:p>
            <w:pPr>
              <w:adjustRightInd w:val="0"/>
              <w:snapToGrid w:val="0"/>
              <w:spacing w:line="480" w:lineRule="exact"/>
              <w:ind w:firstLine="482" w:firstLineChars="200"/>
              <w:rPr>
                <w:b/>
                <w:bCs/>
                <w:sz w:val="24"/>
              </w:rPr>
            </w:pPr>
            <w:r>
              <w:rPr>
                <w:rFonts w:hint="eastAsia"/>
                <w:b/>
                <w:bCs/>
                <w:sz w:val="24"/>
              </w:rPr>
              <w:t>2、声环境</w:t>
            </w:r>
          </w:p>
          <w:p>
            <w:pPr>
              <w:adjustRightInd w:val="0"/>
              <w:snapToGrid w:val="0"/>
              <w:spacing w:line="480" w:lineRule="exact"/>
              <w:ind w:firstLine="480" w:firstLineChars="200"/>
              <w:rPr>
                <w:sz w:val="24"/>
              </w:rPr>
            </w:pPr>
            <w:r>
              <w:rPr>
                <w:rFonts w:hint="eastAsia"/>
                <w:sz w:val="24"/>
              </w:rPr>
              <w:t>本项目厂界外50米范围内无声环境保护目标。</w:t>
            </w:r>
          </w:p>
          <w:p>
            <w:pPr>
              <w:adjustRightInd w:val="0"/>
              <w:snapToGrid w:val="0"/>
              <w:spacing w:line="480" w:lineRule="exact"/>
              <w:ind w:firstLine="482" w:firstLineChars="200"/>
              <w:rPr>
                <w:b/>
                <w:bCs/>
                <w:sz w:val="24"/>
              </w:rPr>
            </w:pPr>
            <w:r>
              <w:rPr>
                <w:rFonts w:hint="eastAsia"/>
                <w:b/>
                <w:bCs/>
                <w:sz w:val="24"/>
              </w:rPr>
              <w:t>3、地下水环境</w:t>
            </w:r>
          </w:p>
          <w:p>
            <w:pPr>
              <w:adjustRightInd w:val="0"/>
              <w:snapToGrid w:val="0"/>
              <w:spacing w:line="480" w:lineRule="exact"/>
              <w:ind w:firstLine="480" w:firstLineChars="200"/>
              <w:rPr>
                <w:sz w:val="24"/>
              </w:rPr>
            </w:pPr>
            <w:r>
              <w:rPr>
                <w:rFonts w:hint="eastAsia"/>
                <w:sz w:val="24"/>
              </w:rPr>
              <w:t>本项目厂界外500米范围内无地下水集中式饮用水水源和热水、矿泉水、温泉等特殊地下水资源。</w:t>
            </w:r>
          </w:p>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241" w:type="pct"/>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4759" w:type="pct"/>
            <w:vAlign w:val="center"/>
          </w:tcPr>
          <w:p>
            <w:pPr>
              <w:spacing w:line="480" w:lineRule="exact"/>
              <w:ind w:firstLine="482" w:firstLineChars="200"/>
              <w:rPr>
                <w:b/>
                <w:sz w:val="24"/>
              </w:rPr>
            </w:pPr>
            <w:r>
              <w:rPr>
                <w:b/>
                <w:sz w:val="24"/>
              </w:rPr>
              <w:t>1、大气污染物排放标准</w:t>
            </w:r>
          </w:p>
          <w:p>
            <w:pPr>
              <w:spacing w:line="480" w:lineRule="exact"/>
              <w:ind w:firstLine="480" w:firstLineChars="200"/>
              <w:rPr>
                <w:bCs/>
                <w:sz w:val="24"/>
              </w:rPr>
            </w:pPr>
            <w:r>
              <w:rPr>
                <w:rFonts w:hint="eastAsia"/>
                <w:bCs/>
                <w:sz w:val="24"/>
              </w:rPr>
              <w:t>遗体火化的废气排放执行《火葬场大气污染物排放标准》（G</w:t>
            </w:r>
            <w:r>
              <w:rPr>
                <w:bCs/>
                <w:sz w:val="24"/>
              </w:rPr>
              <w:t>B13801-2015</w:t>
            </w:r>
            <w:r>
              <w:rPr>
                <w:rFonts w:hint="eastAsia"/>
                <w:bCs/>
                <w:sz w:val="24"/>
              </w:rPr>
              <w:t>）中表2新建单位遗体火化大气污染物排放限值；遗物、祭品焚烧废气排放执行《火葬场大气污染物排放标准》（G</w:t>
            </w:r>
            <w:r>
              <w:rPr>
                <w:bCs/>
                <w:sz w:val="24"/>
              </w:rPr>
              <w:t>B13801-2015</w:t>
            </w:r>
            <w:r>
              <w:rPr>
                <w:rFonts w:hint="eastAsia"/>
                <w:bCs/>
                <w:sz w:val="24"/>
              </w:rPr>
              <w:t>）中表</w:t>
            </w:r>
            <w:r>
              <w:rPr>
                <w:bCs/>
                <w:sz w:val="24"/>
              </w:rPr>
              <w:t>3</w:t>
            </w:r>
            <w:r>
              <w:rPr>
                <w:rFonts w:hint="eastAsia"/>
                <w:bCs/>
                <w:sz w:val="24"/>
              </w:rPr>
              <w:t>遗物祭品焚烧大气污染物排放限值。遗体火化过程中可能会排放异味，厂界臭气浓度执行《恶臭污染物排放标准》（G</w:t>
            </w:r>
            <w:r>
              <w:rPr>
                <w:bCs/>
                <w:sz w:val="24"/>
              </w:rPr>
              <w:t>B14554-93</w:t>
            </w:r>
            <w:r>
              <w:rPr>
                <w:rFonts w:hint="eastAsia"/>
                <w:bCs/>
                <w:sz w:val="24"/>
              </w:rPr>
              <w:t>）中恶臭污染物厂界标准值；具体标准值见下表。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 xml:space="preserve">3-16 </w:t>
            </w:r>
            <w:r>
              <w:rPr>
                <w:rFonts w:hint="eastAsia" w:ascii="黑体" w:hAnsi="黑体" w:eastAsia="黑体"/>
                <w:bCs/>
                <w:sz w:val="24"/>
                <w:szCs w:val="32"/>
              </w:rPr>
              <w:t xml:space="preserve"> 《火葬场大气污染物排放标准》（GB13801-2015）</w:t>
            </w:r>
          </w:p>
          <w:p>
            <w:pPr>
              <w:spacing w:line="480" w:lineRule="exact"/>
              <w:jc w:val="center"/>
              <w:rPr>
                <w:rFonts w:ascii="黑体" w:hAnsi="黑体" w:eastAsia="黑体"/>
                <w:bCs/>
                <w:sz w:val="24"/>
                <w:szCs w:val="32"/>
              </w:rPr>
            </w:pPr>
            <w:r>
              <w:rPr>
                <w:rFonts w:hint="eastAsia" w:ascii="黑体" w:hAnsi="黑体" w:eastAsia="黑体"/>
                <w:bCs/>
                <w:sz w:val="24"/>
                <w:szCs w:val="32"/>
              </w:rPr>
              <w:t>表2新建单位遗体火化大气污染物排放限值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3682"/>
              <w:gridCol w:w="184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序号</w:t>
                  </w:r>
                </w:p>
              </w:tc>
              <w:tc>
                <w:tcPr>
                  <w:tcW w:w="2137" w:type="pct"/>
                  <w:vAlign w:val="center"/>
                </w:tcPr>
                <w:p>
                  <w:pPr>
                    <w:jc w:val="center"/>
                    <w:rPr>
                      <w:szCs w:val="21"/>
                    </w:rPr>
                  </w:pPr>
                  <w:r>
                    <w:rPr>
                      <w:rFonts w:hint="eastAsia"/>
                      <w:szCs w:val="21"/>
                    </w:rPr>
                    <w:t>控制项目</w:t>
                  </w:r>
                </w:p>
              </w:tc>
              <w:tc>
                <w:tcPr>
                  <w:tcW w:w="1068" w:type="pct"/>
                  <w:vAlign w:val="center"/>
                </w:tcPr>
                <w:p>
                  <w:pPr>
                    <w:jc w:val="center"/>
                    <w:rPr>
                      <w:szCs w:val="21"/>
                    </w:rPr>
                  </w:pPr>
                  <w:r>
                    <w:rPr>
                      <w:rFonts w:hint="eastAsia"/>
                      <w:szCs w:val="21"/>
                    </w:rPr>
                    <w:t>排放限值</w:t>
                  </w:r>
                </w:p>
              </w:tc>
              <w:tc>
                <w:tcPr>
                  <w:tcW w:w="1381" w:type="pct"/>
                  <w:vAlign w:val="center"/>
                </w:tcPr>
                <w:p>
                  <w:pPr>
                    <w:jc w:val="center"/>
                    <w:rPr>
                      <w:szCs w:val="21"/>
                    </w:rPr>
                  </w:pPr>
                  <w:r>
                    <w:rPr>
                      <w:rFonts w:hint="eastAsia"/>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1</w:t>
                  </w:r>
                </w:p>
              </w:tc>
              <w:tc>
                <w:tcPr>
                  <w:tcW w:w="2137" w:type="pct"/>
                  <w:vAlign w:val="center"/>
                </w:tcPr>
                <w:p>
                  <w:pPr>
                    <w:jc w:val="center"/>
                    <w:rPr>
                      <w:szCs w:val="21"/>
                      <w:vertAlign w:val="superscript"/>
                    </w:rPr>
                  </w:pPr>
                  <w:r>
                    <w:rPr>
                      <w:rFonts w:hint="eastAsia"/>
                      <w:szCs w:val="21"/>
                    </w:rPr>
                    <w:t>烟尘 mg/m</w:t>
                  </w:r>
                  <w:r>
                    <w:rPr>
                      <w:szCs w:val="21"/>
                      <w:vertAlign w:val="superscript"/>
                    </w:rPr>
                    <w:t>3</w:t>
                  </w:r>
                </w:p>
              </w:tc>
              <w:tc>
                <w:tcPr>
                  <w:tcW w:w="1068" w:type="pct"/>
                  <w:vAlign w:val="center"/>
                </w:tcPr>
                <w:p>
                  <w:pPr>
                    <w:jc w:val="center"/>
                    <w:rPr>
                      <w:szCs w:val="21"/>
                    </w:rPr>
                  </w:pPr>
                  <w:r>
                    <w:rPr>
                      <w:szCs w:val="21"/>
                    </w:rPr>
                    <w:t>30</w:t>
                  </w:r>
                </w:p>
              </w:tc>
              <w:tc>
                <w:tcPr>
                  <w:tcW w:w="1381" w:type="pct"/>
                  <w:vMerge w:val="restart"/>
                  <w:vAlign w:val="center"/>
                </w:tcPr>
                <w:p>
                  <w:pPr>
                    <w:jc w:val="center"/>
                    <w:rPr>
                      <w:szCs w:val="21"/>
                    </w:rPr>
                  </w:pPr>
                  <w:r>
                    <w:rPr>
                      <w:rFonts w:hint="eastAsia"/>
                      <w:szCs w:val="21"/>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2</w:t>
                  </w:r>
                </w:p>
              </w:tc>
              <w:tc>
                <w:tcPr>
                  <w:tcW w:w="2137" w:type="pct"/>
                  <w:vAlign w:val="center"/>
                </w:tcPr>
                <w:p>
                  <w:pPr>
                    <w:jc w:val="center"/>
                    <w:rPr>
                      <w:szCs w:val="21"/>
                    </w:rPr>
                  </w:pPr>
                  <w:r>
                    <w:rPr>
                      <w:rFonts w:hint="eastAsia"/>
                      <w:szCs w:val="21"/>
                    </w:rPr>
                    <w:t>二氧化硫 mg/m</w:t>
                  </w:r>
                  <w:r>
                    <w:rPr>
                      <w:szCs w:val="21"/>
                      <w:vertAlign w:val="superscript"/>
                    </w:rPr>
                    <w:t>3</w:t>
                  </w:r>
                </w:p>
              </w:tc>
              <w:tc>
                <w:tcPr>
                  <w:tcW w:w="1068" w:type="pct"/>
                  <w:vAlign w:val="center"/>
                </w:tcPr>
                <w:p>
                  <w:pPr>
                    <w:jc w:val="center"/>
                    <w:rPr>
                      <w:szCs w:val="21"/>
                    </w:rPr>
                  </w:pPr>
                  <w:r>
                    <w:rPr>
                      <w:szCs w:val="21"/>
                    </w:rPr>
                    <w:t>30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3</w:t>
                  </w:r>
                </w:p>
              </w:tc>
              <w:tc>
                <w:tcPr>
                  <w:tcW w:w="2137" w:type="pct"/>
                  <w:vAlign w:val="center"/>
                </w:tcPr>
                <w:p>
                  <w:pPr>
                    <w:jc w:val="center"/>
                    <w:rPr>
                      <w:szCs w:val="21"/>
                    </w:rPr>
                  </w:pPr>
                  <w:r>
                    <w:rPr>
                      <w:rFonts w:hint="eastAsia"/>
                      <w:szCs w:val="21"/>
                    </w:rPr>
                    <w:t>氮氧化物（以</w:t>
                  </w:r>
                  <w:r>
                    <w:rPr>
                      <w:szCs w:val="21"/>
                    </w:rPr>
                    <w:t>NO</w:t>
                  </w:r>
                  <w:r>
                    <w:rPr>
                      <w:rFonts w:hint="eastAsia"/>
                      <w:szCs w:val="21"/>
                      <w:vertAlign w:val="subscript"/>
                    </w:rPr>
                    <w:t>2</w:t>
                  </w:r>
                  <w:r>
                    <w:rPr>
                      <w:rFonts w:hint="eastAsia"/>
                      <w:szCs w:val="21"/>
                    </w:rPr>
                    <w:t>计） mg/m</w:t>
                  </w:r>
                  <w:r>
                    <w:rPr>
                      <w:szCs w:val="21"/>
                      <w:vertAlign w:val="superscript"/>
                    </w:rPr>
                    <w:t>3</w:t>
                  </w:r>
                </w:p>
              </w:tc>
              <w:tc>
                <w:tcPr>
                  <w:tcW w:w="1068" w:type="pct"/>
                  <w:vAlign w:val="center"/>
                </w:tcPr>
                <w:p>
                  <w:pPr>
                    <w:jc w:val="center"/>
                    <w:rPr>
                      <w:szCs w:val="21"/>
                    </w:rPr>
                  </w:pPr>
                  <w:r>
                    <w:rPr>
                      <w:szCs w:val="21"/>
                    </w:rPr>
                    <w:t>200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4</w:t>
                  </w:r>
                </w:p>
              </w:tc>
              <w:tc>
                <w:tcPr>
                  <w:tcW w:w="2137" w:type="pct"/>
                  <w:vAlign w:val="center"/>
                </w:tcPr>
                <w:p>
                  <w:pPr>
                    <w:jc w:val="center"/>
                    <w:rPr>
                      <w:szCs w:val="21"/>
                    </w:rPr>
                  </w:pPr>
                  <w:r>
                    <w:rPr>
                      <w:rFonts w:hint="eastAsia"/>
                      <w:szCs w:val="21"/>
                    </w:rPr>
                    <w:t>一氧化碳 mg/m</w:t>
                  </w:r>
                  <w:r>
                    <w:rPr>
                      <w:szCs w:val="21"/>
                      <w:vertAlign w:val="superscript"/>
                    </w:rPr>
                    <w:t>3</w:t>
                  </w:r>
                </w:p>
              </w:tc>
              <w:tc>
                <w:tcPr>
                  <w:tcW w:w="1068" w:type="pct"/>
                  <w:vAlign w:val="center"/>
                </w:tcPr>
                <w:p>
                  <w:pPr>
                    <w:jc w:val="center"/>
                    <w:rPr>
                      <w:szCs w:val="21"/>
                    </w:rPr>
                  </w:pPr>
                  <w:r>
                    <w:rPr>
                      <w:szCs w:val="21"/>
                    </w:rPr>
                    <w:t>150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5</w:t>
                  </w:r>
                </w:p>
              </w:tc>
              <w:tc>
                <w:tcPr>
                  <w:tcW w:w="2137" w:type="pct"/>
                  <w:vAlign w:val="center"/>
                </w:tcPr>
                <w:p>
                  <w:pPr>
                    <w:jc w:val="center"/>
                    <w:rPr>
                      <w:szCs w:val="21"/>
                    </w:rPr>
                  </w:pPr>
                  <w:r>
                    <w:rPr>
                      <w:rFonts w:hint="eastAsia"/>
                      <w:szCs w:val="21"/>
                    </w:rPr>
                    <w:t>氯化氢 mg/m</w:t>
                  </w:r>
                  <w:r>
                    <w:rPr>
                      <w:szCs w:val="21"/>
                      <w:vertAlign w:val="superscript"/>
                    </w:rPr>
                    <w:t>3</w:t>
                  </w:r>
                </w:p>
              </w:tc>
              <w:tc>
                <w:tcPr>
                  <w:tcW w:w="1068" w:type="pct"/>
                  <w:vAlign w:val="center"/>
                </w:tcPr>
                <w:p>
                  <w:pPr>
                    <w:jc w:val="center"/>
                    <w:rPr>
                      <w:szCs w:val="21"/>
                    </w:rPr>
                  </w:pPr>
                  <w:r>
                    <w:rPr>
                      <w:szCs w:val="21"/>
                    </w:rPr>
                    <w:t>30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6</w:t>
                  </w:r>
                </w:p>
              </w:tc>
              <w:tc>
                <w:tcPr>
                  <w:tcW w:w="2137" w:type="pct"/>
                  <w:vAlign w:val="center"/>
                </w:tcPr>
                <w:p>
                  <w:pPr>
                    <w:jc w:val="center"/>
                    <w:rPr>
                      <w:szCs w:val="21"/>
                    </w:rPr>
                  </w:pPr>
                  <w:r>
                    <w:rPr>
                      <w:rFonts w:hint="eastAsia"/>
                      <w:szCs w:val="21"/>
                    </w:rPr>
                    <w:t>汞 mg/m</w:t>
                  </w:r>
                  <w:r>
                    <w:rPr>
                      <w:szCs w:val="21"/>
                      <w:vertAlign w:val="superscript"/>
                    </w:rPr>
                    <w:t>3</w:t>
                  </w:r>
                </w:p>
              </w:tc>
              <w:tc>
                <w:tcPr>
                  <w:tcW w:w="1068" w:type="pct"/>
                  <w:vAlign w:val="center"/>
                </w:tcPr>
                <w:p>
                  <w:pPr>
                    <w:jc w:val="center"/>
                    <w:rPr>
                      <w:szCs w:val="21"/>
                    </w:rPr>
                  </w:pPr>
                  <w:r>
                    <w:rPr>
                      <w:szCs w:val="21"/>
                    </w:rPr>
                    <w:t>0.1</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7</w:t>
                  </w:r>
                </w:p>
              </w:tc>
              <w:tc>
                <w:tcPr>
                  <w:tcW w:w="2137" w:type="pct"/>
                  <w:vAlign w:val="center"/>
                </w:tcPr>
                <w:p>
                  <w:pPr>
                    <w:jc w:val="center"/>
                    <w:rPr>
                      <w:szCs w:val="21"/>
                    </w:rPr>
                  </w:pPr>
                  <w:r>
                    <w:rPr>
                      <w:szCs w:val="21"/>
                    </w:rPr>
                    <w:t>二噁英类（ng-TEQ/m</w:t>
                  </w:r>
                  <w:r>
                    <w:rPr>
                      <w:szCs w:val="21"/>
                      <w:vertAlign w:val="superscript"/>
                    </w:rPr>
                    <w:t>3</w:t>
                  </w:r>
                  <w:r>
                    <w:rPr>
                      <w:szCs w:val="21"/>
                    </w:rPr>
                    <w:t>）</w:t>
                  </w:r>
                </w:p>
              </w:tc>
              <w:tc>
                <w:tcPr>
                  <w:tcW w:w="1068" w:type="pct"/>
                  <w:vAlign w:val="center"/>
                </w:tcPr>
                <w:p>
                  <w:pPr>
                    <w:jc w:val="center"/>
                    <w:rPr>
                      <w:szCs w:val="21"/>
                    </w:rPr>
                  </w:pPr>
                  <w:r>
                    <w:rPr>
                      <w:szCs w:val="21"/>
                    </w:rPr>
                    <w:t>0.5</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13" w:type="pct"/>
                  <w:vAlign w:val="center"/>
                </w:tcPr>
                <w:p>
                  <w:pPr>
                    <w:jc w:val="center"/>
                    <w:rPr>
                      <w:szCs w:val="21"/>
                    </w:rPr>
                  </w:pPr>
                  <w:r>
                    <w:rPr>
                      <w:szCs w:val="21"/>
                    </w:rPr>
                    <w:t>8</w:t>
                  </w:r>
                </w:p>
              </w:tc>
              <w:tc>
                <w:tcPr>
                  <w:tcW w:w="2137" w:type="pct"/>
                  <w:vAlign w:val="center"/>
                </w:tcPr>
                <w:p>
                  <w:pPr>
                    <w:jc w:val="center"/>
                    <w:rPr>
                      <w:szCs w:val="21"/>
                    </w:rPr>
                  </w:pPr>
                  <w:r>
                    <w:rPr>
                      <w:rFonts w:hint="eastAsia"/>
                      <w:szCs w:val="21"/>
                    </w:rPr>
                    <w:t>烟气黑度（林格曼黑度，级）</w:t>
                  </w:r>
                </w:p>
              </w:tc>
              <w:tc>
                <w:tcPr>
                  <w:tcW w:w="1068" w:type="pct"/>
                  <w:vAlign w:val="center"/>
                </w:tcPr>
                <w:p>
                  <w:pPr>
                    <w:jc w:val="center"/>
                    <w:rPr>
                      <w:szCs w:val="21"/>
                    </w:rPr>
                  </w:pPr>
                  <w:r>
                    <w:rPr>
                      <w:szCs w:val="21"/>
                    </w:rPr>
                    <w:t>1</w:t>
                  </w:r>
                </w:p>
              </w:tc>
              <w:tc>
                <w:tcPr>
                  <w:tcW w:w="1381" w:type="pct"/>
                  <w:vAlign w:val="center"/>
                </w:tcPr>
                <w:p>
                  <w:pPr>
                    <w:jc w:val="center"/>
                    <w:rPr>
                      <w:szCs w:val="21"/>
                    </w:rPr>
                  </w:pPr>
                  <w:r>
                    <w:rPr>
                      <w:rFonts w:hint="eastAsia"/>
                      <w:szCs w:val="21"/>
                    </w:rPr>
                    <w:t>烟囱排放口</w:t>
                  </w:r>
                </w:p>
              </w:tc>
            </w:tr>
          </w:tbl>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3-17</w:t>
            </w:r>
            <w:r>
              <w:rPr>
                <w:rFonts w:hint="eastAsia" w:ascii="黑体" w:hAnsi="黑体" w:eastAsia="黑体"/>
                <w:bCs/>
                <w:sz w:val="24"/>
                <w:szCs w:val="32"/>
              </w:rPr>
              <w:t xml:space="preserve">  《火葬场大气污染物排放标准》（GB13801-2015）</w:t>
            </w:r>
          </w:p>
          <w:p>
            <w:pPr>
              <w:spacing w:line="480" w:lineRule="exact"/>
              <w:jc w:val="center"/>
              <w:rPr>
                <w:rFonts w:ascii="黑体" w:hAnsi="黑体" w:eastAsia="黑体"/>
                <w:bCs/>
                <w:sz w:val="24"/>
                <w:szCs w:val="32"/>
              </w:rPr>
            </w:pPr>
            <w:r>
              <w:rPr>
                <w:rFonts w:hint="eastAsia" w:ascii="黑体" w:hAnsi="黑体" w:eastAsia="黑体"/>
                <w:bCs/>
                <w:sz w:val="24"/>
                <w:szCs w:val="32"/>
              </w:rPr>
              <w:t>表3遗物祭品焚烧大气污染物排放限值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3683"/>
              <w:gridCol w:w="184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序号</w:t>
                  </w:r>
                </w:p>
              </w:tc>
              <w:tc>
                <w:tcPr>
                  <w:tcW w:w="2138" w:type="pct"/>
                  <w:vAlign w:val="center"/>
                </w:tcPr>
                <w:p>
                  <w:pPr>
                    <w:jc w:val="center"/>
                    <w:rPr>
                      <w:szCs w:val="21"/>
                    </w:rPr>
                  </w:pPr>
                  <w:r>
                    <w:rPr>
                      <w:rFonts w:hint="eastAsia"/>
                      <w:szCs w:val="21"/>
                    </w:rPr>
                    <w:t>控制项目</w:t>
                  </w:r>
                </w:p>
              </w:tc>
              <w:tc>
                <w:tcPr>
                  <w:tcW w:w="1068" w:type="pct"/>
                  <w:vAlign w:val="center"/>
                </w:tcPr>
                <w:p>
                  <w:pPr>
                    <w:jc w:val="center"/>
                    <w:rPr>
                      <w:szCs w:val="21"/>
                    </w:rPr>
                  </w:pPr>
                  <w:r>
                    <w:rPr>
                      <w:rFonts w:hint="eastAsia"/>
                      <w:szCs w:val="21"/>
                    </w:rPr>
                    <w:t>排放限值</w:t>
                  </w:r>
                </w:p>
              </w:tc>
              <w:tc>
                <w:tcPr>
                  <w:tcW w:w="1381" w:type="pct"/>
                  <w:vAlign w:val="center"/>
                </w:tcPr>
                <w:p>
                  <w:pPr>
                    <w:jc w:val="center"/>
                    <w:rPr>
                      <w:szCs w:val="21"/>
                    </w:rPr>
                  </w:pPr>
                  <w:r>
                    <w:rPr>
                      <w:rFonts w:hint="eastAsia"/>
                      <w:szCs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1</w:t>
                  </w:r>
                </w:p>
              </w:tc>
              <w:tc>
                <w:tcPr>
                  <w:tcW w:w="2138" w:type="pct"/>
                  <w:vAlign w:val="center"/>
                </w:tcPr>
                <w:p>
                  <w:pPr>
                    <w:jc w:val="center"/>
                    <w:rPr>
                      <w:szCs w:val="21"/>
                      <w:vertAlign w:val="superscript"/>
                    </w:rPr>
                  </w:pPr>
                  <w:r>
                    <w:rPr>
                      <w:rFonts w:hint="eastAsia"/>
                      <w:szCs w:val="21"/>
                    </w:rPr>
                    <w:t>烟尘 mg/m</w:t>
                  </w:r>
                  <w:r>
                    <w:rPr>
                      <w:szCs w:val="21"/>
                      <w:vertAlign w:val="superscript"/>
                    </w:rPr>
                    <w:t>3</w:t>
                  </w:r>
                </w:p>
              </w:tc>
              <w:tc>
                <w:tcPr>
                  <w:tcW w:w="1068" w:type="pct"/>
                  <w:vAlign w:val="center"/>
                </w:tcPr>
                <w:p>
                  <w:pPr>
                    <w:jc w:val="center"/>
                    <w:rPr>
                      <w:szCs w:val="21"/>
                    </w:rPr>
                  </w:pPr>
                  <w:r>
                    <w:rPr>
                      <w:szCs w:val="21"/>
                    </w:rPr>
                    <w:t>30</w:t>
                  </w:r>
                </w:p>
              </w:tc>
              <w:tc>
                <w:tcPr>
                  <w:tcW w:w="1381" w:type="pct"/>
                  <w:vMerge w:val="restart"/>
                  <w:vAlign w:val="center"/>
                </w:tcPr>
                <w:p>
                  <w:pPr>
                    <w:jc w:val="center"/>
                    <w:rPr>
                      <w:szCs w:val="21"/>
                    </w:rPr>
                  </w:pPr>
                  <w:r>
                    <w:rPr>
                      <w:rFonts w:hint="eastAsia"/>
                      <w:szCs w:val="21"/>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2</w:t>
                  </w:r>
                </w:p>
              </w:tc>
              <w:tc>
                <w:tcPr>
                  <w:tcW w:w="2138" w:type="pct"/>
                  <w:vAlign w:val="center"/>
                </w:tcPr>
                <w:p>
                  <w:pPr>
                    <w:jc w:val="center"/>
                    <w:rPr>
                      <w:szCs w:val="21"/>
                    </w:rPr>
                  </w:pPr>
                  <w:r>
                    <w:rPr>
                      <w:rFonts w:hint="eastAsia"/>
                      <w:szCs w:val="21"/>
                    </w:rPr>
                    <w:t>二氧化硫 mg/m</w:t>
                  </w:r>
                  <w:r>
                    <w:rPr>
                      <w:szCs w:val="21"/>
                      <w:vertAlign w:val="superscript"/>
                    </w:rPr>
                    <w:t>3</w:t>
                  </w:r>
                </w:p>
              </w:tc>
              <w:tc>
                <w:tcPr>
                  <w:tcW w:w="1068" w:type="pct"/>
                  <w:vAlign w:val="center"/>
                </w:tcPr>
                <w:p>
                  <w:pPr>
                    <w:jc w:val="center"/>
                    <w:rPr>
                      <w:szCs w:val="21"/>
                    </w:rPr>
                  </w:pPr>
                  <w:r>
                    <w:rPr>
                      <w:szCs w:val="21"/>
                    </w:rPr>
                    <w:t>30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3</w:t>
                  </w:r>
                </w:p>
              </w:tc>
              <w:tc>
                <w:tcPr>
                  <w:tcW w:w="2138" w:type="pct"/>
                  <w:vAlign w:val="center"/>
                </w:tcPr>
                <w:p>
                  <w:pPr>
                    <w:jc w:val="center"/>
                    <w:rPr>
                      <w:szCs w:val="21"/>
                    </w:rPr>
                  </w:pPr>
                  <w:r>
                    <w:rPr>
                      <w:rFonts w:hint="eastAsia"/>
                      <w:szCs w:val="21"/>
                    </w:rPr>
                    <w:t>氮氧化物（以</w:t>
                  </w:r>
                  <w:r>
                    <w:rPr>
                      <w:szCs w:val="21"/>
                    </w:rPr>
                    <w:t>NO</w:t>
                  </w:r>
                  <w:r>
                    <w:rPr>
                      <w:rFonts w:hint="eastAsia"/>
                      <w:szCs w:val="21"/>
                      <w:vertAlign w:val="subscript"/>
                    </w:rPr>
                    <w:t>2</w:t>
                  </w:r>
                  <w:r>
                    <w:rPr>
                      <w:rFonts w:hint="eastAsia"/>
                      <w:szCs w:val="21"/>
                    </w:rPr>
                    <w:t>计） mg/m</w:t>
                  </w:r>
                  <w:r>
                    <w:rPr>
                      <w:szCs w:val="21"/>
                      <w:vertAlign w:val="superscript"/>
                    </w:rPr>
                    <w:t>3</w:t>
                  </w:r>
                </w:p>
              </w:tc>
              <w:tc>
                <w:tcPr>
                  <w:tcW w:w="1068" w:type="pct"/>
                  <w:vAlign w:val="center"/>
                </w:tcPr>
                <w:p>
                  <w:pPr>
                    <w:jc w:val="center"/>
                    <w:rPr>
                      <w:szCs w:val="21"/>
                    </w:rPr>
                  </w:pPr>
                  <w:r>
                    <w:rPr>
                      <w:szCs w:val="21"/>
                    </w:rPr>
                    <w:t>200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4</w:t>
                  </w:r>
                </w:p>
              </w:tc>
              <w:tc>
                <w:tcPr>
                  <w:tcW w:w="2138" w:type="pct"/>
                  <w:vAlign w:val="center"/>
                </w:tcPr>
                <w:p>
                  <w:pPr>
                    <w:jc w:val="center"/>
                    <w:rPr>
                      <w:szCs w:val="21"/>
                    </w:rPr>
                  </w:pPr>
                  <w:r>
                    <w:rPr>
                      <w:rFonts w:hint="eastAsia"/>
                      <w:szCs w:val="21"/>
                    </w:rPr>
                    <w:t>一氧化碳 mg/m</w:t>
                  </w:r>
                  <w:r>
                    <w:rPr>
                      <w:szCs w:val="21"/>
                      <w:vertAlign w:val="superscript"/>
                    </w:rPr>
                    <w:t>3</w:t>
                  </w:r>
                </w:p>
              </w:tc>
              <w:tc>
                <w:tcPr>
                  <w:tcW w:w="1068" w:type="pct"/>
                  <w:vAlign w:val="center"/>
                </w:tcPr>
                <w:p>
                  <w:pPr>
                    <w:jc w:val="center"/>
                    <w:rPr>
                      <w:szCs w:val="21"/>
                    </w:rPr>
                  </w:pPr>
                  <w:r>
                    <w:rPr>
                      <w:szCs w:val="21"/>
                    </w:rPr>
                    <w:t>150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5</w:t>
                  </w:r>
                </w:p>
              </w:tc>
              <w:tc>
                <w:tcPr>
                  <w:tcW w:w="2138" w:type="pct"/>
                  <w:vAlign w:val="center"/>
                </w:tcPr>
                <w:p>
                  <w:pPr>
                    <w:jc w:val="center"/>
                    <w:rPr>
                      <w:szCs w:val="21"/>
                    </w:rPr>
                  </w:pPr>
                  <w:r>
                    <w:rPr>
                      <w:rFonts w:hint="eastAsia"/>
                      <w:szCs w:val="21"/>
                    </w:rPr>
                    <w:t>氯化氢 mg/m</w:t>
                  </w:r>
                  <w:r>
                    <w:rPr>
                      <w:szCs w:val="21"/>
                      <w:vertAlign w:val="superscript"/>
                    </w:rPr>
                    <w:t>3</w:t>
                  </w:r>
                </w:p>
              </w:tc>
              <w:tc>
                <w:tcPr>
                  <w:tcW w:w="1068" w:type="pct"/>
                  <w:vAlign w:val="center"/>
                </w:tcPr>
                <w:p>
                  <w:pPr>
                    <w:jc w:val="center"/>
                    <w:rPr>
                      <w:szCs w:val="21"/>
                    </w:rPr>
                  </w:pPr>
                  <w:r>
                    <w:rPr>
                      <w:szCs w:val="21"/>
                    </w:rPr>
                    <w:t>30</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6</w:t>
                  </w:r>
                </w:p>
              </w:tc>
              <w:tc>
                <w:tcPr>
                  <w:tcW w:w="2138" w:type="pct"/>
                  <w:vAlign w:val="center"/>
                </w:tcPr>
                <w:p>
                  <w:pPr>
                    <w:jc w:val="center"/>
                    <w:rPr>
                      <w:szCs w:val="21"/>
                    </w:rPr>
                  </w:pPr>
                  <w:r>
                    <w:rPr>
                      <w:szCs w:val="21"/>
                    </w:rPr>
                    <w:t>二噁英类（ng-TEQ/m</w:t>
                  </w:r>
                  <w:r>
                    <w:rPr>
                      <w:szCs w:val="21"/>
                      <w:vertAlign w:val="superscript"/>
                    </w:rPr>
                    <w:t>3</w:t>
                  </w:r>
                  <w:r>
                    <w:rPr>
                      <w:szCs w:val="21"/>
                    </w:rPr>
                    <w:t>）</w:t>
                  </w:r>
                </w:p>
              </w:tc>
              <w:tc>
                <w:tcPr>
                  <w:tcW w:w="1068" w:type="pct"/>
                  <w:vAlign w:val="center"/>
                </w:tcPr>
                <w:p>
                  <w:pPr>
                    <w:jc w:val="center"/>
                    <w:rPr>
                      <w:szCs w:val="21"/>
                    </w:rPr>
                  </w:pPr>
                  <w:r>
                    <w:rPr>
                      <w:szCs w:val="21"/>
                    </w:rPr>
                    <w:t>0.5</w:t>
                  </w:r>
                </w:p>
              </w:tc>
              <w:tc>
                <w:tcPr>
                  <w:tcW w:w="1381"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Align w:val="center"/>
                </w:tcPr>
                <w:p>
                  <w:pPr>
                    <w:jc w:val="center"/>
                    <w:rPr>
                      <w:szCs w:val="21"/>
                    </w:rPr>
                  </w:pPr>
                  <w:r>
                    <w:rPr>
                      <w:szCs w:val="21"/>
                    </w:rPr>
                    <w:t>7</w:t>
                  </w:r>
                </w:p>
              </w:tc>
              <w:tc>
                <w:tcPr>
                  <w:tcW w:w="2138" w:type="pct"/>
                  <w:vAlign w:val="center"/>
                </w:tcPr>
                <w:p>
                  <w:pPr>
                    <w:jc w:val="center"/>
                    <w:rPr>
                      <w:szCs w:val="21"/>
                    </w:rPr>
                  </w:pPr>
                  <w:r>
                    <w:rPr>
                      <w:rFonts w:hint="eastAsia"/>
                      <w:szCs w:val="21"/>
                    </w:rPr>
                    <w:t>烟气黑度（林格曼黑度，级）</w:t>
                  </w:r>
                </w:p>
              </w:tc>
              <w:tc>
                <w:tcPr>
                  <w:tcW w:w="1068" w:type="pct"/>
                  <w:vAlign w:val="center"/>
                </w:tcPr>
                <w:p>
                  <w:pPr>
                    <w:jc w:val="center"/>
                    <w:rPr>
                      <w:szCs w:val="21"/>
                    </w:rPr>
                  </w:pPr>
                  <w:r>
                    <w:rPr>
                      <w:szCs w:val="21"/>
                    </w:rPr>
                    <w:t>1</w:t>
                  </w:r>
                </w:p>
              </w:tc>
              <w:tc>
                <w:tcPr>
                  <w:tcW w:w="1381" w:type="pct"/>
                  <w:vAlign w:val="center"/>
                </w:tcPr>
                <w:p>
                  <w:pPr>
                    <w:jc w:val="center"/>
                    <w:rPr>
                      <w:szCs w:val="21"/>
                    </w:rPr>
                  </w:pPr>
                  <w:r>
                    <w:rPr>
                      <w:rFonts w:hint="eastAsia"/>
                      <w:szCs w:val="21"/>
                    </w:rPr>
                    <w:t>烟囱排放口</w:t>
                  </w:r>
                </w:p>
              </w:tc>
            </w:tr>
          </w:tbl>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3-18</w:t>
            </w:r>
            <w:r>
              <w:rPr>
                <w:rFonts w:hint="eastAsia" w:ascii="黑体" w:hAnsi="黑体" w:eastAsia="黑体"/>
                <w:bCs/>
                <w:sz w:val="24"/>
                <w:szCs w:val="32"/>
              </w:rPr>
              <w:t xml:space="preserve">  《恶臭污染物排放标准》（G</w:t>
            </w:r>
            <w:r>
              <w:rPr>
                <w:rFonts w:ascii="黑体" w:hAnsi="黑体" w:eastAsia="黑体"/>
                <w:bCs/>
                <w:sz w:val="24"/>
                <w:szCs w:val="32"/>
              </w:rPr>
              <w:t>B14554-93</w:t>
            </w:r>
            <w:r>
              <w:rPr>
                <w:rFonts w:hint="eastAsia" w:ascii="黑体" w:hAnsi="黑体" w:eastAsia="黑体"/>
                <w:bCs/>
                <w:sz w:val="24"/>
                <w:szCs w:val="32"/>
              </w:rPr>
              <w:t>）恶臭污染物厂界标准值</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3388"/>
              <w:gridCol w:w="4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vAlign w:val="center"/>
                </w:tcPr>
                <w:p>
                  <w:pPr>
                    <w:jc w:val="center"/>
                    <w:rPr>
                      <w:szCs w:val="21"/>
                    </w:rPr>
                  </w:pPr>
                  <w:r>
                    <w:rPr>
                      <w:rFonts w:hint="eastAsia"/>
                      <w:szCs w:val="21"/>
                    </w:rPr>
                    <w:t>序号</w:t>
                  </w:r>
                </w:p>
              </w:tc>
              <w:tc>
                <w:tcPr>
                  <w:tcW w:w="1967" w:type="pct"/>
                  <w:vAlign w:val="center"/>
                </w:tcPr>
                <w:p>
                  <w:pPr>
                    <w:jc w:val="center"/>
                    <w:rPr>
                      <w:szCs w:val="21"/>
                    </w:rPr>
                  </w:pPr>
                  <w:r>
                    <w:rPr>
                      <w:rFonts w:hint="eastAsia"/>
                      <w:szCs w:val="21"/>
                    </w:rPr>
                    <w:t>控制项目</w:t>
                  </w:r>
                </w:p>
              </w:tc>
              <w:tc>
                <w:tcPr>
                  <w:tcW w:w="2463" w:type="pct"/>
                  <w:vAlign w:val="center"/>
                </w:tcPr>
                <w:p>
                  <w:pPr>
                    <w:jc w:val="center"/>
                    <w:rPr>
                      <w:szCs w:val="21"/>
                    </w:rPr>
                  </w:pPr>
                  <w:r>
                    <w:rPr>
                      <w:rFonts w:hint="eastAsia"/>
                      <w:szCs w:val="21"/>
                    </w:rPr>
                    <w:t>新扩改建二级厂界标准值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vAlign w:val="center"/>
                </w:tcPr>
                <w:p>
                  <w:pPr>
                    <w:jc w:val="center"/>
                    <w:rPr>
                      <w:szCs w:val="21"/>
                    </w:rPr>
                  </w:pPr>
                  <w:r>
                    <w:rPr>
                      <w:rFonts w:hint="eastAsia"/>
                      <w:szCs w:val="21"/>
                    </w:rPr>
                    <w:t>1</w:t>
                  </w:r>
                </w:p>
              </w:tc>
              <w:tc>
                <w:tcPr>
                  <w:tcW w:w="1967" w:type="pct"/>
                  <w:vAlign w:val="center"/>
                </w:tcPr>
                <w:p>
                  <w:pPr>
                    <w:jc w:val="center"/>
                    <w:rPr>
                      <w:szCs w:val="21"/>
                    </w:rPr>
                  </w:pPr>
                  <w:r>
                    <w:rPr>
                      <w:rFonts w:hint="eastAsia"/>
                      <w:szCs w:val="21"/>
                    </w:rPr>
                    <w:t>臭气浓度（无量纲）</w:t>
                  </w:r>
                </w:p>
              </w:tc>
              <w:tc>
                <w:tcPr>
                  <w:tcW w:w="2463" w:type="pct"/>
                  <w:vAlign w:val="center"/>
                </w:tcPr>
                <w:p>
                  <w:pPr>
                    <w:jc w:val="center"/>
                    <w:rPr>
                      <w:szCs w:val="21"/>
                    </w:rPr>
                  </w:pPr>
                  <w:r>
                    <w:rPr>
                      <w:szCs w:val="21"/>
                    </w:rPr>
                    <w:t>20</w:t>
                  </w:r>
                </w:p>
              </w:tc>
            </w:tr>
          </w:tbl>
          <w:p>
            <w:pPr>
              <w:spacing w:line="480" w:lineRule="exact"/>
              <w:ind w:firstLine="482" w:firstLineChars="200"/>
              <w:rPr>
                <w:b/>
                <w:sz w:val="24"/>
              </w:rPr>
            </w:pPr>
            <w:r>
              <w:rPr>
                <w:b/>
                <w:sz w:val="24"/>
              </w:rPr>
              <w:t>2、</w:t>
            </w:r>
            <w:r>
              <w:rPr>
                <w:rFonts w:hint="eastAsia"/>
                <w:b/>
                <w:sz w:val="24"/>
              </w:rPr>
              <w:t>水</w:t>
            </w:r>
            <w:r>
              <w:rPr>
                <w:b/>
                <w:sz w:val="24"/>
              </w:rPr>
              <w:t>污染物排放标准</w:t>
            </w:r>
          </w:p>
          <w:p>
            <w:pPr>
              <w:spacing w:line="480" w:lineRule="exact"/>
              <w:ind w:firstLine="480" w:firstLineChars="200"/>
              <w:rPr>
                <w:bCs/>
                <w:sz w:val="24"/>
              </w:rPr>
            </w:pPr>
            <w:r>
              <w:rPr>
                <w:rFonts w:hint="eastAsia"/>
                <w:bCs/>
                <w:sz w:val="24"/>
              </w:rPr>
              <w:t>本项目产生的废水经污水处理站处理后夏季可用于道路浇洒及绿化浇灌，冬季定期统一抽送至五台县生活污水处理厂。本项目污水处理站出水参照执行《城市污水再生利用 城市杂用水水质》（G</w:t>
            </w:r>
            <w:r>
              <w:rPr>
                <w:bCs/>
                <w:sz w:val="24"/>
              </w:rPr>
              <w:t>B/T18920-2002</w:t>
            </w:r>
            <w:r>
              <w:rPr>
                <w:rFonts w:hint="eastAsia"/>
                <w:bCs/>
                <w:sz w:val="24"/>
              </w:rPr>
              <w:t>）中城市绿化用水水质标准，具体标准值见下表。</w:t>
            </w:r>
          </w:p>
          <w:p>
            <w:pPr>
              <w:spacing w:line="480" w:lineRule="exact"/>
              <w:jc w:val="center"/>
              <w:rPr>
                <w:rFonts w:ascii="黑体" w:hAnsi="黑体" w:eastAsia="黑体"/>
                <w:bCs/>
                <w:sz w:val="24"/>
                <w:szCs w:val="32"/>
              </w:rPr>
            </w:pPr>
            <w:r>
              <w:rPr>
                <w:rFonts w:hint="eastAsia" w:ascii="黑体" w:hAnsi="黑体" w:eastAsia="黑体"/>
                <w:bCs/>
                <w:sz w:val="24"/>
                <w:szCs w:val="32"/>
              </w:rPr>
              <w:t>表</w:t>
            </w:r>
            <w:r>
              <w:rPr>
                <w:rFonts w:ascii="黑体" w:hAnsi="黑体" w:eastAsia="黑体"/>
                <w:bCs/>
                <w:sz w:val="24"/>
                <w:szCs w:val="32"/>
              </w:rPr>
              <w:t>3-19</w:t>
            </w:r>
            <w:r>
              <w:rPr>
                <w:rFonts w:hint="eastAsia" w:ascii="黑体" w:hAnsi="黑体" w:eastAsia="黑体"/>
                <w:bCs/>
                <w:sz w:val="24"/>
                <w:szCs w:val="32"/>
              </w:rPr>
              <w:t xml:space="preserve"> 《城市污水再生利用 城市杂用水水质》中城市绿化用水水质标准</w:t>
            </w:r>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2"/>
              <w:gridCol w:w="4785"/>
              <w:gridCol w:w="283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序号</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基本控制项目</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一级A标准排放限值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p</w:t>
                  </w:r>
                  <w:r>
                    <w:rPr>
                      <w:szCs w:val="21"/>
                    </w:rPr>
                    <w:t>H</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6</w:t>
                  </w:r>
                  <w:r>
                    <w:rPr>
                      <w:szCs w:val="21"/>
                    </w:rPr>
                    <w:t>-9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vertAlign w:val="superscript"/>
                    </w:rPr>
                  </w:pPr>
                  <w:r>
                    <w:rPr>
                      <w:rFonts w:hint="eastAsia"/>
                      <w:szCs w:val="21"/>
                    </w:rPr>
                    <w:t>色度 ≤</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3</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嗅</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无不快感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4</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浊度/</w:t>
                  </w:r>
                  <w:r>
                    <w:rPr>
                      <w:szCs w:val="21"/>
                    </w:rPr>
                    <w:t xml:space="preserve">NTU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5</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溶解性总固体/</w:t>
                  </w:r>
                  <w:r>
                    <w:rPr>
                      <w:szCs w:val="21"/>
                    </w:rPr>
                    <w:t xml:space="preserve"> </w:t>
                  </w:r>
                  <w:r>
                    <w:rPr>
                      <w:rFonts w:hint="eastAsia"/>
                      <w:szCs w:val="21"/>
                    </w:rPr>
                    <w:t>mg</w:t>
                  </w:r>
                  <w:r>
                    <w:rPr>
                      <w:szCs w:val="21"/>
                    </w:rPr>
                    <w:t xml:space="preserve">/L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000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6</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生化需氧量（B</w:t>
                  </w:r>
                  <w:r>
                    <w:rPr>
                      <w:szCs w:val="21"/>
                    </w:rPr>
                    <w:t>OD</w:t>
                  </w:r>
                  <w:r>
                    <w:rPr>
                      <w:szCs w:val="21"/>
                      <w:vertAlign w:val="subscript"/>
                    </w:rPr>
                    <w:t>5</w:t>
                  </w:r>
                  <w:r>
                    <w:rPr>
                      <w:rFonts w:hint="eastAsia"/>
                      <w:szCs w:val="21"/>
                    </w:rPr>
                    <w:t xml:space="preserve">） </w:t>
                  </w:r>
                  <w:r>
                    <w:rPr>
                      <w:szCs w:val="21"/>
                    </w:rPr>
                    <w:t xml:space="preserve">mg/L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7</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氨氮</w:t>
                  </w:r>
                  <w:r>
                    <w:rPr>
                      <w:szCs w:val="21"/>
                    </w:rPr>
                    <w:t xml:space="preserve">mg/L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8</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 xml:space="preserve">阴离子表面活性剂 </w:t>
                  </w:r>
                  <w:r>
                    <w:rPr>
                      <w:szCs w:val="21"/>
                    </w:rPr>
                    <w:t xml:space="preserve">mg/L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9</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溶解氧</w:t>
                  </w:r>
                  <w:r>
                    <w:rPr>
                      <w:szCs w:val="21"/>
                    </w:rPr>
                    <w:t xml:space="preserve">mg/L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10</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总余氯 mg</w:t>
                  </w:r>
                  <w:r>
                    <w:rPr>
                      <w:szCs w:val="21"/>
                    </w:rPr>
                    <w:t xml:space="preserve">/L </w:t>
                  </w:r>
                  <w:r>
                    <w:rPr>
                      <w:rFonts w:hint="eastAsia"/>
                      <w:szCs w:val="21"/>
                    </w:rPr>
                    <w:t>≥</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1</w:t>
                  </w:r>
                  <w:r>
                    <w:rPr>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11</w:t>
                  </w:r>
                </w:p>
              </w:tc>
              <w:tc>
                <w:tcPr>
                  <w:tcW w:w="27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粪大肠菌群数 个/</w:t>
                  </w:r>
                  <w:r>
                    <w:rPr>
                      <w:szCs w:val="21"/>
                    </w:rPr>
                    <w:t>L</w:t>
                  </w:r>
                </w:p>
              </w:tc>
              <w:tc>
                <w:tcPr>
                  <w:tcW w:w="164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3</w:t>
                  </w:r>
                </w:p>
              </w:tc>
            </w:tr>
          </w:tbl>
          <w:p>
            <w:pPr>
              <w:adjustRightInd w:val="0"/>
              <w:snapToGrid w:val="0"/>
              <w:spacing w:line="480" w:lineRule="exact"/>
              <w:ind w:firstLine="482" w:firstLineChars="200"/>
              <w:rPr>
                <w:b/>
                <w:sz w:val="24"/>
              </w:rPr>
            </w:pPr>
            <w:r>
              <w:rPr>
                <w:b/>
                <w:sz w:val="24"/>
              </w:rPr>
              <w:t>3、噪声排放标准</w:t>
            </w:r>
          </w:p>
          <w:p>
            <w:pPr>
              <w:adjustRightInd w:val="0"/>
              <w:snapToGrid w:val="0"/>
              <w:spacing w:line="480" w:lineRule="exact"/>
              <w:ind w:firstLine="480" w:firstLineChars="200"/>
              <w:rPr>
                <w:sz w:val="24"/>
              </w:rPr>
            </w:pPr>
            <w:r>
              <w:rPr>
                <w:rFonts w:hint="eastAsia"/>
                <w:sz w:val="24"/>
              </w:rPr>
              <w:t>施工期</w:t>
            </w:r>
            <w:r>
              <w:rPr>
                <w:sz w:val="24"/>
              </w:rPr>
              <w:t>厂界噪声执行《</w:t>
            </w:r>
            <w:r>
              <w:rPr>
                <w:rFonts w:hint="eastAsia"/>
                <w:sz w:val="24"/>
              </w:rPr>
              <w:t>建筑施工</w:t>
            </w:r>
            <w:r>
              <w:rPr>
                <w:sz w:val="24"/>
              </w:rPr>
              <w:t>厂界环境噪声排放标准》（GB12</w:t>
            </w:r>
            <w:r>
              <w:rPr>
                <w:rFonts w:hint="eastAsia"/>
                <w:sz w:val="24"/>
              </w:rPr>
              <w:t>523</w:t>
            </w:r>
            <w:r>
              <w:rPr>
                <w:sz w:val="24"/>
              </w:rPr>
              <w:t>-20</w:t>
            </w:r>
            <w:r>
              <w:rPr>
                <w:rFonts w:hint="eastAsia"/>
                <w:sz w:val="24"/>
              </w:rPr>
              <w:t>11</w:t>
            </w:r>
            <w:r>
              <w:rPr>
                <w:sz w:val="24"/>
              </w:rPr>
              <w:t>）</w:t>
            </w:r>
            <w:r>
              <w:rPr>
                <w:rFonts w:hint="eastAsia"/>
                <w:sz w:val="24"/>
              </w:rPr>
              <w:t>排放限值要求；项目运营期执行《工业企业厂界环境噪声排放标准》（</w:t>
            </w:r>
            <w:r>
              <w:rPr>
                <w:sz w:val="24"/>
              </w:rPr>
              <w:t>GB12</w:t>
            </w:r>
            <w:r>
              <w:rPr>
                <w:rFonts w:hint="eastAsia"/>
                <w:sz w:val="24"/>
              </w:rPr>
              <w:t>348</w:t>
            </w:r>
            <w:r>
              <w:rPr>
                <w:sz w:val="24"/>
              </w:rPr>
              <w:t>-20</w:t>
            </w:r>
            <w:r>
              <w:rPr>
                <w:rFonts w:hint="eastAsia"/>
                <w:sz w:val="24"/>
              </w:rPr>
              <w:t>08）2类标准。</w:t>
            </w:r>
          </w:p>
          <w:p>
            <w:pPr>
              <w:adjustRightInd w:val="0"/>
              <w:snapToGrid w:val="0"/>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3-20 </w:t>
            </w:r>
            <w:r>
              <w:rPr>
                <w:rFonts w:hint="eastAsia" w:ascii="黑体" w:hAnsi="黑体" w:eastAsia="黑体"/>
                <w:sz w:val="24"/>
              </w:rPr>
              <w:t xml:space="preserve"> 建筑施工</w:t>
            </w:r>
            <w:r>
              <w:rPr>
                <w:rFonts w:ascii="黑体" w:hAnsi="黑体" w:eastAsia="黑体"/>
                <w:sz w:val="24"/>
              </w:rPr>
              <w:t>厂界噪声</w:t>
            </w:r>
            <w:r>
              <w:rPr>
                <w:rFonts w:hint="eastAsia" w:ascii="黑体" w:hAnsi="黑体" w:eastAsia="黑体"/>
                <w:sz w:val="24"/>
              </w:rPr>
              <w:t>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2"/>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4"/>
                    <w:rPr>
                      <w:sz w:val="21"/>
                      <w:szCs w:val="21"/>
                    </w:rPr>
                  </w:pPr>
                  <w:r>
                    <w:rPr>
                      <w:sz w:val="21"/>
                      <w:szCs w:val="21"/>
                    </w:rPr>
                    <w:t>昼</w:t>
                  </w:r>
                  <w:r>
                    <w:rPr>
                      <w:rFonts w:hint="eastAsia"/>
                      <w:sz w:val="21"/>
                      <w:szCs w:val="21"/>
                    </w:rPr>
                    <w:t>间</w:t>
                  </w:r>
                </w:p>
              </w:tc>
              <w:tc>
                <w:tcPr>
                  <w:tcW w:w="2526" w:type="pct"/>
                  <w:vAlign w:val="center"/>
                </w:tcPr>
                <w:p>
                  <w:pPr>
                    <w:pStyle w:val="54"/>
                    <w:rPr>
                      <w:sz w:val="21"/>
                      <w:szCs w:val="21"/>
                    </w:rPr>
                  </w:pPr>
                  <w:r>
                    <w:rPr>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4" w:type="pct"/>
                  <w:vAlign w:val="center"/>
                </w:tcPr>
                <w:p>
                  <w:pPr>
                    <w:pStyle w:val="54"/>
                    <w:rPr>
                      <w:sz w:val="21"/>
                      <w:szCs w:val="21"/>
                    </w:rPr>
                  </w:pPr>
                  <w:r>
                    <w:rPr>
                      <w:rFonts w:hint="eastAsia"/>
                      <w:sz w:val="21"/>
                      <w:szCs w:val="21"/>
                    </w:rPr>
                    <w:t>70</w:t>
                  </w:r>
                </w:p>
              </w:tc>
              <w:tc>
                <w:tcPr>
                  <w:tcW w:w="2526" w:type="pct"/>
                  <w:vAlign w:val="center"/>
                </w:tcPr>
                <w:p>
                  <w:pPr>
                    <w:pStyle w:val="54"/>
                    <w:rPr>
                      <w:sz w:val="21"/>
                      <w:szCs w:val="21"/>
                    </w:rPr>
                  </w:pPr>
                  <w:r>
                    <w:rPr>
                      <w:rFonts w:hint="eastAsia"/>
                      <w:sz w:val="21"/>
                      <w:szCs w:val="21"/>
                    </w:rPr>
                    <w:t>55</w:t>
                  </w:r>
                </w:p>
              </w:tc>
            </w:tr>
          </w:tbl>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p>
          <w:p>
            <w:pPr>
              <w:adjustRightInd w:val="0"/>
              <w:snapToGrid w:val="0"/>
              <w:spacing w:line="480" w:lineRule="exact"/>
              <w:jc w:val="center"/>
              <w:rPr>
                <w:rFonts w:ascii="黑体" w:hAnsi="黑体" w:eastAsia="黑体"/>
                <w:sz w:val="24"/>
              </w:rPr>
            </w:pPr>
            <w:r>
              <w:rPr>
                <w:rFonts w:hint="eastAsia" w:ascii="黑体" w:hAnsi="黑体" w:eastAsia="黑体"/>
                <w:sz w:val="24"/>
              </w:rPr>
              <w:t>表</w:t>
            </w:r>
            <w:r>
              <w:rPr>
                <w:rFonts w:ascii="黑体" w:hAnsi="黑体" w:eastAsia="黑体"/>
                <w:sz w:val="24"/>
              </w:rPr>
              <w:t xml:space="preserve">3-21 </w:t>
            </w:r>
            <w:r>
              <w:rPr>
                <w:rFonts w:hint="eastAsia" w:ascii="黑体" w:hAnsi="黑体" w:eastAsia="黑体"/>
                <w:sz w:val="24"/>
              </w:rPr>
              <w:t xml:space="preserve"> 工业企业厂界环境噪声排放限值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872"/>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66" w:type="pct"/>
                  <w:vMerge w:val="restart"/>
                  <w:vAlign w:val="center"/>
                </w:tcPr>
                <w:p>
                  <w:pPr>
                    <w:pStyle w:val="54"/>
                    <w:rPr>
                      <w:sz w:val="21"/>
                      <w:szCs w:val="21"/>
                    </w:rPr>
                  </w:pPr>
                  <w:r>
                    <w:rPr>
                      <w:rFonts w:hint="eastAsia"/>
                      <w:sz w:val="21"/>
                      <w:szCs w:val="21"/>
                    </w:rPr>
                    <w:t>厂界外声环境功能区类别</w:t>
                  </w:r>
                </w:p>
              </w:tc>
              <w:tc>
                <w:tcPr>
                  <w:tcW w:w="3334" w:type="pct"/>
                  <w:gridSpan w:val="2"/>
                  <w:vAlign w:val="center"/>
                </w:tcPr>
                <w:p>
                  <w:pPr>
                    <w:pStyle w:val="54"/>
                    <w:rPr>
                      <w:sz w:val="21"/>
                      <w:szCs w:val="21"/>
                    </w:rPr>
                  </w:pPr>
                  <w:r>
                    <w:rPr>
                      <w:rFonts w:hint="eastAsia"/>
                      <w:sz w:val="21"/>
                      <w:szCs w:val="21"/>
                    </w:rPr>
                    <w:t>时    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pPr>
                    <w:pStyle w:val="54"/>
                    <w:rPr>
                      <w:sz w:val="21"/>
                      <w:szCs w:val="21"/>
                    </w:rPr>
                  </w:pPr>
                </w:p>
              </w:tc>
              <w:tc>
                <w:tcPr>
                  <w:tcW w:w="1667" w:type="pct"/>
                  <w:vAlign w:val="center"/>
                </w:tcPr>
                <w:p>
                  <w:pPr>
                    <w:pStyle w:val="54"/>
                    <w:rPr>
                      <w:sz w:val="21"/>
                      <w:szCs w:val="21"/>
                    </w:rPr>
                  </w:pPr>
                  <w:r>
                    <w:rPr>
                      <w:rFonts w:hint="eastAsia"/>
                      <w:sz w:val="21"/>
                      <w:szCs w:val="21"/>
                    </w:rPr>
                    <w:t>昼间</w:t>
                  </w:r>
                </w:p>
              </w:tc>
              <w:tc>
                <w:tcPr>
                  <w:tcW w:w="1667" w:type="pct"/>
                  <w:vAlign w:val="center"/>
                </w:tcPr>
                <w:p>
                  <w:pPr>
                    <w:pStyle w:val="54"/>
                    <w:rPr>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6" w:type="pct"/>
                  <w:vAlign w:val="center"/>
                </w:tcPr>
                <w:p>
                  <w:pPr>
                    <w:pStyle w:val="54"/>
                    <w:rPr>
                      <w:sz w:val="21"/>
                      <w:szCs w:val="21"/>
                    </w:rPr>
                  </w:pPr>
                  <w:r>
                    <w:rPr>
                      <w:sz w:val="21"/>
                      <w:szCs w:val="21"/>
                    </w:rPr>
                    <w:t>2</w:t>
                  </w:r>
                </w:p>
              </w:tc>
              <w:tc>
                <w:tcPr>
                  <w:tcW w:w="1667" w:type="pct"/>
                  <w:vAlign w:val="center"/>
                </w:tcPr>
                <w:p>
                  <w:pPr>
                    <w:pStyle w:val="54"/>
                    <w:rPr>
                      <w:sz w:val="21"/>
                      <w:szCs w:val="21"/>
                    </w:rPr>
                  </w:pPr>
                  <w:r>
                    <w:rPr>
                      <w:sz w:val="21"/>
                      <w:szCs w:val="21"/>
                    </w:rPr>
                    <w:t>60</w:t>
                  </w:r>
                </w:p>
              </w:tc>
              <w:tc>
                <w:tcPr>
                  <w:tcW w:w="1667" w:type="pct"/>
                  <w:vAlign w:val="center"/>
                </w:tcPr>
                <w:p>
                  <w:pPr>
                    <w:pStyle w:val="54"/>
                    <w:rPr>
                      <w:sz w:val="21"/>
                      <w:szCs w:val="21"/>
                    </w:rPr>
                  </w:pPr>
                  <w:r>
                    <w:rPr>
                      <w:sz w:val="21"/>
                      <w:szCs w:val="21"/>
                    </w:rPr>
                    <w:t>50</w:t>
                  </w:r>
                </w:p>
              </w:tc>
            </w:tr>
          </w:tbl>
          <w:p>
            <w:pPr>
              <w:adjustRightInd w:val="0"/>
              <w:snapToGrid w:val="0"/>
              <w:spacing w:line="480" w:lineRule="exact"/>
              <w:ind w:firstLine="482" w:firstLineChars="200"/>
              <w:rPr>
                <w:b/>
                <w:sz w:val="24"/>
              </w:rPr>
            </w:pPr>
            <w:r>
              <w:rPr>
                <w:b/>
                <w:sz w:val="24"/>
              </w:rPr>
              <w:t>4、固体废物</w:t>
            </w:r>
            <w:r>
              <w:rPr>
                <w:rFonts w:hint="eastAsia"/>
                <w:b/>
                <w:sz w:val="24"/>
              </w:rPr>
              <w:t>标准</w:t>
            </w:r>
          </w:p>
          <w:p>
            <w:pPr>
              <w:adjustRightInd w:val="0"/>
              <w:snapToGrid w:val="0"/>
              <w:spacing w:line="480" w:lineRule="exact"/>
              <w:ind w:firstLine="480" w:firstLineChars="200"/>
              <w:rPr>
                <w:bCs/>
                <w:sz w:val="24"/>
              </w:rPr>
            </w:pPr>
            <w:r>
              <w:rPr>
                <w:sz w:val="24"/>
              </w:rPr>
              <w:t>一般固体废物执行</w:t>
            </w:r>
            <w:r>
              <w:rPr>
                <w:rFonts w:hint="eastAsia"/>
                <w:sz w:val="24"/>
              </w:rPr>
              <w:t>贮存执行《一般工业固体废物贮存和填埋污染控制标准》(GB 18599-2020)，危险废物暂存参照执行《危险废物贮存污染控制标准》（GB18597-2001）及其2013年修改单。</w:t>
            </w:r>
          </w:p>
          <w:p>
            <w:pPr>
              <w:adjustRightInd w:val="0"/>
              <w:snapToGrid w:val="0"/>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241" w:type="pct"/>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4759" w:type="pct"/>
            <w:vAlign w:val="center"/>
          </w:tcPr>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p>
          <w:p>
            <w:pPr>
              <w:adjustRightInd w:val="0"/>
              <w:snapToGrid w:val="0"/>
              <w:spacing w:line="480" w:lineRule="exact"/>
              <w:ind w:firstLine="480" w:firstLineChars="200"/>
              <w:rPr>
                <w:sz w:val="24"/>
              </w:rPr>
            </w:pPr>
            <w:r>
              <w:rPr>
                <w:sz w:val="24"/>
              </w:rPr>
              <w:t>根据晋环发【2015】25号《山西省环境保护厅关于印发&lt;建设项目主要污染物排放总量核定办法&gt;的通知》，实施主要污染物排放总量核定的建设项目包括：《国民经济行业分类》（GB/T4754-2017）中采矿业、制造业、电力、燃气及水的生产和供应业，3个门类39个行业的企业。其他行业建设项目暂不需要核定主要污染物排放总量。</w:t>
            </w:r>
          </w:p>
          <w:p>
            <w:pPr>
              <w:adjustRightInd w:val="0"/>
              <w:snapToGrid w:val="0"/>
              <w:spacing w:line="480" w:lineRule="exact"/>
              <w:ind w:firstLine="480" w:firstLineChars="200"/>
              <w:rPr>
                <w:bCs/>
                <w:sz w:val="24"/>
              </w:rPr>
            </w:pPr>
            <w:r>
              <w:rPr>
                <w:bCs/>
                <w:sz w:val="24"/>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adjustRightInd w:val="0"/>
              <w:snapToGrid w:val="0"/>
              <w:spacing w:line="480" w:lineRule="exact"/>
              <w:ind w:firstLine="480" w:firstLineChars="200"/>
              <w:rPr>
                <w:bCs/>
                <w:sz w:val="24"/>
              </w:rPr>
            </w:pPr>
            <w:r>
              <w:rPr>
                <w:rFonts w:hint="eastAsia"/>
                <w:bCs/>
                <w:sz w:val="24"/>
              </w:rPr>
              <w:t>根据</w:t>
            </w:r>
            <w:r>
              <w:rPr>
                <w:sz w:val="24"/>
              </w:rPr>
              <w:t>《国民经济行业分类》（GB/T4754-2017）</w:t>
            </w:r>
            <w:r>
              <w:rPr>
                <w:rFonts w:hint="eastAsia"/>
                <w:sz w:val="24"/>
              </w:rPr>
              <w:t>，</w:t>
            </w:r>
            <w:r>
              <w:rPr>
                <w:rFonts w:hint="eastAsia"/>
                <w:bCs/>
                <w:sz w:val="24"/>
              </w:rPr>
              <w:t>本项目属于Q居民服务、修理和其他服务业中的8</w:t>
            </w:r>
            <w:r>
              <w:rPr>
                <w:bCs/>
                <w:sz w:val="24"/>
              </w:rPr>
              <w:t>080</w:t>
            </w:r>
            <w:r>
              <w:rPr>
                <w:rFonts w:hint="eastAsia"/>
                <w:bCs/>
                <w:sz w:val="24"/>
              </w:rPr>
              <w:t>殡葬服务业，因此本项目不需要核定主要污染物排放总量。</w:t>
            </w:r>
          </w:p>
          <w:p>
            <w:pPr>
              <w:adjustRightInd w:val="0"/>
              <w:snapToGrid w:val="0"/>
              <w:spacing w:line="480" w:lineRule="exact"/>
              <w:ind w:firstLine="480" w:firstLineChars="200"/>
              <w:rPr>
                <w:bCs/>
                <w:sz w:val="24"/>
              </w:rPr>
            </w:pPr>
            <w:r>
              <w:rPr>
                <w:rFonts w:hint="eastAsia"/>
                <w:bCs/>
                <w:sz w:val="24"/>
              </w:rPr>
              <w:t>本项目颗粒物排放量为：0</w:t>
            </w:r>
            <w:r>
              <w:rPr>
                <w:bCs/>
                <w:sz w:val="24"/>
              </w:rPr>
              <w:t>.489</w:t>
            </w:r>
            <w:r>
              <w:rPr>
                <w:rFonts w:hint="eastAsia"/>
                <w:bCs/>
                <w:sz w:val="24"/>
              </w:rPr>
              <w:t>t/a，二氧化硫排放量为0</w:t>
            </w:r>
            <w:r>
              <w:rPr>
                <w:bCs/>
                <w:sz w:val="24"/>
              </w:rPr>
              <w:t>.659</w:t>
            </w:r>
            <w:r>
              <w:rPr>
                <w:rFonts w:hint="eastAsia"/>
                <w:bCs/>
                <w:sz w:val="24"/>
              </w:rPr>
              <w:t>t/a，氮氧化物排放量为3</w:t>
            </w:r>
            <w:r>
              <w:rPr>
                <w:bCs/>
                <w:sz w:val="24"/>
              </w:rPr>
              <w:t>.084</w:t>
            </w:r>
            <w:r>
              <w:rPr>
                <w:rFonts w:hint="eastAsia"/>
                <w:bCs/>
                <w:sz w:val="24"/>
              </w:rPr>
              <w:t>t/a。</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rPr>
                <w:rFonts w:ascii="宋体" w:hAnsi="宋体" w:cs="宋体"/>
                <w:kern w:val="0"/>
                <w:szCs w:val="21"/>
              </w:rPr>
            </w:pPr>
          </w:p>
        </w:tc>
      </w:tr>
    </w:tbl>
    <w:p>
      <w:pPr>
        <w:pStyle w:val="16"/>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8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36" w:type="pct"/>
            <w:tcMar>
              <w:left w:w="28" w:type="dxa"/>
              <w:right w:w="28" w:type="dxa"/>
            </w:tcMar>
            <w:vAlign w:val="center"/>
          </w:tcPr>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施工</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期环</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境保</w:t>
            </w:r>
          </w:p>
          <w:p>
            <w:pPr>
              <w:pStyle w:val="16"/>
              <w:adjustRightInd w:val="0"/>
              <w:snapToGrid w:val="0"/>
              <w:spacing w:before="0" w:beforeAutospacing="0" w:after="0" w:afterAutospacing="0"/>
              <w:jc w:val="center"/>
              <w:rPr>
                <w:rFonts w:cs="宋体"/>
                <w:kern w:val="2"/>
                <w:sz w:val="21"/>
                <w:szCs w:val="21"/>
              </w:rPr>
            </w:pPr>
            <w:r>
              <w:rPr>
                <w:rFonts w:hint="eastAsia" w:cs="宋体"/>
                <w:kern w:val="2"/>
                <w:sz w:val="21"/>
                <w:szCs w:val="21"/>
              </w:rPr>
              <w:t>护措</w:t>
            </w:r>
          </w:p>
          <w:p>
            <w:pPr>
              <w:pStyle w:val="16"/>
              <w:adjustRightInd w:val="0"/>
              <w:snapToGrid w:val="0"/>
              <w:spacing w:before="0" w:beforeAutospacing="0" w:after="0" w:afterAutospacing="0"/>
              <w:jc w:val="center"/>
              <w:rPr>
                <w:rFonts w:cs="宋体"/>
                <w:bCs/>
                <w:kern w:val="2"/>
                <w:sz w:val="21"/>
                <w:szCs w:val="21"/>
              </w:rPr>
            </w:pPr>
            <w:r>
              <w:rPr>
                <w:rFonts w:hint="eastAsia" w:cs="宋体"/>
                <w:kern w:val="2"/>
                <w:sz w:val="21"/>
                <w:szCs w:val="21"/>
              </w:rPr>
              <w:t>施</w:t>
            </w:r>
          </w:p>
        </w:tc>
        <w:tc>
          <w:tcPr>
            <w:tcW w:w="4764" w:type="pct"/>
            <w:vAlign w:val="center"/>
          </w:tcPr>
          <w:p>
            <w:pPr>
              <w:adjustRightInd w:val="0"/>
              <w:snapToGrid w:val="0"/>
              <w:spacing w:line="480" w:lineRule="exact"/>
              <w:ind w:firstLine="480" w:firstLineChars="200"/>
              <w:rPr>
                <w:sz w:val="24"/>
                <w:szCs w:val="32"/>
              </w:rPr>
            </w:pPr>
            <w:r>
              <w:rPr>
                <w:rFonts w:hint="eastAsia" w:hAnsi="宋体"/>
                <w:sz w:val="24"/>
                <w:szCs w:val="32"/>
              </w:rPr>
              <w:t>根据现场勘查，本项目尚未开工建设。项目施工阶段会对周围环境产生一定程度的不利影响，但是在施工结束后，这种影响也将随之消失，且本项目施工期较短，故这一阶段对环境的影响较小，为短期、可逆的影响。</w:t>
            </w:r>
            <w:r>
              <w:rPr>
                <w:rFonts w:hint="eastAsia"/>
                <w:sz w:val="24"/>
                <w:szCs w:val="32"/>
              </w:rPr>
              <w:t>各污染要素的环境影响简要分析如下：</w:t>
            </w:r>
          </w:p>
          <w:p>
            <w:pPr>
              <w:adjustRightInd w:val="0"/>
              <w:snapToGrid w:val="0"/>
              <w:spacing w:line="480" w:lineRule="exact"/>
              <w:ind w:firstLine="482" w:firstLineChars="200"/>
              <w:rPr>
                <w:b/>
                <w:sz w:val="24"/>
                <w:szCs w:val="32"/>
              </w:rPr>
            </w:pPr>
            <w:r>
              <w:rPr>
                <w:rFonts w:hint="eastAsia"/>
                <w:b/>
                <w:sz w:val="24"/>
                <w:szCs w:val="32"/>
              </w:rPr>
              <w:t>1、</w:t>
            </w:r>
            <w:r>
              <w:rPr>
                <w:b/>
                <w:sz w:val="24"/>
                <w:szCs w:val="32"/>
              </w:rPr>
              <w:t>施工期大气环境影响分析及防治措施</w:t>
            </w:r>
          </w:p>
          <w:p>
            <w:pPr>
              <w:adjustRightInd w:val="0"/>
              <w:snapToGrid w:val="0"/>
              <w:spacing w:line="480" w:lineRule="exact"/>
              <w:ind w:firstLine="480" w:firstLineChars="200"/>
              <w:rPr>
                <w:sz w:val="24"/>
                <w:szCs w:val="32"/>
              </w:rPr>
            </w:pPr>
            <w:r>
              <w:rPr>
                <w:rFonts w:hint="eastAsia"/>
                <w:sz w:val="24"/>
                <w:szCs w:val="32"/>
              </w:rPr>
              <w:t>本项目施工期间主要环境问题产生于施工过程中的土建施工、建筑材料的运输、堆存等过程中，产生的污染物主要有施工扬尘、噪声、生活废水和固体废物等。</w:t>
            </w:r>
          </w:p>
          <w:p>
            <w:pPr>
              <w:adjustRightInd w:val="0"/>
              <w:snapToGrid w:val="0"/>
              <w:spacing w:line="480" w:lineRule="exact"/>
              <w:ind w:firstLine="482" w:firstLineChars="200"/>
              <w:rPr>
                <w:b/>
                <w:sz w:val="24"/>
                <w:szCs w:val="32"/>
              </w:rPr>
            </w:pPr>
            <w:r>
              <w:rPr>
                <w:rFonts w:hint="eastAsia"/>
                <w:b/>
                <w:sz w:val="24"/>
                <w:szCs w:val="32"/>
              </w:rPr>
              <w:t>（1）施工大气污染源分析</w:t>
            </w:r>
          </w:p>
          <w:p>
            <w:pPr>
              <w:adjustRightInd w:val="0"/>
              <w:snapToGrid w:val="0"/>
              <w:spacing w:line="480" w:lineRule="exact"/>
              <w:ind w:firstLine="480" w:firstLineChars="200"/>
              <w:rPr>
                <w:sz w:val="24"/>
                <w:szCs w:val="32"/>
              </w:rPr>
            </w:pPr>
            <w:r>
              <w:rPr>
                <w:rFonts w:hint="eastAsia"/>
                <w:sz w:val="24"/>
                <w:szCs w:val="32"/>
              </w:rPr>
              <w:t>施工期间对环境空气影响最大的是施工扬尘，来源于各种无组织排放源。其中场地清理、土方挖掘、土方堆存、物料运输等工序产生量较大，原材料堆存、建筑结构施工、设备安装等产生量相对较小。由于污染源为间歇性源并且扬尘点低，因此只会在近距离内形成局部暂时污染影响。但施工现场的污染物未经扩散稀释就直接进入地表呼吸地带，会给现场施工人员的生活和健康带来一定影响，在大风情况下还会对施工地周围环境空气形成影响。扬尘的大小与现场施工条件、管理水平、机械化作业程度及天气、地表土等诸多因素有关。一般施工现场的大气环境中TSP浓度可达到1.5-30mg/m</w:t>
            </w:r>
            <w:r>
              <w:rPr>
                <w:rFonts w:hint="eastAsia"/>
                <w:sz w:val="24"/>
                <w:szCs w:val="32"/>
                <w:vertAlign w:val="superscript"/>
              </w:rPr>
              <w:t>3</w:t>
            </w:r>
            <w:r>
              <w:rPr>
                <w:rFonts w:hint="eastAsia"/>
                <w:sz w:val="24"/>
                <w:szCs w:val="32"/>
              </w:rPr>
              <w:t>。同时各类燃油动力机械在设备运输等施工作业时，会排出各类燃油废气，排放的主要污染物为CO、NO</w:t>
            </w:r>
            <w:r>
              <w:rPr>
                <w:rFonts w:hint="eastAsia"/>
                <w:sz w:val="24"/>
                <w:szCs w:val="32"/>
                <w:vertAlign w:val="subscript"/>
              </w:rPr>
              <w:t>X</w:t>
            </w:r>
            <w:r>
              <w:rPr>
                <w:rFonts w:hint="eastAsia"/>
                <w:sz w:val="24"/>
                <w:szCs w:val="32"/>
              </w:rPr>
              <w:t>、SO</w:t>
            </w:r>
            <w:r>
              <w:rPr>
                <w:rFonts w:hint="eastAsia"/>
                <w:sz w:val="24"/>
                <w:szCs w:val="32"/>
                <w:vertAlign w:val="subscript"/>
              </w:rPr>
              <w:t>2</w:t>
            </w:r>
            <w:r>
              <w:rPr>
                <w:rFonts w:hint="eastAsia"/>
                <w:sz w:val="24"/>
                <w:szCs w:val="32"/>
              </w:rPr>
              <w:t>、烟尘。</w:t>
            </w:r>
          </w:p>
          <w:p>
            <w:pPr>
              <w:adjustRightInd w:val="0"/>
              <w:snapToGrid w:val="0"/>
              <w:spacing w:line="480" w:lineRule="exact"/>
              <w:ind w:firstLine="482" w:firstLineChars="200"/>
              <w:rPr>
                <w:b/>
                <w:bCs/>
                <w:sz w:val="24"/>
                <w:szCs w:val="32"/>
              </w:rPr>
            </w:pPr>
            <w:r>
              <w:rPr>
                <w:rFonts w:hint="eastAsia"/>
                <w:b/>
                <w:bCs/>
                <w:sz w:val="24"/>
                <w:szCs w:val="32"/>
              </w:rPr>
              <w:t>（2）施工期大气污染防治措施</w:t>
            </w:r>
          </w:p>
          <w:p>
            <w:pPr>
              <w:adjustRightInd w:val="0"/>
              <w:snapToGrid w:val="0"/>
              <w:spacing w:line="480" w:lineRule="exact"/>
              <w:ind w:firstLine="480" w:firstLineChars="200"/>
              <w:rPr>
                <w:sz w:val="24"/>
                <w:szCs w:val="32"/>
              </w:rPr>
            </w:pPr>
            <w:r>
              <w:rPr>
                <w:rFonts w:hint="eastAsia"/>
                <w:sz w:val="24"/>
                <w:szCs w:val="32"/>
              </w:rPr>
              <w:t>据环评现场踏勘，该项目未开始建设。根据“6个100%”的具体要求，本次评价对施工期大气污染防治提如下措施：</w:t>
            </w:r>
          </w:p>
          <w:p>
            <w:pPr>
              <w:adjustRightInd w:val="0"/>
              <w:snapToGrid w:val="0"/>
              <w:spacing w:line="480" w:lineRule="exact"/>
              <w:ind w:firstLine="480" w:firstLineChars="200"/>
              <w:rPr>
                <w:sz w:val="24"/>
                <w:szCs w:val="32"/>
              </w:rPr>
            </w:pPr>
            <w:r>
              <w:rPr>
                <w:rFonts w:hint="eastAsia"/>
                <w:sz w:val="24"/>
                <w:szCs w:val="32"/>
              </w:rPr>
              <w:t>①施工单位应当合理安排工期，在风速达四级及以上的天气情况下，应当停止易产生扬尘污染的施工作业，并采取相应的防尘措施。施工现场堆放的土石方及易产生扬尘污染的灰土、灰浆等物料应以不透水的隔尘布完全覆盖或放置在顶部且四周均密封、遮蔽的设施内。同时在工地建筑结构脚手架外侧设置有效抑尘的密目防尘网。</w:t>
            </w:r>
          </w:p>
          <w:p>
            <w:pPr>
              <w:adjustRightInd w:val="0"/>
              <w:snapToGrid w:val="0"/>
              <w:spacing w:line="480" w:lineRule="exact"/>
              <w:ind w:firstLine="480" w:firstLineChars="200"/>
              <w:rPr>
                <w:sz w:val="24"/>
                <w:szCs w:val="32"/>
              </w:rPr>
            </w:pPr>
            <w:r>
              <w:rPr>
                <w:rFonts w:hint="eastAsia"/>
                <w:sz w:val="24"/>
                <w:szCs w:val="32"/>
              </w:rPr>
              <w:t>②施工现场裸露地面应采取覆盖或临时绿化措施；施工场所要定期喷洒水，保持地面湿润，不起尘。</w:t>
            </w:r>
          </w:p>
          <w:p>
            <w:pPr>
              <w:adjustRightInd w:val="0"/>
              <w:snapToGrid w:val="0"/>
              <w:spacing w:line="480" w:lineRule="exact"/>
              <w:ind w:firstLine="480" w:firstLineChars="200"/>
              <w:rPr>
                <w:sz w:val="24"/>
                <w:szCs w:val="32"/>
              </w:rPr>
            </w:pPr>
            <w:r>
              <w:rPr>
                <w:rFonts w:hint="eastAsia"/>
                <w:sz w:val="24"/>
                <w:szCs w:val="32"/>
              </w:rPr>
              <w:t>③施工工地出入口处必须建设车辆出入口喷淋、冲洗设施，并设置统一格式的环境保护监督牌，标明扬尘防治措施、责任人及环保监督电话等。</w:t>
            </w:r>
          </w:p>
          <w:p>
            <w:pPr>
              <w:adjustRightInd w:val="0"/>
              <w:snapToGrid w:val="0"/>
              <w:spacing w:line="480" w:lineRule="exact"/>
              <w:ind w:firstLine="480" w:firstLineChars="200"/>
              <w:rPr>
                <w:sz w:val="24"/>
                <w:szCs w:val="32"/>
              </w:rPr>
            </w:pPr>
            <w:r>
              <w:rPr>
                <w:rFonts w:hint="eastAsia"/>
                <w:sz w:val="24"/>
                <w:szCs w:val="32"/>
              </w:rPr>
              <w:t>④严禁抛洒建筑垃圾；建筑垃圾应及时清运至环卫部门指定场所，不能及时清运的要定点密闭堆存，并采取防尘措施。</w:t>
            </w:r>
          </w:p>
          <w:p>
            <w:pPr>
              <w:adjustRightInd w:val="0"/>
              <w:snapToGrid w:val="0"/>
              <w:spacing w:line="480" w:lineRule="exact"/>
              <w:ind w:firstLine="480" w:firstLineChars="200"/>
              <w:rPr>
                <w:sz w:val="24"/>
                <w:szCs w:val="32"/>
              </w:rPr>
            </w:pPr>
            <w:r>
              <w:rPr>
                <w:rFonts w:hint="eastAsia"/>
                <w:sz w:val="24"/>
                <w:szCs w:val="32"/>
              </w:rPr>
              <w:t>⑤为减少运输扬尘造成的二次污染，评价要求进出工地的物料、渣土、垃圾运输车辆，装载的物料、垃圾、渣土高度不得超过车辆槽帮上沿，车斗用苫布遮盖或者采用密闭车斗。若车斗用苫布遮盖，应当严实密闭，苫布边缘至少要遮住槽帮上沿以下</w:t>
            </w:r>
            <w:r>
              <w:rPr>
                <w:sz w:val="24"/>
                <w:szCs w:val="32"/>
              </w:rPr>
              <w:t>15</w:t>
            </w:r>
            <w:r>
              <w:rPr>
                <w:rFonts w:hint="eastAsia"/>
                <w:sz w:val="24"/>
                <w:szCs w:val="32"/>
              </w:rPr>
              <w:t>公分，保证物料、渣土、垃圾等不露出。车辆应当按照批准的路线和时间进行物料、渣土、垃圾的运输，同时设置一台洒水车进行道路洒水抑尘。</w:t>
            </w:r>
          </w:p>
          <w:p>
            <w:pPr>
              <w:adjustRightInd w:val="0"/>
              <w:snapToGrid w:val="0"/>
              <w:spacing w:line="480" w:lineRule="exact"/>
              <w:ind w:firstLine="480" w:firstLineChars="200"/>
              <w:rPr>
                <w:sz w:val="24"/>
                <w:szCs w:val="32"/>
              </w:rPr>
            </w:pPr>
            <w:r>
              <w:rPr>
                <w:rFonts w:hint="eastAsia"/>
                <w:sz w:val="24"/>
                <w:szCs w:val="32"/>
              </w:rPr>
              <w:t>⑥车辆运输过程中产生的汽车尾气，一般仅局限于施工区域以及施工通道，对施工区域以外的环境空气影响比较小。评价要求施工单位选用符合国家有关卫生标准的施工机械和运输工具，使其排放的废气符合国家有关标准。</w:t>
            </w:r>
          </w:p>
          <w:p>
            <w:pPr>
              <w:adjustRightInd w:val="0"/>
              <w:snapToGrid w:val="0"/>
              <w:spacing w:line="480" w:lineRule="exact"/>
              <w:ind w:firstLine="480" w:firstLineChars="200"/>
              <w:rPr>
                <w:sz w:val="24"/>
                <w:szCs w:val="32"/>
              </w:rPr>
            </w:pPr>
            <w:r>
              <w:rPr>
                <w:rFonts w:hint="eastAsia"/>
                <w:sz w:val="24"/>
                <w:szCs w:val="32"/>
              </w:rPr>
              <w:t>评价要求施工工地必须严格按照项目环境影响评价确定的施工全过程污染防治实施方案要求，组织落实各项污染防治措施，确保建筑工地扬尘污染控制达标，综上所述，按照以上措施进行防治后对施工场地周围环境空气影响较小。</w:t>
            </w:r>
          </w:p>
          <w:p>
            <w:pPr>
              <w:adjustRightInd w:val="0"/>
              <w:snapToGrid w:val="0"/>
              <w:spacing w:line="480" w:lineRule="exact"/>
              <w:ind w:firstLine="482" w:firstLineChars="200"/>
              <w:rPr>
                <w:b/>
                <w:sz w:val="24"/>
                <w:szCs w:val="32"/>
              </w:rPr>
            </w:pPr>
            <w:r>
              <w:rPr>
                <w:b/>
                <w:sz w:val="24"/>
                <w:szCs w:val="32"/>
              </w:rPr>
              <w:t>2</w:t>
            </w:r>
            <w:r>
              <w:rPr>
                <w:rFonts w:hint="eastAsia"/>
                <w:b/>
                <w:sz w:val="24"/>
                <w:szCs w:val="32"/>
              </w:rPr>
              <w:t>、施工期水环境影响分析及防治措施</w:t>
            </w:r>
          </w:p>
          <w:p>
            <w:pPr>
              <w:adjustRightInd w:val="0"/>
              <w:snapToGrid w:val="0"/>
              <w:spacing w:line="480" w:lineRule="exact"/>
              <w:ind w:firstLine="480" w:firstLineChars="200"/>
              <w:rPr>
                <w:sz w:val="24"/>
                <w:szCs w:val="32"/>
              </w:rPr>
            </w:pPr>
            <w:r>
              <w:rPr>
                <w:rFonts w:hint="eastAsia"/>
                <w:sz w:val="24"/>
                <w:szCs w:val="32"/>
              </w:rPr>
              <w:t>施工期产生的废水主要为生活废水、食堂废水，以及机械冲洗废水。</w:t>
            </w:r>
          </w:p>
          <w:p>
            <w:pPr>
              <w:adjustRightInd w:val="0"/>
              <w:snapToGrid w:val="0"/>
              <w:spacing w:line="480" w:lineRule="exact"/>
              <w:ind w:firstLine="480" w:firstLineChars="200"/>
              <w:rPr>
                <w:sz w:val="24"/>
                <w:szCs w:val="32"/>
              </w:rPr>
            </w:pPr>
            <w:r>
              <w:rPr>
                <w:rFonts w:hint="eastAsia"/>
                <w:sz w:val="24"/>
                <w:szCs w:val="32"/>
              </w:rPr>
              <w:t>施工人员生活排水所含污染物主要为COD、BOD及SS等，但产生量较少。施工人员生活污水为盥洗废水，水质简单，可在厂区泼洒抑尘。施工人员食堂的餐饮污水要设置隔油、隔渣池，合格的隔油、隔渣池能去除大部分浮油和较大的悬浮物，减少了动植物油污染物的排放量。餐饮污水经隔油、隔渣池处理后与上述生活污水一同泼洒抑尘。</w:t>
            </w:r>
          </w:p>
          <w:p>
            <w:pPr>
              <w:adjustRightInd w:val="0"/>
              <w:snapToGrid w:val="0"/>
              <w:spacing w:line="480" w:lineRule="exact"/>
              <w:ind w:firstLine="480" w:firstLineChars="200"/>
              <w:rPr>
                <w:sz w:val="24"/>
                <w:szCs w:val="32"/>
              </w:rPr>
            </w:pPr>
            <w:r>
              <w:rPr>
                <w:rFonts w:hint="eastAsia"/>
                <w:sz w:val="24"/>
                <w:szCs w:val="32"/>
              </w:rPr>
              <w:t>施工机械定点冲洗，并在冲洗场地内设置集水沟和简易有效的除油池，将机技冲洗等含油废水进行收集、除油处理达标后排放。凡在施工场地进行搅拌作业的，在扭拌机前台及运输车清洗处设置沉淀池。排放的废水排入沉淀池内，经沉淀处理后进行回收利用、用于洒水降尘。</w:t>
            </w:r>
          </w:p>
          <w:p>
            <w:pPr>
              <w:adjustRightInd w:val="0"/>
              <w:snapToGrid w:val="0"/>
              <w:spacing w:line="480" w:lineRule="exact"/>
              <w:ind w:firstLine="482" w:firstLineChars="200"/>
              <w:rPr>
                <w:b/>
                <w:sz w:val="24"/>
                <w:szCs w:val="32"/>
              </w:rPr>
            </w:pPr>
            <w:r>
              <w:rPr>
                <w:b/>
                <w:sz w:val="24"/>
                <w:szCs w:val="32"/>
              </w:rPr>
              <w:t>3</w:t>
            </w:r>
            <w:r>
              <w:rPr>
                <w:rFonts w:hint="eastAsia"/>
                <w:b/>
                <w:sz w:val="24"/>
                <w:szCs w:val="32"/>
              </w:rPr>
              <w:t>、施工期固体废弃物影响分析及防治措施</w:t>
            </w:r>
          </w:p>
          <w:p>
            <w:pPr>
              <w:adjustRightInd w:val="0"/>
              <w:snapToGrid w:val="0"/>
              <w:spacing w:line="480" w:lineRule="exact"/>
              <w:ind w:firstLine="480" w:firstLineChars="200"/>
              <w:rPr>
                <w:sz w:val="24"/>
                <w:szCs w:val="32"/>
              </w:rPr>
            </w:pPr>
            <w:r>
              <w:rPr>
                <w:rFonts w:hint="eastAsia"/>
                <w:sz w:val="24"/>
                <w:szCs w:val="32"/>
              </w:rPr>
              <w:t>施工阶段产生的固体废物主要为建筑垃圾、生活垃圾。</w:t>
            </w:r>
          </w:p>
          <w:p>
            <w:pPr>
              <w:adjustRightInd w:val="0"/>
              <w:snapToGrid w:val="0"/>
              <w:spacing w:line="480" w:lineRule="exact"/>
              <w:ind w:firstLine="480" w:firstLineChars="200"/>
              <w:rPr>
                <w:sz w:val="24"/>
                <w:szCs w:val="32"/>
              </w:rPr>
            </w:pPr>
            <w:r>
              <w:rPr>
                <w:rFonts w:hint="eastAsia"/>
                <w:sz w:val="24"/>
                <w:szCs w:val="32"/>
              </w:rPr>
              <w:t>施工期间产生的建筑垃圾</w:t>
            </w:r>
            <w:r>
              <w:rPr>
                <w:sz w:val="24"/>
                <w:szCs w:val="32"/>
              </w:rPr>
              <w:t>主要包括灰碴、砂、石、废砖等</w:t>
            </w:r>
            <w:r>
              <w:rPr>
                <w:rFonts w:hint="eastAsia"/>
                <w:sz w:val="24"/>
                <w:szCs w:val="32"/>
              </w:rPr>
              <w:t>应首先考虑回收利用，不能回收利用的，按照当地主管部门的要求送至指定地点集中处置，严禁乱堆乱放；垃圾等运输过程中，车辆要装载均衡，货物不得超出车厢体，要采取密闭措施，不得撒漏。</w:t>
            </w:r>
          </w:p>
          <w:p>
            <w:pPr>
              <w:adjustRightInd w:val="0"/>
              <w:snapToGrid w:val="0"/>
              <w:spacing w:line="480" w:lineRule="exact"/>
              <w:ind w:firstLine="480" w:firstLineChars="200"/>
              <w:rPr>
                <w:sz w:val="24"/>
                <w:szCs w:val="32"/>
              </w:rPr>
            </w:pPr>
            <w:r>
              <w:rPr>
                <w:rFonts w:hint="eastAsia"/>
                <w:sz w:val="24"/>
                <w:szCs w:val="32"/>
              </w:rPr>
              <w:t>施工人员生活垃圾主要为生活中遗弃的废弃物，施工高峰期人员约5</w:t>
            </w:r>
            <w:r>
              <w:rPr>
                <w:sz w:val="24"/>
                <w:szCs w:val="32"/>
              </w:rPr>
              <w:t>0</w:t>
            </w:r>
            <w:r>
              <w:rPr>
                <w:rFonts w:hint="eastAsia"/>
                <w:sz w:val="24"/>
                <w:szCs w:val="32"/>
              </w:rPr>
              <w:t>人，按</w:t>
            </w:r>
            <w:r>
              <w:rPr>
                <w:sz w:val="24"/>
                <w:szCs w:val="32"/>
              </w:rPr>
              <w:t>0.5kg/</w:t>
            </w:r>
            <w:r>
              <w:rPr>
                <w:rFonts w:hint="eastAsia"/>
                <w:sz w:val="24"/>
                <w:szCs w:val="32"/>
              </w:rPr>
              <w:t>人•</w:t>
            </w:r>
            <w:r>
              <w:rPr>
                <w:sz w:val="24"/>
                <w:szCs w:val="32"/>
              </w:rPr>
              <w:t>d</w:t>
            </w:r>
            <w:r>
              <w:rPr>
                <w:rFonts w:hint="eastAsia"/>
                <w:sz w:val="24"/>
                <w:szCs w:val="32"/>
              </w:rPr>
              <w:t>计，则生活垃圾产生量约25</w:t>
            </w:r>
            <w:r>
              <w:rPr>
                <w:sz w:val="24"/>
                <w:szCs w:val="32"/>
              </w:rPr>
              <w:t>kg/d</w:t>
            </w:r>
            <w:r>
              <w:rPr>
                <w:rFonts w:hint="eastAsia"/>
                <w:sz w:val="24"/>
                <w:szCs w:val="32"/>
              </w:rPr>
              <w:t>。在施工区域内设临时集中收集点，运至五台县环卫部门指定的地点。</w:t>
            </w:r>
          </w:p>
          <w:p>
            <w:pPr>
              <w:adjustRightInd w:val="0"/>
              <w:snapToGrid w:val="0"/>
              <w:spacing w:line="480" w:lineRule="exact"/>
              <w:ind w:firstLine="482" w:firstLineChars="200"/>
              <w:rPr>
                <w:b/>
                <w:sz w:val="24"/>
                <w:szCs w:val="32"/>
              </w:rPr>
            </w:pPr>
            <w:r>
              <w:rPr>
                <w:b/>
                <w:sz w:val="24"/>
                <w:szCs w:val="32"/>
              </w:rPr>
              <w:t>4</w:t>
            </w:r>
            <w:r>
              <w:rPr>
                <w:rFonts w:hint="eastAsia"/>
                <w:b/>
                <w:sz w:val="24"/>
                <w:szCs w:val="32"/>
              </w:rPr>
              <w:t>、施工期声环境影晌分析及防治措施</w:t>
            </w:r>
          </w:p>
          <w:p>
            <w:pPr>
              <w:adjustRightInd w:val="0"/>
              <w:snapToGrid w:val="0"/>
              <w:spacing w:line="480" w:lineRule="exact"/>
              <w:ind w:firstLine="480" w:firstLineChars="200"/>
              <w:rPr>
                <w:sz w:val="24"/>
                <w:szCs w:val="32"/>
              </w:rPr>
            </w:pPr>
            <w:r>
              <w:rPr>
                <w:rFonts w:hint="eastAsia"/>
                <w:bCs/>
                <w:sz w:val="24"/>
                <w:szCs w:val="32"/>
              </w:rPr>
              <w:t>施工噪声主要来源于施工机械设备产生的噪声，如装载机、吊车、载重汽车、电钻等，</w:t>
            </w:r>
            <w:r>
              <w:rPr>
                <w:rFonts w:hint="eastAsia"/>
                <w:sz w:val="24"/>
                <w:szCs w:val="32"/>
              </w:rPr>
              <w:t>噪声值为</w:t>
            </w:r>
            <w:r>
              <w:rPr>
                <w:sz w:val="24"/>
                <w:szCs w:val="32"/>
              </w:rPr>
              <w:t>70-110dB</w:t>
            </w:r>
            <w:r>
              <w:rPr>
                <w:rFonts w:hint="eastAsia"/>
                <w:sz w:val="24"/>
                <w:szCs w:val="32"/>
              </w:rPr>
              <w:t>（</w:t>
            </w:r>
            <w:r>
              <w:rPr>
                <w:sz w:val="24"/>
                <w:szCs w:val="32"/>
              </w:rPr>
              <w:t>A</w:t>
            </w:r>
            <w:r>
              <w:rPr>
                <w:rFonts w:hint="eastAsia"/>
                <w:sz w:val="24"/>
                <w:szCs w:val="32"/>
              </w:rPr>
              <w:t>）。</w:t>
            </w:r>
          </w:p>
          <w:p>
            <w:pPr>
              <w:adjustRightInd w:val="0"/>
              <w:snapToGrid w:val="0"/>
              <w:spacing w:line="480" w:lineRule="exact"/>
              <w:ind w:firstLine="480" w:firstLineChars="200"/>
              <w:rPr>
                <w:sz w:val="24"/>
                <w:szCs w:val="32"/>
              </w:rPr>
            </w:pPr>
            <w:r>
              <w:rPr>
                <w:rFonts w:hint="eastAsia"/>
                <w:sz w:val="24"/>
                <w:szCs w:val="32"/>
              </w:rPr>
              <w:t>本项目施工期不同阶段噪声源及声压等级见下表。</w:t>
            </w:r>
          </w:p>
          <w:p>
            <w:pPr>
              <w:spacing w:line="480" w:lineRule="exact"/>
              <w:jc w:val="center"/>
              <w:rPr>
                <w:rFonts w:ascii="黑体" w:hAnsi="黑体" w:eastAsia="黑体"/>
                <w:sz w:val="24"/>
                <w:szCs w:val="32"/>
              </w:rPr>
            </w:pPr>
            <w:r>
              <w:rPr>
                <w:rFonts w:hint="eastAsia" w:ascii="黑体" w:hAnsi="黑体" w:eastAsia="黑体"/>
                <w:sz w:val="24"/>
                <w:szCs w:val="32"/>
              </w:rPr>
              <w:t>表</w:t>
            </w:r>
            <w:r>
              <w:rPr>
                <w:rFonts w:ascii="黑体" w:hAnsi="黑体" w:eastAsia="黑体"/>
                <w:sz w:val="24"/>
                <w:szCs w:val="32"/>
              </w:rPr>
              <w:t>4-1</w:t>
            </w:r>
            <w:r>
              <w:rPr>
                <w:rFonts w:hint="eastAsia" w:ascii="黑体" w:hAnsi="黑体" w:eastAsia="黑体"/>
                <w:sz w:val="24"/>
                <w:szCs w:val="32"/>
              </w:rPr>
              <w:t xml:space="preserve">  施工期主要噪声源及声压等级</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3382"/>
              <w:gridCol w:w="2261"/>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施工阶段</w:t>
                  </w:r>
                </w:p>
              </w:tc>
              <w:tc>
                <w:tcPr>
                  <w:tcW w:w="1963" w:type="pct"/>
                  <w:vAlign w:val="center"/>
                </w:tcPr>
                <w:p>
                  <w:pPr>
                    <w:jc w:val="center"/>
                    <w:rPr>
                      <w:bCs/>
                      <w:szCs w:val="21"/>
                    </w:rPr>
                  </w:pPr>
                  <w:r>
                    <w:rPr>
                      <w:rFonts w:hint="eastAsia"/>
                      <w:bCs/>
                      <w:szCs w:val="21"/>
                    </w:rPr>
                    <w:t>主要噪声源</w:t>
                  </w:r>
                </w:p>
              </w:tc>
              <w:tc>
                <w:tcPr>
                  <w:tcW w:w="1312" w:type="pct"/>
                  <w:vAlign w:val="center"/>
                </w:tcPr>
                <w:p>
                  <w:pPr>
                    <w:jc w:val="center"/>
                    <w:rPr>
                      <w:bCs/>
                      <w:szCs w:val="21"/>
                    </w:rPr>
                  </w:pPr>
                  <w:r>
                    <w:rPr>
                      <w:rFonts w:hint="eastAsia"/>
                      <w:bCs/>
                      <w:szCs w:val="21"/>
                    </w:rPr>
                    <w:t>噪声级</w:t>
                  </w:r>
                  <w:r>
                    <w:rPr>
                      <w:bCs/>
                      <w:szCs w:val="21"/>
                    </w:rPr>
                    <w:t>[dB(A)]</w:t>
                  </w:r>
                </w:p>
              </w:tc>
              <w:tc>
                <w:tcPr>
                  <w:tcW w:w="963" w:type="pct"/>
                  <w:vAlign w:val="center"/>
                </w:tcPr>
                <w:p>
                  <w:pPr>
                    <w:jc w:val="center"/>
                    <w:rPr>
                      <w:bCs/>
                      <w:szCs w:val="21"/>
                    </w:rPr>
                  </w:pPr>
                  <w:r>
                    <w:rPr>
                      <w:rFonts w:hint="eastAsia"/>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基础阶段</w:t>
                  </w:r>
                </w:p>
              </w:tc>
              <w:tc>
                <w:tcPr>
                  <w:tcW w:w="1963" w:type="pct"/>
                  <w:vAlign w:val="center"/>
                </w:tcPr>
                <w:p>
                  <w:pPr>
                    <w:jc w:val="center"/>
                    <w:rPr>
                      <w:bCs/>
                      <w:szCs w:val="21"/>
                    </w:rPr>
                  </w:pPr>
                  <w:r>
                    <w:rPr>
                      <w:rFonts w:hint="eastAsia"/>
                      <w:bCs/>
                      <w:szCs w:val="21"/>
                    </w:rPr>
                    <w:t>装载机等</w:t>
                  </w:r>
                </w:p>
              </w:tc>
              <w:tc>
                <w:tcPr>
                  <w:tcW w:w="1312" w:type="pct"/>
                  <w:vAlign w:val="center"/>
                </w:tcPr>
                <w:p>
                  <w:pPr>
                    <w:jc w:val="center"/>
                    <w:rPr>
                      <w:bCs/>
                      <w:szCs w:val="21"/>
                    </w:rPr>
                  </w:pPr>
                  <w:r>
                    <w:rPr>
                      <w:bCs/>
                      <w:szCs w:val="21"/>
                    </w:rPr>
                    <w:t>110</w:t>
                  </w:r>
                </w:p>
              </w:tc>
              <w:tc>
                <w:tcPr>
                  <w:tcW w:w="963" w:type="pct"/>
                  <w:vAlign w:val="center"/>
                </w:tcPr>
                <w:p>
                  <w:pPr>
                    <w:jc w:val="center"/>
                    <w:rPr>
                      <w:bCs/>
                      <w:szCs w:val="21"/>
                    </w:rPr>
                  </w:pPr>
                  <w:r>
                    <w:rPr>
                      <w:rFonts w:hint="eastAsia"/>
                      <w:bCs/>
                      <w:szCs w:val="21"/>
                    </w:rPr>
                    <w:t>距声源</w:t>
                  </w:r>
                  <w:r>
                    <w:rPr>
                      <w:bCs/>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结构阶段</w:t>
                  </w:r>
                </w:p>
              </w:tc>
              <w:tc>
                <w:tcPr>
                  <w:tcW w:w="1963" w:type="pct"/>
                  <w:vAlign w:val="center"/>
                </w:tcPr>
                <w:p>
                  <w:pPr>
                    <w:jc w:val="center"/>
                    <w:rPr>
                      <w:bCs/>
                      <w:szCs w:val="21"/>
                    </w:rPr>
                  </w:pPr>
                  <w:r>
                    <w:rPr>
                      <w:rFonts w:hint="eastAsia"/>
                      <w:bCs/>
                      <w:szCs w:val="21"/>
                    </w:rPr>
                    <w:t>吊车、载重汽车等</w:t>
                  </w:r>
                </w:p>
              </w:tc>
              <w:tc>
                <w:tcPr>
                  <w:tcW w:w="1312" w:type="pct"/>
                  <w:vAlign w:val="center"/>
                </w:tcPr>
                <w:p>
                  <w:pPr>
                    <w:jc w:val="center"/>
                    <w:rPr>
                      <w:bCs/>
                      <w:szCs w:val="21"/>
                    </w:rPr>
                  </w:pPr>
                  <w:r>
                    <w:rPr>
                      <w:bCs/>
                      <w:szCs w:val="21"/>
                    </w:rPr>
                    <w:t>95~110</w:t>
                  </w:r>
                </w:p>
              </w:tc>
              <w:tc>
                <w:tcPr>
                  <w:tcW w:w="963" w:type="pct"/>
                  <w:vAlign w:val="center"/>
                </w:tcPr>
                <w:p>
                  <w:pPr>
                    <w:jc w:val="center"/>
                    <w:rPr>
                      <w:bCs/>
                      <w:szCs w:val="21"/>
                    </w:rPr>
                  </w:pPr>
                  <w:r>
                    <w:rPr>
                      <w:rFonts w:hint="eastAsia"/>
                      <w:bCs/>
                      <w:szCs w:val="21"/>
                    </w:rPr>
                    <w:t>距声源</w:t>
                  </w:r>
                  <w:r>
                    <w:rPr>
                      <w:bCs/>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Align w:val="center"/>
                </w:tcPr>
                <w:p>
                  <w:pPr>
                    <w:jc w:val="center"/>
                    <w:rPr>
                      <w:bCs/>
                      <w:szCs w:val="21"/>
                    </w:rPr>
                  </w:pPr>
                  <w:r>
                    <w:rPr>
                      <w:rFonts w:hint="eastAsia"/>
                      <w:bCs/>
                      <w:szCs w:val="21"/>
                    </w:rPr>
                    <w:t>安装阶段</w:t>
                  </w:r>
                </w:p>
              </w:tc>
              <w:tc>
                <w:tcPr>
                  <w:tcW w:w="1963" w:type="pct"/>
                  <w:vAlign w:val="center"/>
                </w:tcPr>
                <w:p>
                  <w:pPr>
                    <w:jc w:val="center"/>
                    <w:rPr>
                      <w:bCs/>
                      <w:szCs w:val="21"/>
                    </w:rPr>
                  </w:pPr>
                  <w:r>
                    <w:rPr>
                      <w:rFonts w:hint="eastAsia"/>
                      <w:bCs/>
                      <w:szCs w:val="21"/>
                    </w:rPr>
                    <w:t>无长时间操作的主要噪声源</w:t>
                  </w:r>
                </w:p>
              </w:tc>
              <w:tc>
                <w:tcPr>
                  <w:tcW w:w="1312" w:type="pct"/>
                  <w:vAlign w:val="center"/>
                </w:tcPr>
                <w:p>
                  <w:pPr>
                    <w:jc w:val="center"/>
                    <w:rPr>
                      <w:bCs/>
                      <w:szCs w:val="21"/>
                    </w:rPr>
                  </w:pPr>
                  <w:r>
                    <w:rPr>
                      <w:bCs/>
                      <w:szCs w:val="21"/>
                    </w:rPr>
                    <w:t>85~90</w:t>
                  </w:r>
                </w:p>
              </w:tc>
              <w:tc>
                <w:tcPr>
                  <w:tcW w:w="963" w:type="pct"/>
                  <w:vAlign w:val="center"/>
                </w:tcPr>
                <w:p>
                  <w:pPr>
                    <w:jc w:val="center"/>
                    <w:rPr>
                      <w:bCs/>
                      <w:szCs w:val="21"/>
                    </w:rPr>
                  </w:pPr>
                  <w:r>
                    <w:rPr>
                      <w:rFonts w:hint="eastAsia"/>
                      <w:bCs/>
                      <w:szCs w:val="21"/>
                    </w:rPr>
                    <w:t>距声源</w:t>
                  </w:r>
                  <w:r>
                    <w:rPr>
                      <w:bCs/>
                      <w:szCs w:val="21"/>
                    </w:rPr>
                    <w:t>1.5m</w:t>
                  </w:r>
                </w:p>
              </w:tc>
            </w:tr>
          </w:tbl>
          <w:p>
            <w:pPr>
              <w:adjustRightInd w:val="0"/>
              <w:snapToGrid w:val="0"/>
              <w:spacing w:line="480" w:lineRule="exact"/>
              <w:ind w:firstLine="480" w:firstLineChars="200"/>
              <w:rPr>
                <w:sz w:val="24"/>
                <w:szCs w:val="32"/>
              </w:rPr>
            </w:pPr>
            <w:r>
              <w:rPr>
                <w:rFonts w:hint="eastAsia"/>
                <w:sz w:val="24"/>
                <w:szCs w:val="32"/>
              </w:rPr>
              <w:t>评价要求采取以下措施减轻噪声影响：</w:t>
            </w:r>
          </w:p>
          <w:p>
            <w:pPr>
              <w:adjustRightInd w:val="0"/>
              <w:snapToGrid w:val="0"/>
              <w:spacing w:line="480" w:lineRule="exact"/>
              <w:ind w:firstLine="480" w:firstLineChars="200"/>
              <w:rPr>
                <w:sz w:val="24"/>
                <w:szCs w:val="32"/>
              </w:rPr>
            </w:pPr>
            <w:r>
              <w:rPr>
                <w:rFonts w:hint="eastAsia"/>
                <w:sz w:val="24"/>
                <w:szCs w:val="32"/>
              </w:rPr>
              <w:t>①企业在施工过程要合理安排施工时间，所有产噪设备施工时间应尽量安排在日间，严格控制夜间施工，在</w:t>
            </w:r>
            <w:r>
              <w:rPr>
                <w:sz w:val="24"/>
                <w:szCs w:val="32"/>
              </w:rPr>
              <w:t>22</w:t>
            </w:r>
            <w:r>
              <w:rPr>
                <w:rFonts w:hint="eastAsia"/>
                <w:sz w:val="24"/>
                <w:szCs w:val="32"/>
              </w:rPr>
              <w:t>时至次日</w:t>
            </w:r>
            <w:r>
              <w:rPr>
                <w:sz w:val="24"/>
                <w:szCs w:val="32"/>
              </w:rPr>
              <w:t>6</w:t>
            </w:r>
            <w:r>
              <w:rPr>
                <w:rFonts w:hint="eastAsia"/>
                <w:sz w:val="24"/>
                <w:szCs w:val="32"/>
              </w:rPr>
              <w:t>时不得施工，高噪声设备禁止夜间施工；</w:t>
            </w:r>
          </w:p>
          <w:p>
            <w:pPr>
              <w:adjustRightInd w:val="0"/>
              <w:snapToGrid w:val="0"/>
              <w:spacing w:line="480" w:lineRule="exact"/>
              <w:ind w:firstLine="480" w:firstLineChars="200"/>
              <w:rPr>
                <w:sz w:val="24"/>
                <w:szCs w:val="32"/>
              </w:rPr>
            </w:pPr>
            <w:r>
              <w:rPr>
                <w:rFonts w:hint="eastAsia"/>
                <w:sz w:val="24"/>
                <w:szCs w:val="32"/>
              </w:rPr>
              <w:t>②由于工艺或工程进度要求需在夜间施工时，需事先征得环保部门的同意，并树立公告牌向周边居民说明情况；</w:t>
            </w:r>
          </w:p>
          <w:p>
            <w:pPr>
              <w:adjustRightInd w:val="0"/>
              <w:snapToGrid w:val="0"/>
              <w:spacing w:line="480" w:lineRule="exact"/>
              <w:ind w:firstLine="480" w:firstLineChars="200"/>
              <w:rPr>
                <w:sz w:val="24"/>
                <w:szCs w:val="32"/>
              </w:rPr>
            </w:pPr>
            <w:r>
              <w:rPr>
                <w:rFonts w:hint="eastAsia"/>
                <w:sz w:val="24"/>
                <w:szCs w:val="32"/>
              </w:rPr>
              <w:t>③采用低噪声设备，对动力机械设备进行定期维修、养护，避免因设备松动部件的震动或消声器破坏而加大其工作时的声级；</w:t>
            </w:r>
          </w:p>
          <w:p>
            <w:pPr>
              <w:adjustRightInd w:val="0"/>
              <w:snapToGrid w:val="0"/>
              <w:spacing w:line="480" w:lineRule="exact"/>
              <w:ind w:firstLine="480" w:firstLineChars="200"/>
              <w:rPr>
                <w:sz w:val="24"/>
                <w:szCs w:val="32"/>
              </w:rPr>
            </w:pPr>
            <w:r>
              <w:rPr>
                <w:rFonts w:hint="eastAsia"/>
                <w:sz w:val="24"/>
                <w:szCs w:val="32"/>
              </w:rPr>
              <w:t>④在模板、支架的拆卸过程中应遵守作业规定，减少碰撞噪声；</w:t>
            </w:r>
          </w:p>
          <w:p>
            <w:pPr>
              <w:adjustRightInd w:val="0"/>
              <w:snapToGrid w:val="0"/>
              <w:spacing w:line="480" w:lineRule="exact"/>
              <w:ind w:firstLine="480" w:firstLineChars="200"/>
              <w:rPr>
                <w:sz w:val="24"/>
                <w:szCs w:val="32"/>
              </w:rPr>
            </w:pPr>
            <w:r>
              <w:rPr>
                <w:rFonts w:hint="eastAsia"/>
                <w:sz w:val="24"/>
                <w:szCs w:val="32"/>
              </w:rPr>
              <w:t>⑤合理布局，避免在同一地点安排大量动力机械设备，以避免局部声级过高；</w:t>
            </w:r>
          </w:p>
          <w:p>
            <w:pPr>
              <w:adjustRightInd w:val="0"/>
              <w:snapToGrid w:val="0"/>
              <w:spacing w:line="480" w:lineRule="exact"/>
              <w:ind w:firstLine="480" w:firstLineChars="200"/>
              <w:rPr>
                <w:sz w:val="24"/>
                <w:szCs w:val="32"/>
              </w:rPr>
            </w:pPr>
            <w:r>
              <w:rPr>
                <w:rFonts w:hint="eastAsia"/>
                <w:sz w:val="24"/>
                <w:szCs w:val="32"/>
              </w:rPr>
              <w:t>⑥为避免设备噪声对施工人员造成影响，评价建议项目施工时要合理安排工作人员，轮流操作机械，减少工人接触高噪音时间；对声源附近工作时间较长的工人，应采取分发防护耳塞保护措施，使工人自身防护得到保障。</w:t>
            </w:r>
          </w:p>
          <w:p>
            <w:pPr>
              <w:adjustRightInd w:val="0"/>
              <w:snapToGrid w:val="0"/>
              <w:spacing w:line="480" w:lineRule="exact"/>
              <w:ind w:firstLine="380" w:firstLineChars="200"/>
              <w:rPr>
                <w:rFonts w:ascii="宋体" w:hAnsi="宋体" w:cs="宋体"/>
                <w:bCs/>
                <w:spacing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36" w:type="pct"/>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w:t>
            </w:r>
          </w:p>
          <w:p>
            <w:pPr>
              <w:adjustRightInd w:val="0"/>
              <w:snapToGrid w:val="0"/>
              <w:jc w:val="center"/>
              <w:rPr>
                <w:rFonts w:ascii="宋体" w:hAnsi="宋体" w:cs="宋体"/>
                <w:bCs/>
                <w:szCs w:val="21"/>
              </w:rPr>
            </w:pPr>
            <w:r>
              <w:rPr>
                <w:rFonts w:hint="eastAsia" w:ascii="宋体" w:hAnsi="宋体" w:cs="宋体"/>
                <w:bCs/>
                <w:szCs w:val="21"/>
              </w:rPr>
              <w:t>期环</w:t>
            </w:r>
          </w:p>
          <w:p>
            <w:pPr>
              <w:adjustRightInd w:val="0"/>
              <w:snapToGrid w:val="0"/>
              <w:jc w:val="center"/>
              <w:rPr>
                <w:rFonts w:ascii="宋体" w:hAnsi="宋体" w:cs="宋体"/>
                <w:bCs/>
                <w:szCs w:val="21"/>
              </w:rPr>
            </w:pPr>
            <w:r>
              <w:rPr>
                <w:rFonts w:hint="eastAsia" w:ascii="宋体" w:hAnsi="宋体" w:cs="宋体"/>
                <w:bCs/>
                <w:szCs w:val="21"/>
              </w:rPr>
              <w:t>境影</w:t>
            </w:r>
          </w:p>
          <w:p>
            <w:pPr>
              <w:adjustRightInd w:val="0"/>
              <w:snapToGrid w:val="0"/>
              <w:jc w:val="center"/>
              <w:rPr>
                <w:rFonts w:ascii="宋体" w:hAnsi="宋体" w:cs="宋体"/>
                <w:bCs/>
                <w:szCs w:val="21"/>
              </w:rPr>
            </w:pPr>
            <w:r>
              <w:rPr>
                <w:rFonts w:hint="eastAsia" w:ascii="宋体" w:hAnsi="宋体" w:cs="宋体"/>
                <w:bCs/>
                <w:szCs w:val="21"/>
              </w:rPr>
              <w:t>响和</w:t>
            </w:r>
          </w:p>
          <w:p>
            <w:pPr>
              <w:adjustRightInd w:val="0"/>
              <w:snapToGrid w:val="0"/>
              <w:jc w:val="center"/>
              <w:rPr>
                <w:rFonts w:ascii="宋体" w:hAnsi="宋体" w:cs="宋体"/>
                <w:bCs/>
                <w:szCs w:val="21"/>
              </w:rPr>
            </w:pPr>
            <w:r>
              <w:rPr>
                <w:rFonts w:hint="eastAsia" w:ascii="宋体" w:hAnsi="宋体" w:cs="宋体"/>
                <w:bCs/>
                <w:szCs w:val="21"/>
              </w:rPr>
              <w:t>保护</w:t>
            </w:r>
          </w:p>
          <w:p>
            <w:pPr>
              <w:adjustRightInd w:val="0"/>
              <w:snapToGrid w:val="0"/>
              <w:jc w:val="center"/>
              <w:rPr>
                <w:rFonts w:ascii="宋体" w:hAnsi="宋体" w:cs="宋体"/>
                <w:bCs/>
                <w:szCs w:val="21"/>
              </w:rPr>
            </w:pPr>
            <w:r>
              <w:rPr>
                <w:rFonts w:hint="eastAsia" w:ascii="宋体" w:hAnsi="宋体" w:cs="宋体"/>
                <w:bCs/>
                <w:szCs w:val="21"/>
              </w:rPr>
              <w:t>措施</w:t>
            </w:r>
          </w:p>
        </w:tc>
        <w:tc>
          <w:tcPr>
            <w:tcW w:w="4764" w:type="pct"/>
            <w:vAlign w:val="center"/>
          </w:tcPr>
          <w:p>
            <w:pPr>
              <w:adjustRightInd w:val="0"/>
              <w:snapToGrid w:val="0"/>
              <w:spacing w:line="480" w:lineRule="exact"/>
              <w:ind w:firstLine="482" w:firstLineChars="200"/>
              <w:rPr>
                <w:b/>
                <w:sz w:val="24"/>
              </w:rPr>
            </w:pPr>
            <w:r>
              <w:rPr>
                <w:b/>
                <w:sz w:val="24"/>
              </w:rPr>
              <w:t>1、</w:t>
            </w:r>
            <w:r>
              <w:rPr>
                <w:rFonts w:hint="eastAsia"/>
                <w:b/>
                <w:sz w:val="24"/>
              </w:rPr>
              <w:t>运营期</w:t>
            </w:r>
            <w:r>
              <w:rPr>
                <w:b/>
                <w:sz w:val="24"/>
              </w:rPr>
              <w:t>大气污染源强</w:t>
            </w:r>
            <w:r>
              <w:rPr>
                <w:rFonts w:hint="eastAsia"/>
                <w:b/>
                <w:sz w:val="24"/>
              </w:rPr>
              <w:t>及污染防治措施</w:t>
            </w:r>
          </w:p>
          <w:p>
            <w:pPr>
              <w:adjustRightInd w:val="0"/>
              <w:snapToGrid w:val="0"/>
              <w:spacing w:line="480" w:lineRule="exact"/>
              <w:ind w:firstLine="482" w:firstLineChars="200"/>
              <w:rPr>
                <w:b/>
                <w:bCs/>
                <w:sz w:val="24"/>
              </w:rPr>
            </w:pPr>
            <w:r>
              <w:rPr>
                <w:b/>
                <w:bCs/>
                <w:sz w:val="24"/>
              </w:rPr>
              <w:t>G</w:t>
            </w:r>
            <w:r>
              <w:rPr>
                <w:b/>
                <w:bCs/>
                <w:sz w:val="24"/>
                <w:vertAlign w:val="subscript"/>
              </w:rPr>
              <w:t>1</w:t>
            </w:r>
            <w:r>
              <w:rPr>
                <w:b/>
                <w:bCs/>
                <w:sz w:val="24"/>
              </w:rPr>
              <w:t>：</w:t>
            </w:r>
            <w:r>
              <w:rPr>
                <w:rFonts w:hint="eastAsia"/>
                <w:b/>
                <w:bCs/>
                <w:sz w:val="24"/>
              </w:rPr>
              <w:t>遗体火化废气</w:t>
            </w:r>
          </w:p>
          <w:p>
            <w:pPr>
              <w:adjustRightInd w:val="0"/>
              <w:snapToGrid w:val="0"/>
              <w:spacing w:line="480" w:lineRule="exact"/>
              <w:ind w:firstLine="480" w:firstLineChars="200"/>
              <w:rPr>
                <w:bCs/>
                <w:sz w:val="24"/>
              </w:rPr>
            </w:pPr>
            <w:r>
              <w:rPr>
                <w:bCs/>
                <w:sz w:val="24"/>
              </w:rPr>
              <w:t>本项目</w:t>
            </w:r>
            <w:r>
              <w:rPr>
                <w:rFonts w:hint="eastAsia"/>
                <w:bCs/>
                <w:sz w:val="24"/>
              </w:rPr>
              <w:t>火化间共配备</w:t>
            </w:r>
            <w:r>
              <w:rPr>
                <w:bCs/>
                <w:sz w:val="24"/>
              </w:rPr>
              <w:t>3</w:t>
            </w:r>
            <w:r>
              <w:rPr>
                <w:rFonts w:hint="eastAsia"/>
                <w:bCs/>
                <w:sz w:val="24"/>
              </w:rPr>
              <w:t>台节能环保燃油火化机，所用燃料为0</w:t>
            </w:r>
            <w:r>
              <w:rPr>
                <w:bCs/>
                <w:sz w:val="24"/>
              </w:rPr>
              <w:t>#</w:t>
            </w:r>
            <w:r>
              <w:rPr>
                <w:rFonts w:hint="eastAsia"/>
                <w:bCs/>
                <w:sz w:val="24"/>
              </w:rPr>
              <w:t>-3</w:t>
            </w:r>
            <w:r>
              <w:rPr>
                <w:bCs/>
                <w:sz w:val="24"/>
              </w:rPr>
              <w:t>0</w:t>
            </w:r>
            <w:r>
              <w:rPr>
                <w:rFonts w:hint="eastAsia"/>
                <w:bCs/>
                <w:sz w:val="24"/>
              </w:rPr>
              <w:t>#轻柴油，每具遗体平均火化时间</w:t>
            </w:r>
            <w:r>
              <w:rPr>
                <w:bCs/>
                <w:sz w:val="24"/>
              </w:rPr>
              <w:t>45</w:t>
            </w:r>
            <w:r>
              <w:rPr>
                <w:rFonts w:hint="eastAsia"/>
                <w:bCs/>
                <w:sz w:val="24"/>
              </w:rPr>
              <w:t>分钟左右，年最大服务能力为火化</w:t>
            </w:r>
            <w:r>
              <w:rPr>
                <w:bCs/>
                <w:sz w:val="24"/>
              </w:rPr>
              <w:t>2190</w:t>
            </w:r>
            <w:r>
              <w:rPr>
                <w:rFonts w:hint="eastAsia"/>
                <w:bCs/>
                <w:sz w:val="24"/>
              </w:rPr>
              <w:t>具遗体；每具遗体火化耗油量4</w:t>
            </w:r>
            <w:r>
              <w:rPr>
                <w:bCs/>
                <w:sz w:val="24"/>
              </w:rPr>
              <w:t>0</w:t>
            </w:r>
            <w:r>
              <w:rPr>
                <w:rFonts w:hint="eastAsia"/>
                <w:bCs/>
                <w:sz w:val="24"/>
              </w:rPr>
              <w:t>升/具（柴油密度以0.84计算）计，则火化年使用轻柴油</w:t>
            </w:r>
            <w:r>
              <w:rPr>
                <w:bCs/>
                <w:sz w:val="24"/>
              </w:rPr>
              <w:t>73.6</w:t>
            </w:r>
            <w:r>
              <w:rPr>
                <w:rFonts w:hint="eastAsia"/>
                <w:bCs/>
                <w:sz w:val="24"/>
              </w:rPr>
              <w:t>t/a。3台节能环保火化机分别单独配置一套废气处理设施+1根1</w:t>
            </w:r>
            <w:r>
              <w:rPr>
                <w:bCs/>
                <w:sz w:val="24"/>
              </w:rPr>
              <w:t>2m</w:t>
            </w:r>
            <w:r>
              <w:rPr>
                <w:rFonts w:hint="eastAsia"/>
                <w:bCs/>
                <w:sz w:val="24"/>
              </w:rPr>
              <w:t>高排气筒；共3套废气处理设施，3根1</w:t>
            </w:r>
            <w:r>
              <w:rPr>
                <w:bCs/>
                <w:sz w:val="24"/>
              </w:rPr>
              <w:t>2</w:t>
            </w:r>
            <w:r>
              <w:rPr>
                <w:rFonts w:hint="eastAsia"/>
                <w:bCs/>
                <w:sz w:val="24"/>
              </w:rPr>
              <w:t>m高排气筒。</w:t>
            </w:r>
          </w:p>
          <w:p>
            <w:pPr>
              <w:spacing w:line="480" w:lineRule="exact"/>
              <w:ind w:firstLine="480" w:firstLineChars="200"/>
              <w:rPr>
                <w:bCs/>
                <w:sz w:val="24"/>
              </w:rPr>
            </w:pPr>
            <w:r>
              <w:rPr>
                <w:rFonts w:hint="eastAsia"/>
                <w:bCs/>
                <w:sz w:val="24"/>
              </w:rPr>
              <w:t>遗体火化过程中，尸体、火化燃料和衣物在高温给氧条件下快速焚化，产生大气污染物，污染因子主要为烟尘、SO</w:t>
            </w:r>
            <w:r>
              <w:rPr>
                <w:rFonts w:hint="eastAsia"/>
                <w:bCs/>
                <w:sz w:val="24"/>
                <w:vertAlign w:val="subscript"/>
              </w:rPr>
              <w:t>2</w:t>
            </w:r>
            <w:r>
              <w:rPr>
                <w:rFonts w:hint="eastAsia"/>
                <w:bCs/>
                <w:sz w:val="24"/>
              </w:rPr>
              <w:t>、NO</w:t>
            </w:r>
            <w:r>
              <w:rPr>
                <w:bCs/>
                <w:sz w:val="24"/>
                <w:vertAlign w:val="subscript"/>
              </w:rPr>
              <w:t>x</w:t>
            </w:r>
            <w:r>
              <w:rPr>
                <w:rFonts w:hint="eastAsia"/>
                <w:bCs/>
                <w:sz w:val="24"/>
              </w:rPr>
              <w:t>、CO、HCl、汞、二噁英类等。</w:t>
            </w:r>
          </w:p>
          <w:p>
            <w:pPr>
              <w:spacing w:line="480" w:lineRule="exact"/>
              <w:ind w:firstLine="480" w:firstLineChars="200"/>
              <w:rPr>
                <w:bCs/>
                <w:sz w:val="24"/>
              </w:rPr>
            </w:pPr>
            <w:r>
              <w:rPr>
                <w:rFonts w:hint="eastAsia"/>
                <w:bCs/>
                <w:sz w:val="24"/>
              </w:rPr>
              <w:t>参考《火葬场大气污染物排放标准（征求意见）编制说明》（2</w:t>
            </w:r>
            <w:r>
              <w:rPr>
                <w:bCs/>
                <w:sz w:val="24"/>
              </w:rPr>
              <w:t>011</w:t>
            </w:r>
            <w:r>
              <w:rPr>
                <w:rFonts w:hint="eastAsia"/>
                <w:bCs/>
                <w:sz w:val="24"/>
              </w:rPr>
              <w:t>年3月）中表5</w:t>
            </w:r>
            <w:r>
              <w:rPr>
                <w:bCs/>
                <w:sz w:val="24"/>
              </w:rPr>
              <w:t xml:space="preserve"> 2009</w:t>
            </w:r>
            <w:r>
              <w:rPr>
                <w:rFonts w:hint="eastAsia"/>
                <w:bCs/>
                <w:sz w:val="24"/>
              </w:rPr>
              <w:t>年遗体火化各污染物排放总量结果以及表8二噁英排放测试结果，具体见下图。该编制说明指出：“目前（2009年），我国殡葬行业大多数火化机以及遗物祭品焚烧设备采用焚烧直排方式排放火化废气，没有安装火化烟气后处理系统，只有极少数如江、浙、粤以及京、津等发达地区省会级火葬场安装了烟气净化系统。”“据调查，我国在用的近5000台套火化机中，以燃油式、下排烟者居多，燃烧控制技术主要采用二次燃烧技术处理遗体，部分中心城市和发达地区火葬场安装了火化烟气净化装置。通过上述可知，我国2009年以前的火化机绝大多数是采用燃油式二级燃烧后直排，其污染排放的平均统计数据基本能代表本项目的污染物的产生情况。</w:t>
            </w:r>
          </w:p>
          <w:p>
            <w:pPr>
              <w:jc w:val="center"/>
            </w:pPr>
            <w:r>
              <w:drawing>
                <wp:inline distT="0" distB="0" distL="0" distR="0">
                  <wp:extent cx="5332095" cy="18923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5389658" cy="1913346"/>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jc w:val="center"/>
              <w:rPr>
                <w:bCs/>
                <w:sz w:val="24"/>
              </w:rPr>
            </w:pPr>
            <w:r>
              <w:drawing>
                <wp:inline distT="0" distB="0" distL="0" distR="0">
                  <wp:extent cx="5222875" cy="28301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5244463" cy="2841911"/>
                          </a:xfrm>
                          <a:prstGeom prst="rect">
                            <a:avLst/>
                          </a:prstGeom>
                        </pic:spPr>
                      </pic:pic>
                    </a:graphicData>
                  </a:graphic>
                </wp:inline>
              </w:drawing>
            </w:r>
          </w:p>
          <w:p>
            <w:pPr>
              <w:spacing w:line="480" w:lineRule="exact"/>
              <w:jc w:val="center"/>
              <w:rPr>
                <w:rFonts w:ascii="黑体" w:hAnsi="黑体" w:eastAsia="黑体"/>
                <w:bCs/>
                <w:sz w:val="24"/>
              </w:rPr>
            </w:pPr>
            <w:r>
              <w:rPr>
                <w:rFonts w:hint="eastAsia" w:ascii="黑体" w:hAnsi="黑体" w:eastAsia="黑体"/>
                <w:bCs/>
                <w:sz w:val="24"/>
              </w:rPr>
              <w:t>图4</w:t>
            </w:r>
            <w:r>
              <w:rPr>
                <w:rFonts w:ascii="黑体" w:hAnsi="黑体" w:eastAsia="黑体"/>
                <w:bCs/>
                <w:sz w:val="24"/>
              </w:rPr>
              <w:t xml:space="preserve">-1  </w:t>
            </w:r>
            <w:r>
              <w:rPr>
                <w:rFonts w:hint="eastAsia" w:ascii="黑体" w:hAnsi="黑体" w:eastAsia="黑体"/>
                <w:bCs/>
                <w:sz w:val="24"/>
              </w:rPr>
              <w:t>火葬场大气污染物排放标准（征求意见）编制说明》表5、8截图</w:t>
            </w:r>
          </w:p>
          <w:p>
            <w:pPr>
              <w:spacing w:line="480" w:lineRule="exact"/>
              <w:ind w:firstLine="480" w:firstLineChars="200"/>
              <w:rPr>
                <w:bCs/>
                <w:sz w:val="24"/>
              </w:rPr>
            </w:pPr>
            <w:r>
              <w:rPr>
                <w:rFonts w:hint="eastAsia"/>
                <w:bCs/>
                <w:sz w:val="24"/>
              </w:rPr>
              <w:t>上图中以单具遗体火化时间为4</w:t>
            </w:r>
            <w:r>
              <w:rPr>
                <w:bCs/>
                <w:sz w:val="24"/>
              </w:rPr>
              <w:t>5</w:t>
            </w:r>
            <w:r>
              <w:rPr>
                <w:rFonts w:hint="eastAsia"/>
                <w:bCs/>
                <w:sz w:val="24"/>
              </w:rPr>
              <w:t>min计算年排放总量，可推出单具遗体火化时的污染物排放量，其中二噁英排放量以火化机配套引风机风量（6</w:t>
            </w:r>
            <w:r>
              <w:rPr>
                <w:bCs/>
                <w:sz w:val="24"/>
              </w:rPr>
              <w:t>000Nm</w:t>
            </w:r>
            <w:r>
              <w:rPr>
                <w:bCs/>
                <w:sz w:val="24"/>
                <w:vertAlign w:val="superscript"/>
              </w:rPr>
              <w:t>3</w:t>
            </w:r>
            <w:r>
              <w:rPr>
                <w:bCs/>
                <w:sz w:val="24"/>
              </w:rPr>
              <w:t>/h</w:t>
            </w:r>
            <w:r>
              <w:rPr>
                <w:rFonts w:hint="eastAsia"/>
                <w:bCs/>
                <w:sz w:val="24"/>
              </w:rPr>
              <w:t>，7</w:t>
            </w:r>
            <w:r>
              <w:rPr>
                <w:bCs/>
                <w:sz w:val="24"/>
              </w:rPr>
              <w:t>.5kW</w:t>
            </w:r>
            <w:r>
              <w:rPr>
                <w:rFonts w:hint="eastAsia"/>
                <w:bCs/>
                <w:sz w:val="24"/>
              </w:rPr>
              <w:t>）计算单具遗体火化时的污染物排放量；具体结果见下表。</w:t>
            </w:r>
          </w:p>
          <w:p>
            <w:pPr>
              <w:spacing w:line="480" w:lineRule="exact"/>
              <w:jc w:val="center"/>
              <w:rPr>
                <w:rFonts w:ascii="黑体" w:hAnsi="黑体" w:eastAsia="黑体"/>
                <w:bCs/>
                <w:sz w:val="32"/>
                <w:szCs w:val="32"/>
              </w:rPr>
            </w:pPr>
            <w:r>
              <w:rPr>
                <w:rFonts w:hint="eastAsia" w:ascii="黑体" w:hAnsi="黑体" w:eastAsia="黑体"/>
                <w:sz w:val="24"/>
                <w:szCs w:val="32"/>
              </w:rPr>
              <w:t>表</w:t>
            </w:r>
            <w:r>
              <w:rPr>
                <w:rFonts w:ascii="黑体" w:hAnsi="黑体" w:eastAsia="黑体"/>
                <w:sz w:val="24"/>
                <w:szCs w:val="32"/>
              </w:rPr>
              <w:t>4-2</w:t>
            </w:r>
            <w:r>
              <w:rPr>
                <w:rFonts w:hint="eastAsia" w:ascii="黑体" w:hAnsi="黑体" w:eastAsia="黑体"/>
                <w:sz w:val="24"/>
                <w:szCs w:val="32"/>
              </w:rPr>
              <w:t xml:space="preserve"> </w:t>
            </w:r>
            <w:r>
              <w:rPr>
                <w:rFonts w:ascii="黑体" w:hAnsi="黑体" w:eastAsia="黑体"/>
                <w:sz w:val="24"/>
                <w:szCs w:val="32"/>
              </w:rPr>
              <w:t xml:space="preserve"> </w:t>
            </w:r>
            <w:r>
              <w:rPr>
                <w:rFonts w:hint="eastAsia" w:ascii="黑体" w:hAnsi="黑体" w:eastAsia="黑体"/>
                <w:sz w:val="24"/>
                <w:szCs w:val="32"/>
              </w:rPr>
              <w:t>单具遗体火化烟气排放情况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1039"/>
              <w:gridCol w:w="1039"/>
              <w:gridCol w:w="1082"/>
              <w:gridCol w:w="1027"/>
              <w:gridCol w:w="1268"/>
              <w:gridCol w:w="126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序号</w:t>
                  </w:r>
                </w:p>
              </w:tc>
              <w:tc>
                <w:tcPr>
                  <w:tcW w:w="603" w:type="pct"/>
                  <w:vAlign w:val="center"/>
                </w:tcPr>
                <w:p>
                  <w:pPr>
                    <w:jc w:val="center"/>
                    <w:rPr>
                      <w:szCs w:val="21"/>
                    </w:rPr>
                  </w:pPr>
                  <w:r>
                    <w:rPr>
                      <w:rFonts w:hint="eastAsia"/>
                      <w:szCs w:val="21"/>
                    </w:rPr>
                    <w:t>火化遗体数量（具）</w:t>
                  </w:r>
                </w:p>
              </w:tc>
              <w:tc>
                <w:tcPr>
                  <w:tcW w:w="603" w:type="pct"/>
                  <w:vAlign w:val="center"/>
                </w:tcPr>
                <w:p>
                  <w:pPr>
                    <w:jc w:val="center"/>
                    <w:rPr>
                      <w:szCs w:val="21"/>
                    </w:rPr>
                  </w:pPr>
                  <w:r>
                    <w:rPr>
                      <w:rFonts w:hint="eastAsia"/>
                      <w:szCs w:val="21"/>
                    </w:rPr>
                    <w:t>火化</w:t>
                  </w:r>
                </w:p>
                <w:p>
                  <w:pPr>
                    <w:jc w:val="center"/>
                    <w:rPr>
                      <w:szCs w:val="21"/>
                    </w:rPr>
                  </w:pPr>
                  <w:r>
                    <w:rPr>
                      <w:rFonts w:hint="eastAsia"/>
                      <w:szCs w:val="21"/>
                    </w:rPr>
                    <w:t>时间（min）</w:t>
                  </w:r>
                </w:p>
              </w:tc>
              <w:tc>
                <w:tcPr>
                  <w:tcW w:w="628" w:type="pct"/>
                  <w:vAlign w:val="center"/>
                </w:tcPr>
                <w:p>
                  <w:pPr>
                    <w:jc w:val="center"/>
                    <w:rPr>
                      <w:szCs w:val="21"/>
                    </w:rPr>
                  </w:pPr>
                  <w:r>
                    <w:rPr>
                      <w:szCs w:val="21"/>
                    </w:rPr>
                    <w:t>烟气产生量（m³/h）</w:t>
                  </w:r>
                </w:p>
              </w:tc>
              <w:tc>
                <w:tcPr>
                  <w:tcW w:w="596" w:type="pct"/>
                  <w:vAlign w:val="center"/>
                </w:tcPr>
                <w:p>
                  <w:pPr>
                    <w:jc w:val="center"/>
                    <w:rPr>
                      <w:szCs w:val="21"/>
                    </w:rPr>
                  </w:pPr>
                  <w:r>
                    <w:rPr>
                      <w:rFonts w:hint="eastAsia"/>
                      <w:szCs w:val="21"/>
                    </w:rPr>
                    <w:t>污染物名称</w:t>
                  </w:r>
                </w:p>
              </w:tc>
              <w:tc>
                <w:tcPr>
                  <w:tcW w:w="736" w:type="pct"/>
                  <w:vAlign w:val="center"/>
                </w:tcPr>
                <w:p>
                  <w:pPr>
                    <w:jc w:val="center"/>
                    <w:rPr>
                      <w:szCs w:val="21"/>
                    </w:rPr>
                  </w:pPr>
                  <w:r>
                    <w:rPr>
                      <w:rFonts w:hint="eastAsia"/>
                      <w:szCs w:val="21"/>
                    </w:rPr>
                    <w:t>产生浓度</w:t>
                  </w:r>
                  <w:r>
                    <w:rPr>
                      <w:rFonts w:hint="eastAsia"/>
                      <w:bCs/>
                      <w:szCs w:val="21"/>
                    </w:rPr>
                    <w:t>（</w:t>
                  </w:r>
                  <w:r>
                    <w:rPr>
                      <w:bCs/>
                      <w:szCs w:val="21"/>
                    </w:rPr>
                    <w:t>mg/m³</w:t>
                  </w:r>
                  <w:r>
                    <w:rPr>
                      <w:rFonts w:hint="eastAsia"/>
                      <w:bCs/>
                      <w:szCs w:val="21"/>
                    </w:rPr>
                    <w:t>）</w:t>
                  </w:r>
                </w:p>
              </w:tc>
              <w:tc>
                <w:tcPr>
                  <w:tcW w:w="736" w:type="pct"/>
                  <w:vAlign w:val="center"/>
                </w:tcPr>
                <w:p>
                  <w:pPr>
                    <w:jc w:val="center"/>
                    <w:rPr>
                      <w:szCs w:val="21"/>
                    </w:rPr>
                  </w:pPr>
                  <w:r>
                    <w:rPr>
                      <w:rFonts w:hint="eastAsia"/>
                      <w:szCs w:val="21"/>
                    </w:rPr>
                    <w:t>产生量（kg/具）</w:t>
                  </w:r>
                </w:p>
              </w:tc>
              <w:tc>
                <w:tcPr>
                  <w:tcW w:w="736" w:type="pct"/>
                  <w:vAlign w:val="center"/>
                </w:tcPr>
                <w:p>
                  <w:pPr>
                    <w:jc w:val="center"/>
                    <w:rPr>
                      <w:szCs w:val="21"/>
                    </w:rPr>
                  </w:pPr>
                  <w:r>
                    <w:rPr>
                      <w:rFonts w:hint="eastAsia"/>
                      <w:szCs w:val="21"/>
                    </w:rPr>
                    <w:t>产生速率</w:t>
                  </w:r>
                </w:p>
                <w:p>
                  <w:pPr>
                    <w:jc w:val="center"/>
                    <w:rPr>
                      <w:szCs w:val="21"/>
                    </w:rPr>
                  </w:pPr>
                  <w:r>
                    <w:rPr>
                      <w:rFonts w:hint="eastAsia"/>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1</w:t>
                  </w:r>
                </w:p>
              </w:tc>
              <w:tc>
                <w:tcPr>
                  <w:tcW w:w="603" w:type="pct"/>
                  <w:vMerge w:val="restart"/>
                  <w:vAlign w:val="center"/>
                </w:tcPr>
                <w:p>
                  <w:pPr>
                    <w:jc w:val="center"/>
                    <w:rPr>
                      <w:szCs w:val="21"/>
                    </w:rPr>
                  </w:pPr>
                  <w:r>
                    <w:rPr>
                      <w:rFonts w:hint="eastAsia"/>
                      <w:szCs w:val="21"/>
                    </w:rPr>
                    <w:t>1</w:t>
                  </w:r>
                </w:p>
              </w:tc>
              <w:tc>
                <w:tcPr>
                  <w:tcW w:w="603" w:type="pct"/>
                  <w:vMerge w:val="restart"/>
                  <w:vAlign w:val="center"/>
                </w:tcPr>
                <w:p>
                  <w:pPr>
                    <w:jc w:val="center"/>
                    <w:rPr>
                      <w:szCs w:val="21"/>
                    </w:rPr>
                  </w:pPr>
                  <w:r>
                    <w:rPr>
                      <w:szCs w:val="21"/>
                    </w:rPr>
                    <w:t>45</w:t>
                  </w:r>
                </w:p>
              </w:tc>
              <w:tc>
                <w:tcPr>
                  <w:tcW w:w="628" w:type="pct"/>
                  <w:vMerge w:val="restart"/>
                  <w:vAlign w:val="center"/>
                </w:tcPr>
                <w:p>
                  <w:pPr>
                    <w:jc w:val="center"/>
                    <w:rPr>
                      <w:szCs w:val="21"/>
                    </w:rPr>
                  </w:pPr>
                  <w:r>
                    <w:rPr>
                      <w:rFonts w:hint="eastAsia"/>
                      <w:szCs w:val="21"/>
                    </w:rPr>
                    <w:t>6000</w:t>
                  </w:r>
                </w:p>
              </w:tc>
              <w:tc>
                <w:tcPr>
                  <w:tcW w:w="596" w:type="pct"/>
                  <w:vAlign w:val="center"/>
                </w:tcPr>
                <w:p>
                  <w:pPr>
                    <w:pStyle w:val="55"/>
                    <w:spacing w:line="240" w:lineRule="auto"/>
                    <w:rPr>
                      <w:szCs w:val="21"/>
                    </w:rPr>
                  </w:pPr>
                  <w:r>
                    <w:rPr>
                      <w:rFonts w:hint="eastAsia"/>
                      <w:b w:val="0"/>
                      <w:bCs/>
                      <w:szCs w:val="21"/>
                    </w:rPr>
                    <w:t>烟尘</w:t>
                  </w:r>
                </w:p>
              </w:tc>
              <w:tc>
                <w:tcPr>
                  <w:tcW w:w="736" w:type="pct"/>
                  <w:vAlign w:val="center"/>
                </w:tcPr>
                <w:p>
                  <w:pPr>
                    <w:jc w:val="center"/>
                    <w:rPr>
                      <w:szCs w:val="21"/>
                    </w:rPr>
                  </w:pPr>
                  <w:r>
                    <w:rPr>
                      <w:szCs w:val="21"/>
                    </w:rPr>
                    <w:t>33.6</w:t>
                  </w:r>
                </w:p>
              </w:tc>
              <w:tc>
                <w:tcPr>
                  <w:tcW w:w="736" w:type="pct"/>
                  <w:vAlign w:val="center"/>
                </w:tcPr>
                <w:p>
                  <w:pPr>
                    <w:jc w:val="center"/>
                    <w:rPr>
                      <w:szCs w:val="21"/>
                    </w:rPr>
                  </w:pPr>
                  <w:r>
                    <w:rPr>
                      <w:rFonts w:hint="eastAsia"/>
                      <w:szCs w:val="21"/>
                    </w:rPr>
                    <w:t>0</w:t>
                  </w:r>
                  <w:r>
                    <w:rPr>
                      <w:szCs w:val="21"/>
                    </w:rPr>
                    <w:t>.113</w:t>
                  </w:r>
                </w:p>
              </w:tc>
              <w:tc>
                <w:tcPr>
                  <w:tcW w:w="736" w:type="pct"/>
                  <w:vAlign w:val="center"/>
                </w:tcPr>
                <w:p>
                  <w:pPr>
                    <w:jc w:val="center"/>
                    <w:rPr>
                      <w:szCs w:val="21"/>
                    </w:rPr>
                  </w:pPr>
                  <w:r>
                    <w:rPr>
                      <w:rFonts w:hint="eastAsia"/>
                      <w:szCs w:val="21"/>
                    </w:rPr>
                    <w:t>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2</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SO</w:t>
                  </w:r>
                  <w:r>
                    <w:rPr>
                      <w:rFonts w:hint="eastAsia"/>
                      <w:b w:val="0"/>
                      <w:bCs/>
                      <w:szCs w:val="21"/>
                      <w:vertAlign w:val="subscript"/>
                    </w:rPr>
                    <w:t>2</w:t>
                  </w:r>
                </w:p>
              </w:tc>
              <w:tc>
                <w:tcPr>
                  <w:tcW w:w="736" w:type="pct"/>
                  <w:vAlign w:val="center"/>
                </w:tcPr>
                <w:p>
                  <w:pPr>
                    <w:jc w:val="center"/>
                    <w:rPr>
                      <w:szCs w:val="21"/>
                    </w:rPr>
                  </w:pPr>
                  <w:r>
                    <w:rPr>
                      <w:szCs w:val="21"/>
                    </w:rPr>
                    <w:t>7.5</w:t>
                  </w:r>
                </w:p>
              </w:tc>
              <w:tc>
                <w:tcPr>
                  <w:tcW w:w="736" w:type="pct"/>
                  <w:vAlign w:val="center"/>
                </w:tcPr>
                <w:p>
                  <w:pPr>
                    <w:jc w:val="center"/>
                    <w:rPr>
                      <w:szCs w:val="21"/>
                    </w:rPr>
                  </w:pPr>
                  <w:r>
                    <w:rPr>
                      <w:rFonts w:hint="eastAsia"/>
                      <w:szCs w:val="21"/>
                    </w:rPr>
                    <w:t>0</w:t>
                  </w:r>
                  <w:r>
                    <w:rPr>
                      <w:szCs w:val="21"/>
                    </w:rPr>
                    <w:t>.0255</w:t>
                  </w:r>
                </w:p>
              </w:tc>
              <w:tc>
                <w:tcPr>
                  <w:tcW w:w="736" w:type="pct"/>
                  <w:vAlign w:val="center"/>
                </w:tcPr>
                <w:p>
                  <w:pPr>
                    <w:jc w:val="center"/>
                    <w:rPr>
                      <w:szCs w:val="21"/>
                    </w:rPr>
                  </w:pPr>
                  <w:r>
                    <w:rPr>
                      <w:rFonts w:hint="eastAsia"/>
                      <w:szCs w:val="21"/>
                    </w:rPr>
                    <w:t>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3</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NO</w:t>
                  </w:r>
                  <w:r>
                    <w:rPr>
                      <w:rFonts w:hint="eastAsia"/>
                      <w:b w:val="0"/>
                      <w:bCs/>
                      <w:szCs w:val="21"/>
                      <w:vertAlign w:val="subscript"/>
                    </w:rPr>
                    <w:t>X</w:t>
                  </w:r>
                </w:p>
              </w:tc>
              <w:tc>
                <w:tcPr>
                  <w:tcW w:w="736" w:type="pct"/>
                  <w:vAlign w:val="center"/>
                </w:tcPr>
                <w:p>
                  <w:pPr>
                    <w:jc w:val="center"/>
                    <w:rPr>
                      <w:szCs w:val="21"/>
                    </w:rPr>
                  </w:pPr>
                  <w:r>
                    <w:rPr>
                      <w:rFonts w:hint="eastAsia"/>
                      <w:szCs w:val="21"/>
                    </w:rPr>
                    <w:t>7</w:t>
                  </w:r>
                  <w:r>
                    <w:rPr>
                      <w:szCs w:val="21"/>
                    </w:rPr>
                    <w:t>0.4</w:t>
                  </w:r>
                </w:p>
              </w:tc>
              <w:tc>
                <w:tcPr>
                  <w:tcW w:w="736" w:type="pct"/>
                  <w:vAlign w:val="center"/>
                </w:tcPr>
                <w:p>
                  <w:pPr>
                    <w:jc w:val="center"/>
                    <w:rPr>
                      <w:szCs w:val="21"/>
                    </w:rPr>
                  </w:pPr>
                  <w:r>
                    <w:rPr>
                      <w:rFonts w:hint="eastAsia"/>
                      <w:szCs w:val="21"/>
                    </w:rPr>
                    <w:t>0</w:t>
                  </w:r>
                  <w:r>
                    <w:rPr>
                      <w:szCs w:val="21"/>
                    </w:rPr>
                    <w:t>.2377</w:t>
                  </w:r>
                </w:p>
              </w:tc>
              <w:tc>
                <w:tcPr>
                  <w:tcW w:w="736" w:type="pct"/>
                  <w:vAlign w:val="center"/>
                </w:tcPr>
                <w:p>
                  <w:pPr>
                    <w:jc w:val="center"/>
                    <w:rPr>
                      <w:szCs w:val="21"/>
                    </w:rPr>
                  </w:pPr>
                  <w:r>
                    <w:rPr>
                      <w:rFonts w:hint="eastAsia"/>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4</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CO</w:t>
                  </w:r>
                </w:p>
              </w:tc>
              <w:tc>
                <w:tcPr>
                  <w:tcW w:w="736" w:type="pct"/>
                  <w:vAlign w:val="center"/>
                </w:tcPr>
                <w:p>
                  <w:pPr>
                    <w:jc w:val="center"/>
                    <w:rPr>
                      <w:szCs w:val="21"/>
                    </w:rPr>
                  </w:pPr>
                  <w:r>
                    <w:rPr>
                      <w:szCs w:val="21"/>
                    </w:rPr>
                    <w:t>88.9</w:t>
                  </w:r>
                </w:p>
              </w:tc>
              <w:tc>
                <w:tcPr>
                  <w:tcW w:w="736" w:type="pct"/>
                  <w:vAlign w:val="center"/>
                </w:tcPr>
                <w:p>
                  <w:pPr>
                    <w:jc w:val="center"/>
                    <w:rPr>
                      <w:szCs w:val="21"/>
                    </w:rPr>
                  </w:pPr>
                  <w:r>
                    <w:rPr>
                      <w:rFonts w:hint="eastAsia"/>
                      <w:szCs w:val="21"/>
                    </w:rPr>
                    <w:t>0</w:t>
                  </w:r>
                  <w:r>
                    <w:rPr>
                      <w:szCs w:val="21"/>
                    </w:rPr>
                    <w:t>.3</w:t>
                  </w:r>
                </w:p>
              </w:tc>
              <w:tc>
                <w:tcPr>
                  <w:tcW w:w="736" w:type="pct"/>
                  <w:vAlign w:val="center"/>
                </w:tcPr>
                <w:p>
                  <w:pPr>
                    <w:jc w:val="center"/>
                    <w:rPr>
                      <w:szCs w:val="21"/>
                    </w:rPr>
                  </w:pPr>
                  <w:r>
                    <w:rPr>
                      <w:rFonts w:hint="eastAsia"/>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5</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HCl</w:t>
                  </w:r>
                </w:p>
              </w:tc>
              <w:tc>
                <w:tcPr>
                  <w:tcW w:w="736" w:type="pct"/>
                  <w:vAlign w:val="center"/>
                </w:tcPr>
                <w:p>
                  <w:pPr>
                    <w:jc w:val="center"/>
                    <w:rPr>
                      <w:szCs w:val="21"/>
                    </w:rPr>
                  </w:pPr>
                  <w:r>
                    <w:rPr>
                      <w:szCs w:val="21"/>
                    </w:rPr>
                    <w:t>50</w:t>
                  </w:r>
                </w:p>
              </w:tc>
              <w:tc>
                <w:tcPr>
                  <w:tcW w:w="736" w:type="pct"/>
                  <w:vAlign w:val="center"/>
                </w:tcPr>
                <w:p>
                  <w:pPr>
                    <w:jc w:val="center"/>
                    <w:rPr>
                      <w:szCs w:val="21"/>
                    </w:rPr>
                  </w:pPr>
                  <w:r>
                    <w:rPr>
                      <w:rFonts w:hint="eastAsia"/>
                      <w:szCs w:val="21"/>
                    </w:rPr>
                    <w:t>0</w:t>
                  </w:r>
                  <w:r>
                    <w:rPr>
                      <w:szCs w:val="21"/>
                    </w:rPr>
                    <w:t>.16875</w:t>
                  </w:r>
                </w:p>
              </w:tc>
              <w:tc>
                <w:tcPr>
                  <w:tcW w:w="736" w:type="pct"/>
                  <w:vAlign w:val="center"/>
                </w:tcPr>
                <w:p>
                  <w:pPr>
                    <w:jc w:val="center"/>
                    <w:rPr>
                      <w:szCs w:val="21"/>
                    </w:rPr>
                  </w:pPr>
                  <w:r>
                    <w:rPr>
                      <w:rFonts w:hint="eastAsia"/>
                      <w:szCs w:val="21"/>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2" w:type="pct"/>
                  <w:vAlign w:val="center"/>
                </w:tcPr>
                <w:p>
                  <w:pPr>
                    <w:pStyle w:val="55"/>
                    <w:spacing w:line="240" w:lineRule="auto"/>
                    <w:rPr>
                      <w:szCs w:val="21"/>
                    </w:rPr>
                  </w:pPr>
                  <w:r>
                    <w:rPr>
                      <w:rFonts w:hint="eastAsia"/>
                      <w:b w:val="0"/>
                      <w:bCs/>
                      <w:szCs w:val="21"/>
                    </w:rPr>
                    <w:t>6</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汞</w:t>
                  </w:r>
                </w:p>
              </w:tc>
              <w:tc>
                <w:tcPr>
                  <w:tcW w:w="736" w:type="pct"/>
                  <w:vAlign w:val="center"/>
                </w:tcPr>
                <w:p>
                  <w:pPr>
                    <w:jc w:val="center"/>
                    <w:rPr>
                      <w:szCs w:val="21"/>
                    </w:rPr>
                  </w:pPr>
                  <w:r>
                    <w:rPr>
                      <w:szCs w:val="21"/>
                    </w:rPr>
                    <w:t>0.4</w:t>
                  </w:r>
                </w:p>
              </w:tc>
              <w:tc>
                <w:tcPr>
                  <w:tcW w:w="736" w:type="pct"/>
                  <w:vAlign w:val="center"/>
                </w:tcPr>
                <w:p>
                  <w:pPr>
                    <w:jc w:val="center"/>
                    <w:rPr>
                      <w:szCs w:val="21"/>
                    </w:rPr>
                  </w:pPr>
                  <w:r>
                    <w:rPr>
                      <w:rFonts w:hint="eastAsia"/>
                      <w:szCs w:val="21"/>
                    </w:rPr>
                    <w:t>0</w:t>
                  </w:r>
                  <w:r>
                    <w:rPr>
                      <w:szCs w:val="21"/>
                    </w:rPr>
                    <w:t>.00135</w:t>
                  </w:r>
                </w:p>
              </w:tc>
              <w:tc>
                <w:tcPr>
                  <w:tcW w:w="736" w:type="pct"/>
                  <w:vAlign w:val="center"/>
                </w:tcPr>
                <w:p>
                  <w:pPr>
                    <w:jc w:val="center"/>
                    <w:rPr>
                      <w:szCs w:val="21"/>
                    </w:rPr>
                  </w:pPr>
                  <w:r>
                    <w:rPr>
                      <w:rFonts w:hint="eastAsia"/>
                      <w:szCs w:val="21"/>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pPr>
                    <w:pStyle w:val="55"/>
                    <w:spacing w:line="240" w:lineRule="auto"/>
                    <w:rPr>
                      <w:szCs w:val="21"/>
                    </w:rPr>
                  </w:pPr>
                  <w:r>
                    <w:rPr>
                      <w:rFonts w:hint="eastAsia"/>
                      <w:b w:val="0"/>
                      <w:bCs/>
                      <w:szCs w:val="21"/>
                    </w:rPr>
                    <w:t>7</w:t>
                  </w:r>
                </w:p>
              </w:tc>
              <w:tc>
                <w:tcPr>
                  <w:tcW w:w="603" w:type="pct"/>
                  <w:vMerge w:val="continue"/>
                  <w:vAlign w:val="center"/>
                </w:tcPr>
                <w:p>
                  <w:pPr>
                    <w:ind w:firstLine="420"/>
                    <w:jc w:val="center"/>
                    <w:rPr>
                      <w:szCs w:val="21"/>
                    </w:rPr>
                  </w:pPr>
                </w:p>
              </w:tc>
              <w:tc>
                <w:tcPr>
                  <w:tcW w:w="603" w:type="pct"/>
                  <w:vMerge w:val="continue"/>
                  <w:vAlign w:val="center"/>
                </w:tcPr>
                <w:p>
                  <w:pPr>
                    <w:ind w:firstLine="420"/>
                    <w:jc w:val="center"/>
                    <w:rPr>
                      <w:szCs w:val="21"/>
                    </w:rPr>
                  </w:pPr>
                </w:p>
              </w:tc>
              <w:tc>
                <w:tcPr>
                  <w:tcW w:w="628" w:type="pct"/>
                  <w:vMerge w:val="continue"/>
                  <w:vAlign w:val="center"/>
                </w:tcPr>
                <w:p>
                  <w:pPr>
                    <w:ind w:firstLine="420"/>
                    <w:jc w:val="center"/>
                    <w:rPr>
                      <w:szCs w:val="21"/>
                    </w:rPr>
                  </w:pPr>
                </w:p>
              </w:tc>
              <w:tc>
                <w:tcPr>
                  <w:tcW w:w="596" w:type="pct"/>
                  <w:vAlign w:val="center"/>
                </w:tcPr>
                <w:p>
                  <w:pPr>
                    <w:pStyle w:val="55"/>
                    <w:spacing w:line="240" w:lineRule="auto"/>
                    <w:rPr>
                      <w:szCs w:val="21"/>
                    </w:rPr>
                  </w:pPr>
                  <w:r>
                    <w:rPr>
                      <w:rFonts w:hint="eastAsia"/>
                      <w:b w:val="0"/>
                      <w:bCs/>
                      <w:szCs w:val="21"/>
                    </w:rPr>
                    <w:t>二噁英类</w:t>
                  </w:r>
                </w:p>
              </w:tc>
              <w:tc>
                <w:tcPr>
                  <w:tcW w:w="736" w:type="pct"/>
                  <w:vAlign w:val="center"/>
                </w:tcPr>
                <w:p>
                  <w:pPr>
                    <w:jc w:val="center"/>
                    <w:rPr>
                      <w:bCs/>
                      <w:szCs w:val="21"/>
                    </w:rPr>
                  </w:pPr>
                  <w:r>
                    <w:rPr>
                      <w:szCs w:val="21"/>
                    </w:rPr>
                    <w:t>4.1</w:t>
                  </w:r>
                  <w:r>
                    <w:rPr>
                      <w:rFonts w:hint="eastAsia"/>
                      <w:bCs/>
                      <w:szCs w:val="21"/>
                    </w:rPr>
                    <w:t>ng</w:t>
                  </w:r>
                </w:p>
                <w:p>
                  <w:pPr>
                    <w:jc w:val="center"/>
                    <w:rPr>
                      <w:szCs w:val="21"/>
                    </w:rPr>
                  </w:pPr>
                  <w:r>
                    <w:rPr>
                      <w:rFonts w:hint="eastAsia"/>
                      <w:bCs/>
                      <w:szCs w:val="21"/>
                    </w:rPr>
                    <w:t>TEQ/m</w:t>
                  </w:r>
                  <w:r>
                    <w:rPr>
                      <w:rFonts w:hint="eastAsia"/>
                      <w:bCs/>
                      <w:szCs w:val="21"/>
                      <w:vertAlign w:val="superscript"/>
                    </w:rPr>
                    <w:t>3</w:t>
                  </w:r>
                </w:p>
              </w:tc>
              <w:tc>
                <w:tcPr>
                  <w:tcW w:w="736" w:type="pct"/>
                  <w:vAlign w:val="center"/>
                </w:tcPr>
                <w:p>
                  <w:pPr>
                    <w:jc w:val="center"/>
                    <w:rPr>
                      <w:szCs w:val="21"/>
                    </w:rPr>
                  </w:pPr>
                  <w:r>
                    <w:rPr>
                      <w:szCs w:val="21"/>
                    </w:rPr>
                    <w:t>3.075</w:t>
                  </w:r>
                </w:p>
                <w:p>
                  <w:pPr>
                    <w:jc w:val="center"/>
                    <w:rPr>
                      <w:szCs w:val="21"/>
                    </w:rPr>
                  </w:pPr>
                  <w:r>
                    <w:rPr>
                      <w:szCs w:val="21"/>
                    </w:rPr>
                    <w:t>n</w:t>
                  </w:r>
                  <w:r>
                    <w:rPr>
                      <w:rFonts w:hint="eastAsia"/>
                      <w:bCs/>
                      <w:szCs w:val="21"/>
                    </w:rPr>
                    <w:t>gTEQ</w:t>
                  </w:r>
                </w:p>
              </w:tc>
              <w:tc>
                <w:tcPr>
                  <w:tcW w:w="736" w:type="pct"/>
                  <w:vAlign w:val="center"/>
                </w:tcPr>
                <w:p>
                  <w:pPr>
                    <w:jc w:val="center"/>
                    <w:rPr>
                      <w:bCs/>
                      <w:szCs w:val="21"/>
                    </w:rPr>
                  </w:pPr>
                  <w:r>
                    <w:rPr>
                      <w:szCs w:val="21"/>
                    </w:rPr>
                    <w:t>24600n</w:t>
                  </w:r>
                  <w:r>
                    <w:rPr>
                      <w:rFonts w:hint="eastAsia"/>
                      <w:bCs/>
                      <w:szCs w:val="21"/>
                    </w:rPr>
                    <w:t>g</w:t>
                  </w:r>
                </w:p>
                <w:p>
                  <w:pPr>
                    <w:jc w:val="center"/>
                    <w:rPr>
                      <w:szCs w:val="21"/>
                    </w:rPr>
                  </w:pPr>
                  <w:r>
                    <w:rPr>
                      <w:rFonts w:hint="eastAsia"/>
                      <w:bCs/>
                      <w:szCs w:val="21"/>
                    </w:rPr>
                    <w:t>TEQ</w:t>
                  </w:r>
                  <w:r>
                    <w:rPr>
                      <w:rFonts w:hint="eastAsia"/>
                      <w:szCs w:val="21"/>
                    </w:rPr>
                    <w:t>/h</w:t>
                  </w:r>
                </w:p>
              </w:tc>
            </w:tr>
          </w:tbl>
          <w:p>
            <w:pPr>
              <w:spacing w:line="480" w:lineRule="exact"/>
              <w:ind w:firstLine="480" w:firstLineChars="200"/>
              <w:rPr>
                <w:bCs/>
                <w:sz w:val="24"/>
              </w:rPr>
            </w:pPr>
            <w:r>
              <w:rPr>
                <w:rFonts w:hint="eastAsia"/>
                <w:bCs/>
                <w:sz w:val="24"/>
              </w:rPr>
              <w:t>上述测试结果并未说明遗体火化烟气的治理措施，部分污染物的排放浓度是在治理措施后测得的数据，如烟尘；部分污染物的排放浓度为未设置治理措施测得的数据，如二噁英类。</w:t>
            </w:r>
          </w:p>
          <w:p>
            <w:pPr>
              <w:spacing w:line="480" w:lineRule="exact"/>
              <w:ind w:firstLine="480" w:firstLineChars="200"/>
              <w:rPr>
                <w:bCs/>
                <w:sz w:val="24"/>
              </w:rPr>
            </w:pPr>
            <w:r>
              <w:rPr>
                <w:rFonts w:hint="eastAsia"/>
                <w:bCs/>
                <w:sz w:val="24"/>
              </w:rPr>
              <w:t>参考其他火葬场的烟气治理措施，本项目遗体火化烟气采取源头控制措施（选用节能环保火化机，保证</w:t>
            </w:r>
            <w:r>
              <w:rPr>
                <w:bCs/>
                <w:sz w:val="24"/>
              </w:rPr>
              <w:t>火化机炉膛温度</w:t>
            </w:r>
            <w:r>
              <w:rPr>
                <w:rFonts w:hint="eastAsia"/>
                <w:bCs/>
                <w:sz w:val="24"/>
              </w:rPr>
              <w:t>和</w:t>
            </w:r>
            <w:r>
              <w:rPr>
                <w:bCs/>
                <w:sz w:val="24"/>
              </w:rPr>
              <w:t>火化烟气在再燃室中有足够的停留时间</w:t>
            </w:r>
            <w:r>
              <w:rPr>
                <w:rFonts w:hint="eastAsia"/>
                <w:bCs/>
                <w:sz w:val="24"/>
              </w:rPr>
              <w:t>以及</w:t>
            </w:r>
            <w:r>
              <w:rPr>
                <w:bCs/>
                <w:sz w:val="24"/>
              </w:rPr>
              <w:t>合理配风，提高烟气的湍流度</w:t>
            </w:r>
            <w:r>
              <w:rPr>
                <w:rFonts w:hint="eastAsia"/>
                <w:bCs/>
                <w:sz w:val="24"/>
              </w:rPr>
              <w:t>）+烟气治理措施（</w:t>
            </w:r>
            <w:r>
              <w:rPr>
                <w:bCs/>
                <w:sz w:val="24"/>
              </w:rPr>
              <w:t>急冷装置+</w:t>
            </w:r>
            <w:r>
              <w:rPr>
                <w:rFonts w:hint="eastAsia"/>
                <w:bCs/>
                <w:sz w:val="24"/>
              </w:rPr>
              <w:t>半干法脱硫</w:t>
            </w:r>
            <w:r>
              <w:rPr>
                <w:bCs/>
                <w:sz w:val="24"/>
              </w:rPr>
              <w:t>+旋风离心器+活性炭喷射+布袋除尘器</w:t>
            </w:r>
            <w:r>
              <w:rPr>
                <w:rFonts w:hint="eastAsia"/>
                <w:bCs/>
                <w:sz w:val="24"/>
              </w:rPr>
              <w:t>）方式确保达标排放。</w:t>
            </w:r>
          </w:p>
          <w:p>
            <w:pPr>
              <w:spacing w:line="480" w:lineRule="exact"/>
              <w:ind w:firstLine="480" w:firstLineChars="200"/>
              <w:rPr>
                <w:bCs/>
                <w:sz w:val="24"/>
              </w:rPr>
            </w:pPr>
            <w:r>
              <w:rPr>
                <w:rFonts w:hint="eastAsia"/>
                <w:bCs/>
                <w:sz w:val="24"/>
              </w:rPr>
              <w:t>综合以上分析，在采取以上烟气治理措施的条件下，遗体火化烟气中烟尘排放浓度以2</w:t>
            </w:r>
            <w:r>
              <w:rPr>
                <w:bCs/>
                <w:sz w:val="24"/>
              </w:rPr>
              <w:t>0</w:t>
            </w:r>
            <w:r>
              <w:rPr>
                <w:rFonts w:hint="eastAsia"/>
                <w:bCs/>
                <w:sz w:val="24"/>
              </w:rPr>
              <w:t>mg</w:t>
            </w:r>
            <w:r>
              <w:rPr>
                <w:bCs/>
                <w:sz w:val="24"/>
              </w:rPr>
              <w:t>/m</w:t>
            </w:r>
            <w:r>
              <w:rPr>
                <w:bCs/>
                <w:sz w:val="24"/>
                <w:vertAlign w:val="superscript"/>
              </w:rPr>
              <w:t>3</w:t>
            </w:r>
            <w:r>
              <w:rPr>
                <w:rFonts w:hint="eastAsia"/>
                <w:bCs/>
                <w:sz w:val="24"/>
              </w:rPr>
              <w:t>计；由于管理水平，设备水平，燃料含硫量，运行工况的不同，S</w:t>
            </w:r>
            <w:r>
              <w:rPr>
                <w:bCs/>
                <w:sz w:val="24"/>
              </w:rPr>
              <w:t>O</w:t>
            </w:r>
            <w:r>
              <w:rPr>
                <w:bCs/>
                <w:sz w:val="24"/>
                <w:vertAlign w:val="subscript"/>
              </w:rPr>
              <w:t>2</w:t>
            </w:r>
            <w:r>
              <w:rPr>
                <w:rFonts w:hint="eastAsia"/>
                <w:bCs/>
                <w:sz w:val="24"/>
              </w:rPr>
              <w:t>、</w:t>
            </w:r>
            <w:r>
              <w:rPr>
                <w:bCs/>
                <w:sz w:val="24"/>
              </w:rPr>
              <w:t>NO</w:t>
            </w:r>
            <w:r>
              <w:rPr>
                <w:bCs/>
                <w:sz w:val="24"/>
                <w:vertAlign w:val="subscript"/>
              </w:rPr>
              <w:t>x</w:t>
            </w:r>
            <w:r>
              <w:rPr>
                <w:rFonts w:hint="eastAsia"/>
                <w:bCs/>
                <w:sz w:val="24"/>
              </w:rPr>
              <w:t>、C</w:t>
            </w:r>
            <w:r>
              <w:rPr>
                <w:bCs/>
                <w:sz w:val="24"/>
              </w:rPr>
              <w:t>O</w:t>
            </w:r>
            <w:r>
              <w:rPr>
                <w:rFonts w:hint="eastAsia"/>
                <w:bCs/>
                <w:sz w:val="24"/>
              </w:rPr>
              <w:t>的产排情况也不同，本次取S</w:t>
            </w:r>
            <w:r>
              <w:rPr>
                <w:bCs/>
                <w:sz w:val="24"/>
              </w:rPr>
              <w:t>O</w:t>
            </w:r>
            <w:r>
              <w:rPr>
                <w:bCs/>
                <w:sz w:val="24"/>
                <w:vertAlign w:val="subscript"/>
              </w:rPr>
              <w:t>2</w:t>
            </w:r>
            <w:r>
              <w:rPr>
                <w:rFonts w:hint="eastAsia"/>
                <w:bCs/>
                <w:sz w:val="24"/>
              </w:rPr>
              <w:t>排放浓度1</w:t>
            </w:r>
            <w:r>
              <w:rPr>
                <w:bCs/>
                <w:sz w:val="24"/>
              </w:rPr>
              <w:t>5</w:t>
            </w:r>
            <w:r>
              <w:rPr>
                <w:rFonts w:hint="eastAsia"/>
                <w:bCs/>
                <w:sz w:val="24"/>
              </w:rPr>
              <w:t>mg</w:t>
            </w:r>
            <w:r>
              <w:rPr>
                <w:bCs/>
                <w:sz w:val="24"/>
              </w:rPr>
              <w:t>/m</w:t>
            </w:r>
            <w:r>
              <w:rPr>
                <w:bCs/>
                <w:sz w:val="24"/>
                <w:vertAlign w:val="superscript"/>
              </w:rPr>
              <w:t>3</w:t>
            </w:r>
            <w:r>
              <w:rPr>
                <w:rFonts w:hint="eastAsia"/>
                <w:bCs/>
                <w:sz w:val="24"/>
              </w:rPr>
              <w:t>、</w:t>
            </w:r>
            <w:r>
              <w:rPr>
                <w:bCs/>
                <w:sz w:val="24"/>
              </w:rPr>
              <w:t>NO</w:t>
            </w:r>
            <w:r>
              <w:rPr>
                <w:bCs/>
                <w:sz w:val="24"/>
                <w:vertAlign w:val="subscript"/>
              </w:rPr>
              <w:t>x</w:t>
            </w:r>
            <w:r>
              <w:rPr>
                <w:rFonts w:hint="eastAsia"/>
                <w:bCs/>
                <w:sz w:val="24"/>
              </w:rPr>
              <w:t>排放浓度</w:t>
            </w:r>
            <w:r>
              <w:rPr>
                <w:bCs/>
                <w:sz w:val="24"/>
              </w:rPr>
              <w:t>150</w:t>
            </w:r>
            <w:r>
              <w:rPr>
                <w:rFonts w:hint="eastAsia"/>
                <w:bCs/>
                <w:sz w:val="24"/>
              </w:rPr>
              <w:t>mg</w:t>
            </w:r>
            <w:r>
              <w:rPr>
                <w:bCs/>
                <w:sz w:val="24"/>
              </w:rPr>
              <w:t>/m</w:t>
            </w:r>
            <w:r>
              <w:rPr>
                <w:bCs/>
                <w:sz w:val="24"/>
                <w:vertAlign w:val="superscript"/>
              </w:rPr>
              <w:t>3</w:t>
            </w:r>
            <w:r>
              <w:rPr>
                <w:rFonts w:hint="eastAsia"/>
                <w:bCs/>
                <w:sz w:val="24"/>
              </w:rPr>
              <w:t>、</w:t>
            </w:r>
            <w:r>
              <w:rPr>
                <w:bCs/>
                <w:sz w:val="24"/>
              </w:rPr>
              <w:t>CO</w:t>
            </w:r>
            <w:r>
              <w:rPr>
                <w:rFonts w:hint="eastAsia"/>
                <w:bCs/>
                <w:sz w:val="24"/>
              </w:rPr>
              <w:t>排放浓度</w:t>
            </w:r>
            <w:r>
              <w:rPr>
                <w:bCs/>
                <w:sz w:val="24"/>
              </w:rPr>
              <w:t>120</w:t>
            </w:r>
            <w:r>
              <w:rPr>
                <w:rFonts w:hint="eastAsia"/>
                <w:bCs/>
                <w:sz w:val="24"/>
              </w:rPr>
              <w:t>mg</w:t>
            </w:r>
            <w:r>
              <w:rPr>
                <w:bCs/>
                <w:sz w:val="24"/>
              </w:rPr>
              <w:t>/m</w:t>
            </w:r>
            <w:r>
              <w:rPr>
                <w:bCs/>
                <w:sz w:val="24"/>
                <w:vertAlign w:val="superscript"/>
              </w:rPr>
              <w:t>3</w:t>
            </w:r>
            <w:r>
              <w:rPr>
                <w:rFonts w:hint="eastAsia"/>
                <w:bCs/>
                <w:sz w:val="24"/>
              </w:rPr>
              <w:t>作为本项目的排放浓度；在采取以上烟气治理措施的条件下，H</w:t>
            </w:r>
            <w:r>
              <w:rPr>
                <w:bCs/>
                <w:sz w:val="24"/>
              </w:rPr>
              <w:t>Cl</w:t>
            </w:r>
            <w:r>
              <w:rPr>
                <w:rFonts w:hint="eastAsia"/>
                <w:bCs/>
                <w:sz w:val="24"/>
              </w:rPr>
              <w:t>去除效率取</w:t>
            </w:r>
            <w:r>
              <w:rPr>
                <w:bCs/>
                <w:sz w:val="24"/>
              </w:rPr>
              <w:t>80</w:t>
            </w:r>
            <w:r>
              <w:rPr>
                <w:rFonts w:hint="eastAsia"/>
                <w:bCs/>
                <w:sz w:val="24"/>
              </w:rPr>
              <w:t>%，汞去除效率取8</w:t>
            </w:r>
            <w:r>
              <w:rPr>
                <w:bCs/>
                <w:sz w:val="24"/>
              </w:rPr>
              <w:t>0</w:t>
            </w:r>
            <w:r>
              <w:rPr>
                <w:rFonts w:hint="eastAsia"/>
                <w:bCs/>
                <w:sz w:val="24"/>
              </w:rPr>
              <w:t>%，二噁英类去除效率取9</w:t>
            </w:r>
            <w:r>
              <w:rPr>
                <w:bCs/>
                <w:sz w:val="24"/>
              </w:rPr>
              <w:t>0</w:t>
            </w:r>
            <w:r>
              <w:rPr>
                <w:rFonts w:hint="eastAsia"/>
                <w:bCs/>
                <w:sz w:val="24"/>
              </w:rPr>
              <w:t>%，则本项目遗体火化烟气中H</w:t>
            </w:r>
            <w:r>
              <w:rPr>
                <w:bCs/>
                <w:sz w:val="24"/>
              </w:rPr>
              <w:t>Cl</w:t>
            </w:r>
            <w:r>
              <w:rPr>
                <w:rFonts w:hint="eastAsia"/>
                <w:bCs/>
                <w:sz w:val="24"/>
              </w:rPr>
              <w:t>排放浓度为5mg/m</w:t>
            </w:r>
            <w:r>
              <w:rPr>
                <w:bCs/>
                <w:sz w:val="24"/>
                <w:vertAlign w:val="superscript"/>
              </w:rPr>
              <w:t>3</w:t>
            </w:r>
            <w:r>
              <w:rPr>
                <w:rFonts w:hint="eastAsia"/>
                <w:bCs/>
                <w:sz w:val="24"/>
              </w:rPr>
              <w:t>，汞排放浓度为0</w:t>
            </w:r>
            <w:r>
              <w:rPr>
                <w:bCs/>
                <w:sz w:val="24"/>
              </w:rPr>
              <w:t>.08</w:t>
            </w:r>
            <w:r>
              <w:rPr>
                <w:rFonts w:hint="eastAsia"/>
                <w:bCs/>
                <w:sz w:val="24"/>
              </w:rPr>
              <w:t>mg/m</w:t>
            </w:r>
            <w:r>
              <w:rPr>
                <w:bCs/>
                <w:sz w:val="24"/>
                <w:vertAlign w:val="superscript"/>
              </w:rPr>
              <w:t>3</w:t>
            </w:r>
            <w:r>
              <w:rPr>
                <w:rFonts w:hint="eastAsia"/>
                <w:bCs/>
                <w:sz w:val="24"/>
              </w:rPr>
              <w:t>，二噁英类排放浓度为0</w:t>
            </w:r>
            <w:r>
              <w:rPr>
                <w:bCs/>
                <w:sz w:val="24"/>
              </w:rPr>
              <w:t>.41</w:t>
            </w:r>
            <w:r>
              <w:rPr>
                <w:rFonts w:hint="eastAsia"/>
                <w:bCs/>
                <w:sz w:val="24"/>
              </w:rPr>
              <w:t>mg</w:t>
            </w:r>
            <w:r>
              <w:rPr>
                <w:bCs/>
                <w:sz w:val="24"/>
              </w:rPr>
              <w:t>/m</w:t>
            </w:r>
            <w:r>
              <w:rPr>
                <w:bCs/>
                <w:sz w:val="24"/>
                <w:vertAlign w:val="superscript"/>
              </w:rPr>
              <w:t>3</w:t>
            </w:r>
            <w:r>
              <w:rPr>
                <w:rFonts w:hint="eastAsia"/>
                <w:bCs/>
                <w:sz w:val="24"/>
              </w:rPr>
              <w:t>。</w:t>
            </w:r>
          </w:p>
          <w:p>
            <w:pPr>
              <w:spacing w:line="480" w:lineRule="exact"/>
              <w:ind w:firstLine="480" w:firstLineChars="200"/>
              <w:rPr>
                <w:bCs/>
                <w:sz w:val="24"/>
              </w:rPr>
            </w:pPr>
            <w:r>
              <w:rPr>
                <w:rFonts w:hint="eastAsia"/>
                <w:bCs/>
                <w:sz w:val="24"/>
              </w:rPr>
              <w:t>综上所述，本项目单具遗体火化烟气的排放情况如下：</w:t>
            </w:r>
          </w:p>
          <w:p>
            <w:pPr>
              <w:spacing w:line="480" w:lineRule="exact"/>
              <w:jc w:val="center"/>
              <w:rPr>
                <w:rFonts w:ascii="黑体" w:hAnsi="黑体" w:eastAsia="黑体"/>
                <w:bCs/>
                <w:sz w:val="32"/>
                <w:szCs w:val="32"/>
              </w:rPr>
            </w:pPr>
            <w:r>
              <w:rPr>
                <w:rFonts w:hint="eastAsia" w:ascii="黑体" w:hAnsi="黑体" w:eastAsia="黑体"/>
                <w:sz w:val="24"/>
                <w:szCs w:val="32"/>
              </w:rPr>
              <w:t>表4</w:t>
            </w:r>
            <w:r>
              <w:rPr>
                <w:rFonts w:ascii="黑体" w:hAnsi="黑体" w:eastAsia="黑体"/>
                <w:sz w:val="24"/>
                <w:szCs w:val="32"/>
              </w:rPr>
              <w:t>-3</w:t>
            </w:r>
            <w:r>
              <w:rPr>
                <w:rFonts w:hint="eastAsia" w:ascii="黑体" w:hAnsi="黑体" w:eastAsia="黑体"/>
                <w:sz w:val="24"/>
                <w:szCs w:val="32"/>
              </w:rPr>
              <w:t xml:space="preserve"> </w:t>
            </w:r>
            <w:r>
              <w:rPr>
                <w:rFonts w:ascii="黑体" w:hAnsi="黑体" w:eastAsia="黑体"/>
                <w:sz w:val="24"/>
                <w:szCs w:val="32"/>
              </w:rPr>
              <w:t xml:space="preserve"> </w:t>
            </w:r>
            <w:r>
              <w:rPr>
                <w:rFonts w:hint="eastAsia" w:ascii="黑体" w:hAnsi="黑体" w:eastAsia="黑体"/>
                <w:sz w:val="24"/>
                <w:szCs w:val="32"/>
              </w:rPr>
              <w:t>本项目单具遗体火化烟气排放情况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915"/>
              <w:gridCol w:w="802"/>
              <w:gridCol w:w="859"/>
              <w:gridCol w:w="863"/>
              <w:gridCol w:w="1142"/>
              <w:gridCol w:w="1189"/>
              <w:gridCol w:w="1300"/>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序号</w:t>
                  </w:r>
                </w:p>
              </w:tc>
              <w:tc>
                <w:tcPr>
                  <w:tcW w:w="549" w:type="pct"/>
                  <w:vAlign w:val="center"/>
                </w:tcPr>
                <w:p>
                  <w:pPr>
                    <w:jc w:val="center"/>
                    <w:rPr>
                      <w:szCs w:val="21"/>
                    </w:rPr>
                  </w:pPr>
                  <w:r>
                    <w:rPr>
                      <w:rFonts w:hint="eastAsia"/>
                      <w:szCs w:val="21"/>
                    </w:rPr>
                    <w:t>火化遗体数量(具)</w:t>
                  </w:r>
                </w:p>
              </w:tc>
              <w:tc>
                <w:tcPr>
                  <w:tcW w:w="483" w:type="pct"/>
                  <w:vAlign w:val="center"/>
                </w:tcPr>
                <w:p>
                  <w:pPr>
                    <w:jc w:val="center"/>
                    <w:rPr>
                      <w:szCs w:val="21"/>
                    </w:rPr>
                  </w:pPr>
                  <w:r>
                    <w:rPr>
                      <w:rFonts w:hint="eastAsia"/>
                      <w:szCs w:val="21"/>
                    </w:rPr>
                    <w:t>火化</w:t>
                  </w:r>
                </w:p>
                <w:p>
                  <w:pPr>
                    <w:jc w:val="center"/>
                    <w:rPr>
                      <w:szCs w:val="21"/>
                    </w:rPr>
                  </w:pPr>
                  <w:r>
                    <w:rPr>
                      <w:rFonts w:hint="eastAsia"/>
                      <w:szCs w:val="21"/>
                    </w:rPr>
                    <w:t>时间(min)</w:t>
                  </w:r>
                </w:p>
              </w:tc>
              <w:tc>
                <w:tcPr>
                  <w:tcW w:w="516" w:type="pct"/>
                  <w:vAlign w:val="center"/>
                </w:tcPr>
                <w:p>
                  <w:pPr>
                    <w:jc w:val="center"/>
                    <w:rPr>
                      <w:szCs w:val="21"/>
                    </w:rPr>
                  </w:pPr>
                  <w:r>
                    <w:rPr>
                      <w:szCs w:val="21"/>
                    </w:rPr>
                    <w:t>烟气量</w:t>
                  </w:r>
                  <w:r>
                    <w:rPr>
                      <w:rFonts w:hint="eastAsia"/>
                      <w:szCs w:val="21"/>
                    </w:rPr>
                    <w:t>(</w:t>
                  </w:r>
                  <w:r>
                    <w:rPr>
                      <w:szCs w:val="21"/>
                    </w:rPr>
                    <w:t>m³</w:t>
                  </w:r>
                  <w:r>
                    <w:rPr>
                      <w:rFonts w:hint="eastAsia"/>
                      <w:szCs w:val="21"/>
                    </w:rPr>
                    <w:t>/h)</w:t>
                  </w:r>
                </w:p>
              </w:tc>
              <w:tc>
                <w:tcPr>
                  <w:tcW w:w="518" w:type="pct"/>
                  <w:vAlign w:val="center"/>
                </w:tcPr>
                <w:p>
                  <w:pPr>
                    <w:jc w:val="center"/>
                    <w:rPr>
                      <w:szCs w:val="21"/>
                    </w:rPr>
                  </w:pPr>
                  <w:r>
                    <w:rPr>
                      <w:rFonts w:hint="eastAsia"/>
                      <w:szCs w:val="21"/>
                    </w:rPr>
                    <w:t>污染物名称</w:t>
                  </w:r>
                </w:p>
              </w:tc>
              <w:tc>
                <w:tcPr>
                  <w:tcW w:w="680" w:type="pct"/>
                  <w:vAlign w:val="center"/>
                </w:tcPr>
                <w:p>
                  <w:pPr>
                    <w:jc w:val="center"/>
                    <w:rPr>
                      <w:szCs w:val="21"/>
                    </w:rPr>
                  </w:pPr>
                  <w:r>
                    <w:rPr>
                      <w:rFonts w:hint="eastAsia"/>
                      <w:szCs w:val="21"/>
                    </w:rPr>
                    <w:t>治理措施</w:t>
                  </w:r>
                </w:p>
              </w:tc>
              <w:tc>
                <w:tcPr>
                  <w:tcW w:w="550" w:type="pct"/>
                  <w:vAlign w:val="center"/>
                </w:tcPr>
                <w:p>
                  <w:pPr>
                    <w:jc w:val="center"/>
                    <w:rPr>
                      <w:szCs w:val="21"/>
                    </w:rPr>
                  </w:pPr>
                  <w:r>
                    <w:rPr>
                      <w:rFonts w:hint="eastAsia"/>
                      <w:szCs w:val="21"/>
                    </w:rPr>
                    <w:t>排放浓度</w:t>
                  </w:r>
                  <w:r>
                    <w:rPr>
                      <w:rFonts w:hint="eastAsia"/>
                      <w:bCs/>
                      <w:szCs w:val="21"/>
                    </w:rPr>
                    <w:t>（</w:t>
                  </w:r>
                  <w:r>
                    <w:rPr>
                      <w:bCs/>
                      <w:szCs w:val="21"/>
                    </w:rPr>
                    <w:t>mg/m³</w:t>
                  </w:r>
                  <w:r>
                    <w:rPr>
                      <w:rFonts w:hint="eastAsia"/>
                      <w:bCs/>
                      <w:szCs w:val="21"/>
                    </w:rPr>
                    <w:t>）</w:t>
                  </w:r>
                </w:p>
              </w:tc>
              <w:tc>
                <w:tcPr>
                  <w:tcW w:w="772" w:type="pct"/>
                  <w:vAlign w:val="center"/>
                </w:tcPr>
                <w:p>
                  <w:pPr>
                    <w:jc w:val="center"/>
                    <w:rPr>
                      <w:szCs w:val="21"/>
                    </w:rPr>
                  </w:pPr>
                  <w:r>
                    <w:rPr>
                      <w:rFonts w:hint="eastAsia"/>
                      <w:szCs w:val="21"/>
                    </w:rPr>
                    <w:t>排放量（kg/具）</w:t>
                  </w:r>
                </w:p>
              </w:tc>
              <w:tc>
                <w:tcPr>
                  <w:tcW w:w="657" w:type="pct"/>
                  <w:vAlign w:val="center"/>
                </w:tcPr>
                <w:p>
                  <w:pPr>
                    <w:jc w:val="center"/>
                    <w:rPr>
                      <w:szCs w:val="21"/>
                    </w:rPr>
                  </w:pPr>
                  <w:r>
                    <w:rPr>
                      <w:rFonts w:hint="eastAsia"/>
                      <w:szCs w:val="21"/>
                    </w:rPr>
                    <w:t>排放</w:t>
                  </w:r>
                </w:p>
                <w:p>
                  <w:pPr>
                    <w:jc w:val="center"/>
                    <w:rPr>
                      <w:szCs w:val="21"/>
                    </w:rPr>
                  </w:pPr>
                  <w:r>
                    <w:rPr>
                      <w:rFonts w:hint="eastAsia"/>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5"/>
                    <w:spacing w:line="240" w:lineRule="auto"/>
                    <w:rPr>
                      <w:szCs w:val="21"/>
                    </w:rPr>
                  </w:pPr>
                  <w:r>
                    <w:rPr>
                      <w:rFonts w:hint="eastAsia"/>
                      <w:b w:val="0"/>
                      <w:bCs/>
                      <w:szCs w:val="21"/>
                    </w:rPr>
                    <w:t>1</w:t>
                  </w:r>
                </w:p>
              </w:tc>
              <w:tc>
                <w:tcPr>
                  <w:tcW w:w="549" w:type="pct"/>
                  <w:vMerge w:val="restart"/>
                  <w:vAlign w:val="center"/>
                </w:tcPr>
                <w:p>
                  <w:pPr>
                    <w:jc w:val="center"/>
                    <w:rPr>
                      <w:szCs w:val="21"/>
                    </w:rPr>
                  </w:pPr>
                  <w:r>
                    <w:rPr>
                      <w:rFonts w:hint="eastAsia"/>
                      <w:szCs w:val="21"/>
                    </w:rPr>
                    <w:t>1</w:t>
                  </w:r>
                </w:p>
              </w:tc>
              <w:tc>
                <w:tcPr>
                  <w:tcW w:w="483" w:type="pct"/>
                  <w:vMerge w:val="restart"/>
                  <w:vAlign w:val="center"/>
                </w:tcPr>
                <w:p>
                  <w:pPr>
                    <w:jc w:val="center"/>
                    <w:rPr>
                      <w:szCs w:val="21"/>
                    </w:rPr>
                  </w:pPr>
                  <w:r>
                    <w:rPr>
                      <w:szCs w:val="21"/>
                    </w:rPr>
                    <w:t>45</w:t>
                  </w:r>
                </w:p>
              </w:tc>
              <w:tc>
                <w:tcPr>
                  <w:tcW w:w="516" w:type="pct"/>
                  <w:vMerge w:val="restart"/>
                  <w:vAlign w:val="center"/>
                </w:tcPr>
                <w:p>
                  <w:pPr>
                    <w:jc w:val="center"/>
                    <w:rPr>
                      <w:szCs w:val="21"/>
                    </w:rPr>
                  </w:pPr>
                  <w:r>
                    <w:rPr>
                      <w:rFonts w:hint="eastAsia"/>
                      <w:szCs w:val="21"/>
                    </w:rPr>
                    <w:t>6000</w:t>
                  </w:r>
                </w:p>
              </w:tc>
              <w:tc>
                <w:tcPr>
                  <w:tcW w:w="518" w:type="pct"/>
                  <w:vAlign w:val="center"/>
                </w:tcPr>
                <w:p>
                  <w:pPr>
                    <w:pStyle w:val="55"/>
                    <w:spacing w:line="240" w:lineRule="auto"/>
                    <w:rPr>
                      <w:szCs w:val="21"/>
                    </w:rPr>
                  </w:pPr>
                  <w:r>
                    <w:rPr>
                      <w:rFonts w:hint="eastAsia"/>
                      <w:b w:val="0"/>
                      <w:bCs/>
                      <w:szCs w:val="21"/>
                    </w:rPr>
                    <w:t>烟尘</w:t>
                  </w:r>
                </w:p>
              </w:tc>
              <w:tc>
                <w:tcPr>
                  <w:tcW w:w="680" w:type="pct"/>
                  <w:vMerge w:val="restart"/>
                  <w:vAlign w:val="center"/>
                </w:tcPr>
                <w:p>
                  <w:pPr>
                    <w:topLinePunct/>
                    <w:jc w:val="center"/>
                    <w:rPr>
                      <w:szCs w:val="21"/>
                    </w:rPr>
                  </w:pPr>
                  <w:r>
                    <w:rPr>
                      <w:szCs w:val="21"/>
                    </w:rPr>
                    <w:t>急冷装置+</w:t>
                  </w:r>
                  <w:r>
                    <w:rPr>
                      <w:rFonts w:hint="eastAsia"/>
                      <w:szCs w:val="21"/>
                    </w:rPr>
                    <w:t>半干法脱硫</w:t>
                  </w:r>
                  <w:r>
                    <w:rPr>
                      <w:szCs w:val="21"/>
                    </w:rPr>
                    <w:t>+旋风离心器+活性炭喷射装置+布袋除尘器</w:t>
                  </w:r>
                  <w:r>
                    <w:rPr>
                      <w:rFonts w:hint="eastAsia"/>
                      <w:szCs w:val="21"/>
                    </w:rPr>
                    <w:t>+</w:t>
                  </w:r>
                  <w:r>
                    <w:rPr>
                      <w:szCs w:val="21"/>
                    </w:rPr>
                    <w:t>12</w:t>
                  </w:r>
                  <w:r>
                    <w:rPr>
                      <w:rFonts w:hint="eastAsia"/>
                      <w:szCs w:val="21"/>
                    </w:rPr>
                    <w:t>m高排气筒</w:t>
                  </w:r>
                </w:p>
              </w:tc>
              <w:tc>
                <w:tcPr>
                  <w:tcW w:w="550" w:type="pct"/>
                  <w:vAlign w:val="center"/>
                </w:tcPr>
                <w:p>
                  <w:pPr>
                    <w:pStyle w:val="55"/>
                    <w:spacing w:line="240" w:lineRule="auto"/>
                    <w:rPr>
                      <w:szCs w:val="21"/>
                    </w:rPr>
                  </w:pPr>
                  <w:r>
                    <w:rPr>
                      <w:b w:val="0"/>
                      <w:bCs/>
                      <w:szCs w:val="21"/>
                    </w:rPr>
                    <w:t>20</w:t>
                  </w:r>
                </w:p>
              </w:tc>
              <w:tc>
                <w:tcPr>
                  <w:tcW w:w="772" w:type="pct"/>
                  <w:vAlign w:val="center"/>
                </w:tcPr>
                <w:p>
                  <w:pPr>
                    <w:jc w:val="center"/>
                    <w:rPr>
                      <w:szCs w:val="21"/>
                    </w:rPr>
                  </w:pPr>
                  <w:r>
                    <w:rPr>
                      <w:rFonts w:hint="eastAsia"/>
                      <w:szCs w:val="21"/>
                    </w:rPr>
                    <w:t>0</w:t>
                  </w:r>
                  <w:r>
                    <w:rPr>
                      <w:szCs w:val="21"/>
                    </w:rPr>
                    <w:t>.09</w:t>
                  </w:r>
                </w:p>
              </w:tc>
              <w:tc>
                <w:tcPr>
                  <w:tcW w:w="657" w:type="pct"/>
                  <w:vAlign w:val="center"/>
                </w:tcPr>
                <w:p>
                  <w:pPr>
                    <w:jc w:val="center"/>
                    <w:rPr>
                      <w:szCs w:val="21"/>
                    </w:rPr>
                  </w:pPr>
                  <w:r>
                    <w:rPr>
                      <w:rFonts w:hint="eastAsia"/>
                      <w:szCs w:val="21"/>
                    </w:rPr>
                    <w:t>0</w:t>
                  </w: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6" w:type="pct"/>
                  <w:vAlign w:val="center"/>
                </w:tcPr>
                <w:p>
                  <w:pPr>
                    <w:pStyle w:val="55"/>
                    <w:spacing w:line="240" w:lineRule="auto"/>
                    <w:rPr>
                      <w:szCs w:val="21"/>
                    </w:rPr>
                  </w:pPr>
                  <w:r>
                    <w:rPr>
                      <w:rFonts w:hint="eastAsia"/>
                      <w:b w:val="0"/>
                      <w:bCs/>
                      <w:szCs w:val="21"/>
                    </w:rPr>
                    <w:t>2</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SO</w:t>
                  </w:r>
                  <w:r>
                    <w:rPr>
                      <w:rFonts w:hint="eastAsia"/>
                      <w:b w:val="0"/>
                      <w:bCs/>
                      <w:szCs w:val="21"/>
                      <w:vertAlign w:val="subscript"/>
                    </w:rPr>
                    <w:t>2</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b w:val="0"/>
                      <w:bCs/>
                      <w:szCs w:val="21"/>
                    </w:rPr>
                    <w:t>15</w:t>
                  </w:r>
                </w:p>
              </w:tc>
              <w:tc>
                <w:tcPr>
                  <w:tcW w:w="772" w:type="pct"/>
                  <w:vAlign w:val="center"/>
                </w:tcPr>
                <w:p>
                  <w:pPr>
                    <w:jc w:val="center"/>
                    <w:rPr>
                      <w:szCs w:val="21"/>
                    </w:rPr>
                  </w:pPr>
                  <w:r>
                    <w:rPr>
                      <w:rFonts w:hint="eastAsia"/>
                      <w:szCs w:val="21"/>
                    </w:rPr>
                    <w:t>0</w:t>
                  </w:r>
                  <w:r>
                    <w:rPr>
                      <w:szCs w:val="21"/>
                    </w:rPr>
                    <w:t>.0675</w:t>
                  </w:r>
                </w:p>
              </w:tc>
              <w:tc>
                <w:tcPr>
                  <w:tcW w:w="657" w:type="pct"/>
                  <w:vAlign w:val="center"/>
                </w:tcPr>
                <w:p>
                  <w:pPr>
                    <w:jc w:val="center"/>
                    <w:rPr>
                      <w:szCs w:val="21"/>
                    </w:rPr>
                  </w:pPr>
                  <w:r>
                    <w:rPr>
                      <w:rFonts w:hint="eastAsia"/>
                      <w:szCs w:val="21"/>
                    </w:rPr>
                    <w:t>0</w:t>
                  </w:r>
                  <w:r>
                    <w:rPr>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3</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NO</w:t>
                  </w:r>
                  <w:r>
                    <w:rPr>
                      <w:rFonts w:hint="eastAsia"/>
                      <w:b w:val="0"/>
                      <w:bCs/>
                      <w:szCs w:val="21"/>
                      <w:vertAlign w:val="subscript"/>
                    </w:rPr>
                    <w:t>X</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b w:val="0"/>
                      <w:bCs/>
                      <w:szCs w:val="21"/>
                    </w:rPr>
                    <w:t>150</w:t>
                  </w:r>
                </w:p>
              </w:tc>
              <w:tc>
                <w:tcPr>
                  <w:tcW w:w="772" w:type="pct"/>
                  <w:vAlign w:val="center"/>
                </w:tcPr>
                <w:p>
                  <w:pPr>
                    <w:jc w:val="center"/>
                    <w:rPr>
                      <w:szCs w:val="21"/>
                    </w:rPr>
                  </w:pPr>
                  <w:r>
                    <w:rPr>
                      <w:rFonts w:hint="eastAsia"/>
                      <w:szCs w:val="21"/>
                    </w:rPr>
                    <w:t>0</w:t>
                  </w:r>
                  <w:r>
                    <w:rPr>
                      <w:szCs w:val="21"/>
                    </w:rPr>
                    <w:t>.675</w:t>
                  </w:r>
                </w:p>
              </w:tc>
              <w:tc>
                <w:tcPr>
                  <w:tcW w:w="657" w:type="pct"/>
                  <w:vAlign w:val="center"/>
                </w:tcPr>
                <w:p>
                  <w:pPr>
                    <w:jc w:val="center"/>
                    <w:rPr>
                      <w:szCs w:val="21"/>
                    </w:rPr>
                  </w:pPr>
                  <w:r>
                    <w:rPr>
                      <w:rFonts w:hint="eastAsia"/>
                      <w:szCs w:val="21"/>
                    </w:rPr>
                    <w:t>0</w:t>
                  </w:r>
                  <w:r>
                    <w:rPr>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4</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CO</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b w:val="0"/>
                      <w:bCs/>
                      <w:szCs w:val="21"/>
                    </w:rPr>
                    <w:t>120</w:t>
                  </w:r>
                </w:p>
              </w:tc>
              <w:tc>
                <w:tcPr>
                  <w:tcW w:w="772" w:type="pct"/>
                  <w:vAlign w:val="center"/>
                </w:tcPr>
                <w:p>
                  <w:pPr>
                    <w:jc w:val="center"/>
                    <w:rPr>
                      <w:szCs w:val="21"/>
                    </w:rPr>
                  </w:pPr>
                  <w:r>
                    <w:rPr>
                      <w:rFonts w:hint="eastAsia"/>
                      <w:szCs w:val="21"/>
                    </w:rPr>
                    <w:t>0</w:t>
                  </w:r>
                  <w:r>
                    <w:rPr>
                      <w:szCs w:val="21"/>
                    </w:rPr>
                    <w:t>.54</w:t>
                  </w:r>
                </w:p>
              </w:tc>
              <w:tc>
                <w:tcPr>
                  <w:tcW w:w="657" w:type="pct"/>
                  <w:vAlign w:val="center"/>
                </w:tcPr>
                <w:p>
                  <w:pPr>
                    <w:jc w:val="center"/>
                    <w:rPr>
                      <w:szCs w:val="21"/>
                    </w:rPr>
                  </w:pPr>
                  <w:r>
                    <w:rPr>
                      <w:rFonts w:hint="eastAsia"/>
                      <w:szCs w:val="21"/>
                    </w:rPr>
                    <w:t>0</w:t>
                  </w:r>
                  <w:r>
                    <w:rPr>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5</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HCl</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b w:val="0"/>
                      <w:bCs/>
                      <w:szCs w:val="21"/>
                    </w:rPr>
                    <w:t>10</w:t>
                  </w:r>
                </w:p>
              </w:tc>
              <w:tc>
                <w:tcPr>
                  <w:tcW w:w="772" w:type="pct"/>
                  <w:vAlign w:val="center"/>
                </w:tcPr>
                <w:p>
                  <w:pPr>
                    <w:jc w:val="center"/>
                    <w:rPr>
                      <w:szCs w:val="21"/>
                    </w:rPr>
                  </w:pPr>
                  <w:r>
                    <w:rPr>
                      <w:rFonts w:hint="eastAsia"/>
                      <w:szCs w:val="21"/>
                    </w:rPr>
                    <w:t>0</w:t>
                  </w:r>
                  <w:r>
                    <w:rPr>
                      <w:szCs w:val="21"/>
                    </w:rPr>
                    <w:t>.045</w:t>
                  </w:r>
                </w:p>
              </w:tc>
              <w:tc>
                <w:tcPr>
                  <w:tcW w:w="657" w:type="pct"/>
                  <w:vAlign w:val="center"/>
                </w:tcPr>
                <w:p>
                  <w:pPr>
                    <w:jc w:val="center"/>
                    <w:rPr>
                      <w:szCs w:val="21"/>
                    </w:rPr>
                  </w:pPr>
                  <w:r>
                    <w:rPr>
                      <w:rFonts w:hint="eastAsia"/>
                      <w:szCs w:val="21"/>
                    </w:rPr>
                    <w:t>0</w:t>
                  </w:r>
                  <w:r>
                    <w:rPr>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6</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汞</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b w:val="0"/>
                      <w:szCs w:val="21"/>
                    </w:rPr>
                    <w:t>0.08</w:t>
                  </w:r>
                </w:p>
              </w:tc>
              <w:tc>
                <w:tcPr>
                  <w:tcW w:w="772" w:type="pct"/>
                  <w:vAlign w:val="center"/>
                </w:tcPr>
                <w:p>
                  <w:pPr>
                    <w:jc w:val="center"/>
                    <w:rPr>
                      <w:szCs w:val="21"/>
                    </w:rPr>
                  </w:pPr>
                  <w:r>
                    <w:rPr>
                      <w:rFonts w:hint="eastAsia"/>
                      <w:szCs w:val="21"/>
                    </w:rPr>
                    <w:t>0</w:t>
                  </w:r>
                  <w:r>
                    <w:rPr>
                      <w:szCs w:val="21"/>
                    </w:rPr>
                    <w:t>.00036</w:t>
                  </w:r>
                </w:p>
              </w:tc>
              <w:tc>
                <w:tcPr>
                  <w:tcW w:w="657" w:type="pct"/>
                  <w:vAlign w:val="center"/>
                </w:tcPr>
                <w:p>
                  <w:pPr>
                    <w:jc w:val="center"/>
                    <w:rPr>
                      <w:szCs w:val="21"/>
                    </w:rPr>
                  </w:pPr>
                  <w:r>
                    <w:rPr>
                      <w:rFonts w:hint="eastAsia"/>
                      <w:szCs w:val="21"/>
                    </w:rPr>
                    <w:t>0</w:t>
                  </w:r>
                  <w:r>
                    <w:rPr>
                      <w:szCs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76" w:type="pct"/>
                  <w:vAlign w:val="center"/>
                </w:tcPr>
                <w:p>
                  <w:pPr>
                    <w:pStyle w:val="55"/>
                    <w:spacing w:line="240" w:lineRule="auto"/>
                    <w:rPr>
                      <w:szCs w:val="21"/>
                    </w:rPr>
                  </w:pPr>
                  <w:r>
                    <w:rPr>
                      <w:rFonts w:hint="eastAsia"/>
                      <w:b w:val="0"/>
                      <w:bCs/>
                      <w:szCs w:val="21"/>
                    </w:rPr>
                    <w:t>7</w:t>
                  </w:r>
                </w:p>
              </w:tc>
              <w:tc>
                <w:tcPr>
                  <w:tcW w:w="549" w:type="pct"/>
                  <w:vMerge w:val="continue"/>
                  <w:vAlign w:val="center"/>
                </w:tcPr>
                <w:p>
                  <w:pPr>
                    <w:jc w:val="center"/>
                    <w:rPr>
                      <w:szCs w:val="21"/>
                    </w:rPr>
                  </w:pPr>
                </w:p>
              </w:tc>
              <w:tc>
                <w:tcPr>
                  <w:tcW w:w="483" w:type="pct"/>
                  <w:vMerge w:val="continue"/>
                  <w:vAlign w:val="center"/>
                </w:tcPr>
                <w:p>
                  <w:pPr>
                    <w:jc w:val="center"/>
                    <w:rPr>
                      <w:szCs w:val="21"/>
                    </w:rPr>
                  </w:pPr>
                </w:p>
              </w:tc>
              <w:tc>
                <w:tcPr>
                  <w:tcW w:w="516" w:type="pct"/>
                  <w:vMerge w:val="continue"/>
                  <w:vAlign w:val="center"/>
                </w:tcPr>
                <w:p>
                  <w:pPr>
                    <w:jc w:val="center"/>
                    <w:rPr>
                      <w:szCs w:val="21"/>
                    </w:rPr>
                  </w:pPr>
                </w:p>
              </w:tc>
              <w:tc>
                <w:tcPr>
                  <w:tcW w:w="518" w:type="pct"/>
                  <w:vAlign w:val="center"/>
                </w:tcPr>
                <w:p>
                  <w:pPr>
                    <w:pStyle w:val="55"/>
                    <w:spacing w:line="240" w:lineRule="auto"/>
                    <w:rPr>
                      <w:szCs w:val="21"/>
                    </w:rPr>
                  </w:pPr>
                  <w:r>
                    <w:rPr>
                      <w:rFonts w:hint="eastAsia"/>
                      <w:b w:val="0"/>
                      <w:bCs/>
                      <w:szCs w:val="21"/>
                    </w:rPr>
                    <w:t>二噁英类</w:t>
                  </w:r>
                </w:p>
              </w:tc>
              <w:tc>
                <w:tcPr>
                  <w:tcW w:w="680" w:type="pct"/>
                  <w:vMerge w:val="continue"/>
                  <w:vAlign w:val="center"/>
                </w:tcPr>
                <w:p>
                  <w:pPr>
                    <w:jc w:val="center"/>
                    <w:rPr>
                      <w:szCs w:val="21"/>
                    </w:rPr>
                  </w:pPr>
                </w:p>
              </w:tc>
              <w:tc>
                <w:tcPr>
                  <w:tcW w:w="550" w:type="pct"/>
                  <w:vAlign w:val="center"/>
                </w:tcPr>
                <w:p>
                  <w:pPr>
                    <w:pStyle w:val="55"/>
                    <w:spacing w:line="240" w:lineRule="auto"/>
                    <w:rPr>
                      <w:szCs w:val="21"/>
                    </w:rPr>
                  </w:pPr>
                  <w:r>
                    <w:rPr>
                      <w:rFonts w:hint="eastAsia"/>
                      <w:b w:val="0"/>
                      <w:bCs/>
                      <w:szCs w:val="21"/>
                    </w:rPr>
                    <w:t>0.</w:t>
                  </w:r>
                  <w:r>
                    <w:rPr>
                      <w:b w:val="0"/>
                      <w:bCs/>
                      <w:szCs w:val="21"/>
                    </w:rPr>
                    <w:t>41</w:t>
                  </w:r>
                  <w:r>
                    <w:rPr>
                      <w:rFonts w:hint="eastAsia"/>
                      <w:b w:val="0"/>
                      <w:bCs/>
                      <w:szCs w:val="21"/>
                    </w:rPr>
                    <w:t>ng TEQ/m</w:t>
                  </w:r>
                  <w:r>
                    <w:rPr>
                      <w:rFonts w:hint="eastAsia"/>
                      <w:b w:val="0"/>
                      <w:bCs/>
                      <w:szCs w:val="21"/>
                      <w:vertAlign w:val="superscript"/>
                    </w:rPr>
                    <w:t>3</w:t>
                  </w:r>
                </w:p>
              </w:tc>
              <w:tc>
                <w:tcPr>
                  <w:tcW w:w="772" w:type="pct"/>
                  <w:vAlign w:val="center"/>
                </w:tcPr>
                <w:p>
                  <w:pPr>
                    <w:jc w:val="center"/>
                    <w:rPr>
                      <w:szCs w:val="21"/>
                    </w:rPr>
                  </w:pPr>
                  <w:r>
                    <w:rPr>
                      <w:rFonts w:hint="eastAsia"/>
                      <w:szCs w:val="21"/>
                    </w:rPr>
                    <w:t>1</w:t>
                  </w:r>
                  <w:r>
                    <w:rPr>
                      <w:szCs w:val="21"/>
                    </w:rPr>
                    <w:t>845</w:t>
                  </w:r>
                  <w:r>
                    <w:t xml:space="preserve"> </w:t>
                  </w:r>
                  <w:r>
                    <w:rPr>
                      <w:szCs w:val="21"/>
                    </w:rPr>
                    <w:t>ng</w:t>
                  </w:r>
                </w:p>
                <w:p>
                  <w:pPr>
                    <w:jc w:val="center"/>
                    <w:rPr>
                      <w:szCs w:val="21"/>
                    </w:rPr>
                  </w:pPr>
                  <w:r>
                    <w:rPr>
                      <w:szCs w:val="21"/>
                    </w:rPr>
                    <w:t>TEQ</w:t>
                  </w:r>
                </w:p>
              </w:tc>
              <w:tc>
                <w:tcPr>
                  <w:tcW w:w="657" w:type="pct"/>
                  <w:vAlign w:val="center"/>
                </w:tcPr>
                <w:p>
                  <w:pPr>
                    <w:jc w:val="center"/>
                    <w:rPr>
                      <w:szCs w:val="21"/>
                    </w:rPr>
                  </w:pPr>
                  <w:r>
                    <w:rPr>
                      <w:rFonts w:hint="eastAsia"/>
                      <w:szCs w:val="21"/>
                    </w:rPr>
                    <w:t>2</w:t>
                  </w:r>
                  <w:r>
                    <w:rPr>
                      <w:szCs w:val="21"/>
                    </w:rPr>
                    <w:t>460 ng</w:t>
                  </w:r>
                </w:p>
                <w:p>
                  <w:pPr>
                    <w:jc w:val="center"/>
                    <w:rPr>
                      <w:szCs w:val="21"/>
                    </w:rPr>
                  </w:pPr>
                  <w:r>
                    <w:rPr>
                      <w:szCs w:val="21"/>
                    </w:rPr>
                    <w:t>TEQ/h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pPr>
                    <w:rPr>
                      <w:rFonts w:ascii="黑体" w:hAnsi="黑体" w:eastAsia="黑体"/>
                      <w:szCs w:val="21"/>
                    </w:rPr>
                  </w:pPr>
                  <w:r>
                    <w:rPr>
                      <w:rFonts w:hint="eastAsia" w:ascii="黑体" w:hAnsi="黑体" w:eastAsia="黑体"/>
                      <w:szCs w:val="21"/>
                    </w:rPr>
                    <w:t>注：根据《火葬场大气污染物排放标准》（GB13801-2015）中4</w:t>
                  </w:r>
                  <w:r>
                    <w:rPr>
                      <w:rFonts w:ascii="黑体" w:hAnsi="黑体" w:eastAsia="黑体"/>
                      <w:szCs w:val="21"/>
                    </w:rPr>
                    <w:t>.6</w:t>
                  </w:r>
                  <w:r>
                    <w:rPr>
                      <w:rFonts w:hint="eastAsia" w:ascii="黑体" w:hAnsi="黑体" w:eastAsia="黑体"/>
                      <w:szCs w:val="21"/>
                    </w:rPr>
                    <w:t>的要求，</w:t>
                  </w:r>
                  <w:r>
                    <w:rPr>
                      <w:rFonts w:hint="eastAsia" w:ascii="黑体" w:hAnsi="黑体" w:eastAsia="黑体"/>
                      <w:bCs/>
                      <w:szCs w:val="21"/>
                    </w:rPr>
                    <w:t>新建单位专用设备（含火化间）的排气筒高度不应低于1</w:t>
                  </w:r>
                  <w:r>
                    <w:rPr>
                      <w:rFonts w:ascii="黑体" w:hAnsi="黑体" w:eastAsia="黑体"/>
                      <w:bCs/>
                      <w:szCs w:val="21"/>
                    </w:rPr>
                    <w:t>2</w:t>
                  </w:r>
                  <w:r>
                    <w:rPr>
                      <w:rFonts w:hint="eastAsia" w:ascii="黑体" w:hAnsi="黑体" w:eastAsia="黑体"/>
                      <w:bCs/>
                      <w:szCs w:val="21"/>
                    </w:rPr>
                    <w:t>m；排气筒周围半径2</w:t>
                  </w:r>
                  <w:r>
                    <w:rPr>
                      <w:rFonts w:ascii="黑体" w:hAnsi="黑体" w:eastAsia="黑体"/>
                      <w:bCs/>
                      <w:szCs w:val="21"/>
                    </w:rPr>
                    <w:t>00</w:t>
                  </w:r>
                  <w:r>
                    <w:rPr>
                      <w:rFonts w:hint="eastAsia" w:ascii="黑体" w:hAnsi="黑体" w:eastAsia="黑体"/>
                      <w:bCs/>
                      <w:szCs w:val="21"/>
                    </w:rPr>
                    <w:t>m距离内有建筑物时，排气筒还应高出最高建筑物3m以上。本项目火化烟气排气筒半径2</w:t>
                  </w:r>
                  <w:r>
                    <w:rPr>
                      <w:rFonts w:ascii="黑体" w:hAnsi="黑体" w:eastAsia="黑体"/>
                      <w:bCs/>
                      <w:szCs w:val="21"/>
                    </w:rPr>
                    <w:t>00</w:t>
                  </w:r>
                  <w:r>
                    <w:rPr>
                      <w:rFonts w:hint="eastAsia" w:ascii="黑体" w:hAnsi="黑体" w:eastAsia="黑体"/>
                      <w:bCs/>
                      <w:szCs w:val="21"/>
                    </w:rPr>
                    <w:t>m范围内最高的建筑物为殡仪馆2层办公用房，高度低于9m，因此本项目火化烟气排气筒1</w:t>
                  </w:r>
                  <w:r>
                    <w:rPr>
                      <w:rFonts w:ascii="黑体" w:hAnsi="黑体" w:eastAsia="黑体"/>
                      <w:bCs/>
                      <w:szCs w:val="21"/>
                    </w:rPr>
                    <w:t>2</w:t>
                  </w:r>
                  <w:r>
                    <w:rPr>
                      <w:rFonts w:hint="eastAsia" w:ascii="黑体" w:hAnsi="黑体" w:eastAsia="黑体"/>
                      <w:bCs/>
                      <w:szCs w:val="21"/>
                    </w:rPr>
                    <w:t>m高度满足要求。</w:t>
                  </w:r>
                </w:p>
              </w:tc>
            </w:tr>
          </w:tbl>
          <w:p>
            <w:pPr>
              <w:spacing w:line="480" w:lineRule="exact"/>
              <w:ind w:firstLine="480" w:firstLineChars="200"/>
              <w:rPr>
                <w:bCs/>
                <w:sz w:val="24"/>
              </w:rPr>
            </w:pPr>
            <w:r>
              <w:rPr>
                <w:rFonts w:hint="eastAsia"/>
                <w:bCs/>
                <w:sz w:val="24"/>
              </w:rPr>
              <w:t>3台节能环保火化机分别单独配置一套废气处理设施+1根12m高排气筒；共3套废气处理设施，3根12m高排气筒。本次评价分别给出单台火化机运行时单个排气筒的污染物排放量、以及全年污染物排放总量。分别见下表。</w:t>
            </w:r>
          </w:p>
          <w:p>
            <w:pPr>
              <w:spacing w:line="480" w:lineRule="exact"/>
              <w:jc w:val="center"/>
              <w:rPr>
                <w:rFonts w:ascii="黑体" w:hAnsi="黑体" w:eastAsia="黑体"/>
                <w:bCs/>
                <w:sz w:val="32"/>
                <w:szCs w:val="32"/>
              </w:rPr>
            </w:pPr>
            <w:r>
              <w:rPr>
                <w:rFonts w:hint="eastAsia" w:ascii="黑体" w:hAnsi="黑体" w:eastAsia="黑体"/>
                <w:sz w:val="24"/>
                <w:szCs w:val="32"/>
              </w:rPr>
              <w:t>表</w:t>
            </w:r>
            <w:r>
              <w:rPr>
                <w:rFonts w:ascii="黑体" w:hAnsi="黑体" w:eastAsia="黑体"/>
                <w:sz w:val="24"/>
                <w:szCs w:val="32"/>
              </w:rPr>
              <w:t>4</w:t>
            </w:r>
            <w:r>
              <w:rPr>
                <w:rFonts w:hint="eastAsia" w:ascii="黑体" w:hAnsi="黑体" w:eastAsia="黑体"/>
                <w:sz w:val="24"/>
                <w:szCs w:val="32"/>
              </w:rPr>
              <w:t xml:space="preserve">-4 </w:t>
            </w:r>
            <w:r>
              <w:rPr>
                <w:rFonts w:ascii="黑体" w:hAnsi="黑体" w:eastAsia="黑体"/>
                <w:sz w:val="24"/>
                <w:szCs w:val="32"/>
              </w:rPr>
              <w:t xml:space="preserve"> </w:t>
            </w:r>
            <w:r>
              <w:rPr>
                <w:rFonts w:hint="eastAsia" w:ascii="黑体" w:hAnsi="黑体" w:eastAsia="黑体"/>
                <w:sz w:val="24"/>
                <w:szCs w:val="32"/>
              </w:rPr>
              <w:t>本项目</w:t>
            </w:r>
            <w:r>
              <w:rPr>
                <w:rFonts w:hint="eastAsia" w:ascii="黑体" w:hAnsi="黑体" w:eastAsia="黑体"/>
                <w:bCs/>
                <w:sz w:val="24"/>
                <w:szCs w:val="32"/>
              </w:rPr>
              <w:t>单台火化机运行时</w:t>
            </w:r>
            <w:r>
              <w:rPr>
                <w:rFonts w:hint="eastAsia" w:ascii="黑体" w:hAnsi="黑体" w:eastAsia="黑体"/>
                <w:sz w:val="24"/>
                <w:szCs w:val="32"/>
              </w:rPr>
              <w:t>烟气排放情况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
              <w:gridCol w:w="898"/>
              <w:gridCol w:w="794"/>
              <w:gridCol w:w="851"/>
              <w:gridCol w:w="855"/>
              <w:gridCol w:w="1134"/>
              <w:gridCol w:w="1253"/>
              <w:gridCol w:w="129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序号</w:t>
                  </w:r>
                </w:p>
              </w:tc>
              <w:tc>
                <w:tcPr>
                  <w:tcW w:w="521" w:type="pct"/>
                  <w:vAlign w:val="center"/>
                </w:tcPr>
                <w:p>
                  <w:pPr>
                    <w:jc w:val="center"/>
                    <w:rPr>
                      <w:szCs w:val="21"/>
                    </w:rPr>
                  </w:pPr>
                  <w:r>
                    <w:rPr>
                      <w:rFonts w:hint="eastAsia"/>
                      <w:szCs w:val="21"/>
                    </w:rPr>
                    <w:t>火化遗体数量(具)</w:t>
                  </w:r>
                </w:p>
              </w:tc>
              <w:tc>
                <w:tcPr>
                  <w:tcW w:w="461" w:type="pct"/>
                  <w:vAlign w:val="center"/>
                </w:tcPr>
                <w:p>
                  <w:pPr>
                    <w:jc w:val="center"/>
                    <w:rPr>
                      <w:szCs w:val="21"/>
                    </w:rPr>
                  </w:pPr>
                  <w:r>
                    <w:rPr>
                      <w:rFonts w:hint="eastAsia"/>
                      <w:szCs w:val="21"/>
                    </w:rPr>
                    <w:t>火化</w:t>
                  </w:r>
                </w:p>
                <w:p>
                  <w:pPr>
                    <w:jc w:val="center"/>
                    <w:rPr>
                      <w:szCs w:val="21"/>
                    </w:rPr>
                  </w:pPr>
                  <w:r>
                    <w:rPr>
                      <w:rFonts w:hint="eastAsia"/>
                      <w:szCs w:val="21"/>
                    </w:rPr>
                    <w:t>时间(min)</w:t>
                  </w:r>
                </w:p>
              </w:tc>
              <w:tc>
                <w:tcPr>
                  <w:tcW w:w="494" w:type="pct"/>
                  <w:vAlign w:val="center"/>
                </w:tcPr>
                <w:p>
                  <w:pPr>
                    <w:jc w:val="center"/>
                    <w:rPr>
                      <w:szCs w:val="21"/>
                    </w:rPr>
                  </w:pPr>
                  <w:r>
                    <w:rPr>
                      <w:szCs w:val="21"/>
                    </w:rPr>
                    <w:t>烟气量</w:t>
                  </w:r>
                  <w:r>
                    <w:rPr>
                      <w:rFonts w:hint="eastAsia"/>
                      <w:szCs w:val="21"/>
                    </w:rPr>
                    <w:t>(</w:t>
                  </w:r>
                  <w:r>
                    <w:rPr>
                      <w:szCs w:val="21"/>
                    </w:rPr>
                    <w:t>m³</w:t>
                  </w:r>
                  <w:r>
                    <w:rPr>
                      <w:rFonts w:hint="eastAsia"/>
                      <w:szCs w:val="21"/>
                    </w:rPr>
                    <w:t>/h)</w:t>
                  </w:r>
                </w:p>
              </w:tc>
              <w:tc>
                <w:tcPr>
                  <w:tcW w:w="496" w:type="pct"/>
                  <w:vAlign w:val="center"/>
                </w:tcPr>
                <w:p>
                  <w:pPr>
                    <w:jc w:val="center"/>
                    <w:rPr>
                      <w:szCs w:val="21"/>
                    </w:rPr>
                  </w:pPr>
                  <w:r>
                    <w:rPr>
                      <w:rFonts w:hint="eastAsia"/>
                      <w:szCs w:val="21"/>
                    </w:rPr>
                    <w:t>污染物名称</w:t>
                  </w:r>
                </w:p>
              </w:tc>
              <w:tc>
                <w:tcPr>
                  <w:tcW w:w="658" w:type="pct"/>
                  <w:vAlign w:val="center"/>
                </w:tcPr>
                <w:p>
                  <w:pPr>
                    <w:jc w:val="center"/>
                    <w:rPr>
                      <w:szCs w:val="21"/>
                    </w:rPr>
                  </w:pPr>
                  <w:r>
                    <w:rPr>
                      <w:rFonts w:hint="eastAsia"/>
                      <w:szCs w:val="21"/>
                    </w:rPr>
                    <w:t>治理措施</w:t>
                  </w:r>
                </w:p>
              </w:tc>
              <w:tc>
                <w:tcPr>
                  <w:tcW w:w="727" w:type="pct"/>
                  <w:vAlign w:val="center"/>
                </w:tcPr>
                <w:p>
                  <w:pPr>
                    <w:jc w:val="center"/>
                    <w:rPr>
                      <w:szCs w:val="21"/>
                    </w:rPr>
                  </w:pPr>
                  <w:r>
                    <w:rPr>
                      <w:rFonts w:hint="eastAsia"/>
                      <w:szCs w:val="21"/>
                    </w:rPr>
                    <w:t>排放浓度</w:t>
                  </w:r>
                  <w:r>
                    <w:rPr>
                      <w:rFonts w:hint="eastAsia"/>
                      <w:bCs/>
                      <w:szCs w:val="21"/>
                    </w:rPr>
                    <w:t>（</w:t>
                  </w:r>
                  <w:r>
                    <w:rPr>
                      <w:bCs/>
                      <w:szCs w:val="21"/>
                    </w:rPr>
                    <w:t>mg/m³</w:t>
                  </w:r>
                  <w:r>
                    <w:rPr>
                      <w:rFonts w:hint="eastAsia"/>
                      <w:bCs/>
                      <w:szCs w:val="21"/>
                    </w:rPr>
                    <w:t>）</w:t>
                  </w:r>
                </w:p>
              </w:tc>
              <w:tc>
                <w:tcPr>
                  <w:tcW w:w="750" w:type="pct"/>
                  <w:vAlign w:val="center"/>
                </w:tcPr>
                <w:p>
                  <w:pPr>
                    <w:jc w:val="center"/>
                    <w:rPr>
                      <w:szCs w:val="21"/>
                    </w:rPr>
                  </w:pPr>
                  <w:r>
                    <w:rPr>
                      <w:rFonts w:hint="eastAsia"/>
                      <w:szCs w:val="21"/>
                    </w:rPr>
                    <w:t>排放量（kg/次）</w:t>
                  </w:r>
                </w:p>
              </w:tc>
              <w:tc>
                <w:tcPr>
                  <w:tcW w:w="634" w:type="pct"/>
                  <w:vAlign w:val="center"/>
                </w:tcPr>
                <w:p>
                  <w:pPr>
                    <w:jc w:val="center"/>
                    <w:rPr>
                      <w:szCs w:val="21"/>
                    </w:rPr>
                  </w:pPr>
                  <w:r>
                    <w:rPr>
                      <w:rFonts w:hint="eastAsia"/>
                      <w:szCs w:val="21"/>
                    </w:rPr>
                    <w:t>排放</w:t>
                  </w:r>
                </w:p>
                <w:p>
                  <w:pPr>
                    <w:jc w:val="center"/>
                    <w:rPr>
                      <w:szCs w:val="21"/>
                    </w:rPr>
                  </w:pPr>
                  <w:r>
                    <w:rPr>
                      <w:rFonts w:hint="eastAsia"/>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1</w:t>
                  </w:r>
                </w:p>
              </w:tc>
              <w:tc>
                <w:tcPr>
                  <w:tcW w:w="521" w:type="pct"/>
                  <w:vMerge w:val="restart"/>
                  <w:vAlign w:val="center"/>
                </w:tcPr>
                <w:p>
                  <w:pPr>
                    <w:jc w:val="center"/>
                    <w:rPr>
                      <w:szCs w:val="21"/>
                    </w:rPr>
                  </w:pPr>
                  <w:r>
                    <w:rPr>
                      <w:rFonts w:hint="eastAsia"/>
                      <w:szCs w:val="21"/>
                    </w:rPr>
                    <w:t>1</w:t>
                  </w:r>
                </w:p>
              </w:tc>
              <w:tc>
                <w:tcPr>
                  <w:tcW w:w="461" w:type="pct"/>
                  <w:vMerge w:val="restart"/>
                  <w:vAlign w:val="center"/>
                </w:tcPr>
                <w:p>
                  <w:pPr>
                    <w:jc w:val="center"/>
                    <w:rPr>
                      <w:szCs w:val="21"/>
                    </w:rPr>
                  </w:pPr>
                  <w:r>
                    <w:rPr>
                      <w:szCs w:val="21"/>
                    </w:rPr>
                    <w:t>45</w:t>
                  </w:r>
                </w:p>
              </w:tc>
              <w:tc>
                <w:tcPr>
                  <w:tcW w:w="494" w:type="pct"/>
                  <w:vMerge w:val="restart"/>
                  <w:vAlign w:val="center"/>
                </w:tcPr>
                <w:p>
                  <w:pPr>
                    <w:jc w:val="center"/>
                    <w:rPr>
                      <w:szCs w:val="21"/>
                    </w:rPr>
                  </w:pPr>
                  <w:r>
                    <w:rPr>
                      <w:rFonts w:hint="eastAsia"/>
                      <w:szCs w:val="21"/>
                    </w:rPr>
                    <w:t>6000</w:t>
                  </w:r>
                </w:p>
              </w:tc>
              <w:tc>
                <w:tcPr>
                  <w:tcW w:w="496" w:type="pct"/>
                  <w:vAlign w:val="center"/>
                </w:tcPr>
                <w:p>
                  <w:pPr>
                    <w:pStyle w:val="55"/>
                    <w:spacing w:line="240" w:lineRule="auto"/>
                    <w:rPr>
                      <w:szCs w:val="21"/>
                    </w:rPr>
                  </w:pPr>
                  <w:r>
                    <w:rPr>
                      <w:rFonts w:hint="eastAsia"/>
                      <w:b w:val="0"/>
                      <w:bCs/>
                      <w:szCs w:val="21"/>
                    </w:rPr>
                    <w:t>烟尘</w:t>
                  </w:r>
                </w:p>
              </w:tc>
              <w:tc>
                <w:tcPr>
                  <w:tcW w:w="658" w:type="pct"/>
                  <w:vMerge w:val="restart"/>
                  <w:vAlign w:val="center"/>
                </w:tcPr>
                <w:p>
                  <w:pPr>
                    <w:topLinePunct/>
                    <w:jc w:val="center"/>
                    <w:rPr>
                      <w:szCs w:val="21"/>
                    </w:rPr>
                  </w:pPr>
                  <w:r>
                    <w:rPr>
                      <w:szCs w:val="21"/>
                    </w:rPr>
                    <w:t>急冷装置+</w:t>
                  </w:r>
                  <w:r>
                    <w:rPr>
                      <w:rFonts w:hint="eastAsia"/>
                      <w:szCs w:val="21"/>
                    </w:rPr>
                    <w:t>半干法脱硫</w:t>
                  </w:r>
                  <w:r>
                    <w:rPr>
                      <w:szCs w:val="21"/>
                    </w:rPr>
                    <w:t>+旋风离心器+活性炭喷射装置+布袋除尘器</w:t>
                  </w:r>
                  <w:r>
                    <w:rPr>
                      <w:rFonts w:hint="eastAsia"/>
                      <w:szCs w:val="21"/>
                    </w:rPr>
                    <w:t>+</w:t>
                  </w:r>
                  <w:r>
                    <w:rPr>
                      <w:szCs w:val="21"/>
                    </w:rPr>
                    <w:t>12</w:t>
                  </w:r>
                  <w:r>
                    <w:rPr>
                      <w:rFonts w:hint="eastAsia"/>
                      <w:szCs w:val="21"/>
                    </w:rPr>
                    <w:t>m高排气筒</w:t>
                  </w:r>
                </w:p>
              </w:tc>
              <w:tc>
                <w:tcPr>
                  <w:tcW w:w="727" w:type="pct"/>
                  <w:vAlign w:val="center"/>
                </w:tcPr>
                <w:p>
                  <w:pPr>
                    <w:pStyle w:val="55"/>
                    <w:spacing w:line="240" w:lineRule="auto"/>
                    <w:rPr>
                      <w:szCs w:val="21"/>
                    </w:rPr>
                  </w:pPr>
                  <w:r>
                    <w:rPr>
                      <w:b w:val="0"/>
                      <w:bCs/>
                      <w:szCs w:val="21"/>
                    </w:rPr>
                    <w:t>20</w:t>
                  </w:r>
                </w:p>
              </w:tc>
              <w:tc>
                <w:tcPr>
                  <w:tcW w:w="750" w:type="pct"/>
                  <w:vAlign w:val="center"/>
                </w:tcPr>
                <w:p>
                  <w:pPr>
                    <w:jc w:val="center"/>
                    <w:rPr>
                      <w:szCs w:val="21"/>
                    </w:rPr>
                  </w:pPr>
                  <w:r>
                    <w:rPr>
                      <w:rFonts w:hint="eastAsia"/>
                      <w:szCs w:val="21"/>
                    </w:rPr>
                    <w:t>0</w:t>
                  </w:r>
                  <w:r>
                    <w:rPr>
                      <w:szCs w:val="21"/>
                    </w:rPr>
                    <w:t>.09</w:t>
                  </w:r>
                </w:p>
              </w:tc>
              <w:tc>
                <w:tcPr>
                  <w:tcW w:w="634" w:type="pct"/>
                  <w:vAlign w:val="center"/>
                </w:tcPr>
                <w:p>
                  <w:pPr>
                    <w:jc w:val="center"/>
                    <w:rPr>
                      <w:szCs w:val="21"/>
                    </w:rPr>
                  </w:pPr>
                  <w:r>
                    <w:rPr>
                      <w:rFonts w:hint="eastAsia"/>
                      <w:szCs w:val="21"/>
                    </w:rPr>
                    <w:t>0</w:t>
                  </w:r>
                  <w:r>
                    <w:rPr>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2</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SO</w:t>
                  </w:r>
                  <w:r>
                    <w:rPr>
                      <w:rFonts w:hint="eastAsia"/>
                      <w:b w:val="0"/>
                      <w:bCs/>
                      <w:szCs w:val="21"/>
                      <w:vertAlign w:val="subscript"/>
                    </w:rPr>
                    <w:t>2</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b w:val="0"/>
                      <w:bCs/>
                      <w:szCs w:val="21"/>
                    </w:rPr>
                    <w:t>15</w:t>
                  </w:r>
                </w:p>
              </w:tc>
              <w:tc>
                <w:tcPr>
                  <w:tcW w:w="750" w:type="pct"/>
                  <w:vAlign w:val="center"/>
                </w:tcPr>
                <w:p>
                  <w:pPr>
                    <w:jc w:val="center"/>
                    <w:rPr>
                      <w:szCs w:val="21"/>
                    </w:rPr>
                  </w:pPr>
                  <w:r>
                    <w:rPr>
                      <w:rFonts w:hint="eastAsia"/>
                      <w:szCs w:val="21"/>
                    </w:rPr>
                    <w:t>0</w:t>
                  </w:r>
                  <w:r>
                    <w:rPr>
                      <w:szCs w:val="21"/>
                    </w:rPr>
                    <w:t>.0675</w:t>
                  </w:r>
                </w:p>
              </w:tc>
              <w:tc>
                <w:tcPr>
                  <w:tcW w:w="634" w:type="pct"/>
                  <w:vAlign w:val="center"/>
                </w:tcPr>
                <w:p>
                  <w:pPr>
                    <w:jc w:val="center"/>
                    <w:rPr>
                      <w:szCs w:val="21"/>
                    </w:rPr>
                  </w:pPr>
                  <w:r>
                    <w:rPr>
                      <w:rFonts w:hint="eastAsia"/>
                      <w:szCs w:val="21"/>
                    </w:rPr>
                    <w:t>0</w:t>
                  </w:r>
                  <w:r>
                    <w:rPr>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3</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NO</w:t>
                  </w:r>
                  <w:r>
                    <w:rPr>
                      <w:rFonts w:hint="eastAsia"/>
                      <w:b w:val="0"/>
                      <w:bCs/>
                      <w:szCs w:val="21"/>
                      <w:vertAlign w:val="subscript"/>
                    </w:rPr>
                    <w:t>X</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b w:val="0"/>
                      <w:bCs/>
                      <w:szCs w:val="21"/>
                    </w:rPr>
                    <w:t>150</w:t>
                  </w:r>
                </w:p>
              </w:tc>
              <w:tc>
                <w:tcPr>
                  <w:tcW w:w="750" w:type="pct"/>
                  <w:vAlign w:val="center"/>
                </w:tcPr>
                <w:p>
                  <w:pPr>
                    <w:jc w:val="center"/>
                    <w:rPr>
                      <w:szCs w:val="21"/>
                    </w:rPr>
                  </w:pPr>
                  <w:r>
                    <w:rPr>
                      <w:rFonts w:hint="eastAsia"/>
                      <w:szCs w:val="21"/>
                    </w:rPr>
                    <w:t>0</w:t>
                  </w:r>
                  <w:r>
                    <w:rPr>
                      <w:szCs w:val="21"/>
                    </w:rPr>
                    <w:t>.675</w:t>
                  </w:r>
                </w:p>
              </w:tc>
              <w:tc>
                <w:tcPr>
                  <w:tcW w:w="634" w:type="pct"/>
                  <w:vAlign w:val="center"/>
                </w:tcPr>
                <w:p>
                  <w:pPr>
                    <w:jc w:val="center"/>
                    <w:rPr>
                      <w:szCs w:val="21"/>
                    </w:rPr>
                  </w:pPr>
                  <w:r>
                    <w:rPr>
                      <w:rFonts w:hint="eastAsia"/>
                      <w:szCs w:val="21"/>
                    </w:rPr>
                    <w:t>0</w:t>
                  </w:r>
                  <w:r>
                    <w:rPr>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4</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CO</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b w:val="0"/>
                      <w:bCs/>
                      <w:szCs w:val="21"/>
                    </w:rPr>
                    <w:t>120</w:t>
                  </w:r>
                </w:p>
              </w:tc>
              <w:tc>
                <w:tcPr>
                  <w:tcW w:w="750" w:type="pct"/>
                  <w:vAlign w:val="center"/>
                </w:tcPr>
                <w:p>
                  <w:pPr>
                    <w:jc w:val="center"/>
                    <w:rPr>
                      <w:szCs w:val="21"/>
                    </w:rPr>
                  </w:pPr>
                  <w:r>
                    <w:rPr>
                      <w:rFonts w:hint="eastAsia"/>
                      <w:szCs w:val="21"/>
                    </w:rPr>
                    <w:t>0</w:t>
                  </w:r>
                  <w:r>
                    <w:rPr>
                      <w:szCs w:val="21"/>
                    </w:rPr>
                    <w:t>.54</w:t>
                  </w:r>
                </w:p>
              </w:tc>
              <w:tc>
                <w:tcPr>
                  <w:tcW w:w="634" w:type="pct"/>
                  <w:vAlign w:val="center"/>
                </w:tcPr>
                <w:p>
                  <w:pPr>
                    <w:jc w:val="center"/>
                    <w:rPr>
                      <w:szCs w:val="21"/>
                    </w:rPr>
                  </w:pPr>
                  <w:r>
                    <w:rPr>
                      <w:rFonts w:hint="eastAsia"/>
                      <w:szCs w:val="21"/>
                    </w:rPr>
                    <w:t>0</w:t>
                  </w:r>
                  <w:r>
                    <w:rPr>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5</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HCl</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b w:val="0"/>
                      <w:bCs/>
                      <w:szCs w:val="21"/>
                    </w:rPr>
                    <w:t>10</w:t>
                  </w:r>
                </w:p>
              </w:tc>
              <w:tc>
                <w:tcPr>
                  <w:tcW w:w="750" w:type="pct"/>
                  <w:vAlign w:val="center"/>
                </w:tcPr>
                <w:p>
                  <w:pPr>
                    <w:jc w:val="center"/>
                    <w:rPr>
                      <w:szCs w:val="21"/>
                    </w:rPr>
                  </w:pPr>
                  <w:r>
                    <w:rPr>
                      <w:rFonts w:hint="eastAsia"/>
                      <w:szCs w:val="21"/>
                    </w:rPr>
                    <w:t>0</w:t>
                  </w:r>
                  <w:r>
                    <w:rPr>
                      <w:szCs w:val="21"/>
                    </w:rPr>
                    <w:t>.045</w:t>
                  </w:r>
                </w:p>
              </w:tc>
              <w:tc>
                <w:tcPr>
                  <w:tcW w:w="634" w:type="pct"/>
                  <w:vAlign w:val="center"/>
                </w:tcPr>
                <w:p>
                  <w:pPr>
                    <w:jc w:val="center"/>
                    <w:rPr>
                      <w:szCs w:val="21"/>
                    </w:rPr>
                  </w:pPr>
                  <w:r>
                    <w:rPr>
                      <w:rFonts w:hint="eastAsia"/>
                      <w:szCs w:val="21"/>
                    </w:rPr>
                    <w:t>0</w:t>
                  </w:r>
                  <w:r>
                    <w:rPr>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6</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汞</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b w:val="0"/>
                      <w:szCs w:val="21"/>
                    </w:rPr>
                    <w:t>0.08</w:t>
                  </w:r>
                </w:p>
              </w:tc>
              <w:tc>
                <w:tcPr>
                  <w:tcW w:w="750" w:type="pct"/>
                  <w:vAlign w:val="center"/>
                </w:tcPr>
                <w:p>
                  <w:pPr>
                    <w:jc w:val="center"/>
                    <w:rPr>
                      <w:szCs w:val="21"/>
                    </w:rPr>
                  </w:pPr>
                  <w:r>
                    <w:rPr>
                      <w:rFonts w:hint="eastAsia"/>
                      <w:szCs w:val="21"/>
                    </w:rPr>
                    <w:t>0</w:t>
                  </w:r>
                  <w:r>
                    <w:rPr>
                      <w:szCs w:val="21"/>
                    </w:rPr>
                    <w:t>.00036</w:t>
                  </w:r>
                </w:p>
              </w:tc>
              <w:tc>
                <w:tcPr>
                  <w:tcW w:w="634" w:type="pct"/>
                  <w:vAlign w:val="center"/>
                </w:tcPr>
                <w:p>
                  <w:pPr>
                    <w:jc w:val="center"/>
                    <w:rPr>
                      <w:szCs w:val="21"/>
                    </w:rPr>
                  </w:pPr>
                  <w:r>
                    <w:rPr>
                      <w:rFonts w:hint="eastAsia"/>
                      <w:szCs w:val="21"/>
                    </w:rPr>
                    <w:t>0</w:t>
                  </w:r>
                  <w:r>
                    <w:rPr>
                      <w:szCs w:val="21"/>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0" w:type="pct"/>
                  <w:vAlign w:val="center"/>
                </w:tcPr>
                <w:p>
                  <w:pPr>
                    <w:pStyle w:val="55"/>
                    <w:spacing w:line="240" w:lineRule="auto"/>
                    <w:rPr>
                      <w:szCs w:val="21"/>
                    </w:rPr>
                  </w:pPr>
                  <w:r>
                    <w:rPr>
                      <w:rFonts w:hint="eastAsia"/>
                      <w:b w:val="0"/>
                      <w:bCs/>
                      <w:szCs w:val="21"/>
                    </w:rPr>
                    <w:t>7</w:t>
                  </w:r>
                </w:p>
              </w:tc>
              <w:tc>
                <w:tcPr>
                  <w:tcW w:w="521" w:type="pct"/>
                  <w:vMerge w:val="continue"/>
                  <w:vAlign w:val="center"/>
                </w:tcPr>
                <w:p>
                  <w:pPr>
                    <w:jc w:val="center"/>
                    <w:rPr>
                      <w:szCs w:val="21"/>
                    </w:rPr>
                  </w:pPr>
                </w:p>
              </w:tc>
              <w:tc>
                <w:tcPr>
                  <w:tcW w:w="461" w:type="pct"/>
                  <w:vMerge w:val="continue"/>
                  <w:vAlign w:val="center"/>
                </w:tcPr>
                <w:p>
                  <w:pPr>
                    <w:jc w:val="center"/>
                    <w:rPr>
                      <w:szCs w:val="21"/>
                    </w:rPr>
                  </w:pPr>
                </w:p>
              </w:tc>
              <w:tc>
                <w:tcPr>
                  <w:tcW w:w="494" w:type="pct"/>
                  <w:vMerge w:val="continue"/>
                  <w:vAlign w:val="center"/>
                </w:tcPr>
                <w:p>
                  <w:pPr>
                    <w:jc w:val="center"/>
                    <w:rPr>
                      <w:szCs w:val="21"/>
                    </w:rPr>
                  </w:pPr>
                </w:p>
              </w:tc>
              <w:tc>
                <w:tcPr>
                  <w:tcW w:w="496" w:type="pct"/>
                  <w:vAlign w:val="center"/>
                </w:tcPr>
                <w:p>
                  <w:pPr>
                    <w:pStyle w:val="55"/>
                    <w:spacing w:line="240" w:lineRule="auto"/>
                    <w:rPr>
                      <w:szCs w:val="21"/>
                    </w:rPr>
                  </w:pPr>
                  <w:r>
                    <w:rPr>
                      <w:rFonts w:hint="eastAsia"/>
                      <w:b w:val="0"/>
                      <w:bCs/>
                      <w:szCs w:val="21"/>
                    </w:rPr>
                    <w:t>二噁英类</w:t>
                  </w:r>
                </w:p>
              </w:tc>
              <w:tc>
                <w:tcPr>
                  <w:tcW w:w="658" w:type="pct"/>
                  <w:vMerge w:val="continue"/>
                  <w:vAlign w:val="center"/>
                </w:tcPr>
                <w:p>
                  <w:pPr>
                    <w:jc w:val="center"/>
                    <w:rPr>
                      <w:szCs w:val="21"/>
                    </w:rPr>
                  </w:pPr>
                </w:p>
              </w:tc>
              <w:tc>
                <w:tcPr>
                  <w:tcW w:w="727" w:type="pct"/>
                  <w:vAlign w:val="center"/>
                </w:tcPr>
                <w:p>
                  <w:pPr>
                    <w:pStyle w:val="55"/>
                    <w:spacing w:line="240" w:lineRule="auto"/>
                    <w:rPr>
                      <w:szCs w:val="21"/>
                    </w:rPr>
                  </w:pPr>
                  <w:r>
                    <w:rPr>
                      <w:rFonts w:hint="eastAsia"/>
                      <w:b w:val="0"/>
                      <w:bCs/>
                      <w:szCs w:val="21"/>
                    </w:rPr>
                    <w:t>0.</w:t>
                  </w:r>
                  <w:r>
                    <w:rPr>
                      <w:b w:val="0"/>
                      <w:bCs/>
                      <w:szCs w:val="21"/>
                    </w:rPr>
                    <w:t>41</w:t>
                  </w:r>
                  <w:r>
                    <w:rPr>
                      <w:rFonts w:hint="eastAsia"/>
                      <w:b w:val="0"/>
                      <w:bCs/>
                      <w:szCs w:val="21"/>
                    </w:rPr>
                    <w:t>ng TEQ/m</w:t>
                  </w:r>
                  <w:r>
                    <w:rPr>
                      <w:rFonts w:hint="eastAsia"/>
                      <w:b w:val="0"/>
                      <w:bCs/>
                      <w:szCs w:val="21"/>
                      <w:vertAlign w:val="superscript"/>
                    </w:rPr>
                    <w:t>3</w:t>
                  </w:r>
                </w:p>
              </w:tc>
              <w:tc>
                <w:tcPr>
                  <w:tcW w:w="750" w:type="pct"/>
                  <w:vAlign w:val="center"/>
                </w:tcPr>
                <w:p>
                  <w:pPr>
                    <w:jc w:val="center"/>
                    <w:rPr>
                      <w:szCs w:val="21"/>
                    </w:rPr>
                  </w:pPr>
                  <w:r>
                    <w:rPr>
                      <w:rFonts w:hint="eastAsia"/>
                      <w:szCs w:val="21"/>
                    </w:rPr>
                    <w:t>1</w:t>
                  </w:r>
                  <w:r>
                    <w:rPr>
                      <w:szCs w:val="21"/>
                    </w:rPr>
                    <w:t>845</w:t>
                  </w:r>
                  <w:r>
                    <w:t xml:space="preserve"> </w:t>
                  </w:r>
                  <w:r>
                    <w:rPr>
                      <w:szCs w:val="21"/>
                    </w:rPr>
                    <w:t>ng</w:t>
                  </w:r>
                </w:p>
                <w:p>
                  <w:pPr>
                    <w:jc w:val="center"/>
                    <w:rPr>
                      <w:szCs w:val="21"/>
                    </w:rPr>
                  </w:pPr>
                  <w:r>
                    <w:rPr>
                      <w:szCs w:val="21"/>
                    </w:rPr>
                    <w:t>TEQ</w:t>
                  </w:r>
                </w:p>
              </w:tc>
              <w:tc>
                <w:tcPr>
                  <w:tcW w:w="634" w:type="pct"/>
                  <w:vAlign w:val="center"/>
                </w:tcPr>
                <w:p>
                  <w:pPr>
                    <w:jc w:val="center"/>
                    <w:rPr>
                      <w:szCs w:val="21"/>
                    </w:rPr>
                  </w:pPr>
                  <w:r>
                    <w:rPr>
                      <w:rFonts w:hint="eastAsia"/>
                      <w:szCs w:val="21"/>
                    </w:rPr>
                    <w:t>2</w:t>
                  </w:r>
                  <w:r>
                    <w:rPr>
                      <w:szCs w:val="21"/>
                    </w:rPr>
                    <w:t>460 ng</w:t>
                  </w:r>
                </w:p>
                <w:p>
                  <w:pPr>
                    <w:jc w:val="center"/>
                    <w:rPr>
                      <w:szCs w:val="21"/>
                    </w:rPr>
                  </w:pPr>
                  <w:r>
                    <w:rPr>
                      <w:szCs w:val="21"/>
                    </w:rPr>
                    <w:t>TEQ/h</w:t>
                  </w:r>
                </w:p>
              </w:tc>
            </w:tr>
          </w:tbl>
          <w:p>
            <w:pPr>
              <w:spacing w:line="480" w:lineRule="exact"/>
              <w:ind w:firstLine="480" w:firstLineChars="200"/>
              <w:rPr>
                <w:bCs/>
                <w:sz w:val="24"/>
              </w:rPr>
            </w:pPr>
            <w:r>
              <w:rPr>
                <w:rFonts w:hint="eastAsia"/>
                <w:bCs/>
                <w:sz w:val="24"/>
              </w:rPr>
              <w:t>本项目年最大服务能力为火化</w:t>
            </w:r>
            <w:r>
              <w:rPr>
                <w:bCs/>
                <w:sz w:val="24"/>
              </w:rPr>
              <w:t>2190</w:t>
            </w:r>
            <w:r>
              <w:rPr>
                <w:rFonts w:hint="eastAsia"/>
                <w:bCs/>
                <w:sz w:val="24"/>
              </w:rPr>
              <w:t>具遗体，则遗体火化烟气排气筒污染物年排放量见下表。</w:t>
            </w:r>
          </w:p>
          <w:p>
            <w:pPr>
              <w:spacing w:line="480" w:lineRule="exact"/>
              <w:jc w:val="center"/>
              <w:rPr>
                <w:rFonts w:ascii="黑体" w:hAnsi="黑体" w:eastAsia="黑体"/>
                <w:bCs/>
                <w:sz w:val="32"/>
                <w:szCs w:val="32"/>
              </w:rPr>
            </w:pPr>
            <w:r>
              <w:rPr>
                <w:rFonts w:hint="eastAsia" w:ascii="黑体" w:hAnsi="黑体" w:eastAsia="黑体"/>
                <w:sz w:val="24"/>
                <w:szCs w:val="32"/>
              </w:rPr>
              <w:t>表</w:t>
            </w:r>
            <w:r>
              <w:rPr>
                <w:rFonts w:ascii="黑体" w:hAnsi="黑体" w:eastAsia="黑体"/>
                <w:sz w:val="24"/>
                <w:szCs w:val="32"/>
              </w:rPr>
              <w:t xml:space="preserve">4-5  </w:t>
            </w:r>
            <w:r>
              <w:rPr>
                <w:rFonts w:hint="eastAsia" w:ascii="黑体" w:hAnsi="黑体" w:eastAsia="黑体"/>
                <w:bCs/>
                <w:sz w:val="24"/>
                <w:szCs w:val="32"/>
              </w:rPr>
              <w:t>遗体火化烟气排气筒D</w:t>
            </w:r>
            <w:r>
              <w:rPr>
                <w:rFonts w:ascii="黑体" w:hAnsi="黑体" w:eastAsia="黑体"/>
                <w:bCs/>
                <w:sz w:val="24"/>
                <w:szCs w:val="32"/>
              </w:rPr>
              <w:t>A001</w:t>
            </w:r>
            <w:r>
              <w:rPr>
                <w:rFonts w:hint="eastAsia" w:ascii="黑体" w:hAnsi="黑体" w:eastAsia="黑体"/>
                <w:sz w:val="24"/>
                <w:szCs w:val="32"/>
              </w:rPr>
              <w:t>排放情况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158"/>
              <w:gridCol w:w="1394"/>
              <w:gridCol w:w="1392"/>
              <w:gridCol w:w="1303"/>
              <w:gridCol w:w="1303"/>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Align w:val="center"/>
                </w:tcPr>
                <w:p>
                  <w:pPr>
                    <w:jc w:val="center"/>
                    <w:rPr>
                      <w:szCs w:val="21"/>
                    </w:rPr>
                  </w:pPr>
                  <w:r>
                    <w:rPr>
                      <w:rFonts w:hint="eastAsia"/>
                      <w:szCs w:val="21"/>
                    </w:rPr>
                    <w:t>污染源</w:t>
                  </w:r>
                </w:p>
              </w:tc>
              <w:tc>
                <w:tcPr>
                  <w:tcW w:w="672" w:type="pct"/>
                  <w:vAlign w:val="center"/>
                </w:tcPr>
                <w:p>
                  <w:pPr>
                    <w:jc w:val="center"/>
                    <w:rPr>
                      <w:szCs w:val="21"/>
                    </w:rPr>
                  </w:pPr>
                  <w:r>
                    <w:rPr>
                      <w:rFonts w:hint="eastAsia"/>
                      <w:szCs w:val="21"/>
                    </w:rPr>
                    <w:t>废气量m</w:t>
                  </w:r>
                  <w:r>
                    <w:rPr>
                      <w:rFonts w:hint="eastAsia"/>
                      <w:szCs w:val="21"/>
                      <w:vertAlign w:val="superscript"/>
                    </w:rPr>
                    <w:t>3</w:t>
                  </w:r>
                  <w:r>
                    <w:rPr>
                      <w:rFonts w:hint="eastAsia"/>
                      <w:szCs w:val="21"/>
                    </w:rPr>
                    <w:t>/h</w:t>
                  </w:r>
                </w:p>
              </w:tc>
              <w:tc>
                <w:tcPr>
                  <w:tcW w:w="809" w:type="pct"/>
                  <w:vAlign w:val="center"/>
                </w:tcPr>
                <w:p>
                  <w:pPr>
                    <w:jc w:val="center"/>
                    <w:rPr>
                      <w:szCs w:val="21"/>
                    </w:rPr>
                  </w:pPr>
                  <w:r>
                    <w:rPr>
                      <w:rFonts w:hint="eastAsia"/>
                      <w:szCs w:val="21"/>
                    </w:rPr>
                    <w:t>污染物名称</w:t>
                  </w:r>
                </w:p>
              </w:tc>
              <w:tc>
                <w:tcPr>
                  <w:tcW w:w="808" w:type="pct"/>
                  <w:vAlign w:val="center"/>
                </w:tcPr>
                <w:p>
                  <w:pPr>
                    <w:jc w:val="center"/>
                    <w:rPr>
                      <w:szCs w:val="21"/>
                    </w:rPr>
                  </w:pPr>
                  <w:r>
                    <w:rPr>
                      <w:rFonts w:hint="eastAsia"/>
                      <w:szCs w:val="21"/>
                    </w:rPr>
                    <w:t>排放浓度</w:t>
                  </w:r>
                </w:p>
                <w:p>
                  <w:pPr>
                    <w:jc w:val="center"/>
                    <w:rPr>
                      <w:szCs w:val="21"/>
                    </w:rPr>
                  </w:pPr>
                  <w:r>
                    <w:rPr>
                      <w:rFonts w:hint="eastAsia"/>
                      <w:szCs w:val="21"/>
                    </w:rPr>
                    <w:t>mg/m</w:t>
                  </w:r>
                  <w:r>
                    <w:rPr>
                      <w:rFonts w:hint="eastAsia"/>
                      <w:szCs w:val="21"/>
                      <w:vertAlign w:val="superscript"/>
                    </w:rPr>
                    <w:t>3</w:t>
                  </w:r>
                </w:p>
              </w:tc>
              <w:tc>
                <w:tcPr>
                  <w:tcW w:w="756" w:type="pct"/>
                  <w:vAlign w:val="center"/>
                </w:tcPr>
                <w:p>
                  <w:pPr>
                    <w:jc w:val="center"/>
                    <w:rPr>
                      <w:szCs w:val="21"/>
                    </w:rPr>
                  </w:pPr>
                  <w:r>
                    <w:rPr>
                      <w:rFonts w:hint="eastAsia"/>
                      <w:szCs w:val="21"/>
                    </w:rPr>
                    <w:t>排放标准</w:t>
                  </w:r>
                </w:p>
              </w:tc>
              <w:tc>
                <w:tcPr>
                  <w:tcW w:w="756" w:type="pct"/>
                  <w:vAlign w:val="center"/>
                </w:tcPr>
                <w:p>
                  <w:pPr>
                    <w:jc w:val="center"/>
                    <w:rPr>
                      <w:szCs w:val="21"/>
                    </w:rPr>
                  </w:pPr>
                  <w:r>
                    <w:rPr>
                      <w:rFonts w:hint="eastAsia"/>
                      <w:szCs w:val="21"/>
                    </w:rPr>
                    <w:t>排放速率</w:t>
                  </w:r>
                </w:p>
                <w:p>
                  <w:pPr>
                    <w:jc w:val="center"/>
                    <w:rPr>
                      <w:szCs w:val="21"/>
                    </w:rPr>
                  </w:pPr>
                  <w:r>
                    <w:rPr>
                      <w:rFonts w:hint="eastAsia"/>
                      <w:szCs w:val="21"/>
                    </w:rPr>
                    <w:t>kg/h</w:t>
                  </w:r>
                </w:p>
              </w:tc>
              <w:tc>
                <w:tcPr>
                  <w:tcW w:w="678" w:type="pct"/>
                  <w:vAlign w:val="center"/>
                </w:tcPr>
                <w:p>
                  <w:pPr>
                    <w:jc w:val="center"/>
                    <w:rPr>
                      <w:szCs w:val="21"/>
                    </w:rPr>
                  </w:pPr>
                  <w:r>
                    <w:rPr>
                      <w:rFonts w:hint="eastAsia"/>
                      <w:szCs w:val="21"/>
                    </w:rPr>
                    <w:t>排放量</w:t>
                  </w:r>
                </w:p>
                <w:p>
                  <w:pPr>
                    <w:jc w:val="center"/>
                    <w:rPr>
                      <w:szCs w:val="21"/>
                    </w:rPr>
                  </w:pP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restart"/>
                  <w:vAlign w:val="center"/>
                </w:tcPr>
                <w:p>
                  <w:pPr>
                    <w:jc w:val="center"/>
                    <w:rPr>
                      <w:szCs w:val="21"/>
                    </w:rPr>
                  </w:pPr>
                  <w:r>
                    <w:rPr>
                      <w:rFonts w:hint="eastAsia"/>
                      <w:szCs w:val="21"/>
                    </w:rPr>
                    <w:t>遗体火化烟气排气筒D</w:t>
                  </w:r>
                  <w:r>
                    <w:rPr>
                      <w:szCs w:val="21"/>
                    </w:rPr>
                    <w:t>A001</w:t>
                  </w:r>
                </w:p>
                <w:p>
                  <w:pPr>
                    <w:jc w:val="center"/>
                    <w:rPr>
                      <w:szCs w:val="21"/>
                    </w:rPr>
                  </w:pPr>
                  <w:r>
                    <w:rPr>
                      <w:rFonts w:hint="eastAsia"/>
                      <w:szCs w:val="21"/>
                    </w:rPr>
                    <w:t>~</w:t>
                  </w:r>
                  <w:r>
                    <w:rPr>
                      <w:szCs w:val="21"/>
                    </w:rPr>
                    <w:t>003</w:t>
                  </w:r>
                </w:p>
              </w:tc>
              <w:tc>
                <w:tcPr>
                  <w:tcW w:w="672" w:type="pct"/>
                  <w:vMerge w:val="restart"/>
                  <w:vAlign w:val="center"/>
                </w:tcPr>
                <w:p>
                  <w:pPr>
                    <w:jc w:val="center"/>
                    <w:rPr>
                      <w:szCs w:val="21"/>
                    </w:rPr>
                  </w:pPr>
                  <w:r>
                    <w:rPr>
                      <w:szCs w:val="21"/>
                    </w:rPr>
                    <w:t>18</w:t>
                  </w:r>
                  <w:r>
                    <w:rPr>
                      <w:rFonts w:hint="eastAsia"/>
                      <w:szCs w:val="21"/>
                    </w:rPr>
                    <w:t>000</w:t>
                  </w:r>
                </w:p>
                <w:p>
                  <w:pPr>
                    <w:jc w:val="center"/>
                    <w:rPr>
                      <w:szCs w:val="21"/>
                    </w:rPr>
                  </w:pPr>
                  <w:r>
                    <w:rPr>
                      <w:rFonts w:hint="eastAsia"/>
                      <w:szCs w:val="21"/>
                    </w:rPr>
                    <w:t>(三台火化炉共同运行时，年排放时间5</w:t>
                  </w:r>
                  <w:r>
                    <w:rPr>
                      <w:szCs w:val="21"/>
                    </w:rPr>
                    <w:t>47.5</w:t>
                  </w:r>
                  <w:r>
                    <w:rPr>
                      <w:rFonts w:hint="eastAsia"/>
                      <w:szCs w:val="21"/>
                    </w:rPr>
                    <w:t>h/a</w:t>
                  </w:r>
                  <w:r>
                    <w:rPr>
                      <w:szCs w:val="21"/>
                    </w:rPr>
                    <w:t>)</w:t>
                  </w:r>
                </w:p>
              </w:tc>
              <w:tc>
                <w:tcPr>
                  <w:tcW w:w="809" w:type="pct"/>
                  <w:vAlign w:val="center"/>
                </w:tcPr>
                <w:p>
                  <w:pPr>
                    <w:pStyle w:val="55"/>
                    <w:spacing w:line="240" w:lineRule="auto"/>
                    <w:rPr>
                      <w:szCs w:val="21"/>
                    </w:rPr>
                  </w:pPr>
                  <w:r>
                    <w:rPr>
                      <w:b w:val="0"/>
                      <w:bCs/>
                      <w:szCs w:val="21"/>
                    </w:rPr>
                    <w:t>烟尘</w:t>
                  </w:r>
                </w:p>
              </w:tc>
              <w:tc>
                <w:tcPr>
                  <w:tcW w:w="808" w:type="pct"/>
                  <w:vAlign w:val="center"/>
                </w:tcPr>
                <w:p>
                  <w:pPr>
                    <w:jc w:val="center"/>
                    <w:rPr>
                      <w:bCs/>
                      <w:szCs w:val="21"/>
                    </w:rPr>
                  </w:pPr>
                  <w:r>
                    <w:rPr>
                      <w:bCs/>
                      <w:szCs w:val="21"/>
                    </w:rPr>
                    <w:t>20</w:t>
                  </w:r>
                </w:p>
              </w:tc>
              <w:tc>
                <w:tcPr>
                  <w:tcW w:w="756" w:type="pct"/>
                  <w:vAlign w:val="center"/>
                </w:tcPr>
                <w:p>
                  <w:pPr>
                    <w:jc w:val="center"/>
                    <w:rPr>
                      <w:bCs/>
                      <w:szCs w:val="21"/>
                    </w:rPr>
                  </w:pPr>
                  <w:r>
                    <w:rPr>
                      <w:rFonts w:hint="eastAsia"/>
                      <w:bCs/>
                      <w:szCs w:val="21"/>
                    </w:rPr>
                    <w:t>3</w:t>
                  </w:r>
                  <w:r>
                    <w:rPr>
                      <w:bCs/>
                      <w:szCs w:val="21"/>
                    </w:rPr>
                    <w:t>0</w:t>
                  </w:r>
                </w:p>
              </w:tc>
              <w:tc>
                <w:tcPr>
                  <w:tcW w:w="756" w:type="pct"/>
                  <w:vAlign w:val="center"/>
                </w:tcPr>
                <w:p>
                  <w:pPr>
                    <w:jc w:val="center"/>
                    <w:rPr>
                      <w:szCs w:val="21"/>
                    </w:rPr>
                  </w:pPr>
                  <w:r>
                    <w:rPr>
                      <w:rFonts w:hint="eastAsia"/>
                      <w:szCs w:val="21"/>
                    </w:rPr>
                    <w:t>0</w:t>
                  </w:r>
                  <w:r>
                    <w:rPr>
                      <w:szCs w:val="21"/>
                    </w:rPr>
                    <w:t>.36</w:t>
                  </w:r>
                </w:p>
              </w:tc>
              <w:tc>
                <w:tcPr>
                  <w:tcW w:w="678" w:type="pct"/>
                  <w:vAlign w:val="center"/>
                </w:tcPr>
                <w:p>
                  <w:pPr>
                    <w:jc w:val="center"/>
                    <w:rPr>
                      <w:szCs w:val="21"/>
                    </w:rPr>
                  </w:pPr>
                  <w:r>
                    <w:rPr>
                      <w:rFonts w:hint="eastAsia"/>
                      <w:szCs w:val="21"/>
                    </w:rPr>
                    <w:t>0</w:t>
                  </w:r>
                  <w:r>
                    <w:rPr>
                      <w:szCs w:val="21"/>
                    </w:rPr>
                    <w:t>.1971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SO</w:t>
                  </w:r>
                  <w:r>
                    <w:rPr>
                      <w:b w:val="0"/>
                      <w:bCs/>
                      <w:szCs w:val="21"/>
                      <w:vertAlign w:val="subscript"/>
                    </w:rPr>
                    <w:t>2</w:t>
                  </w:r>
                </w:p>
              </w:tc>
              <w:tc>
                <w:tcPr>
                  <w:tcW w:w="808" w:type="pct"/>
                  <w:vAlign w:val="center"/>
                </w:tcPr>
                <w:p>
                  <w:pPr>
                    <w:jc w:val="center"/>
                    <w:rPr>
                      <w:bCs/>
                      <w:szCs w:val="21"/>
                    </w:rPr>
                  </w:pPr>
                  <w:r>
                    <w:rPr>
                      <w:bCs/>
                      <w:szCs w:val="21"/>
                    </w:rPr>
                    <w:t>15</w:t>
                  </w:r>
                </w:p>
              </w:tc>
              <w:tc>
                <w:tcPr>
                  <w:tcW w:w="756" w:type="pct"/>
                  <w:vAlign w:val="center"/>
                </w:tcPr>
                <w:p>
                  <w:pPr>
                    <w:jc w:val="center"/>
                    <w:rPr>
                      <w:bCs/>
                      <w:szCs w:val="21"/>
                    </w:rPr>
                  </w:pPr>
                  <w:r>
                    <w:rPr>
                      <w:rFonts w:hint="eastAsia"/>
                      <w:bCs/>
                      <w:szCs w:val="21"/>
                    </w:rPr>
                    <w:t>3</w:t>
                  </w:r>
                  <w:r>
                    <w:rPr>
                      <w:bCs/>
                      <w:szCs w:val="21"/>
                    </w:rPr>
                    <w:t>0</w:t>
                  </w:r>
                </w:p>
              </w:tc>
              <w:tc>
                <w:tcPr>
                  <w:tcW w:w="756" w:type="pct"/>
                  <w:vAlign w:val="center"/>
                </w:tcPr>
                <w:p>
                  <w:pPr>
                    <w:jc w:val="center"/>
                    <w:rPr>
                      <w:szCs w:val="21"/>
                    </w:rPr>
                  </w:pPr>
                  <w:r>
                    <w:rPr>
                      <w:rFonts w:hint="eastAsia"/>
                      <w:szCs w:val="21"/>
                    </w:rPr>
                    <w:t>0</w:t>
                  </w:r>
                  <w:r>
                    <w:rPr>
                      <w:szCs w:val="21"/>
                    </w:rPr>
                    <w:t>.27</w:t>
                  </w:r>
                </w:p>
              </w:tc>
              <w:tc>
                <w:tcPr>
                  <w:tcW w:w="678" w:type="pct"/>
                  <w:vAlign w:val="center"/>
                </w:tcPr>
                <w:p>
                  <w:pPr>
                    <w:jc w:val="center"/>
                    <w:rPr>
                      <w:szCs w:val="21"/>
                    </w:rPr>
                  </w:pPr>
                  <w:r>
                    <w:rPr>
                      <w:rFonts w:hint="eastAsia"/>
                      <w:szCs w:val="21"/>
                    </w:rPr>
                    <w:t>0</w:t>
                  </w:r>
                  <w:r>
                    <w:rPr>
                      <w:szCs w:val="21"/>
                    </w:rPr>
                    <w:t>.1478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NO</w:t>
                  </w:r>
                  <w:r>
                    <w:rPr>
                      <w:b w:val="0"/>
                      <w:bCs/>
                      <w:szCs w:val="21"/>
                      <w:vertAlign w:val="subscript"/>
                    </w:rPr>
                    <w:t>X</w:t>
                  </w:r>
                </w:p>
              </w:tc>
              <w:tc>
                <w:tcPr>
                  <w:tcW w:w="808" w:type="pct"/>
                  <w:vAlign w:val="center"/>
                </w:tcPr>
                <w:p>
                  <w:pPr>
                    <w:jc w:val="center"/>
                    <w:rPr>
                      <w:bCs/>
                      <w:szCs w:val="21"/>
                    </w:rPr>
                  </w:pPr>
                  <w:r>
                    <w:rPr>
                      <w:bCs/>
                      <w:szCs w:val="21"/>
                    </w:rPr>
                    <w:t>150</w:t>
                  </w:r>
                </w:p>
              </w:tc>
              <w:tc>
                <w:tcPr>
                  <w:tcW w:w="756" w:type="pct"/>
                  <w:vAlign w:val="center"/>
                </w:tcPr>
                <w:p>
                  <w:pPr>
                    <w:jc w:val="center"/>
                    <w:rPr>
                      <w:bCs/>
                      <w:szCs w:val="21"/>
                    </w:rPr>
                  </w:pPr>
                  <w:r>
                    <w:rPr>
                      <w:rFonts w:hint="eastAsia"/>
                      <w:bCs/>
                      <w:szCs w:val="21"/>
                    </w:rPr>
                    <w:t>2</w:t>
                  </w:r>
                  <w:r>
                    <w:rPr>
                      <w:bCs/>
                      <w:szCs w:val="21"/>
                    </w:rPr>
                    <w:t>00</w:t>
                  </w:r>
                </w:p>
              </w:tc>
              <w:tc>
                <w:tcPr>
                  <w:tcW w:w="756" w:type="pct"/>
                  <w:vAlign w:val="center"/>
                </w:tcPr>
                <w:p>
                  <w:pPr>
                    <w:jc w:val="center"/>
                    <w:rPr>
                      <w:szCs w:val="21"/>
                    </w:rPr>
                  </w:pPr>
                  <w:r>
                    <w:rPr>
                      <w:rFonts w:hint="eastAsia"/>
                      <w:szCs w:val="21"/>
                    </w:rPr>
                    <w:t>2</w:t>
                  </w:r>
                  <w:r>
                    <w:rPr>
                      <w:szCs w:val="21"/>
                    </w:rPr>
                    <w:t>.7</w:t>
                  </w:r>
                </w:p>
              </w:tc>
              <w:tc>
                <w:tcPr>
                  <w:tcW w:w="678" w:type="pct"/>
                  <w:vAlign w:val="center"/>
                </w:tcPr>
                <w:p>
                  <w:pPr>
                    <w:jc w:val="center"/>
                    <w:rPr>
                      <w:szCs w:val="21"/>
                    </w:rPr>
                  </w:pPr>
                  <w:r>
                    <w:rPr>
                      <w:rFonts w:hint="eastAsia"/>
                      <w:szCs w:val="21"/>
                    </w:rPr>
                    <w:t>1</w:t>
                  </w:r>
                  <w:r>
                    <w:rPr>
                      <w:szCs w:val="21"/>
                    </w:rPr>
                    <w:t>.4782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CO</w:t>
                  </w:r>
                </w:p>
              </w:tc>
              <w:tc>
                <w:tcPr>
                  <w:tcW w:w="808" w:type="pct"/>
                  <w:vAlign w:val="center"/>
                </w:tcPr>
                <w:p>
                  <w:pPr>
                    <w:jc w:val="center"/>
                    <w:rPr>
                      <w:bCs/>
                      <w:szCs w:val="21"/>
                    </w:rPr>
                  </w:pPr>
                  <w:r>
                    <w:rPr>
                      <w:bCs/>
                      <w:szCs w:val="21"/>
                    </w:rPr>
                    <w:t>120</w:t>
                  </w:r>
                </w:p>
              </w:tc>
              <w:tc>
                <w:tcPr>
                  <w:tcW w:w="756" w:type="pct"/>
                  <w:vAlign w:val="center"/>
                </w:tcPr>
                <w:p>
                  <w:pPr>
                    <w:jc w:val="center"/>
                    <w:rPr>
                      <w:bCs/>
                      <w:szCs w:val="21"/>
                    </w:rPr>
                  </w:pPr>
                  <w:r>
                    <w:rPr>
                      <w:rFonts w:hint="eastAsia"/>
                      <w:bCs/>
                      <w:szCs w:val="21"/>
                    </w:rPr>
                    <w:t>1</w:t>
                  </w:r>
                  <w:r>
                    <w:rPr>
                      <w:bCs/>
                      <w:szCs w:val="21"/>
                    </w:rPr>
                    <w:t>50</w:t>
                  </w:r>
                </w:p>
              </w:tc>
              <w:tc>
                <w:tcPr>
                  <w:tcW w:w="756" w:type="pct"/>
                  <w:vAlign w:val="center"/>
                </w:tcPr>
                <w:p>
                  <w:pPr>
                    <w:jc w:val="center"/>
                    <w:rPr>
                      <w:szCs w:val="21"/>
                    </w:rPr>
                  </w:pPr>
                  <w:r>
                    <w:rPr>
                      <w:rFonts w:hint="eastAsia"/>
                      <w:szCs w:val="21"/>
                    </w:rPr>
                    <w:t>2</w:t>
                  </w:r>
                  <w:r>
                    <w:rPr>
                      <w:szCs w:val="21"/>
                    </w:rPr>
                    <w:t>.16</w:t>
                  </w:r>
                </w:p>
              </w:tc>
              <w:tc>
                <w:tcPr>
                  <w:tcW w:w="678" w:type="pct"/>
                  <w:vAlign w:val="center"/>
                </w:tcPr>
                <w:p>
                  <w:pPr>
                    <w:jc w:val="center"/>
                    <w:rPr>
                      <w:szCs w:val="21"/>
                    </w:rPr>
                  </w:pPr>
                  <w:r>
                    <w:rPr>
                      <w:rFonts w:hint="eastAsia"/>
                      <w:szCs w:val="21"/>
                    </w:rPr>
                    <w:t>1</w:t>
                  </w:r>
                  <w:r>
                    <w:rPr>
                      <w:szCs w:val="21"/>
                    </w:rPr>
                    <w:t>.1826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H</w:t>
                  </w:r>
                  <w:r>
                    <w:rPr>
                      <w:rFonts w:hint="eastAsia"/>
                      <w:b w:val="0"/>
                      <w:bCs/>
                      <w:szCs w:val="21"/>
                    </w:rPr>
                    <w:t>Cl</w:t>
                  </w:r>
                </w:p>
              </w:tc>
              <w:tc>
                <w:tcPr>
                  <w:tcW w:w="808" w:type="pct"/>
                  <w:vAlign w:val="center"/>
                </w:tcPr>
                <w:p>
                  <w:pPr>
                    <w:jc w:val="center"/>
                    <w:rPr>
                      <w:bCs/>
                      <w:szCs w:val="21"/>
                    </w:rPr>
                  </w:pPr>
                  <w:r>
                    <w:rPr>
                      <w:bCs/>
                      <w:szCs w:val="21"/>
                    </w:rPr>
                    <w:t>10</w:t>
                  </w:r>
                </w:p>
              </w:tc>
              <w:tc>
                <w:tcPr>
                  <w:tcW w:w="756" w:type="pct"/>
                  <w:vAlign w:val="center"/>
                </w:tcPr>
                <w:p>
                  <w:pPr>
                    <w:jc w:val="center"/>
                    <w:rPr>
                      <w:bCs/>
                      <w:szCs w:val="21"/>
                    </w:rPr>
                  </w:pPr>
                  <w:r>
                    <w:rPr>
                      <w:rFonts w:hint="eastAsia"/>
                      <w:bCs/>
                      <w:szCs w:val="21"/>
                    </w:rPr>
                    <w:t>3</w:t>
                  </w:r>
                  <w:r>
                    <w:rPr>
                      <w:bCs/>
                      <w:szCs w:val="21"/>
                    </w:rPr>
                    <w:t>0</w:t>
                  </w:r>
                </w:p>
              </w:tc>
              <w:tc>
                <w:tcPr>
                  <w:tcW w:w="756" w:type="pct"/>
                  <w:vAlign w:val="center"/>
                </w:tcPr>
                <w:p>
                  <w:pPr>
                    <w:jc w:val="center"/>
                    <w:rPr>
                      <w:szCs w:val="21"/>
                    </w:rPr>
                  </w:pPr>
                  <w:r>
                    <w:rPr>
                      <w:rFonts w:hint="eastAsia"/>
                      <w:szCs w:val="21"/>
                    </w:rPr>
                    <w:t>0</w:t>
                  </w:r>
                  <w:r>
                    <w:rPr>
                      <w:szCs w:val="21"/>
                    </w:rPr>
                    <w:t>.18</w:t>
                  </w:r>
                </w:p>
              </w:tc>
              <w:tc>
                <w:tcPr>
                  <w:tcW w:w="678" w:type="pct"/>
                  <w:vAlign w:val="center"/>
                </w:tcPr>
                <w:p>
                  <w:pPr>
                    <w:jc w:val="center"/>
                    <w:rPr>
                      <w:szCs w:val="21"/>
                    </w:rPr>
                  </w:pPr>
                  <w:r>
                    <w:rPr>
                      <w:rFonts w:hint="eastAsia"/>
                      <w:szCs w:val="21"/>
                    </w:rPr>
                    <w:t>0</w:t>
                  </w:r>
                  <w:r>
                    <w:rPr>
                      <w:szCs w:val="21"/>
                    </w:rPr>
                    <w:t>.0986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汞</w:t>
                  </w:r>
                </w:p>
              </w:tc>
              <w:tc>
                <w:tcPr>
                  <w:tcW w:w="808" w:type="pct"/>
                  <w:vAlign w:val="center"/>
                </w:tcPr>
                <w:p>
                  <w:pPr>
                    <w:jc w:val="center"/>
                    <w:rPr>
                      <w:bCs/>
                      <w:szCs w:val="21"/>
                    </w:rPr>
                  </w:pPr>
                  <w:r>
                    <w:rPr>
                      <w:bCs/>
                      <w:szCs w:val="21"/>
                    </w:rPr>
                    <w:t>0.08</w:t>
                  </w:r>
                </w:p>
              </w:tc>
              <w:tc>
                <w:tcPr>
                  <w:tcW w:w="756" w:type="pct"/>
                  <w:vAlign w:val="center"/>
                </w:tcPr>
                <w:p>
                  <w:pPr>
                    <w:jc w:val="center"/>
                    <w:rPr>
                      <w:bCs/>
                      <w:szCs w:val="21"/>
                    </w:rPr>
                  </w:pPr>
                  <w:r>
                    <w:rPr>
                      <w:rFonts w:hint="eastAsia"/>
                      <w:bCs/>
                      <w:szCs w:val="21"/>
                    </w:rPr>
                    <w:t>0</w:t>
                  </w:r>
                  <w:r>
                    <w:rPr>
                      <w:bCs/>
                      <w:szCs w:val="21"/>
                    </w:rPr>
                    <w:t>.1</w:t>
                  </w:r>
                </w:p>
              </w:tc>
              <w:tc>
                <w:tcPr>
                  <w:tcW w:w="756" w:type="pct"/>
                  <w:vAlign w:val="center"/>
                </w:tcPr>
                <w:p>
                  <w:pPr>
                    <w:jc w:val="center"/>
                    <w:rPr>
                      <w:szCs w:val="21"/>
                    </w:rPr>
                  </w:pPr>
                  <w:r>
                    <w:rPr>
                      <w:rFonts w:hint="eastAsia"/>
                      <w:szCs w:val="21"/>
                    </w:rPr>
                    <w:t>0</w:t>
                  </w:r>
                  <w:r>
                    <w:rPr>
                      <w:szCs w:val="21"/>
                    </w:rPr>
                    <w:t>.00144</w:t>
                  </w:r>
                </w:p>
              </w:tc>
              <w:tc>
                <w:tcPr>
                  <w:tcW w:w="678" w:type="pct"/>
                  <w:vAlign w:val="center"/>
                </w:tcPr>
                <w:p>
                  <w:pPr>
                    <w:jc w:val="center"/>
                    <w:rPr>
                      <w:szCs w:val="21"/>
                    </w:rPr>
                  </w:pPr>
                  <w:r>
                    <w:rPr>
                      <w:rFonts w:hint="eastAsia"/>
                      <w:szCs w:val="21"/>
                    </w:rPr>
                    <w:t>0</w:t>
                  </w:r>
                  <w:r>
                    <w:rPr>
                      <w:szCs w:val="21"/>
                    </w:rPr>
                    <w:t>.000788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二噁英类</w:t>
                  </w:r>
                </w:p>
              </w:tc>
              <w:tc>
                <w:tcPr>
                  <w:tcW w:w="808" w:type="pct"/>
                  <w:vAlign w:val="center"/>
                </w:tcPr>
                <w:p>
                  <w:pPr>
                    <w:jc w:val="center"/>
                    <w:rPr>
                      <w:szCs w:val="21"/>
                    </w:rPr>
                  </w:pPr>
                  <w:r>
                    <w:rPr>
                      <w:rFonts w:hint="eastAsia"/>
                      <w:szCs w:val="21"/>
                    </w:rPr>
                    <w:t>0.</w:t>
                  </w:r>
                  <w:r>
                    <w:rPr>
                      <w:szCs w:val="21"/>
                    </w:rPr>
                    <w:t>41</w:t>
                  </w:r>
                </w:p>
                <w:p>
                  <w:pPr>
                    <w:jc w:val="center"/>
                    <w:rPr>
                      <w:szCs w:val="21"/>
                    </w:rPr>
                  </w:pPr>
                  <w:r>
                    <w:rPr>
                      <w:rFonts w:hint="eastAsia"/>
                      <w:bCs/>
                      <w:szCs w:val="21"/>
                    </w:rPr>
                    <w:t>ng TEQ/m</w:t>
                  </w:r>
                  <w:r>
                    <w:rPr>
                      <w:rFonts w:hint="eastAsia"/>
                      <w:bCs/>
                      <w:szCs w:val="21"/>
                      <w:vertAlign w:val="superscript"/>
                    </w:rPr>
                    <w:t>3</w:t>
                  </w:r>
                </w:p>
              </w:tc>
              <w:tc>
                <w:tcPr>
                  <w:tcW w:w="756" w:type="pct"/>
                  <w:vAlign w:val="center"/>
                </w:tcPr>
                <w:p>
                  <w:pPr>
                    <w:jc w:val="center"/>
                    <w:rPr>
                      <w:bCs/>
                      <w:szCs w:val="21"/>
                    </w:rPr>
                  </w:pPr>
                  <w:r>
                    <w:rPr>
                      <w:rFonts w:hint="eastAsia"/>
                      <w:szCs w:val="21"/>
                    </w:rPr>
                    <w:t>0</w:t>
                  </w:r>
                  <w:r>
                    <w:rPr>
                      <w:szCs w:val="21"/>
                    </w:rPr>
                    <w:t>.5</w:t>
                  </w:r>
                  <w:r>
                    <w:rPr>
                      <w:rFonts w:hint="eastAsia"/>
                      <w:bCs/>
                      <w:szCs w:val="21"/>
                    </w:rPr>
                    <w:t xml:space="preserve"> ng</w:t>
                  </w:r>
                </w:p>
                <w:p>
                  <w:pPr>
                    <w:jc w:val="center"/>
                    <w:rPr>
                      <w:szCs w:val="21"/>
                    </w:rPr>
                  </w:pPr>
                  <w:r>
                    <w:rPr>
                      <w:rFonts w:hint="eastAsia"/>
                      <w:bCs/>
                      <w:szCs w:val="21"/>
                    </w:rPr>
                    <w:t>TEQ/m</w:t>
                  </w:r>
                  <w:r>
                    <w:rPr>
                      <w:rFonts w:hint="eastAsia"/>
                      <w:bCs/>
                      <w:szCs w:val="21"/>
                      <w:vertAlign w:val="superscript"/>
                    </w:rPr>
                    <w:t>3</w:t>
                  </w:r>
                </w:p>
              </w:tc>
              <w:tc>
                <w:tcPr>
                  <w:tcW w:w="756" w:type="pct"/>
                  <w:vAlign w:val="center"/>
                </w:tcPr>
                <w:p>
                  <w:pPr>
                    <w:jc w:val="center"/>
                    <w:rPr>
                      <w:szCs w:val="21"/>
                    </w:rPr>
                  </w:pPr>
                  <w:r>
                    <w:rPr>
                      <w:szCs w:val="21"/>
                    </w:rPr>
                    <w:t>7380 ng</w:t>
                  </w:r>
                </w:p>
                <w:p>
                  <w:pPr>
                    <w:jc w:val="center"/>
                    <w:rPr>
                      <w:szCs w:val="21"/>
                    </w:rPr>
                  </w:pPr>
                  <w:r>
                    <w:rPr>
                      <w:szCs w:val="21"/>
                    </w:rPr>
                    <w:t>TEQ/h</w:t>
                  </w:r>
                </w:p>
              </w:tc>
              <w:tc>
                <w:tcPr>
                  <w:tcW w:w="678" w:type="pct"/>
                  <w:vAlign w:val="center"/>
                </w:tcPr>
                <w:p>
                  <w:pPr>
                    <w:jc w:val="center"/>
                    <w:rPr>
                      <w:szCs w:val="21"/>
                    </w:rPr>
                  </w:pPr>
                  <w:r>
                    <w:rPr>
                      <w:szCs w:val="21"/>
                    </w:rPr>
                    <w:t>4.04</w:t>
                  </w:r>
                </w:p>
                <w:p>
                  <w:pPr>
                    <w:jc w:val="center"/>
                    <w:rPr>
                      <w:szCs w:val="21"/>
                    </w:rPr>
                  </w:pPr>
                  <w:r>
                    <w:rPr>
                      <w:kern w:val="0"/>
                      <w:szCs w:val="21"/>
                      <w:lang w:bidi="ar"/>
                    </w:rPr>
                    <w:t>mg</w:t>
                  </w:r>
                  <w:r>
                    <w:rPr>
                      <w:bCs/>
                      <w:szCs w:val="21"/>
                    </w:rPr>
                    <w:t>TEQ</w:t>
                  </w:r>
                  <w:r>
                    <w:rPr>
                      <w:rFonts w:hint="eastAsia"/>
                      <w:bCs/>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pPr>
                    <w:rPr>
                      <w:szCs w:val="21"/>
                    </w:rPr>
                  </w:pPr>
                  <w:r>
                    <w:rPr>
                      <w:rFonts w:hint="eastAsia"/>
                      <w:szCs w:val="21"/>
                    </w:rPr>
                    <w:t>注：本项目3台节能环保火化机配套3根1</w:t>
                  </w:r>
                  <w:r>
                    <w:rPr>
                      <w:szCs w:val="21"/>
                    </w:rPr>
                    <w:t>5</w:t>
                  </w:r>
                  <w:r>
                    <w:rPr>
                      <w:rFonts w:hint="eastAsia"/>
                      <w:szCs w:val="21"/>
                    </w:rPr>
                    <w:t>m高排气筒，排放污染物相同，距离分别小于两根排气筒高度之和，可等效为1根排气筒，等效排气筒高度为1</w:t>
                  </w:r>
                  <w:r>
                    <w:rPr>
                      <w:szCs w:val="21"/>
                    </w:rPr>
                    <w:t>2</w:t>
                  </w:r>
                  <w:r>
                    <w:rPr>
                      <w:rFonts w:hint="eastAsia"/>
                      <w:szCs w:val="21"/>
                    </w:rPr>
                    <w:t>m。</w:t>
                  </w:r>
                </w:p>
              </w:tc>
            </w:tr>
          </w:tbl>
          <w:p>
            <w:pPr>
              <w:adjustRightInd w:val="0"/>
              <w:snapToGrid w:val="0"/>
              <w:spacing w:line="480" w:lineRule="exact"/>
              <w:ind w:firstLine="480" w:firstLineChars="200"/>
              <w:rPr>
                <w:bCs/>
                <w:sz w:val="24"/>
              </w:rPr>
            </w:pPr>
            <w:r>
              <w:rPr>
                <w:rFonts w:hint="eastAsia"/>
                <w:bCs/>
                <w:sz w:val="24"/>
              </w:rPr>
              <w:t>综上所述，本项目火化间共配备</w:t>
            </w:r>
            <w:r>
              <w:rPr>
                <w:bCs/>
                <w:sz w:val="24"/>
              </w:rPr>
              <w:t>3</w:t>
            </w:r>
            <w:r>
              <w:rPr>
                <w:rFonts w:hint="eastAsia"/>
                <w:bCs/>
                <w:sz w:val="24"/>
              </w:rPr>
              <w:t>台节能环保燃油火化机，燃料采用0#</w:t>
            </w:r>
            <w:r>
              <w:rPr>
                <w:bCs/>
                <w:sz w:val="24"/>
              </w:rPr>
              <w:t>-30</w:t>
            </w:r>
            <w:r>
              <w:rPr>
                <w:rFonts w:hint="eastAsia"/>
                <w:bCs/>
                <w:sz w:val="24"/>
              </w:rPr>
              <w:t>#轻质柴油，年最大服务能力为火化</w:t>
            </w:r>
            <w:r>
              <w:rPr>
                <w:bCs/>
                <w:sz w:val="24"/>
              </w:rPr>
              <w:t>2190</w:t>
            </w:r>
            <w:r>
              <w:rPr>
                <w:rFonts w:hint="eastAsia"/>
                <w:bCs/>
                <w:sz w:val="24"/>
              </w:rPr>
              <w:t>具遗体；3台节能环保火化机分别单独配置一套废气处理设施+1根1</w:t>
            </w:r>
            <w:r>
              <w:rPr>
                <w:bCs/>
                <w:sz w:val="24"/>
              </w:rPr>
              <w:t>2m</w:t>
            </w:r>
            <w:r>
              <w:rPr>
                <w:rFonts w:hint="eastAsia"/>
                <w:bCs/>
                <w:sz w:val="24"/>
              </w:rPr>
              <w:t>高排气筒；共3套废气处理设施，3根1</w:t>
            </w:r>
            <w:r>
              <w:rPr>
                <w:bCs/>
                <w:sz w:val="24"/>
              </w:rPr>
              <w:t>2</w:t>
            </w:r>
            <w:r>
              <w:rPr>
                <w:rFonts w:hint="eastAsia"/>
                <w:bCs/>
                <w:sz w:val="24"/>
              </w:rPr>
              <w:t>m高排气筒。尾气处理设施采取</w:t>
            </w:r>
            <w:r>
              <w:rPr>
                <w:bCs/>
                <w:sz w:val="24"/>
              </w:rPr>
              <w:t>急冷装置+</w:t>
            </w:r>
            <w:r>
              <w:rPr>
                <w:rFonts w:hint="eastAsia"/>
                <w:bCs/>
                <w:sz w:val="24"/>
              </w:rPr>
              <w:t>半干法脱硫</w:t>
            </w:r>
            <w:r>
              <w:rPr>
                <w:bCs/>
                <w:sz w:val="24"/>
              </w:rPr>
              <w:t>+旋风离心器+活性炭喷射+布袋除尘器</w:t>
            </w:r>
            <w:r>
              <w:rPr>
                <w:rFonts w:hint="eastAsia"/>
                <w:bCs/>
                <w:sz w:val="24"/>
              </w:rPr>
              <w:t>组合方案，遗体火化烟气经尾气处理设施净化后由1</w:t>
            </w:r>
            <w:r>
              <w:rPr>
                <w:bCs/>
                <w:sz w:val="24"/>
              </w:rPr>
              <w:t>2</w:t>
            </w:r>
            <w:r>
              <w:rPr>
                <w:rFonts w:hint="eastAsia"/>
                <w:bCs/>
                <w:sz w:val="24"/>
              </w:rPr>
              <w:t>m高排气筒（D</w:t>
            </w:r>
            <w:r>
              <w:rPr>
                <w:bCs/>
                <w:sz w:val="24"/>
              </w:rPr>
              <w:t>A001</w:t>
            </w:r>
            <w:r>
              <w:rPr>
                <w:rFonts w:hint="eastAsia"/>
                <w:bCs/>
                <w:sz w:val="24"/>
              </w:rPr>
              <w:t>~</w:t>
            </w:r>
            <w:r>
              <w:rPr>
                <w:bCs/>
                <w:sz w:val="24"/>
              </w:rPr>
              <w:t>003</w:t>
            </w:r>
            <w:r>
              <w:rPr>
                <w:rFonts w:hint="eastAsia"/>
                <w:bCs/>
                <w:sz w:val="24"/>
              </w:rPr>
              <w:t>）外排；烟气中烟尘、S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l、汞、二噁英类的排放浓度可满足《火葬场大气污染物排放标准》（GB13801-2015）中表2新建单位遗体火化大气污染物排放限值要求；其中烟尘排放量为0</w:t>
            </w:r>
            <w:r>
              <w:rPr>
                <w:bCs/>
                <w:sz w:val="24"/>
              </w:rPr>
              <w:t>.1971</w:t>
            </w:r>
            <w:r>
              <w:rPr>
                <w:rFonts w:hint="eastAsia"/>
                <w:bCs/>
                <w:sz w:val="24"/>
              </w:rPr>
              <w:t>t/a，S</w:t>
            </w:r>
            <w:r>
              <w:rPr>
                <w:bCs/>
                <w:sz w:val="24"/>
              </w:rPr>
              <w:t>O</w:t>
            </w:r>
            <w:r>
              <w:rPr>
                <w:bCs/>
                <w:sz w:val="24"/>
                <w:vertAlign w:val="subscript"/>
              </w:rPr>
              <w:t>2</w:t>
            </w:r>
            <w:r>
              <w:rPr>
                <w:rFonts w:hint="eastAsia"/>
                <w:bCs/>
                <w:sz w:val="24"/>
              </w:rPr>
              <w:t>排放量为0</w:t>
            </w:r>
            <w:r>
              <w:rPr>
                <w:bCs/>
                <w:sz w:val="24"/>
              </w:rPr>
              <w:t>.1478</w:t>
            </w:r>
            <w:r>
              <w:rPr>
                <w:rFonts w:hint="eastAsia"/>
                <w:bCs/>
                <w:sz w:val="24"/>
              </w:rPr>
              <w:t>t/a，N</w:t>
            </w:r>
            <w:r>
              <w:rPr>
                <w:bCs/>
                <w:sz w:val="24"/>
              </w:rPr>
              <w:t>O</w:t>
            </w:r>
            <w:r>
              <w:rPr>
                <w:bCs/>
                <w:sz w:val="24"/>
                <w:vertAlign w:val="subscript"/>
              </w:rPr>
              <w:t>x</w:t>
            </w:r>
            <w:r>
              <w:rPr>
                <w:rFonts w:hint="eastAsia"/>
                <w:bCs/>
                <w:sz w:val="24"/>
              </w:rPr>
              <w:t>排放量为1</w:t>
            </w:r>
            <w:r>
              <w:rPr>
                <w:bCs/>
                <w:sz w:val="24"/>
              </w:rPr>
              <w:t>.4782</w:t>
            </w:r>
            <w:r>
              <w:rPr>
                <w:rFonts w:hint="eastAsia"/>
                <w:bCs/>
                <w:sz w:val="24"/>
              </w:rPr>
              <w:t xml:space="preserve"> t/a，C</w:t>
            </w:r>
            <w:r>
              <w:rPr>
                <w:bCs/>
                <w:sz w:val="24"/>
              </w:rPr>
              <w:t>O</w:t>
            </w:r>
            <w:r>
              <w:rPr>
                <w:rFonts w:hint="eastAsia"/>
                <w:bCs/>
                <w:sz w:val="24"/>
              </w:rPr>
              <w:t>排放量为</w:t>
            </w:r>
            <w:r>
              <w:rPr>
                <w:bCs/>
                <w:sz w:val="24"/>
              </w:rPr>
              <w:t>1.1826</w:t>
            </w:r>
            <w:r>
              <w:rPr>
                <w:rFonts w:hint="eastAsia"/>
                <w:bCs/>
                <w:sz w:val="24"/>
              </w:rPr>
              <w:t>t/a，H</w:t>
            </w:r>
            <w:r>
              <w:rPr>
                <w:bCs/>
                <w:sz w:val="24"/>
              </w:rPr>
              <w:t>Cl</w:t>
            </w:r>
            <w:r>
              <w:rPr>
                <w:rFonts w:hint="eastAsia"/>
                <w:bCs/>
                <w:sz w:val="24"/>
              </w:rPr>
              <w:t>排放量为0</w:t>
            </w:r>
            <w:r>
              <w:rPr>
                <w:bCs/>
                <w:sz w:val="24"/>
              </w:rPr>
              <w:t>.0986</w:t>
            </w:r>
            <w:r>
              <w:rPr>
                <w:rFonts w:hint="eastAsia"/>
                <w:bCs/>
                <w:sz w:val="24"/>
              </w:rPr>
              <w:t>t/a，汞排放量为0</w:t>
            </w:r>
            <w:r>
              <w:rPr>
                <w:bCs/>
                <w:sz w:val="24"/>
              </w:rPr>
              <w:t>.000788</w:t>
            </w:r>
            <w:r>
              <w:rPr>
                <w:rFonts w:hint="eastAsia"/>
                <w:bCs/>
                <w:sz w:val="24"/>
              </w:rPr>
              <w:t>t/a，二噁英类排放量为</w:t>
            </w:r>
            <w:r>
              <w:rPr>
                <w:bCs/>
                <w:sz w:val="24"/>
              </w:rPr>
              <w:t>4.04</w:t>
            </w:r>
            <w:r>
              <w:rPr>
                <w:kern w:val="0"/>
                <w:szCs w:val="21"/>
                <w:lang w:bidi="ar"/>
              </w:rPr>
              <w:t xml:space="preserve"> </w:t>
            </w:r>
            <w:r>
              <w:rPr>
                <w:bCs/>
                <w:sz w:val="24"/>
              </w:rPr>
              <w:t>mgTEQ</w:t>
            </w:r>
            <w:r>
              <w:rPr>
                <w:rFonts w:hint="eastAsia"/>
                <w:bCs/>
                <w:sz w:val="24"/>
              </w:rPr>
              <w:t>/a。</w:t>
            </w:r>
          </w:p>
          <w:p>
            <w:pPr>
              <w:adjustRightInd w:val="0"/>
              <w:snapToGrid w:val="0"/>
              <w:spacing w:line="480" w:lineRule="exact"/>
              <w:ind w:firstLine="482" w:firstLineChars="200"/>
              <w:rPr>
                <w:b/>
                <w:bCs/>
                <w:sz w:val="24"/>
              </w:rPr>
            </w:pPr>
            <w:r>
              <w:rPr>
                <w:b/>
                <w:bCs/>
                <w:sz w:val="24"/>
              </w:rPr>
              <w:t>G</w:t>
            </w:r>
            <w:r>
              <w:rPr>
                <w:b/>
                <w:bCs/>
                <w:sz w:val="24"/>
                <w:vertAlign w:val="subscript"/>
              </w:rPr>
              <w:t>2</w:t>
            </w:r>
            <w:r>
              <w:rPr>
                <w:b/>
                <w:bCs/>
                <w:sz w:val="24"/>
              </w:rPr>
              <w:t>：</w:t>
            </w:r>
            <w:r>
              <w:rPr>
                <w:rFonts w:hint="eastAsia"/>
                <w:b/>
                <w:bCs/>
                <w:sz w:val="24"/>
              </w:rPr>
              <w:t>遗物祭品焚烧废气</w:t>
            </w:r>
          </w:p>
          <w:p>
            <w:pPr>
              <w:adjustRightInd w:val="0"/>
              <w:snapToGrid w:val="0"/>
              <w:spacing w:line="480" w:lineRule="exact"/>
              <w:ind w:firstLine="480" w:firstLineChars="200"/>
              <w:rPr>
                <w:bCs/>
                <w:sz w:val="24"/>
              </w:rPr>
            </w:pPr>
            <w:r>
              <w:rPr>
                <w:rFonts w:hint="eastAsia"/>
                <w:bCs/>
                <w:sz w:val="24"/>
              </w:rPr>
              <w:t>本项目在火化间东侧设一台专用遗物祭品焚烧炉，用于逝者遗物、祭品焚烧，遗物祭品焚烧炉日运行</w:t>
            </w:r>
            <w:r>
              <w:rPr>
                <w:bCs/>
                <w:sz w:val="24"/>
              </w:rPr>
              <w:t>4h</w:t>
            </w:r>
            <w:r>
              <w:rPr>
                <w:rFonts w:hint="eastAsia"/>
                <w:bCs/>
                <w:sz w:val="24"/>
              </w:rPr>
              <w:t>，年运行</w:t>
            </w:r>
            <w:r>
              <w:rPr>
                <w:bCs/>
                <w:sz w:val="24"/>
              </w:rPr>
              <w:t>365</w:t>
            </w:r>
            <w:r>
              <w:rPr>
                <w:rFonts w:hint="eastAsia"/>
                <w:bCs/>
                <w:sz w:val="24"/>
              </w:rPr>
              <w:t>天。</w:t>
            </w:r>
          </w:p>
          <w:p>
            <w:pPr>
              <w:adjustRightInd w:val="0"/>
              <w:snapToGrid w:val="0"/>
              <w:spacing w:line="480" w:lineRule="exact"/>
              <w:ind w:firstLine="480" w:firstLineChars="200"/>
              <w:rPr>
                <w:bCs/>
                <w:sz w:val="24"/>
              </w:rPr>
            </w:pPr>
            <w:r>
              <w:rPr>
                <w:rFonts w:hint="eastAsia"/>
                <w:bCs/>
                <w:sz w:val="24"/>
              </w:rPr>
              <w:t>遗物祭品焚烧炉运行过程中产生的废气污染物主要为烟尘、SO</w:t>
            </w:r>
            <w:r>
              <w:rPr>
                <w:rFonts w:hint="eastAsia"/>
                <w:bCs/>
                <w:sz w:val="24"/>
                <w:vertAlign w:val="subscript"/>
              </w:rPr>
              <w:t>2</w:t>
            </w:r>
            <w:r>
              <w:rPr>
                <w:rFonts w:hint="eastAsia"/>
                <w:bCs/>
                <w:sz w:val="24"/>
              </w:rPr>
              <w:t>、NO</w:t>
            </w:r>
            <w:r>
              <w:rPr>
                <w:bCs/>
                <w:sz w:val="24"/>
                <w:vertAlign w:val="subscript"/>
              </w:rPr>
              <w:t>x</w:t>
            </w:r>
            <w:r>
              <w:rPr>
                <w:rFonts w:hint="eastAsia"/>
                <w:bCs/>
                <w:sz w:val="24"/>
              </w:rPr>
              <w:t>、CO、HCl、二噁英类等。</w:t>
            </w:r>
          </w:p>
          <w:p>
            <w:pPr>
              <w:adjustRightInd w:val="0"/>
              <w:snapToGrid w:val="0"/>
              <w:spacing w:line="480" w:lineRule="exact"/>
              <w:ind w:firstLine="480" w:firstLineChars="200"/>
              <w:rPr>
                <w:bCs/>
                <w:sz w:val="24"/>
              </w:rPr>
            </w:pPr>
            <w:r>
              <w:rPr>
                <w:bCs/>
                <w:sz w:val="24"/>
              </w:rPr>
              <w:t>本次评价收集了《昆明市殡仪馆改扩建建设项目竣工环境保护验收监测报告表》（2020.7）中遗物祭品焚烧炉的监测数据；</w:t>
            </w:r>
            <w:r>
              <w:rPr>
                <w:kern w:val="0"/>
                <w:sz w:val="24"/>
              </w:rPr>
              <w:t>昆明市殡仪馆建有14台火化炉、4台</w:t>
            </w:r>
            <w:r>
              <w:rPr>
                <w:rFonts w:hint="eastAsia"/>
                <w:kern w:val="0"/>
                <w:sz w:val="24"/>
              </w:rPr>
              <w:t>焚烧炉，其中焚烧炉废气采用布袋除尘器处理后外排；具体监测结果见下表。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-6  昆明市殡仪馆</w:t>
            </w:r>
            <w:r>
              <w:rPr>
                <w:rFonts w:hint="eastAsia" w:ascii="黑体" w:hAnsi="黑体" w:eastAsia="黑体"/>
                <w:bCs/>
                <w:sz w:val="24"/>
              </w:rPr>
              <w:t>焚烧炉烟气监测结果统计表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007"/>
              <w:gridCol w:w="938"/>
              <w:gridCol w:w="938"/>
              <w:gridCol w:w="938"/>
              <w:gridCol w:w="938"/>
              <w:gridCol w:w="938"/>
              <w:gridCol w:w="1156"/>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Align w:val="center"/>
                </w:tcPr>
                <w:p>
                  <w:pPr>
                    <w:jc w:val="center"/>
                    <w:rPr>
                      <w:bCs/>
                      <w:szCs w:val="21"/>
                    </w:rPr>
                  </w:pPr>
                  <w:r>
                    <w:rPr>
                      <w:bCs/>
                      <w:szCs w:val="21"/>
                    </w:rPr>
                    <w:t>监测点位</w:t>
                  </w:r>
                </w:p>
              </w:tc>
              <w:tc>
                <w:tcPr>
                  <w:tcW w:w="585" w:type="pct"/>
                  <w:vAlign w:val="center"/>
                </w:tcPr>
                <w:p>
                  <w:pPr>
                    <w:jc w:val="center"/>
                    <w:rPr>
                      <w:bCs/>
                      <w:szCs w:val="21"/>
                    </w:rPr>
                  </w:pPr>
                  <w:r>
                    <w:rPr>
                      <w:bCs/>
                      <w:szCs w:val="21"/>
                    </w:rPr>
                    <w:t>监测时间</w:t>
                  </w:r>
                </w:p>
              </w:tc>
              <w:tc>
                <w:tcPr>
                  <w:tcW w:w="544" w:type="pct"/>
                  <w:vAlign w:val="center"/>
                </w:tcPr>
                <w:p>
                  <w:pPr>
                    <w:jc w:val="center"/>
                    <w:rPr>
                      <w:bCs/>
                      <w:szCs w:val="21"/>
                    </w:rPr>
                  </w:pPr>
                  <w:r>
                    <w:rPr>
                      <w:bCs/>
                      <w:szCs w:val="21"/>
                    </w:rPr>
                    <w:t>颗粒物</w:t>
                  </w:r>
                </w:p>
                <w:p>
                  <w:pPr>
                    <w:jc w:val="center"/>
                    <w:rPr>
                      <w:bCs/>
                      <w:szCs w:val="21"/>
                      <w:vertAlign w:val="superscript"/>
                    </w:rPr>
                  </w:pPr>
                  <w:r>
                    <w:rPr>
                      <w:bCs/>
                      <w:szCs w:val="21"/>
                    </w:rPr>
                    <w:t>mg/m</w:t>
                  </w:r>
                  <w:r>
                    <w:rPr>
                      <w:bCs/>
                      <w:szCs w:val="21"/>
                      <w:vertAlign w:val="superscript"/>
                    </w:rPr>
                    <w:t>3</w:t>
                  </w:r>
                </w:p>
              </w:tc>
              <w:tc>
                <w:tcPr>
                  <w:tcW w:w="544" w:type="pct"/>
                  <w:vAlign w:val="center"/>
                </w:tcPr>
                <w:p>
                  <w:pPr>
                    <w:jc w:val="center"/>
                    <w:rPr>
                      <w:bCs/>
                      <w:szCs w:val="21"/>
                    </w:rPr>
                  </w:pPr>
                  <w:r>
                    <w:rPr>
                      <w:bCs/>
                      <w:szCs w:val="21"/>
                    </w:rPr>
                    <w:t>氯化氢</w:t>
                  </w:r>
                </w:p>
                <w:p>
                  <w:pPr>
                    <w:jc w:val="center"/>
                    <w:rPr>
                      <w:bCs/>
                      <w:szCs w:val="21"/>
                    </w:rPr>
                  </w:pPr>
                  <w:r>
                    <w:rPr>
                      <w:bCs/>
                      <w:szCs w:val="21"/>
                    </w:rPr>
                    <w:t>mg/m</w:t>
                  </w:r>
                  <w:r>
                    <w:rPr>
                      <w:bCs/>
                      <w:szCs w:val="21"/>
                      <w:vertAlign w:val="superscript"/>
                    </w:rPr>
                    <w:t>3</w:t>
                  </w:r>
                </w:p>
              </w:tc>
              <w:tc>
                <w:tcPr>
                  <w:tcW w:w="544" w:type="pct"/>
                  <w:vAlign w:val="center"/>
                </w:tcPr>
                <w:p>
                  <w:pPr>
                    <w:jc w:val="center"/>
                    <w:rPr>
                      <w:bCs/>
                      <w:szCs w:val="21"/>
                    </w:rPr>
                  </w:pPr>
                  <w:r>
                    <w:rPr>
                      <w:bCs/>
                      <w:szCs w:val="21"/>
                    </w:rPr>
                    <w:t>二氧</w:t>
                  </w:r>
                </w:p>
                <w:p>
                  <w:pPr>
                    <w:jc w:val="center"/>
                    <w:rPr>
                      <w:bCs/>
                      <w:szCs w:val="21"/>
                    </w:rPr>
                  </w:pPr>
                  <w:r>
                    <w:rPr>
                      <w:bCs/>
                      <w:szCs w:val="21"/>
                    </w:rPr>
                    <w:t>化硫</w:t>
                  </w:r>
                </w:p>
                <w:p>
                  <w:pPr>
                    <w:jc w:val="center"/>
                    <w:rPr>
                      <w:bCs/>
                      <w:szCs w:val="21"/>
                    </w:rPr>
                  </w:pPr>
                  <w:r>
                    <w:rPr>
                      <w:bCs/>
                      <w:szCs w:val="21"/>
                    </w:rPr>
                    <w:t>mg/m</w:t>
                  </w:r>
                  <w:r>
                    <w:rPr>
                      <w:bCs/>
                      <w:szCs w:val="21"/>
                      <w:vertAlign w:val="superscript"/>
                    </w:rPr>
                    <w:t>3</w:t>
                  </w:r>
                </w:p>
              </w:tc>
              <w:tc>
                <w:tcPr>
                  <w:tcW w:w="544" w:type="pct"/>
                  <w:vAlign w:val="center"/>
                </w:tcPr>
                <w:p>
                  <w:pPr>
                    <w:jc w:val="center"/>
                    <w:rPr>
                      <w:bCs/>
                      <w:szCs w:val="21"/>
                    </w:rPr>
                  </w:pPr>
                  <w:r>
                    <w:rPr>
                      <w:bCs/>
                      <w:szCs w:val="21"/>
                    </w:rPr>
                    <w:t>氮氧</w:t>
                  </w:r>
                </w:p>
                <w:p>
                  <w:pPr>
                    <w:jc w:val="center"/>
                    <w:rPr>
                      <w:bCs/>
                      <w:szCs w:val="21"/>
                    </w:rPr>
                  </w:pPr>
                  <w:r>
                    <w:rPr>
                      <w:bCs/>
                      <w:szCs w:val="21"/>
                    </w:rPr>
                    <w:t>化物</w:t>
                  </w:r>
                </w:p>
                <w:p>
                  <w:pPr>
                    <w:jc w:val="center"/>
                    <w:rPr>
                      <w:bCs/>
                      <w:szCs w:val="21"/>
                    </w:rPr>
                  </w:pPr>
                  <w:r>
                    <w:rPr>
                      <w:bCs/>
                      <w:szCs w:val="21"/>
                    </w:rPr>
                    <w:t>mg/m</w:t>
                  </w:r>
                  <w:r>
                    <w:rPr>
                      <w:bCs/>
                      <w:szCs w:val="21"/>
                      <w:vertAlign w:val="superscript"/>
                    </w:rPr>
                    <w:t>3</w:t>
                  </w:r>
                </w:p>
              </w:tc>
              <w:tc>
                <w:tcPr>
                  <w:tcW w:w="544" w:type="pct"/>
                  <w:vAlign w:val="center"/>
                </w:tcPr>
                <w:p>
                  <w:pPr>
                    <w:jc w:val="center"/>
                    <w:rPr>
                      <w:bCs/>
                      <w:szCs w:val="21"/>
                    </w:rPr>
                  </w:pPr>
                  <w:r>
                    <w:rPr>
                      <w:bCs/>
                      <w:szCs w:val="21"/>
                    </w:rPr>
                    <w:t>一氧</w:t>
                  </w:r>
                </w:p>
                <w:p>
                  <w:pPr>
                    <w:jc w:val="center"/>
                    <w:rPr>
                      <w:bCs/>
                      <w:szCs w:val="21"/>
                    </w:rPr>
                  </w:pPr>
                  <w:r>
                    <w:rPr>
                      <w:bCs/>
                      <w:szCs w:val="21"/>
                    </w:rPr>
                    <w:t>化碳</w:t>
                  </w:r>
                </w:p>
                <w:p>
                  <w:pPr>
                    <w:jc w:val="center"/>
                    <w:rPr>
                      <w:bCs/>
                      <w:szCs w:val="21"/>
                    </w:rPr>
                  </w:pPr>
                  <w:r>
                    <w:rPr>
                      <w:bCs/>
                      <w:szCs w:val="21"/>
                    </w:rPr>
                    <w:t>mg/m</w:t>
                  </w:r>
                  <w:r>
                    <w:rPr>
                      <w:bCs/>
                      <w:szCs w:val="21"/>
                      <w:vertAlign w:val="superscript"/>
                    </w:rPr>
                    <w:t>3</w:t>
                  </w:r>
                </w:p>
              </w:tc>
              <w:tc>
                <w:tcPr>
                  <w:tcW w:w="671" w:type="pct"/>
                  <w:vAlign w:val="center"/>
                </w:tcPr>
                <w:p>
                  <w:pPr>
                    <w:jc w:val="center"/>
                    <w:rPr>
                      <w:bCs/>
                      <w:szCs w:val="21"/>
                    </w:rPr>
                  </w:pPr>
                  <w:r>
                    <w:rPr>
                      <w:bCs/>
                      <w:szCs w:val="21"/>
                    </w:rPr>
                    <w:t>二噁英类</w:t>
                  </w:r>
                </w:p>
                <w:p>
                  <w:pPr>
                    <w:jc w:val="center"/>
                    <w:rPr>
                      <w:bCs/>
                      <w:szCs w:val="21"/>
                      <w:vertAlign w:val="superscript"/>
                    </w:rPr>
                  </w:pPr>
                  <w:r>
                    <w:rPr>
                      <w:rFonts w:hint="eastAsia"/>
                      <w:bCs/>
                      <w:szCs w:val="21"/>
                    </w:rPr>
                    <w:t>ng</w:t>
                  </w:r>
                  <w:r>
                    <w:rPr>
                      <w:bCs/>
                      <w:szCs w:val="21"/>
                    </w:rPr>
                    <w:t>TEQ/m</w:t>
                  </w:r>
                  <w:r>
                    <w:rPr>
                      <w:bCs/>
                      <w:szCs w:val="21"/>
                      <w:vertAlign w:val="superscript"/>
                    </w:rPr>
                    <w:t>3</w:t>
                  </w:r>
                </w:p>
              </w:tc>
              <w:tc>
                <w:tcPr>
                  <w:tcW w:w="593" w:type="pct"/>
                  <w:vAlign w:val="center"/>
                </w:tcPr>
                <w:p>
                  <w:pPr>
                    <w:jc w:val="center"/>
                    <w:rPr>
                      <w:bCs/>
                      <w:szCs w:val="21"/>
                    </w:rPr>
                  </w:pPr>
                  <w:r>
                    <w:rPr>
                      <w:bCs/>
                      <w:szCs w:val="21"/>
                    </w:rPr>
                    <w:t>标干烟气量</w:t>
                  </w:r>
                </w:p>
                <w:p>
                  <w:pPr>
                    <w:jc w:val="center"/>
                    <w:rPr>
                      <w:bCs/>
                      <w:szCs w:val="21"/>
                    </w:rPr>
                  </w:pPr>
                  <w:r>
                    <w:rPr>
                      <w:bCs/>
                      <w:szCs w:val="21"/>
                    </w:rPr>
                    <w:t>Nm</w:t>
                  </w:r>
                  <w:r>
                    <w:rPr>
                      <w:bCs/>
                      <w:szCs w:val="21"/>
                      <w:vertAlign w:val="superscript"/>
                    </w:rPr>
                    <w:t>3</w:t>
                  </w:r>
                  <w:r>
                    <w:rPr>
                      <w:bCs/>
                      <w:szCs w:val="21"/>
                    </w:rPr>
                    <w:t>/</w:t>
                  </w:r>
                  <w:r>
                    <w:rPr>
                      <w:rFonts w:hint="eastAsia"/>
                      <w:bCs/>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0" w:type="pct"/>
                  <w:vMerge w:val="restart"/>
                  <w:vAlign w:val="center"/>
                </w:tcPr>
                <w:p>
                  <w:pPr>
                    <w:jc w:val="center"/>
                    <w:rPr>
                      <w:bCs/>
                      <w:szCs w:val="21"/>
                    </w:rPr>
                  </w:pPr>
                  <w:r>
                    <w:rPr>
                      <w:rFonts w:hint="eastAsia"/>
                      <w:bCs/>
                      <w:szCs w:val="21"/>
                    </w:rPr>
                    <w:t>1#焚烧炉</w:t>
                  </w:r>
                </w:p>
              </w:tc>
              <w:tc>
                <w:tcPr>
                  <w:tcW w:w="585" w:type="pct"/>
                  <w:vAlign w:val="center"/>
                </w:tcPr>
                <w:p>
                  <w:pPr>
                    <w:jc w:val="center"/>
                    <w:rPr>
                      <w:bCs/>
                      <w:szCs w:val="21"/>
                    </w:rPr>
                  </w:pPr>
                  <w:r>
                    <w:rPr>
                      <w:rFonts w:hint="eastAsia"/>
                      <w:bCs/>
                      <w:szCs w:val="21"/>
                    </w:rPr>
                    <w:t>2</w:t>
                  </w:r>
                  <w:r>
                    <w:rPr>
                      <w:bCs/>
                      <w:szCs w:val="21"/>
                    </w:rPr>
                    <w:t>020.</w:t>
                  </w:r>
                </w:p>
                <w:p>
                  <w:pPr>
                    <w:jc w:val="center"/>
                    <w:rPr>
                      <w:bCs/>
                      <w:szCs w:val="21"/>
                    </w:rPr>
                  </w:pPr>
                  <w:r>
                    <w:rPr>
                      <w:bCs/>
                      <w:szCs w:val="21"/>
                    </w:rPr>
                    <w:t>6.29</w:t>
                  </w:r>
                </w:p>
              </w:tc>
              <w:tc>
                <w:tcPr>
                  <w:tcW w:w="544" w:type="pct"/>
                  <w:vAlign w:val="center"/>
                </w:tcPr>
                <w:p>
                  <w:pPr>
                    <w:jc w:val="center"/>
                    <w:rPr>
                      <w:bCs/>
                      <w:szCs w:val="21"/>
                    </w:rPr>
                  </w:pPr>
                  <w:r>
                    <w:rPr>
                      <w:rFonts w:hint="eastAsia"/>
                      <w:bCs/>
                      <w:szCs w:val="21"/>
                    </w:rPr>
                    <w:t>4</w:t>
                  </w:r>
                  <w:r>
                    <w:rPr>
                      <w:bCs/>
                      <w:szCs w:val="21"/>
                    </w:rPr>
                    <w:t>4.0</w:t>
                  </w:r>
                </w:p>
              </w:tc>
              <w:tc>
                <w:tcPr>
                  <w:tcW w:w="544" w:type="pct"/>
                  <w:vAlign w:val="center"/>
                </w:tcPr>
                <w:p>
                  <w:pPr>
                    <w:jc w:val="center"/>
                    <w:rPr>
                      <w:bCs/>
                      <w:szCs w:val="21"/>
                    </w:rPr>
                  </w:pPr>
                  <w:r>
                    <w:rPr>
                      <w:rFonts w:hint="eastAsia"/>
                      <w:bCs/>
                      <w:szCs w:val="21"/>
                    </w:rPr>
                    <w:t>9</w:t>
                  </w:r>
                  <w:r>
                    <w:rPr>
                      <w:bCs/>
                      <w:szCs w:val="21"/>
                    </w:rPr>
                    <w:t>.90</w:t>
                  </w:r>
                </w:p>
              </w:tc>
              <w:tc>
                <w:tcPr>
                  <w:tcW w:w="544" w:type="pct"/>
                  <w:vAlign w:val="center"/>
                </w:tcPr>
                <w:p>
                  <w:pPr>
                    <w:jc w:val="center"/>
                    <w:rPr>
                      <w:bCs/>
                      <w:szCs w:val="21"/>
                    </w:rPr>
                  </w:pPr>
                  <w:r>
                    <w:rPr>
                      <w:rFonts w:hint="eastAsia"/>
                      <w:bCs/>
                      <w:szCs w:val="21"/>
                    </w:rPr>
                    <w:t>7</w:t>
                  </w:r>
                  <w:r>
                    <w:rPr>
                      <w:bCs/>
                      <w:szCs w:val="21"/>
                    </w:rPr>
                    <w:t>5</w:t>
                  </w:r>
                </w:p>
              </w:tc>
              <w:tc>
                <w:tcPr>
                  <w:tcW w:w="544" w:type="pct"/>
                  <w:vAlign w:val="center"/>
                </w:tcPr>
                <w:p>
                  <w:pPr>
                    <w:jc w:val="center"/>
                    <w:rPr>
                      <w:bCs/>
                      <w:szCs w:val="21"/>
                    </w:rPr>
                  </w:pPr>
                  <w:r>
                    <w:rPr>
                      <w:rFonts w:hint="eastAsia"/>
                      <w:bCs/>
                      <w:szCs w:val="21"/>
                    </w:rPr>
                    <w:t>2</w:t>
                  </w:r>
                  <w:r>
                    <w:rPr>
                      <w:bCs/>
                      <w:szCs w:val="21"/>
                    </w:rPr>
                    <w:t>40</w:t>
                  </w:r>
                </w:p>
              </w:tc>
              <w:tc>
                <w:tcPr>
                  <w:tcW w:w="544" w:type="pct"/>
                  <w:vAlign w:val="center"/>
                </w:tcPr>
                <w:p>
                  <w:pPr>
                    <w:jc w:val="center"/>
                    <w:rPr>
                      <w:bCs/>
                      <w:szCs w:val="21"/>
                    </w:rPr>
                  </w:pPr>
                  <w:r>
                    <w:rPr>
                      <w:rFonts w:hint="eastAsia"/>
                      <w:bCs/>
                      <w:szCs w:val="21"/>
                    </w:rPr>
                    <w:t>1</w:t>
                  </w:r>
                  <w:r>
                    <w:rPr>
                      <w:bCs/>
                      <w:szCs w:val="21"/>
                    </w:rPr>
                    <w:t>35</w:t>
                  </w:r>
                </w:p>
              </w:tc>
              <w:tc>
                <w:tcPr>
                  <w:tcW w:w="671" w:type="pct"/>
                  <w:vAlign w:val="center"/>
                </w:tcPr>
                <w:p>
                  <w:pPr>
                    <w:jc w:val="center"/>
                    <w:rPr>
                      <w:bCs/>
                      <w:szCs w:val="21"/>
                    </w:rPr>
                  </w:pPr>
                  <w:r>
                    <w:rPr>
                      <w:rFonts w:hint="eastAsia"/>
                      <w:bCs/>
                      <w:szCs w:val="21"/>
                    </w:rPr>
                    <w:t>0</w:t>
                  </w:r>
                  <w:r>
                    <w:rPr>
                      <w:bCs/>
                      <w:szCs w:val="21"/>
                    </w:rPr>
                    <w:t>.61</w:t>
                  </w:r>
                </w:p>
              </w:tc>
              <w:tc>
                <w:tcPr>
                  <w:tcW w:w="593" w:type="pct"/>
                  <w:vAlign w:val="center"/>
                </w:tcPr>
                <w:p>
                  <w:pPr>
                    <w:jc w:val="center"/>
                    <w:rPr>
                      <w:bCs/>
                      <w:szCs w:val="21"/>
                    </w:rPr>
                  </w:pPr>
                  <w:r>
                    <w:rPr>
                      <w:rFonts w:hint="eastAsia"/>
                      <w:bCs/>
                      <w:szCs w:val="21"/>
                    </w:rPr>
                    <w:t>4</w:t>
                  </w:r>
                  <w:r>
                    <w:rPr>
                      <w:bCs/>
                      <w:szCs w:val="21"/>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0" w:type="pct"/>
                  <w:vMerge w:val="continue"/>
                  <w:vAlign w:val="center"/>
                </w:tcPr>
                <w:p>
                  <w:pPr>
                    <w:jc w:val="center"/>
                    <w:rPr>
                      <w:bCs/>
                      <w:szCs w:val="21"/>
                    </w:rPr>
                  </w:pPr>
                </w:p>
              </w:tc>
              <w:tc>
                <w:tcPr>
                  <w:tcW w:w="585" w:type="pct"/>
                  <w:vAlign w:val="center"/>
                </w:tcPr>
                <w:p>
                  <w:pPr>
                    <w:jc w:val="center"/>
                    <w:rPr>
                      <w:bCs/>
                      <w:szCs w:val="21"/>
                    </w:rPr>
                  </w:pPr>
                  <w:r>
                    <w:rPr>
                      <w:rFonts w:hint="eastAsia"/>
                      <w:bCs/>
                      <w:szCs w:val="21"/>
                    </w:rPr>
                    <w:t>2</w:t>
                  </w:r>
                  <w:r>
                    <w:rPr>
                      <w:bCs/>
                      <w:szCs w:val="21"/>
                    </w:rPr>
                    <w:t>020.</w:t>
                  </w:r>
                </w:p>
                <w:p>
                  <w:pPr>
                    <w:jc w:val="center"/>
                    <w:rPr>
                      <w:bCs/>
                      <w:szCs w:val="21"/>
                    </w:rPr>
                  </w:pPr>
                  <w:r>
                    <w:rPr>
                      <w:rFonts w:hint="eastAsia"/>
                      <w:bCs/>
                      <w:szCs w:val="21"/>
                    </w:rPr>
                    <w:t>6</w:t>
                  </w:r>
                  <w:r>
                    <w:rPr>
                      <w:bCs/>
                      <w:szCs w:val="21"/>
                    </w:rPr>
                    <w:t>.30</w:t>
                  </w:r>
                </w:p>
              </w:tc>
              <w:tc>
                <w:tcPr>
                  <w:tcW w:w="544" w:type="pct"/>
                  <w:vAlign w:val="center"/>
                </w:tcPr>
                <w:p>
                  <w:pPr>
                    <w:jc w:val="center"/>
                    <w:rPr>
                      <w:bCs/>
                      <w:szCs w:val="21"/>
                    </w:rPr>
                  </w:pPr>
                  <w:r>
                    <w:rPr>
                      <w:rFonts w:hint="eastAsia"/>
                      <w:bCs/>
                      <w:szCs w:val="21"/>
                    </w:rPr>
                    <w:t>3</w:t>
                  </w:r>
                  <w:r>
                    <w:rPr>
                      <w:bCs/>
                      <w:szCs w:val="21"/>
                    </w:rPr>
                    <w:t>9.3</w:t>
                  </w:r>
                </w:p>
              </w:tc>
              <w:tc>
                <w:tcPr>
                  <w:tcW w:w="544" w:type="pct"/>
                  <w:vAlign w:val="center"/>
                </w:tcPr>
                <w:p>
                  <w:pPr>
                    <w:jc w:val="center"/>
                    <w:rPr>
                      <w:bCs/>
                      <w:szCs w:val="21"/>
                    </w:rPr>
                  </w:pPr>
                  <w:r>
                    <w:rPr>
                      <w:rFonts w:hint="eastAsia"/>
                      <w:bCs/>
                      <w:szCs w:val="21"/>
                    </w:rPr>
                    <w:t>9</w:t>
                  </w:r>
                  <w:r>
                    <w:rPr>
                      <w:bCs/>
                      <w:szCs w:val="21"/>
                    </w:rPr>
                    <w:t>.57</w:t>
                  </w:r>
                </w:p>
              </w:tc>
              <w:tc>
                <w:tcPr>
                  <w:tcW w:w="544" w:type="pct"/>
                  <w:vAlign w:val="center"/>
                </w:tcPr>
                <w:p>
                  <w:pPr>
                    <w:jc w:val="center"/>
                    <w:rPr>
                      <w:bCs/>
                      <w:szCs w:val="21"/>
                    </w:rPr>
                  </w:pPr>
                  <w:r>
                    <w:rPr>
                      <w:rFonts w:hint="eastAsia"/>
                      <w:bCs/>
                      <w:szCs w:val="21"/>
                    </w:rPr>
                    <w:t>7</w:t>
                  </w:r>
                  <w:r>
                    <w:rPr>
                      <w:bCs/>
                      <w:szCs w:val="21"/>
                    </w:rPr>
                    <w:t>4</w:t>
                  </w:r>
                </w:p>
              </w:tc>
              <w:tc>
                <w:tcPr>
                  <w:tcW w:w="544" w:type="pct"/>
                  <w:vAlign w:val="center"/>
                </w:tcPr>
                <w:p>
                  <w:pPr>
                    <w:jc w:val="center"/>
                    <w:rPr>
                      <w:bCs/>
                      <w:szCs w:val="21"/>
                    </w:rPr>
                  </w:pPr>
                  <w:r>
                    <w:rPr>
                      <w:rFonts w:hint="eastAsia"/>
                      <w:bCs/>
                      <w:szCs w:val="21"/>
                    </w:rPr>
                    <w:t>2</w:t>
                  </w:r>
                  <w:r>
                    <w:rPr>
                      <w:bCs/>
                      <w:szCs w:val="21"/>
                    </w:rPr>
                    <w:t>17</w:t>
                  </w:r>
                </w:p>
              </w:tc>
              <w:tc>
                <w:tcPr>
                  <w:tcW w:w="544" w:type="pct"/>
                  <w:vAlign w:val="center"/>
                </w:tcPr>
                <w:p>
                  <w:pPr>
                    <w:jc w:val="center"/>
                    <w:rPr>
                      <w:bCs/>
                      <w:szCs w:val="21"/>
                    </w:rPr>
                  </w:pPr>
                  <w:r>
                    <w:rPr>
                      <w:rFonts w:hint="eastAsia"/>
                      <w:bCs/>
                      <w:szCs w:val="21"/>
                    </w:rPr>
                    <w:t>1</w:t>
                  </w:r>
                  <w:r>
                    <w:rPr>
                      <w:bCs/>
                      <w:szCs w:val="21"/>
                    </w:rPr>
                    <w:t>38</w:t>
                  </w:r>
                </w:p>
              </w:tc>
              <w:tc>
                <w:tcPr>
                  <w:tcW w:w="671" w:type="pct"/>
                  <w:vAlign w:val="center"/>
                </w:tcPr>
                <w:p>
                  <w:pPr>
                    <w:jc w:val="center"/>
                    <w:rPr>
                      <w:bCs/>
                      <w:szCs w:val="21"/>
                    </w:rPr>
                  </w:pPr>
                  <w:r>
                    <w:rPr>
                      <w:rFonts w:hint="eastAsia"/>
                      <w:bCs/>
                      <w:szCs w:val="21"/>
                    </w:rPr>
                    <w:t>0</w:t>
                  </w:r>
                  <w:r>
                    <w:rPr>
                      <w:bCs/>
                      <w:szCs w:val="21"/>
                    </w:rPr>
                    <w:t>.61</w:t>
                  </w:r>
                </w:p>
              </w:tc>
              <w:tc>
                <w:tcPr>
                  <w:tcW w:w="593" w:type="pct"/>
                  <w:vAlign w:val="center"/>
                </w:tcPr>
                <w:p>
                  <w:pPr>
                    <w:jc w:val="center"/>
                    <w:rPr>
                      <w:bCs/>
                      <w:szCs w:val="21"/>
                    </w:rPr>
                  </w:pPr>
                  <w:r>
                    <w:rPr>
                      <w:rFonts w:hint="eastAsia"/>
                      <w:bCs/>
                      <w:szCs w:val="21"/>
                    </w:rPr>
                    <w:t>4</w:t>
                  </w:r>
                  <w:r>
                    <w:rPr>
                      <w:bCs/>
                      <w:szCs w:val="21"/>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0" w:type="pct"/>
                  <w:vMerge w:val="restart"/>
                  <w:vAlign w:val="center"/>
                </w:tcPr>
                <w:p>
                  <w:pPr>
                    <w:jc w:val="center"/>
                    <w:rPr>
                      <w:bCs/>
                      <w:szCs w:val="21"/>
                    </w:rPr>
                  </w:pPr>
                  <w:r>
                    <w:rPr>
                      <w:bCs/>
                      <w:szCs w:val="21"/>
                    </w:rPr>
                    <w:t>2</w:t>
                  </w:r>
                  <w:r>
                    <w:rPr>
                      <w:rFonts w:hint="eastAsia"/>
                      <w:bCs/>
                      <w:szCs w:val="21"/>
                    </w:rPr>
                    <w:t>#焚烧炉</w:t>
                  </w:r>
                </w:p>
              </w:tc>
              <w:tc>
                <w:tcPr>
                  <w:tcW w:w="585" w:type="pct"/>
                  <w:vAlign w:val="center"/>
                </w:tcPr>
                <w:p>
                  <w:pPr>
                    <w:jc w:val="center"/>
                    <w:rPr>
                      <w:bCs/>
                      <w:szCs w:val="21"/>
                    </w:rPr>
                  </w:pPr>
                  <w:r>
                    <w:rPr>
                      <w:rFonts w:hint="eastAsia"/>
                      <w:bCs/>
                      <w:szCs w:val="21"/>
                    </w:rPr>
                    <w:t>2</w:t>
                  </w:r>
                  <w:r>
                    <w:rPr>
                      <w:bCs/>
                      <w:szCs w:val="21"/>
                    </w:rPr>
                    <w:t>020.</w:t>
                  </w:r>
                </w:p>
                <w:p>
                  <w:pPr>
                    <w:jc w:val="center"/>
                    <w:rPr>
                      <w:bCs/>
                      <w:szCs w:val="21"/>
                    </w:rPr>
                  </w:pPr>
                  <w:r>
                    <w:rPr>
                      <w:bCs/>
                      <w:szCs w:val="21"/>
                    </w:rPr>
                    <w:t>6.29</w:t>
                  </w:r>
                </w:p>
              </w:tc>
              <w:tc>
                <w:tcPr>
                  <w:tcW w:w="544" w:type="pct"/>
                  <w:vAlign w:val="center"/>
                </w:tcPr>
                <w:p>
                  <w:pPr>
                    <w:jc w:val="center"/>
                    <w:rPr>
                      <w:bCs/>
                      <w:szCs w:val="21"/>
                    </w:rPr>
                  </w:pPr>
                  <w:r>
                    <w:rPr>
                      <w:rFonts w:hint="eastAsia"/>
                      <w:bCs/>
                      <w:szCs w:val="21"/>
                    </w:rPr>
                    <w:t>4</w:t>
                  </w:r>
                  <w:r>
                    <w:rPr>
                      <w:bCs/>
                      <w:szCs w:val="21"/>
                    </w:rPr>
                    <w:t>3.7</w:t>
                  </w:r>
                </w:p>
              </w:tc>
              <w:tc>
                <w:tcPr>
                  <w:tcW w:w="544" w:type="pct"/>
                  <w:vAlign w:val="center"/>
                </w:tcPr>
                <w:p>
                  <w:pPr>
                    <w:jc w:val="center"/>
                    <w:rPr>
                      <w:bCs/>
                      <w:szCs w:val="21"/>
                    </w:rPr>
                  </w:pPr>
                  <w:r>
                    <w:rPr>
                      <w:rFonts w:hint="eastAsia"/>
                      <w:bCs/>
                      <w:szCs w:val="21"/>
                    </w:rPr>
                    <w:t>1</w:t>
                  </w:r>
                  <w:r>
                    <w:rPr>
                      <w:bCs/>
                      <w:szCs w:val="21"/>
                    </w:rPr>
                    <w:t>0.3</w:t>
                  </w:r>
                </w:p>
              </w:tc>
              <w:tc>
                <w:tcPr>
                  <w:tcW w:w="544" w:type="pct"/>
                  <w:vAlign w:val="center"/>
                </w:tcPr>
                <w:p>
                  <w:pPr>
                    <w:jc w:val="center"/>
                    <w:rPr>
                      <w:bCs/>
                      <w:szCs w:val="21"/>
                    </w:rPr>
                  </w:pPr>
                  <w:r>
                    <w:rPr>
                      <w:rFonts w:hint="eastAsia"/>
                      <w:bCs/>
                      <w:szCs w:val="21"/>
                    </w:rPr>
                    <w:t>6</w:t>
                  </w:r>
                  <w:r>
                    <w:rPr>
                      <w:bCs/>
                      <w:szCs w:val="21"/>
                    </w:rPr>
                    <w:t>8</w:t>
                  </w:r>
                </w:p>
              </w:tc>
              <w:tc>
                <w:tcPr>
                  <w:tcW w:w="544" w:type="pct"/>
                  <w:vAlign w:val="center"/>
                </w:tcPr>
                <w:p>
                  <w:pPr>
                    <w:jc w:val="center"/>
                    <w:rPr>
                      <w:bCs/>
                      <w:szCs w:val="21"/>
                    </w:rPr>
                  </w:pPr>
                  <w:r>
                    <w:rPr>
                      <w:rFonts w:hint="eastAsia"/>
                      <w:bCs/>
                      <w:szCs w:val="21"/>
                    </w:rPr>
                    <w:t>1</w:t>
                  </w:r>
                  <w:r>
                    <w:rPr>
                      <w:bCs/>
                      <w:szCs w:val="21"/>
                    </w:rPr>
                    <w:t>95</w:t>
                  </w:r>
                </w:p>
              </w:tc>
              <w:tc>
                <w:tcPr>
                  <w:tcW w:w="544" w:type="pct"/>
                  <w:vAlign w:val="center"/>
                </w:tcPr>
                <w:p>
                  <w:pPr>
                    <w:jc w:val="center"/>
                    <w:rPr>
                      <w:bCs/>
                      <w:szCs w:val="21"/>
                    </w:rPr>
                  </w:pPr>
                  <w:r>
                    <w:rPr>
                      <w:rFonts w:hint="eastAsia"/>
                      <w:bCs/>
                      <w:szCs w:val="21"/>
                    </w:rPr>
                    <w:t>1</w:t>
                  </w:r>
                  <w:r>
                    <w:rPr>
                      <w:bCs/>
                      <w:szCs w:val="21"/>
                    </w:rPr>
                    <w:t>59</w:t>
                  </w:r>
                </w:p>
              </w:tc>
              <w:tc>
                <w:tcPr>
                  <w:tcW w:w="671" w:type="pct"/>
                  <w:vAlign w:val="center"/>
                </w:tcPr>
                <w:p>
                  <w:pPr>
                    <w:jc w:val="center"/>
                    <w:rPr>
                      <w:bCs/>
                      <w:szCs w:val="21"/>
                    </w:rPr>
                  </w:pPr>
                  <w:r>
                    <w:rPr>
                      <w:rFonts w:hint="eastAsia"/>
                      <w:bCs/>
                      <w:szCs w:val="21"/>
                    </w:rPr>
                    <w:t>0</w:t>
                  </w:r>
                  <w:r>
                    <w:rPr>
                      <w:bCs/>
                      <w:szCs w:val="21"/>
                    </w:rPr>
                    <w:t>.28</w:t>
                  </w:r>
                </w:p>
              </w:tc>
              <w:tc>
                <w:tcPr>
                  <w:tcW w:w="593" w:type="pct"/>
                  <w:vAlign w:val="center"/>
                </w:tcPr>
                <w:p>
                  <w:pPr>
                    <w:jc w:val="center"/>
                    <w:rPr>
                      <w:bCs/>
                      <w:szCs w:val="21"/>
                    </w:rPr>
                  </w:pPr>
                  <w:r>
                    <w:rPr>
                      <w:rFonts w:hint="eastAsia"/>
                      <w:bCs/>
                      <w:szCs w:val="21"/>
                    </w:rPr>
                    <w:t>4</w:t>
                  </w:r>
                  <w:r>
                    <w:rPr>
                      <w:bCs/>
                      <w:szCs w:val="21"/>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30" w:type="pct"/>
                  <w:vMerge w:val="continue"/>
                  <w:vAlign w:val="center"/>
                </w:tcPr>
                <w:p>
                  <w:pPr>
                    <w:jc w:val="center"/>
                    <w:rPr>
                      <w:bCs/>
                      <w:szCs w:val="21"/>
                    </w:rPr>
                  </w:pPr>
                </w:p>
              </w:tc>
              <w:tc>
                <w:tcPr>
                  <w:tcW w:w="585" w:type="pct"/>
                  <w:vAlign w:val="center"/>
                </w:tcPr>
                <w:p>
                  <w:pPr>
                    <w:jc w:val="center"/>
                    <w:rPr>
                      <w:bCs/>
                      <w:szCs w:val="21"/>
                    </w:rPr>
                  </w:pPr>
                  <w:r>
                    <w:rPr>
                      <w:rFonts w:hint="eastAsia"/>
                      <w:bCs/>
                      <w:szCs w:val="21"/>
                    </w:rPr>
                    <w:t>2</w:t>
                  </w:r>
                  <w:r>
                    <w:rPr>
                      <w:bCs/>
                      <w:szCs w:val="21"/>
                    </w:rPr>
                    <w:t>020.</w:t>
                  </w:r>
                </w:p>
                <w:p>
                  <w:pPr>
                    <w:jc w:val="center"/>
                    <w:rPr>
                      <w:bCs/>
                      <w:szCs w:val="21"/>
                    </w:rPr>
                  </w:pPr>
                  <w:r>
                    <w:rPr>
                      <w:rFonts w:hint="eastAsia"/>
                      <w:bCs/>
                      <w:szCs w:val="21"/>
                    </w:rPr>
                    <w:t>6</w:t>
                  </w:r>
                  <w:r>
                    <w:rPr>
                      <w:bCs/>
                      <w:szCs w:val="21"/>
                    </w:rPr>
                    <w:t>.30</w:t>
                  </w:r>
                </w:p>
              </w:tc>
              <w:tc>
                <w:tcPr>
                  <w:tcW w:w="544" w:type="pct"/>
                  <w:vAlign w:val="center"/>
                </w:tcPr>
                <w:p>
                  <w:pPr>
                    <w:jc w:val="center"/>
                    <w:rPr>
                      <w:bCs/>
                      <w:szCs w:val="21"/>
                    </w:rPr>
                  </w:pPr>
                  <w:r>
                    <w:rPr>
                      <w:rFonts w:hint="eastAsia"/>
                      <w:bCs/>
                      <w:szCs w:val="21"/>
                    </w:rPr>
                    <w:t>4</w:t>
                  </w:r>
                  <w:r>
                    <w:rPr>
                      <w:bCs/>
                      <w:szCs w:val="21"/>
                    </w:rPr>
                    <w:t>0.1</w:t>
                  </w:r>
                </w:p>
              </w:tc>
              <w:tc>
                <w:tcPr>
                  <w:tcW w:w="544" w:type="pct"/>
                  <w:vAlign w:val="center"/>
                </w:tcPr>
                <w:p>
                  <w:pPr>
                    <w:jc w:val="center"/>
                    <w:rPr>
                      <w:bCs/>
                      <w:szCs w:val="21"/>
                    </w:rPr>
                  </w:pPr>
                  <w:r>
                    <w:rPr>
                      <w:rFonts w:hint="eastAsia"/>
                      <w:bCs/>
                      <w:szCs w:val="21"/>
                    </w:rPr>
                    <w:t>1</w:t>
                  </w:r>
                  <w:r>
                    <w:rPr>
                      <w:bCs/>
                      <w:szCs w:val="21"/>
                    </w:rPr>
                    <w:t>0.1</w:t>
                  </w:r>
                </w:p>
              </w:tc>
              <w:tc>
                <w:tcPr>
                  <w:tcW w:w="544" w:type="pct"/>
                  <w:vAlign w:val="center"/>
                </w:tcPr>
                <w:p>
                  <w:pPr>
                    <w:jc w:val="center"/>
                    <w:rPr>
                      <w:bCs/>
                      <w:szCs w:val="21"/>
                    </w:rPr>
                  </w:pPr>
                  <w:r>
                    <w:rPr>
                      <w:rFonts w:hint="eastAsia"/>
                      <w:bCs/>
                      <w:szCs w:val="21"/>
                    </w:rPr>
                    <w:t>7</w:t>
                  </w:r>
                  <w:r>
                    <w:rPr>
                      <w:bCs/>
                      <w:szCs w:val="21"/>
                    </w:rPr>
                    <w:t>0</w:t>
                  </w:r>
                </w:p>
              </w:tc>
              <w:tc>
                <w:tcPr>
                  <w:tcW w:w="544" w:type="pct"/>
                  <w:vAlign w:val="center"/>
                </w:tcPr>
                <w:p>
                  <w:pPr>
                    <w:jc w:val="center"/>
                    <w:rPr>
                      <w:bCs/>
                      <w:szCs w:val="21"/>
                    </w:rPr>
                  </w:pPr>
                  <w:r>
                    <w:rPr>
                      <w:rFonts w:hint="eastAsia"/>
                      <w:bCs/>
                      <w:szCs w:val="21"/>
                    </w:rPr>
                    <w:t>2</w:t>
                  </w:r>
                  <w:r>
                    <w:rPr>
                      <w:bCs/>
                      <w:szCs w:val="21"/>
                    </w:rPr>
                    <w:t>53</w:t>
                  </w:r>
                </w:p>
              </w:tc>
              <w:tc>
                <w:tcPr>
                  <w:tcW w:w="544" w:type="pct"/>
                  <w:vAlign w:val="center"/>
                </w:tcPr>
                <w:p>
                  <w:pPr>
                    <w:jc w:val="center"/>
                    <w:rPr>
                      <w:bCs/>
                      <w:szCs w:val="21"/>
                    </w:rPr>
                  </w:pPr>
                  <w:r>
                    <w:rPr>
                      <w:rFonts w:hint="eastAsia"/>
                      <w:bCs/>
                      <w:szCs w:val="21"/>
                    </w:rPr>
                    <w:t>1</w:t>
                  </w:r>
                  <w:r>
                    <w:rPr>
                      <w:bCs/>
                      <w:szCs w:val="21"/>
                    </w:rPr>
                    <w:t>70</w:t>
                  </w:r>
                </w:p>
              </w:tc>
              <w:tc>
                <w:tcPr>
                  <w:tcW w:w="671" w:type="pct"/>
                  <w:vAlign w:val="center"/>
                </w:tcPr>
                <w:p>
                  <w:pPr>
                    <w:jc w:val="center"/>
                    <w:rPr>
                      <w:bCs/>
                      <w:szCs w:val="21"/>
                    </w:rPr>
                  </w:pPr>
                  <w:r>
                    <w:rPr>
                      <w:rFonts w:hint="eastAsia"/>
                      <w:bCs/>
                      <w:szCs w:val="21"/>
                    </w:rPr>
                    <w:t>0</w:t>
                  </w:r>
                  <w:r>
                    <w:rPr>
                      <w:bCs/>
                      <w:szCs w:val="21"/>
                    </w:rPr>
                    <w:t>.19</w:t>
                  </w:r>
                </w:p>
              </w:tc>
              <w:tc>
                <w:tcPr>
                  <w:tcW w:w="593" w:type="pct"/>
                  <w:vAlign w:val="center"/>
                </w:tcPr>
                <w:p>
                  <w:pPr>
                    <w:jc w:val="center"/>
                    <w:rPr>
                      <w:bCs/>
                      <w:szCs w:val="21"/>
                    </w:rPr>
                  </w:pPr>
                  <w:r>
                    <w:rPr>
                      <w:rFonts w:hint="eastAsia"/>
                      <w:bCs/>
                      <w:szCs w:val="21"/>
                    </w:rPr>
                    <w:t>4</w:t>
                  </w:r>
                  <w:r>
                    <w:rPr>
                      <w:bCs/>
                      <w:szCs w:val="21"/>
                    </w:rPr>
                    <w:t>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15" w:type="pct"/>
                  <w:gridSpan w:val="2"/>
                  <w:vAlign w:val="center"/>
                </w:tcPr>
                <w:p>
                  <w:pPr>
                    <w:jc w:val="center"/>
                    <w:rPr>
                      <w:bCs/>
                      <w:szCs w:val="21"/>
                    </w:rPr>
                  </w:pPr>
                  <w:r>
                    <w:rPr>
                      <w:rFonts w:hint="eastAsia"/>
                      <w:bCs/>
                      <w:szCs w:val="21"/>
                    </w:rPr>
                    <w:t>平均值</w:t>
                  </w:r>
                </w:p>
              </w:tc>
              <w:tc>
                <w:tcPr>
                  <w:tcW w:w="544" w:type="pct"/>
                  <w:vAlign w:val="center"/>
                </w:tcPr>
                <w:p>
                  <w:pPr>
                    <w:jc w:val="center"/>
                    <w:rPr>
                      <w:bCs/>
                      <w:szCs w:val="21"/>
                    </w:rPr>
                  </w:pPr>
                  <w:r>
                    <w:rPr>
                      <w:rFonts w:hint="eastAsia"/>
                      <w:bCs/>
                      <w:szCs w:val="21"/>
                    </w:rPr>
                    <w:t>4</w:t>
                  </w:r>
                  <w:r>
                    <w:rPr>
                      <w:bCs/>
                      <w:szCs w:val="21"/>
                    </w:rPr>
                    <w:t>1.8</w:t>
                  </w:r>
                </w:p>
              </w:tc>
              <w:tc>
                <w:tcPr>
                  <w:tcW w:w="544" w:type="pct"/>
                  <w:vAlign w:val="center"/>
                </w:tcPr>
                <w:p>
                  <w:pPr>
                    <w:jc w:val="center"/>
                    <w:rPr>
                      <w:bCs/>
                      <w:szCs w:val="21"/>
                    </w:rPr>
                  </w:pPr>
                  <w:r>
                    <w:rPr>
                      <w:rFonts w:hint="eastAsia"/>
                      <w:bCs/>
                      <w:szCs w:val="21"/>
                    </w:rPr>
                    <w:t>9</w:t>
                  </w:r>
                  <w:r>
                    <w:rPr>
                      <w:bCs/>
                      <w:szCs w:val="21"/>
                    </w:rPr>
                    <w:t>.97</w:t>
                  </w:r>
                </w:p>
              </w:tc>
              <w:tc>
                <w:tcPr>
                  <w:tcW w:w="544" w:type="pct"/>
                  <w:vAlign w:val="center"/>
                </w:tcPr>
                <w:p>
                  <w:pPr>
                    <w:jc w:val="center"/>
                    <w:rPr>
                      <w:bCs/>
                      <w:szCs w:val="21"/>
                    </w:rPr>
                  </w:pPr>
                  <w:r>
                    <w:rPr>
                      <w:rFonts w:hint="eastAsia"/>
                      <w:bCs/>
                      <w:szCs w:val="21"/>
                    </w:rPr>
                    <w:t>7</w:t>
                  </w:r>
                  <w:r>
                    <w:rPr>
                      <w:bCs/>
                      <w:szCs w:val="21"/>
                    </w:rPr>
                    <w:t>1.8</w:t>
                  </w:r>
                </w:p>
              </w:tc>
              <w:tc>
                <w:tcPr>
                  <w:tcW w:w="544" w:type="pct"/>
                  <w:vAlign w:val="center"/>
                </w:tcPr>
                <w:p>
                  <w:pPr>
                    <w:jc w:val="center"/>
                    <w:rPr>
                      <w:bCs/>
                      <w:szCs w:val="21"/>
                    </w:rPr>
                  </w:pPr>
                  <w:r>
                    <w:rPr>
                      <w:rFonts w:hint="eastAsia"/>
                      <w:bCs/>
                      <w:szCs w:val="21"/>
                    </w:rPr>
                    <w:t>2</w:t>
                  </w:r>
                  <w:r>
                    <w:rPr>
                      <w:bCs/>
                      <w:szCs w:val="21"/>
                    </w:rPr>
                    <w:t>26.2</w:t>
                  </w:r>
                </w:p>
              </w:tc>
              <w:tc>
                <w:tcPr>
                  <w:tcW w:w="544" w:type="pct"/>
                  <w:vAlign w:val="center"/>
                </w:tcPr>
                <w:p>
                  <w:pPr>
                    <w:jc w:val="center"/>
                    <w:rPr>
                      <w:bCs/>
                      <w:szCs w:val="21"/>
                    </w:rPr>
                  </w:pPr>
                  <w:r>
                    <w:rPr>
                      <w:rFonts w:hint="eastAsia"/>
                      <w:bCs/>
                      <w:szCs w:val="21"/>
                    </w:rPr>
                    <w:t>1</w:t>
                  </w:r>
                  <w:r>
                    <w:rPr>
                      <w:bCs/>
                      <w:szCs w:val="21"/>
                    </w:rPr>
                    <w:t>50.5</w:t>
                  </w:r>
                </w:p>
              </w:tc>
              <w:tc>
                <w:tcPr>
                  <w:tcW w:w="671" w:type="pct"/>
                  <w:vAlign w:val="center"/>
                </w:tcPr>
                <w:p>
                  <w:pPr>
                    <w:jc w:val="center"/>
                    <w:rPr>
                      <w:bCs/>
                      <w:szCs w:val="21"/>
                    </w:rPr>
                  </w:pPr>
                  <w:r>
                    <w:rPr>
                      <w:rFonts w:hint="eastAsia"/>
                      <w:bCs/>
                      <w:szCs w:val="21"/>
                    </w:rPr>
                    <w:t>0</w:t>
                  </w:r>
                  <w:r>
                    <w:rPr>
                      <w:bCs/>
                      <w:szCs w:val="21"/>
                    </w:rPr>
                    <w:t>.42</w:t>
                  </w:r>
                </w:p>
              </w:tc>
              <w:tc>
                <w:tcPr>
                  <w:tcW w:w="593" w:type="pct"/>
                  <w:vAlign w:val="center"/>
                </w:tcPr>
                <w:p>
                  <w:pPr>
                    <w:jc w:val="center"/>
                    <w:rPr>
                      <w:bCs/>
                      <w:szCs w:val="21"/>
                    </w:rPr>
                  </w:pPr>
                  <w:r>
                    <w:rPr>
                      <w:rFonts w:hint="eastAsia"/>
                      <w:bCs/>
                      <w:szCs w:val="21"/>
                    </w:rPr>
                    <w:t>4</w:t>
                  </w:r>
                  <w:r>
                    <w:rPr>
                      <w:bCs/>
                      <w:szCs w:val="21"/>
                    </w:rPr>
                    <w:t>456</w:t>
                  </w:r>
                </w:p>
              </w:tc>
            </w:tr>
          </w:tbl>
          <w:p>
            <w:pPr>
              <w:adjustRightInd w:val="0"/>
              <w:snapToGrid w:val="0"/>
              <w:spacing w:line="480" w:lineRule="exact"/>
              <w:ind w:firstLine="480" w:firstLineChars="200"/>
              <w:rPr>
                <w:bCs/>
                <w:sz w:val="24"/>
              </w:rPr>
            </w:pPr>
            <w:r>
              <w:rPr>
                <w:rFonts w:hint="eastAsia"/>
                <w:bCs/>
                <w:sz w:val="24"/>
              </w:rPr>
              <w:t>遗物祭品焚烧炉单独配一套与火化机同方案的环保设施，采用</w:t>
            </w:r>
            <w:r>
              <w:rPr>
                <w:bCs/>
                <w:sz w:val="24"/>
              </w:rPr>
              <w:t>急冷装置+</w:t>
            </w:r>
            <w:r>
              <w:rPr>
                <w:rFonts w:hint="eastAsia"/>
                <w:bCs/>
                <w:sz w:val="24"/>
              </w:rPr>
              <w:t>半干法脱硫</w:t>
            </w:r>
            <w:r>
              <w:rPr>
                <w:bCs/>
                <w:sz w:val="24"/>
              </w:rPr>
              <w:t>+旋风离心器+活性炭喷射+布袋除尘器</w:t>
            </w:r>
            <w:r>
              <w:rPr>
                <w:rFonts w:hint="eastAsia"/>
                <w:bCs/>
                <w:sz w:val="24"/>
              </w:rPr>
              <w:t>组合方案，遗物祭品焚烧炉烟气经烟气处理设施净化后由1</w:t>
            </w:r>
            <w:r>
              <w:rPr>
                <w:bCs/>
                <w:sz w:val="24"/>
              </w:rPr>
              <w:t>2</w:t>
            </w:r>
            <w:r>
              <w:rPr>
                <w:rFonts w:hint="eastAsia"/>
                <w:bCs/>
                <w:sz w:val="24"/>
              </w:rPr>
              <w:t>m高排气筒（D</w:t>
            </w:r>
            <w:r>
              <w:rPr>
                <w:bCs/>
                <w:sz w:val="24"/>
              </w:rPr>
              <w:t>A004</w:t>
            </w:r>
            <w:r>
              <w:rPr>
                <w:rFonts w:hint="eastAsia"/>
                <w:bCs/>
                <w:sz w:val="24"/>
              </w:rPr>
              <w:t>）外排。</w:t>
            </w:r>
          </w:p>
          <w:p>
            <w:pPr>
              <w:spacing w:line="480" w:lineRule="exact"/>
              <w:ind w:firstLine="480" w:firstLineChars="200"/>
              <w:rPr>
                <w:bCs/>
                <w:sz w:val="24"/>
              </w:rPr>
            </w:pPr>
            <w:r>
              <w:rPr>
                <w:rFonts w:hint="eastAsia"/>
                <w:bCs/>
                <w:sz w:val="24"/>
              </w:rPr>
              <w:t>综合以上分析，在采取以上烟气治理措施的条件下，同时考虑管理水平，设备水平，燃料含硫量，运行工况的不同，遗物祭品焚烧炉烟气中烟尘排放浓度以</w:t>
            </w:r>
            <w:r>
              <w:rPr>
                <w:bCs/>
                <w:sz w:val="24"/>
              </w:rPr>
              <w:t>40</w:t>
            </w:r>
            <w:r>
              <w:rPr>
                <w:rFonts w:hint="eastAsia"/>
                <w:bCs/>
                <w:sz w:val="24"/>
              </w:rPr>
              <w:t>mg</w:t>
            </w:r>
            <w:r>
              <w:rPr>
                <w:bCs/>
                <w:sz w:val="24"/>
              </w:rPr>
              <w:t>/m</w:t>
            </w:r>
            <w:r>
              <w:rPr>
                <w:bCs/>
                <w:sz w:val="24"/>
                <w:vertAlign w:val="superscript"/>
              </w:rPr>
              <w:t>3</w:t>
            </w:r>
            <w:r>
              <w:rPr>
                <w:rFonts w:hint="eastAsia"/>
                <w:bCs/>
                <w:sz w:val="24"/>
              </w:rPr>
              <w:t>计，S</w:t>
            </w:r>
            <w:r>
              <w:rPr>
                <w:bCs/>
                <w:sz w:val="24"/>
              </w:rPr>
              <w:t>O</w:t>
            </w:r>
            <w:r>
              <w:rPr>
                <w:bCs/>
                <w:sz w:val="24"/>
                <w:vertAlign w:val="subscript"/>
              </w:rPr>
              <w:t>2</w:t>
            </w:r>
            <w:r>
              <w:rPr>
                <w:rFonts w:hint="eastAsia"/>
                <w:bCs/>
                <w:sz w:val="24"/>
              </w:rPr>
              <w:t>排放浓度以</w:t>
            </w:r>
            <w:r>
              <w:rPr>
                <w:bCs/>
                <w:sz w:val="24"/>
              </w:rPr>
              <w:t>70</w:t>
            </w:r>
            <w:r>
              <w:rPr>
                <w:rFonts w:hint="eastAsia"/>
                <w:bCs/>
                <w:sz w:val="24"/>
              </w:rPr>
              <w:t>mg</w:t>
            </w:r>
            <w:r>
              <w:rPr>
                <w:bCs/>
                <w:sz w:val="24"/>
              </w:rPr>
              <w:t>/m</w:t>
            </w:r>
            <w:r>
              <w:rPr>
                <w:bCs/>
                <w:sz w:val="24"/>
                <w:vertAlign w:val="superscript"/>
              </w:rPr>
              <w:t>3</w:t>
            </w:r>
            <w:r>
              <w:rPr>
                <w:rFonts w:hint="eastAsia"/>
                <w:bCs/>
                <w:sz w:val="24"/>
              </w:rPr>
              <w:t>计，</w:t>
            </w:r>
            <w:r>
              <w:rPr>
                <w:bCs/>
                <w:sz w:val="24"/>
              </w:rPr>
              <w:t>NO</w:t>
            </w:r>
            <w:r>
              <w:rPr>
                <w:bCs/>
                <w:sz w:val="24"/>
                <w:vertAlign w:val="subscript"/>
              </w:rPr>
              <w:t>x</w:t>
            </w:r>
            <w:r>
              <w:rPr>
                <w:rFonts w:hint="eastAsia"/>
                <w:bCs/>
                <w:sz w:val="24"/>
              </w:rPr>
              <w:t>排放浓度以</w:t>
            </w:r>
            <w:r>
              <w:rPr>
                <w:bCs/>
                <w:sz w:val="24"/>
              </w:rPr>
              <w:t>210</w:t>
            </w:r>
            <w:r>
              <w:rPr>
                <w:rFonts w:hint="eastAsia"/>
                <w:bCs/>
                <w:sz w:val="24"/>
              </w:rPr>
              <w:t>mg</w:t>
            </w:r>
            <w:r>
              <w:rPr>
                <w:bCs/>
                <w:sz w:val="24"/>
              </w:rPr>
              <w:t>/m</w:t>
            </w:r>
            <w:r>
              <w:rPr>
                <w:bCs/>
                <w:sz w:val="24"/>
                <w:vertAlign w:val="superscript"/>
              </w:rPr>
              <w:t>3</w:t>
            </w:r>
            <w:r>
              <w:rPr>
                <w:rFonts w:hint="eastAsia"/>
                <w:bCs/>
                <w:sz w:val="24"/>
              </w:rPr>
              <w:t>计，C</w:t>
            </w:r>
            <w:r>
              <w:rPr>
                <w:bCs/>
                <w:sz w:val="24"/>
              </w:rPr>
              <w:t>O</w:t>
            </w:r>
            <w:r>
              <w:rPr>
                <w:rFonts w:hint="eastAsia"/>
                <w:bCs/>
                <w:sz w:val="24"/>
              </w:rPr>
              <w:t>排放浓度以</w:t>
            </w:r>
            <w:r>
              <w:rPr>
                <w:bCs/>
                <w:sz w:val="24"/>
              </w:rPr>
              <w:t>150</w:t>
            </w:r>
            <w:r>
              <w:rPr>
                <w:rFonts w:hint="eastAsia"/>
                <w:bCs/>
                <w:sz w:val="24"/>
              </w:rPr>
              <w:t>mg</w:t>
            </w:r>
            <w:r>
              <w:rPr>
                <w:bCs/>
                <w:sz w:val="24"/>
              </w:rPr>
              <w:t>/m</w:t>
            </w:r>
            <w:r>
              <w:rPr>
                <w:bCs/>
                <w:sz w:val="24"/>
                <w:vertAlign w:val="superscript"/>
              </w:rPr>
              <w:t>3</w:t>
            </w:r>
            <w:r>
              <w:rPr>
                <w:rFonts w:hint="eastAsia"/>
                <w:bCs/>
                <w:sz w:val="24"/>
              </w:rPr>
              <w:t>计，H</w:t>
            </w:r>
            <w:r>
              <w:rPr>
                <w:bCs/>
                <w:sz w:val="24"/>
              </w:rPr>
              <w:t>Cl</w:t>
            </w:r>
            <w:r>
              <w:rPr>
                <w:rFonts w:hint="eastAsia"/>
                <w:bCs/>
                <w:sz w:val="24"/>
              </w:rPr>
              <w:t>排放浓度以</w:t>
            </w:r>
            <w:r>
              <w:rPr>
                <w:bCs/>
                <w:sz w:val="24"/>
              </w:rPr>
              <w:t>10</w:t>
            </w:r>
            <w:r>
              <w:rPr>
                <w:rFonts w:hint="eastAsia"/>
                <w:bCs/>
                <w:sz w:val="24"/>
              </w:rPr>
              <w:t>mg</w:t>
            </w:r>
            <w:r>
              <w:rPr>
                <w:bCs/>
                <w:sz w:val="24"/>
              </w:rPr>
              <w:t>/m</w:t>
            </w:r>
            <w:r>
              <w:rPr>
                <w:bCs/>
                <w:sz w:val="24"/>
                <w:vertAlign w:val="superscript"/>
              </w:rPr>
              <w:t>3</w:t>
            </w:r>
            <w:r>
              <w:rPr>
                <w:rFonts w:hint="eastAsia"/>
                <w:bCs/>
                <w:sz w:val="24"/>
              </w:rPr>
              <w:t>计，二噁英排放浓度以</w:t>
            </w:r>
            <w:r>
              <w:rPr>
                <w:bCs/>
                <w:sz w:val="24"/>
              </w:rPr>
              <w:t>0.5</w:t>
            </w:r>
            <w:r>
              <w:rPr>
                <w:rFonts w:hint="eastAsia"/>
                <w:bCs/>
                <w:sz w:val="24"/>
              </w:rPr>
              <w:t>mg</w:t>
            </w:r>
            <w:r>
              <w:rPr>
                <w:bCs/>
                <w:sz w:val="24"/>
              </w:rPr>
              <w:t>/m</w:t>
            </w:r>
            <w:r>
              <w:rPr>
                <w:bCs/>
                <w:sz w:val="24"/>
                <w:vertAlign w:val="superscript"/>
              </w:rPr>
              <w:t>3</w:t>
            </w:r>
            <w:r>
              <w:rPr>
                <w:rFonts w:hint="eastAsia"/>
                <w:bCs/>
                <w:sz w:val="24"/>
              </w:rPr>
              <w:t>计，废气量以5</w:t>
            </w:r>
            <w:r>
              <w:rPr>
                <w:bCs/>
                <w:sz w:val="24"/>
              </w:rPr>
              <w:t>000Nm</w:t>
            </w:r>
            <w:r>
              <w:rPr>
                <w:bCs/>
                <w:sz w:val="24"/>
                <w:vertAlign w:val="superscript"/>
              </w:rPr>
              <w:t>3</w:t>
            </w:r>
            <w:r>
              <w:rPr>
                <w:bCs/>
                <w:sz w:val="24"/>
              </w:rPr>
              <w:t>/h</w:t>
            </w:r>
            <w:r>
              <w:rPr>
                <w:rFonts w:hint="eastAsia"/>
                <w:bCs/>
                <w:sz w:val="24"/>
              </w:rPr>
              <w:t>计；本项目遗物祭品焚烧炉烟气排放情况见下表。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 xml:space="preserve">-7  </w:t>
            </w:r>
            <w:r>
              <w:rPr>
                <w:rFonts w:hint="eastAsia" w:ascii="黑体" w:hAnsi="黑体" w:eastAsia="黑体"/>
                <w:bCs/>
                <w:sz w:val="24"/>
              </w:rPr>
              <w:t>本项目遗物祭品焚烧炉烟气排放情况一览表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158"/>
              <w:gridCol w:w="1394"/>
              <w:gridCol w:w="1392"/>
              <w:gridCol w:w="1303"/>
              <w:gridCol w:w="130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Align w:val="center"/>
                </w:tcPr>
                <w:p>
                  <w:pPr>
                    <w:jc w:val="center"/>
                    <w:rPr>
                      <w:szCs w:val="21"/>
                    </w:rPr>
                  </w:pPr>
                  <w:r>
                    <w:rPr>
                      <w:rFonts w:hint="eastAsia"/>
                      <w:szCs w:val="21"/>
                    </w:rPr>
                    <w:t>污染源</w:t>
                  </w:r>
                </w:p>
              </w:tc>
              <w:tc>
                <w:tcPr>
                  <w:tcW w:w="672" w:type="pct"/>
                  <w:vAlign w:val="center"/>
                </w:tcPr>
                <w:p>
                  <w:pPr>
                    <w:jc w:val="center"/>
                    <w:rPr>
                      <w:szCs w:val="21"/>
                    </w:rPr>
                  </w:pPr>
                  <w:r>
                    <w:rPr>
                      <w:rFonts w:hint="eastAsia"/>
                      <w:szCs w:val="21"/>
                    </w:rPr>
                    <w:t>废气量m</w:t>
                  </w:r>
                  <w:r>
                    <w:rPr>
                      <w:rFonts w:hint="eastAsia"/>
                      <w:szCs w:val="21"/>
                      <w:vertAlign w:val="superscript"/>
                    </w:rPr>
                    <w:t>3</w:t>
                  </w:r>
                  <w:r>
                    <w:rPr>
                      <w:rFonts w:hint="eastAsia"/>
                      <w:szCs w:val="21"/>
                    </w:rPr>
                    <w:t>/h</w:t>
                  </w:r>
                </w:p>
              </w:tc>
              <w:tc>
                <w:tcPr>
                  <w:tcW w:w="809" w:type="pct"/>
                  <w:vAlign w:val="center"/>
                </w:tcPr>
                <w:p>
                  <w:pPr>
                    <w:jc w:val="center"/>
                    <w:rPr>
                      <w:szCs w:val="21"/>
                    </w:rPr>
                  </w:pPr>
                  <w:r>
                    <w:rPr>
                      <w:rFonts w:hint="eastAsia"/>
                      <w:szCs w:val="21"/>
                    </w:rPr>
                    <w:t>污染物名称</w:t>
                  </w:r>
                </w:p>
              </w:tc>
              <w:tc>
                <w:tcPr>
                  <w:tcW w:w="808" w:type="pct"/>
                  <w:vAlign w:val="center"/>
                </w:tcPr>
                <w:p>
                  <w:pPr>
                    <w:jc w:val="center"/>
                    <w:rPr>
                      <w:szCs w:val="21"/>
                    </w:rPr>
                  </w:pPr>
                  <w:r>
                    <w:rPr>
                      <w:rFonts w:hint="eastAsia"/>
                      <w:szCs w:val="21"/>
                    </w:rPr>
                    <w:t>排放浓度</w:t>
                  </w:r>
                </w:p>
                <w:p>
                  <w:pPr>
                    <w:jc w:val="center"/>
                    <w:rPr>
                      <w:szCs w:val="21"/>
                    </w:rPr>
                  </w:pPr>
                  <w:r>
                    <w:rPr>
                      <w:rFonts w:hint="eastAsia"/>
                      <w:szCs w:val="21"/>
                    </w:rPr>
                    <w:t>mg/m</w:t>
                  </w:r>
                  <w:r>
                    <w:rPr>
                      <w:rFonts w:hint="eastAsia"/>
                      <w:szCs w:val="21"/>
                      <w:vertAlign w:val="superscript"/>
                    </w:rPr>
                    <w:t>3</w:t>
                  </w:r>
                </w:p>
              </w:tc>
              <w:tc>
                <w:tcPr>
                  <w:tcW w:w="756" w:type="pct"/>
                  <w:vAlign w:val="center"/>
                </w:tcPr>
                <w:p>
                  <w:pPr>
                    <w:jc w:val="center"/>
                    <w:rPr>
                      <w:szCs w:val="21"/>
                    </w:rPr>
                  </w:pPr>
                  <w:r>
                    <w:rPr>
                      <w:rFonts w:hint="eastAsia"/>
                      <w:szCs w:val="21"/>
                    </w:rPr>
                    <w:t>排放标准</w:t>
                  </w:r>
                </w:p>
              </w:tc>
              <w:tc>
                <w:tcPr>
                  <w:tcW w:w="756" w:type="pct"/>
                  <w:vAlign w:val="center"/>
                </w:tcPr>
                <w:p>
                  <w:pPr>
                    <w:jc w:val="center"/>
                    <w:rPr>
                      <w:szCs w:val="21"/>
                    </w:rPr>
                  </w:pPr>
                  <w:r>
                    <w:rPr>
                      <w:rFonts w:hint="eastAsia"/>
                      <w:szCs w:val="21"/>
                    </w:rPr>
                    <w:t>排放速率</w:t>
                  </w:r>
                </w:p>
                <w:p>
                  <w:pPr>
                    <w:jc w:val="center"/>
                    <w:rPr>
                      <w:szCs w:val="21"/>
                    </w:rPr>
                  </w:pPr>
                  <w:r>
                    <w:rPr>
                      <w:rFonts w:hint="eastAsia"/>
                      <w:szCs w:val="21"/>
                    </w:rPr>
                    <w:t>kg/h</w:t>
                  </w:r>
                </w:p>
              </w:tc>
              <w:tc>
                <w:tcPr>
                  <w:tcW w:w="679" w:type="pct"/>
                  <w:vAlign w:val="center"/>
                </w:tcPr>
                <w:p>
                  <w:pPr>
                    <w:jc w:val="center"/>
                    <w:rPr>
                      <w:szCs w:val="21"/>
                    </w:rPr>
                  </w:pPr>
                  <w:r>
                    <w:rPr>
                      <w:rFonts w:hint="eastAsia"/>
                      <w:szCs w:val="21"/>
                    </w:rPr>
                    <w:t>排放量</w:t>
                  </w:r>
                </w:p>
                <w:p>
                  <w:pPr>
                    <w:jc w:val="center"/>
                    <w:rPr>
                      <w:szCs w:val="21"/>
                    </w:rPr>
                  </w:pPr>
                  <w:r>
                    <w:rPr>
                      <w:rFonts w:hint="eastAsia"/>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0" w:type="pct"/>
                  <w:vMerge w:val="restart"/>
                  <w:vAlign w:val="center"/>
                </w:tcPr>
                <w:p>
                  <w:pPr>
                    <w:jc w:val="center"/>
                    <w:rPr>
                      <w:szCs w:val="21"/>
                    </w:rPr>
                  </w:pPr>
                  <w:r>
                    <w:rPr>
                      <w:rFonts w:hint="eastAsia"/>
                      <w:szCs w:val="21"/>
                    </w:rPr>
                    <w:t>遗物祭品焚烧烟气排气筒D</w:t>
                  </w:r>
                  <w:r>
                    <w:rPr>
                      <w:szCs w:val="21"/>
                    </w:rPr>
                    <w:t>A004</w:t>
                  </w:r>
                </w:p>
              </w:tc>
              <w:tc>
                <w:tcPr>
                  <w:tcW w:w="672" w:type="pct"/>
                  <w:vMerge w:val="restart"/>
                  <w:vAlign w:val="center"/>
                </w:tcPr>
                <w:p>
                  <w:pPr>
                    <w:jc w:val="center"/>
                    <w:rPr>
                      <w:szCs w:val="21"/>
                    </w:rPr>
                  </w:pPr>
                  <w:r>
                    <w:rPr>
                      <w:szCs w:val="21"/>
                    </w:rPr>
                    <w:t>5</w:t>
                  </w:r>
                  <w:r>
                    <w:rPr>
                      <w:rFonts w:hint="eastAsia"/>
                      <w:szCs w:val="21"/>
                    </w:rPr>
                    <w:t>000</w:t>
                  </w:r>
                </w:p>
                <w:p>
                  <w:pPr>
                    <w:jc w:val="center"/>
                    <w:rPr>
                      <w:szCs w:val="21"/>
                    </w:rPr>
                  </w:pPr>
                  <w:r>
                    <w:rPr>
                      <w:rFonts w:hint="eastAsia"/>
                      <w:szCs w:val="21"/>
                    </w:rPr>
                    <w:t>(年排放</w:t>
                  </w:r>
                </w:p>
                <w:p>
                  <w:pPr>
                    <w:jc w:val="center"/>
                    <w:rPr>
                      <w:szCs w:val="21"/>
                    </w:rPr>
                  </w:pPr>
                  <w:r>
                    <w:rPr>
                      <w:rFonts w:hint="eastAsia"/>
                      <w:szCs w:val="21"/>
                    </w:rPr>
                    <w:t>时间</w:t>
                  </w:r>
                  <w:r>
                    <w:rPr>
                      <w:szCs w:val="21"/>
                    </w:rPr>
                    <w:t>1460</w:t>
                  </w:r>
                  <w:r>
                    <w:rPr>
                      <w:rFonts w:hint="eastAsia"/>
                      <w:szCs w:val="21"/>
                    </w:rPr>
                    <w:t>h/a</w:t>
                  </w:r>
                  <w:r>
                    <w:rPr>
                      <w:szCs w:val="21"/>
                    </w:rPr>
                    <w:t>)</w:t>
                  </w:r>
                </w:p>
              </w:tc>
              <w:tc>
                <w:tcPr>
                  <w:tcW w:w="809" w:type="pct"/>
                  <w:vAlign w:val="center"/>
                </w:tcPr>
                <w:p>
                  <w:pPr>
                    <w:pStyle w:val="55"/>
                    <w:spacing w:line="240" w:lineRule="auto"/>
                    <w:rPr>
                      <w:szCs w:val="21"/>
                    </w:rPr>
                  </w:pPr>
                  <w:r>
                    <w:rPr>
                      <w:b w:val="0"/>
                      <w:bCs/>
                      <w:szCs w:val="21"/>
                    </w:rPr>
                    <w:t>烟尘</w:t>
                  </w:r>
                </w:p>
              </w:tc>
              <w:tc>
                <w:tcPr>
                  <w:tcW w:w="808" w:type="pct"/>
                  <w:vAlign w:val="center"/>
                </w:tcPr>
                <w:p>
                  <w:pPr>
                    <w:jc w:val="center"/>
                    <w:rPr>
                      <w:bCs/>
                      <w:szCs w:val="21"/>
                    </w:rPr>
                  </w:pPr>
                  <w:r>
                    <w:rPr>
                      <w:bCs/>
                      <w:szCs w:val="21"/>
                    </w:rPr>
                    <w:t>40</w:t>
                  </w:r>
                </w:p>
              </w:tc>
              <w:tc>
                <w:tcPr>
                  <w:tcW w:w="756" w:type="pct"/>
                  <w:vAlign w:val="center"/>
                </w:tcPr>
                <w:p>
                  <w:pPr>
                    <w:jc w:val="center"/>
                    <w:rPr>
                      <w:bCs/>
                      <w:szCs w:val="21"/>
                    </w:rPr>
                  </w:pPr>
                  <w:r>
                    <w:rPr>
                      <w:rFonts w:hint="eastAsia"/>
                      <w:bCs/>
                      <w:szCs w:val="21"/>
                    </w:rPr>
                    <w:t>8</w:t>
                  </w:r>
                  <w:r>
                    <w:rPr>
                      <w:bCs/>
                      <w:szCs w:val="21"/>
                    </w:rPr>
                    <w:t>0</w:t>
                  </w:r>
                </w:p>
              </w:tc>
              <w:tc>
                <w:tcPr>
                  <w:tcW w:w="756" w:type="pct"/>
                  <w:vAlign w:val="center"/>
                </w:tcPr>
                <w:p>
                  <w:pPr>
                    <w:jc w:val="center"/>
                    <w:rPr>
                      <w:szCs w:val="21"/>
                    </w:rPr>
                  </w:pPr>
                  <w:r>
                    <w:rPr>
                      <w:rFonts w:hint="eastAsia"/>
                      <w:szCs w:val="21"/>
                    </w:rPr>
                    <w:t>0</w:t>
                  </w:r>
                  <w:r>
                    <w:rPr>
                      <w:szCs w:val="21"/>
                    </w:rPr>
                    <w:t>.2</w:t>
                  </w:r>
                </w:p>
              </w:tc>
              <w:tc>
                <w:tcPr>
                  <w:tcW w:w="679" w:type="pct"/>
                  <w:vAlign w:val="center"/>
                </w:tcPr>
                <w:p>
                  <w:pPr>
                    <w:jc w:val="center"/>
                    <w:rPr>
                      <w:szCs w:val="21"/>
                    </w:rPr>
                  </w:pPr>
                  <w:r>
                    <w:rPr>
                      <w:rFonts w:hint="eastAsia"/>
                      <w:szCs w:val="21"/>
                    </w:rPr>
                    <w:t>0</w:t>
                  </w:r>
                  <w:r>
                    <w:rPr>
                      <w:szCs w:val="21"/>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SO</w:t>
                  </w:r>
                  <w:r>
                    <w:rPr>
                      <w:b w:val="0"/>
                      <w:bCs/>
                      <w:szCs w:val="21"/>
                      <w:vertAlign w:val="subscript"/>
                    </w:rPr>
                    <w:t>2</w:t>
                  </w:r>
                </w:p>
              </w:tc>
              <w:tc>
                <w:tcPr>
                  <w:tcW w:w="808" w:type="pct"/>
                  <w:vAlign w:val="center"/>
                </w:tcPr>
                <w:p>
                  <w:pPr>
                    <w:jc w:val="center"/>
                    <w:rPr>
                      <w:bCs/>
                      <w:szCs w:val="21"/>
                    </w:rPr>
                  </w:pPr>
                  <w:r>
                    <w:rPr>
                      <w:bCs/>
                      <w:szCs w:val="21"/>
                    </w:rPr>
                    <w:t>70</w:t>
                  </w:r>
                </w:p>
              </w:tc>
              <w:tc>
                <w:tcPr>
                  <w:tcW w:w="756" w:type="pct"/>
                  <w:vAlign w:val="center"/>
                </w:tcPr>
                <w:p>
                  <w:pPr>
                    <w:jc w:val="center"/>
                    <w:rPr>
                      <w:bCs/>
                      <w:szCs w:val="21"/>
                    </w:rPr>
                  </w:pPr>
                  <w:r>
                    <w:rPr>
                      <w:rFonts w:hint="eastAsia"/>
                      <w:bCs/>
                      <w:szCs w:val="21"/>
                    </w:rPr>
                    <w:t>1</w:t>
                  </w:r>
                  <w:r>
                    <w:rPr>
                      <w:bCs/>
                      <w:szCs w:val="21"/>
                    </w:rPr>
                    <w:t>00</w:t>
                  </w:r>
                </w:p>
              </w:tc>
              <w:tc>
                <w:tcPr>
                  <w:tcW w:w="756" w:type="pct"/>
                  <w:vAlign w:val="center"/>
                </w:tcPr>
                <w:p>
                  <w:pPr>
                    <w:jc w:val="center"/>
                    <w:rPr>
                      <w:szCs w:val="21"/>
                    </w:rPr>
                  </w:pPr>
                  <w:r>
                    <w:rPr>
                      <w:rFonts w:hint="eastAsia"/>
                      <w:szCs w:val="21"/>
                    </w:rPr>
                    <w:t>0</w:t>
                  </w:r>
                  <w:r>
                    <w:rPr>
                      <w:szCs w:val="21"/>
                    </w:rPr>
                    <w:t>.35</w:t>
                  </w:r>
                </w:p>
              </w:tc>
              <w:tc>
                <w:tcPr>
                  <w:tcW w:w="679" w:type="pct"/>
                  <w:vAlign w:val="center"/>
                </w:tcPr>
                <w:p>
                  <w:pPr>
                    <w:jc w:val="center"/>
                    <w:rPr>
                      <w:szCs w:val="21"/>
                    </w:rPr>
                  </w:pPr>
                  <w:r>
                    <w:rPr>
                      <w:rFonts w:hint="eastAsia"/>
                      <w:szCs w:val="21"/>
                    </w:rPr>
                    <w:t>0</w:t>
                  </w:r>
                  <w:r>
                    <w:rPr>
                      <w:szCs w:val="21"/>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NO</w:t>
                  </w:r>
                  <w:r>
                    <w:rPr>
                      <w:b w:val="0"/>
                      <w:bCs/>
                      <w:szCs w:val="21"/>
                      <w:vertAlign w:val="subscript"/>
                    </w:rPr>
                    <w:t>X</w:t>
                  </w:r>
                </w:p>
              </w:tc>
              <w:tc>
                <w:tcPr>
                  <w:tcW w:w="808" w:type="pct"/>
                  <w:vAlign w:val="center"/>
                </w:tcPr>
                <w:p>
                  <w:pPr>
                    <w:jc w:val="center"/>
                    <w:rPr>
                      <w:bCs/>
                      <w:szCs w:val="21"/>
                    </w:rPr>
                  </w:pPr>
                  <w:r>
                    <w:rPr>
                      <w:bCs/>
                      <w:szCs w:val="21"/>
                    </w:rPr>
                    <w:t>220</w:t>
                  </w:r>
                </w:p>
              </w:tc>
              <w:tc>
                <w:tcPr>
                  <w:tcW w:w="756" w:type="pct"/>
                  <w:vAlign w:val="center"/>
                </w:tcPr>
                <w:p>
                  <w:pPr>
                    <w:jc w:val="center"/>
                    <w:rPr>
                      <w:bCs/>
                      <w:szCs w:val="21"/>
                    </w:rPr>
                  </w:pPr>
                  <w:r>
                    <w:rPr>
                      <w:rFonts w:hint="eastAsia"/>
                      <w:bCs/>
                      <w:szCs w:val="21"/>
                    </w:rPr>
                    <w:t>3</w:t>
                  </w:r>
                  <w:r>
                    <w:rPr>
                      <w:bCs/>
                      <w:szCs w:val="21"/>
                    </w:rPr>
                    <w:t>00</w:t>
                  </w:r>
                </w:p>
              </w:tc>
              <w:tc>
                <w:tcPr>
                  <w:tcW w:w="756" w:type="pct"/>
                  <w:vAlign w:val="center"/>
                </w:tcPr>
                <w:p>
                  <w:pPr>
                    <w:jc w:val="center"/>
                    <w:rPr>
                      <w:szCs w:val="21"/>
                    </w:rPr>
                  </w:pPr>
                  <w:r>
                    <w:rPr>
                      <w:rFonts w:hint="eastAsia"/>
                      <w:szCs w:val="21"/>
                    </w:rPr>
                    <w:t>1</w:t>
                  </w:r>
                  <w:r>
                    <w:rPr>
                      <w:szCs w:val="21"/>
                    </w:rPr>
                    <w:t>.1</w:t>
                  </w:r>
                </w:p>
              </w:tc>
              <w:tc>
                <w:tcPr>
                  <w:tcW w:w="679" w:type="pct"/>
                  <w:vAlign w:val="center"/>
                </w:tcPr>
                <w:p>
                  <w:pPr>
                    <w:jc w:val="center"/>
                    <w:rPr>
                      <w:szCs w:val="21"/>
                    </w:rPr>
                  </w:pPr>
                  <w:r>
                    <w:rPr>
                      <w:rFonts w:hint="eastAsia"/>
                      <w:szCs w:val="21"/>
                    </w:rPr>
                    <w:t>1</w:t>
                  </w:r>
                  <w:r>
                    <w:rPr>
                      <w:szCs w:val="21"/>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CO</w:t>
                  </w:r>
                </w:p>
              </w:tc>
              <w:tc>
                <w:tcPr>
                  <w:tcW w:w="808" w:type="pct"/>
                  <w:vAlign w:val="center"/>
                </w:tcPr>
                <w:p>
                  <w:pPr>
                    <w:jc w:val="center"/>
                    <w:rPr>
                      <w:bCs/>
                      <w:szCs w:val="21"/>
                    </w:rPr>
                  </w:pPr>
                  <w:r>
                    <w:rPr>
                      <w:bCs/>
                      <w:szCs w:val="21"/>
                    </w:rPr>
                    <w:t>150</w:t>
                  </w:r>
                </w:p>
              </w:tc>
              <w:tc>
                <w:tcPr>
                  <w:tcW w:w="756" w:type="pct"/>
                  <w:vAlign w:val="center"/>
                </w:tcPr>
                <w:p>
                  <w:pPr>
                    <w:jc w:val="center"/>
                    <w:rPr>
                      <w:bCs/>
                      <w:szCs w:val="21"/>
                    </w:rPr>
                  </w:pPr>
                  <w:r>
                    <w:rPr>
                      <w:rFonts w:hint="eastAsia"/>
                      <w:bCs/>
                      <w:szCs w:val="21"/>
                    </w:rPr>
                    <w:t>2</w:t>
                  </w:r>
                  <w:r>
                    <w:rPr>
                      <w:bCs/>
                      <w:szCs w:val="21"/>
                    </w:rPr>
                    <w:t>00</w:t>
                  </w:r>
                </w:p>
              </w:tc>
              <w:tc>
                <w:tcPr>
                  <w:tcW w:w="756" w:type="pct"/>
                  <w:vAlign w:val="center"/>
                </w:tcPr>
                <w:p>
                  <w:pPr>
                    <w:jc w:val="center"/>
                    <w:rPr>
                      <w:szCs w:val="21"/>
                    </w:rPr>
                  </w:pPr>
                  <w:r>
                    <w:rPr>
                      <w:rFonts w:hint="eastAsia"/>
                      <w:szCs w:val="21"/>
                    </w:rPr>
                    <w:t>0</w:t>
                  </w:r>
                  <w:r>
                    <w:rPr>
                      <w:szCs w:val="21"/>
                    </w:rPr>
                    <w:t>.75</w:t>
                  </w:r>
                </w:p>
              </w:tc>
              <w:tc>
                <w:tcPr>
                  <w:tcW w:w="679" w:type="pct"/>
                  <w:vAlign w:val="center"/>
                </w:tcPr>
                <w:p>
                  <w:pPr>
                    <w:jc w:val="center"/>
                    <w:rPr>
                      <w:szCs w:val="21"/>
                    </w:rPr>
                  </w:pPr>
                  <w:r>
                    <w:rPr>
                      <w:rFonts w:hint="eastAsia"/>
                      <w:szCs w:val="21"/>
                    </w:rPr>
                    <w:t>1</w:t>
                  </w:r>
                  <w:r>
                    <w:rPr>
                      <w:szCs w:val="21"/>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H</w:t>
                  </w:r>
                  <w:r>
                    <w:rPr>
                      <w:rFonts w:hint="eastAsia"/>
                      <w:b w:val="0"/>
                      <w:bCs/>
                      <w:szCs w:val="21"/>
                    </w:rPr>
                    <w:t>Cl</w:t>
                  </w:r>
                </w:p>
              </w:tc>
              <w:tc>
                <w:tcPr>
                  <w:tcW w:w="808" w:type="pct"/>
                  <w:vAlign w:val="center"/>
                </w:tcPr>
                <w:p>
                  <w:pPr>
                    <w:jc w:val="center"/>
                    <w:rPr>
                      <w:bCs/>
                      <w:szCs w:val="21"/>
                    </w:rPr>
                  </w:pPr>
                  <w:r>
                    <w:rPr>
                      <w:bCs/>
                      <w:szCs w:val="21"/>
                    </w:rPr>
                    <w:t>10</w:t>
                  </w:r>
                </w:p>
              </w:tc>
              <w:tc>
                <w:tcPr>
                  <w:tcW w:w="756" w:type="pct"/>
                  <w:vAlign w:val="center"/>
                </w:tcPr>
                <w:p>
                  <w:pPr>
                    <w:jc w:val="center"/>
                    <w:rPr>
                      <w:bCs/>
                      <w:szCs w:val="21"/>
                    </w:rPr>
                  </w:pPr>
                  <w:r>
                    <w:rPr>
                      <w:rFonts w:hint="eastAsia"/>
                      <w:bCs/>
                      <w:szCs w:val="21"/>
                    </w:rPr>
                    <w:t>5</w:t>
                  </w:r>
                  <w:r>
                    <w:rPr>
                      <w:bCs/>
                      <w:szCs w:val="21"/>
                    </w:rPr>
                    <w:t>0</w:t>
                  </w:r>
                </w:p>
              </w:tc>
              <w:tc>
                <w:tcPr>
                  <w:tcW w:w="756" w:type="pct"/>
                  <w:vAlign w:val="center"/>
                </w:tcPr>
                <w:p>
                  <w:pPr>
                    <w:jc w:val="center"/>
                    <w:rPr>
                      <w:szCs w:val="21"/>
                    </w:rPr>
                  </w:pPr>
                  <w:r>
                    <w:rPr>
                      <w:rFonts w:hint="eastAsia"/>
                      <w:szCs w:val="21"/>
                    </w:rPr>
                    <w:t>0</w:t>
                  </w:r>
                  <w:r>
                    <w:rPr>
                      <w:szCs w:val="21"/>
                    </w:rPr>
                    <w:t>.05</w:t>
                  </w:r>
                </w:p>
              </w:tc>
              <w:tc>
                <w:tcPr>
                  <w:tcW w:w="679" w:type="pct"/>
                  <w:vAlign w:val="center"/>
                </w:tcPr>
                <w:p>
                  <w:pPr>
                    <w:jc w:val="center"/>
                    <w:rPr>
                      <w:szCs w:val="21"/>
                    </w:rPr>
                  </w:pPr>
                  <w:r>
                    <w:rPr>
                      <w:rFonts w:hint="eastAsia"/>
                      <w:szCs w:val="21"/>
                    </w:rPr>
                    <w:t>0</w:t>
                  </w:r>
                  <w:r>
                    <w:rPr>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0" w:type="pct"/>
                  <w:vMerge w:val="continue"/>
                  <w:vAlign w:val="center"/>
                </w:tcPr>
                <w:p>
                  <w:pPr>
                    <w:jc w:val="center"/>
                    <w:rPr>
                      <w:szCs w:val="21"/>
                    </w:rPr>
                  </w:pPr>
                </w:p>
              </w:tc>
              <w:tc>
                <w:tcPr>
                  <w:tcW w:w="672" w:type="pct"/>
                  <w:vMerge w:val="continue"/>
                  <w:vAlign w:val="center"/>
                </w:tcPr>
                <w:p>
                  <w:pPr>
                    <w:jc w:val="center"/>
                    <w:rPr>
                      <w:szCs w:val="21"/>
                    </w:rPr>
                  </w:pPr>
                </w:p>
              </w:tc>
              <w:tc>
                <w:tcPr>
                  <w:tcW w:w="809" w:type="pct"/>
                  <w:vAlign w:val="center"/>
                </w:tcPr>
                <w:p>
                  <w:pPr>
                    <w:pStyle w:val="55"/>
                    <w:spacing w:line="240" w:lineRule="auto"/>
                    <w:rPr>
                      <w:szCs w:val="21"/>
                    </w:rPr>
                  </w:pPr>
                  <w:r>
                    <w:rPr>
                      <w:b w:val="0"/>
                      <w:bCs/>
                      <w:szCs w:val="21"/>
                    </w:rPr>
                    <w:t>二噁英类</w:t>
                  </w:r>
                </w:p>
              </w:tc>
              <w:tc>
                <w:tcPr>
                  <w:tcW w:w="808" w:type="pct"/>
                  <w:vAlign w:val="center"/>
                </w:tcPr>
                <w:p>
                  <w:pPr>
                    <w:jc w:val="center"/>
                    <w:rPr>
                      <w:szCs w:val="21"/>
                    </w:rPr>
                  </w:pPr>
                  <w:r>
                    <w:rPr>
                      <w:rFonts w:hint="eastAsia"/>
                      <w:szCs w:val="21"/>
                    </w:rPr>
                    <w:t>0.</w:t>
                  </w:r>
                  <w:r>
                    <w:rPr>
                      <w:szCs w:val="21"/>
                    </w:rPr>
                    <w:t>5</w:t>
                  </w:r>
                </w:p>
                <w:p>
                  <w:pPr>
                    <w:jc w:val="center"/>
                    <w:rPr>
                      <w:szCs w:val="21"/>
                    </w:rPr>
                  </w:pPr>
                  <w:r>
                    <w:rPr>
                      <w:rFonts w:hint="eastAsia"/>
                      <w:bCs/>
                      <w:szCs w:val="21"/>
                    </w:rPr>
                    <w:t>ng TEQ/m</w:t>
                  </w:r>
                  <w:r>
                    <w:rPr>
                      <w:rFonts w:hint="eastAsia"/>
                      <w:bCs/>
                      <w:szCs w:val="21"/>
                      <w:vertAlign w:val="superscript"/>
                    </w:rPr>
                    <w:t>3</w:t>
                  </w:r>
                </w:p>
              </w:tc>
              <w:tc>
                <w:tcPr>
                  <w:tcW w:w="756" w:type="pct"/>
                  <w:vAlign w:val="center"/>
                </w:tcPr>
                <w:p>
                  <w:pPr>
                    <w:jc w:val="center"/>
                    <w:rPr>
                      <w:bCs/>
                      <w:szCs w:val="21"/>
                    </w:rPr>
                  </w:pPr>
                  <w:r>
                    <w:rPr>
                      <w:szCs w:val="21"/>
                    </w:rPr>
                    <w:t>1.0</w:t>
                  </w:r>
                  <w:r>
                    <w:rPr>
                      <w:rFonts w:hint="eastAsia"/>
                      <w:bCs/>
                      <w:szCs w:val="21"/>
                    </w:rPr>
                    <w:t xml:space="preserve"> ng</w:t>
                  </w:r>
                </w:p>
                <w:p>
                  <w:pPr>
                    <w:jc w:val="center"/>
                    <w:rPr>
                      <w:szCs w:val="21"/>
                    </w:rPr>
                  </w:pPr>
                  <w:r>
                    <w:rPr>
                      <w:rFonts w:hint="eastAsia"/>
                      <w:bCs/>
                      <w:szCs w:val="21"/>
                    </w:rPr>
                    <w:t>TEQ/m</w:t>
                  </w:r>
                  <w:r>
                    <w:rPr>
                      <w:rFonts w:hint="eastAsia"/>
                      <w:bCs/>
                      <w:szCs w:val="21"/>
                      <w:vertAlign w:val="superscript"/>
                    </w:rPr>
                    <w:t>3</w:t>
                  </w:r>
                </w:p>
              </w:tc>
              <w:tc>
                <w:tcPr>
                  <w:tcW w:w="756" w:type="pct"/>
                  <w:vAlign w:val="center"/>
                </w:tcPr>
                <w:p>
                  <w:pPr>
                    <w:jc w:val="center"/>
                    <w:rPr>
                      <w:szCs w:val="21"/>
                    </w:rPr>
                  </w:pPr>
                  <w:r>
                    <w:rPr>
                      <w:szCs w:val="21"/>
                    </w:rPr>
                    <w:t>2500 ng</w:t>
                  </w:r>
                </w:p>
                <w:p>
                  <w:pPr>
                    <w:jc w:val="center"/>
                    <w:rPr>
                      <w:szCs w:val="21"/>
                    </w:rPr>
                  </w:pPr>
                  <w:r>
                    <w:rPr>
                      <w:szCs w:val="21"/>
                    </w:rPr>
                    <w:t>TEQ/h</w:t>
                  </w:r>
                </w:p>
              </w:tc>
              <w:tc>
                <w:tcPr>
                  <w:tcW w:w="679" w:type="pct"/>
                  <w:vAlign w:val="center"/>
                </w:tcPr>
                <w:p>
                  <w:pPr>
                    <w:jc w:val="center"/>
                    <w:rPr>
                      <w:szCs w:val="21"/>
                    </w:rPr>
                  </w:pPr>
                  <w:r>
                    <w:rPr>
                      <w:szCs w:val="21"/>
                    </w:rPr>
                    <w:t>3.65</w:t>
                  </w:r>
                </w:p>
                <w:p>
                  <w:pPr>
                    <w:jc w:val="center"/>
                    <w:rPr>
                      <w:szCs w:val="21"/>
                    </w:rPr>
                  </w:pPr>
                  <w:r>
                    <w:rPr>
                      <w:kern w:val="0"/>
                      <w:szCs w:val="21"/>
                      <w:lang w:bidi="ar"/>
                    </w:rPr>
                    <w:t>mg</w:t>
                  </w:r>
                  <w:r>
                    <w:rPr>
                      <w:bCs/>
                      <w:szCs w:val="21"/>
                    </w:rPr>
                    <w:t>TEQ</w:t>
                  </w:r>
                  <w:r>
                    <w:rPr>
                      <w:rFonts w:hint="eastAsia"/>
                      <w:bCs/>
                      <w:szCs w:val="21"/>
                    </w:rPr>
                    <w:t>/a</w:t>
                  </w:r>
                </w:p>
              </w:tc>
            </w:tr>
          </w:tbl>
          <w:p>
            <w:pPr>
              <w:adjustRightInd w:val="0"/>
              <w:snapToGrid w:val="0"/>
              <w:spacing w:line="480" w:lineRule="exact"/>
              <w:ind w:firstLine="480" w:firstLineChars="200"/>
              <w:rPr>
                <w:bCs/>
                <w:sz w:val="24"/>
              </w:rPr>
            </w:pPr>
            <w:r>
              <w:rPr>
                <w:rFonts w:hint="eastAsia"/>
                <w:bCs/>
                <w:sz w:val="24"/>
              </w:rPr>
              <w:t>综上所述，本项目遗物祭品焚烧间配备1台遗物祭品焚烧炉，燃料采用0#</w:t>
            </w:r>
            <w:r>
              <w:rPr>
                <w:bCs/>
                <w:sz w:val="24"/>
              </w:rPr>
              <w:t>-30</w:t>
            </w:r>
            <w:r>
              <w:rPr>
                <w:rFonts w:hint="eastAsia"/>
                <w:bCs/>
                <w:sz w:val="24"/>
              </w:rPr>
              <w:t>#轻质柴油；遗物祭品焚烧炉单独配置一套废气处理设施+1根1</w:t>
            </w:r>
            <w:r>
              <w:rPr>
                <w:bCs/>
                <w:sz w:val="24"/>
              </w:rPr>
              <w:t>2m</w:t>
            </w:r>
            <w:r>
              <w:rPr>
                <w:rFonts w:hint="eastAsia"/>
                <w:bCs/>
                <w:sz w:val="24"/>
              </w:rPr>
              <w:t>高排气筒。尾气处理设施采取</w:t>
            </w:r>
            <w:r>
              <w:rPr>
                <w:bCs/>
                <w:sz w:val="24"/>
              </w:rPr>
              <w:t>急冷装置+</w:t>
            </w:r>
            <w:r>
              <w:rPr>
                <w:rFonts w:hint="eastAsia"/>
                <w:bCs/>
                <w:sz w:val="24"/>
              </w:rPr>
              <w:t>半干法脱硫</w:t>
            </w:r>
            <w:r>
              <w:rPr>
                <w:bCs/>
                <w:sz w:val="24"/>
              </w:rPr>
              <w:t>+旋风离心器+活性炭喷射+布袋除尘器</w:t>
            </w:r>
            <w:r>
              <w:rPr>
                <w:rFonts w:hint="eastAsia"/>
                <w:bCs/>
                <w:sz w:val="24"/>
              </w:rPr>
              <w:t>组合方案，遗体火化烟气经尾气处理设施净化后由1</w:t>
            </w:r>
            <w:r>
              <w:rPr>
                <w:bCs/>
                <w:sz w:val="24"/>
              </w:rPr>
              <w:t>2</w:t>
            </w:r>
            <w:r>
              <w:rPr>
                <w:rFonts w:hint="eastAsia"/>
                <w:bCs/>
                <w:sz w:val="24"/>
              </w:rPr>
              <w:t>m高排气筒（D</w:t>
            </w:r>
            <w:r>
              <w:rPr>
                <w:bCs/>
                <w:sz w:val="24"/>
              </w:rPr>
              <w:t>A004</w:t>
            </w:r>
            <w:r>
              <w:rPr>
                <w:rFonts w:hint="eastAsia"/>
                <w:bCs/>
                <w:sz w:val="24"/>
              </w:rPr>
              <w:t>）外排；烟气中烟尘、S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l、二噁英类的排放浓度可满足《火葬场大气污染物排放标准》（GB13801-2015）中表</w:t>
            </w:r>
            <w:r>
              <w:rPr>
                <w:bCs/>
                <w:sz w:val="24"/>
              </w:rPr>
              <w:t>3</w:t>
            </w:r>
            <w:r>
              <w:rPr>
                <w:rFonts w:hint="eastAsia"/>
                <w:bCs/>
                <w:sz w:val="24"/>
              </w:rPr>
              <w:t>遗物祭品焚烧大气污染物排放限值要求；其中烟尘排放量为0</w:t>
            </w:r>
            <w:r>
              <w:rPr>
                <w:bCs/>
                <w:sz w:val="24"/>
              </w:rPr>
              <w:t>.292</w:t>
            </w:r>
            <w:r>
              <w:rPr>
                <w:rFonts w:hint="eastAsia"/>
                <w:bCs/>
                <w:sz w:val="24"/>
              </w:rPr>
              <w:t>t/a，S</w:t>
            </w:r>
            <w:r>
              <w:rPr>
                <w:bCs/>
                <w:sz w:val="24"/>
              </w:rPr>
              <w:t>O</w:t>
            </w:r>
            <w:r>
              <w:rPr>
                <w:bCs/>
                <w:sz w:val="24"/>
                <w:vertAlign w:val="subscript"/>
              </w:rPr>
              <w:t>2</w:t>
            </w:r>
            <w:r>
              <w:rPr>
                <w:rFonts w:hint="eastAsia"/>
                <w:bCs/>
                <w:sz w:val="24"/>
              </w:rPr>
              <w:t>排放量为0</w:t>
            </w:r>
            <w:r>
              <w:rPr>
                <w:bCs/>
                <w:sz w:val="24"/>
              </w:rPr>
              <w:t>.511</w:t>
            </w:r>
            <w:r>
              <w:rPr>
                <w:rFonts w:hint="eastAsia"/>
                <w:bCs/>
                <w:sz w:val="24"/>
              </w:rPr>
              <w:t>t/a，N</w:t>
            </w:r>
            <w:r>
              <w:rPr>
                <w:bCs/>
                <w:sz w:val="24"/>
              </w:rPr>
              <w:t>O</w:t>
            </w:r>
            <w:r>
              <w:rPr>
                <w:bCs/>
                <w:sz w:val="24"/>
                <w:vertAlign w:val="subscript"/>
              </w:rPr>
              <w:t>x</w:t>
            </w:r>
            <w:r>
              <w:rPr>
                <w:rFonts w:hint="eastAsia"/>
                <w:bCs/>
                <w:sz w:val="24"/>
              </w:rPr>
              <w:t>排放量为1</w:t>
            </w:r>
            <w:r>
              <w:rPr>
                <w:bCs/>
                <w:sz w:val="24"/>
              </w:rPr>
              <w:t>.606</w:t>
            </w:r>
            <w:r>
              <w:rPr>
                <w:rFonts w:hint="eastAsia"/>
                <w:bCs/>
                <w:sz w:val="24"/>
              </w:rPr>
              <w:t xml:space="preserve"> t/a，C</w:t>
            </w:r>
            <w:r>
              <w:rPr>
                <w:bCs/>
                <w:sz w:val="24"/>
              </w:rPr>
              <w:t>O</w:t>
            </w:r>
            <w:r>
              <w:rPr>
                <w:rFonts w:hint="eastAsia"/>
                <w:bCs/>
                <w:sz w:val="24"/>
              </w:rPr>
              <w:t>排放量为</w:t>
            </w:r>
            <w:r>
              <w:rPr>
                <w:bCs/>
                <w:sz w:val="24"/>
              </w:rPr>
              <w:t>1.095</w:t>
            </w:r>
            <w:r>
              <w:rPr>
                <w:rFonts w:hint="eastAsia"/>
                <w:bCs/>
                <w:sz w:val="24"/>
              </w:rPr>
              <w:t>t/a，H</w:t>
            </w:r>
            <w:r>
              <w:rPr>
                <w:bCs/>
                <w:sz w:val="24"/>
              </w:rPr>
              <w:t>Cl</w:t>
            </w:r>
            <w:r>
              <w:rPr>
                <w:rFonts w:hint="eastAsia"/>
                <w:bCs/>
                <w:sz w:val="24"/>
              </w:rPr>
              <w:t>排放量为0</w:t>
            </w:r>
            <w:r>
              <w:rPr>
                <w:bCs/>
                <w:sz w:val="24"/>
              </w:rPr>
              <w:t>.073</w:t>
            </w:r>
            <w:r>
              <w:rPr>
                <w:rFonts w:hint="eastAsia"/>
                <w:bCs/>
                <w:sz w:val="24"/>
              </w:rPr>
              <w:t>t/a，二噁英类排放量为</w:t>
            </w:r>
            <w:r>
              <w:rPr>
                <w:bCs/>
                <w:sz w:val="24"/>
              </w:rPr>
              <w:t>3.65</w:t>
            </w:r>
            <w:r>
              <w:rPr>
                <w:kern w:val="0"/>
                <w:szCs w:val="21"/>
                <w:lang w:bidi="ar"/>
              </w:rPr>
              <w:t xml:space="preserve"> </w:t>
            </w:r>
            <w:r>
              <w:rPr>
                <w:bCs/>
                <w:sz w:val="24"/>
              </w:rPr>
              <w:t>mgTEQ</w:t>
            </w:r>
            <w:r>
              <w:rPr>
                <w:rFonts w:hint="eastAsia"/>
                <w:bCs/>
                <w:sz w:val="24"/>
              </w:rPr>
              <w:t>/a。</w:t>
            </w:r>
          </w:p>
          <w:p>
            <w:pPr>
              <w:adjustRightInd w:val="0"/>
              <w:snapToGrid w:val="0"/>
              <w:spacing w:line="480" w:lineRule="exact"/>
              <w:ind w:firstLine="482" w:firstLineChars="200"/>
              <w:rPr>
                <w:b/>
                <w:bCs/>
                <w:sz w:val="24"/>
              </w:rPr>
            </w:pPr>
            <w:r>
              <w:rPr>
                <w:b/>
                <w:bCs/>
                <w:sz w:val="24"/>
              </w:rPr>
              <w:t>G</w:t>
            </w:r>
            <w:r>
              <w:rPr>
                <w:b/>
                <w:bCs/>
                <w:sz w:val="24"/>
                <w:vertAlign w:val="subscript"/>
              </w:rPr>
              <w:t>3</w:t>
            </w:r>
            <w:r>
              <w:rPr>
                <w:b/>
                <w:bCs/>
                <w:sz w:val="24"/>
              </w:rPr>
              <w:t>：</w:t>
            </w:r>
            <w:r>
              <w:rPr>
                <w:rFonts w:hint="eastAsia"/>
                <w:b/>
                <w:bCs/>
                <w:sz w:val="24"/>
              </w:rPr>
              <w:t>汽车尾气</w:t>
            </w:r>
          </w:p>
          <w:p>
            <w:pPr>
              <w:adjustRightInd w:val="0"/>
              <w:snapToGrid w:val="0"/>
              <w:spacing w:line="480" w:lineRule="exact"/>
              <w:ind w:firstLine="480" w:firstLineChars="200"/>
              <w:rPr>
                <w:bCs/>
                <w:sz w:val="24"/>
              </w:rPr>
            </w:pPr>
            <w:r>
              <w:rPr>
                <w:rFonts w:hint="eastAsia"/>
                <w:bCs/>
                <w:sz w:val="24"/>
              </w:rPr>
              <w:t>本项目不设地下停车场，地面设停车位</w:t>
            </w:r>
            <w:r>
              <w:rPr>
                <w:bCs/>
                <w:sz w:val="24"/>
              </w:rPr>
              <w:t>89</w:t>
            </w:r>
            <w:r>
              <w:rPr>
                <w:rFonts w:hint="eastAsia"/>
                <w:bCs/>
                <w:sz w:val="24"/>
              </w:rPr>
              <w:t>个（</w:t>
            </w:r>
            <w:r>
              <w:rPr>
                <w:bCs/>
                <w:sz w:val="24"/>
              </w:rPr>
              <w:t>小车停车位85</w:t>
            </w:r>
            <w:r>
              <w:rPr>
                <w:rFonts w:hint="eastAsia"/>
                <w:bCs/>
                <w:sz w:val="24"/>
              </w:rPr>
              <w:t>个，大巴车停车位</w:t>
            </w:r>
            <w:r>
              <w:rPr>
                <w:bCs/>
                <w:sz w:val="24"/>
              </w:rPr>
              <w:t>4</w:t>
            </w:r>
            <w:r>
              <w:rPr>
                <w:rFonts w:hint="eastAsia"/>
                <w:bCs/>
                <w:sz w:val="24"/>
              </w:rPr>
              <w:t>个）。汽车在项目区内行驶以及出入停车场怠速和慢速行驶时会产生汽车尾气污染，该尾气包括排气管尾气、曲轴箱漏气及油箱和化油器等燃料系统的泄漏气等，主要污染因子为CO、THC、NO</w:t>
            </w:r>
            <w:r>
              <w:rPr>
                <w:rFonts w:hint="eastAsia"/>
                <w:bCs/>
                <w:sz w:val="24"/>
                <w:vertAlign w:val="subscript"/>
              </w:rPr>
              <w:t>x</w:t>
            </w:r>
            <w:r>
              <w:rPr>
                <w:rFonts w:hint="eastAsia"/>
                <w:bCs/>
                <w:sz w:val="24"/>
              </w:rPr>
              <w:t>等，其排放量与车型、车况和车辆数等有关，还与汽车行驶状况有关。项目运营期出入车辆以轿车为主，无大型运载车辆出入，汽车尾气产生较少，同时地面停车场分布范围较广，产生的汽车尾气易自然扩散，本环评不进行量化分析。</w:t>
            </w:r>
          </w:p>
          <w:p>
            <w:pPr>
              <w:adjustRightInd w:val="0"/>
              <w:snapToGrid w:val="0"/>
              <w:spacing w:line="480" w:lineRule="exact"/>
              <w:ind w:firstLine="482" w:firstLineChars="200"/>
              <w:rPr>
                <w:b/>
                <w:bCs/>
                <w:sz w:val="24"/>
              </w:rPr>
            </w:pPr>
            <w:r>
              <w:rPr>
                <w:b/>
                <w:bCs/>
                <w:sz w:val="24"/>
              </w:rPr>
              <w:t>G</w:t>
            </w:r>
            <w:r>
              <w:rPr>
                <w:b/>
                <w:bCs/>
                <w:sz w:val="24"/>
                <w:vertAlign w:val="subscript"/>
              </w:rPr>
              <w:t>4</w:t>
            </w:r>
            <w:r>
              <w:rPr>
                <w:b/>
                <w:bCs/>
                <w:sz w:val="24"/>
              </w:rPr>
              <w:t>：</w:t>
            </w:r>
            <w:r>
              <w:rPr>
                <w:rFonts w:hint="eastAsia"/>
                <w:b/>
                <w:bCs/>
                <w:sz w:val="24"/>
              </w:rPr>
              <w:t>备用发电机废气</w:t>
            </w:r>
          </w:p>
          <w:p>
            <w:pPr>
              <w:adjustRightInd w:val="0"/>
              <w:snapToGrid w:val="0"/>
              <w:spacing w:line="480" w:lineRule="exact"/>
              <w:ind w:firstLine="480" w:firstLineChars="200"/>
              <w:rPr>
                <w:bCs/>
                <w:sz w:val="24"/>
              </w:rPr>
            </w:pPr>
            <w:r>
              <w:rPr>
                <w:rFonts w:hint="eastAsia"/>
                <w:bCs/>
                <w:sz w:val="24"/>
              </w:rPr>
              <w:t>本项目拟设</w:t>
            </w:r>
            <w:r>
              <w:rPr>
                <w:bCs/>
                <w:sz w:val="24"/>
              </w:rPr>
              <w:t>1</w:t>
            </w:r>
            <w:r>
              <w:rPr>
                <w:rFonts w:hint="eastAsia"/>
                <w:bCs/>
                <w:sz w:val="24"/>
              </w:rPr>
              <w:t>台15</w:t>
            </w:r>
            <w:r>
              <w:rPr>
                <w:bCs/>
                <w:sz w:val="24"/>
              </w:rPr>
              <w:t>0KW</w:t>
            </w:r>
            <w:r>
              <w:rPr>
                <w:rFonts w:hint="eastAsia"/>
                <w:bCs/>
                <w:sz w:val="24"/>
              </w:rPr>
              <w:t>的备用发电机组，以备停电时，供重要设备供电。根据调查，该地区的供电比较正常，因此备用柴油发电机的启动次数不多，每个月工作时间不超过</w:t>
            </w:r>
            <w:r>
              <w:rPr>
                <w:bCs/>
                <w:sz w:val="24"/>
              </w:rPr>
              <w:t>8</w:t>
            </w:r>
            <w:r>
              <w:rPr>
                <w:rFonts w:hint="eastAsia"/>
                <w:bCs/>
                <w:sz w:val="24"/>
              </w:rPr>
              <w:t>小时，全年工作时间不超过</w:t>
            </w:r>
            <w:r>
              <w:rPr>
                <w:bCs/>
                <w:sz w:val="24"/>
              </w:rPr>
              <w:t>96</w:t>
            </w:r>
            <w:r>
              <w:rPr>
                <w:rFonts w:hint="eastAsia"/>
                <w:bCs/>
                <w:sz w:val="24"/>
              </w:rPr>
              <w:t>小时。参考康明斯系列</w:t>
            </w:r>
            <w:r>
              <w:rPr>
                <w:bCs/>
                <w:sz w:val="24"/>
              </w:rPr>
              <w:t>J100PMS</w:t>
            </w:r>
            <w:r>
              <w:rPr>
                <w:rFonts w:hint="eastAsia"/>
                <w:bCs/>
                <w:sz w:val="24"/>
              </w:rPr>
              <w:t>（功率为150</w:t>
            </w:r>
            <w:r>
              <w:rPr>
                <w:bCs/>
                <w:sz w:val="24"/>
              </w:rPr>
              <w:t>kw</w:t>
            </w:r>
            <w:r>
              <w:rPr>
                <w:rFonts w:hint="eastAsia"/>
                <w:bCs/>
                <w:sz w:val="24"/>
              </w:rPr>
              <w:t>）柴油发电机，该柴油发电机其标定工况下的油耗为</w:t>
            </w:r>
            <w:r>
              <w:rPr>
                <w:bCs/>
                <w:sz w:val="24"/>
              </w:rPr>
              <w:t>20</w:t>
            </w:r>
            <w:r>
              <w:rPr>
                <w:rFonts w:hint="eastAsia"/>
                <w:bCs/>
                <w:sz w:val="24"/>
              </w:rPr>
              <w:t>0-210</w:t>
            </w:r>
            <w:r>
              <w:rPr>
                <w:bCs/>
                <w:sz w:val="24"/>
              </w:rPr>
              <w:t>g/kw·h</w:t>
            </w:r>
            <w:r>
              <w:rPr>
                <w:rFonts w:hint="eastAsia"/>
                <w:bCs/>
                <w:sz w:val="24"/>
              </w:rPr>
              <w:t>之间，本项目取中间值205</w:t>
            </w:r>
            <w:r>
              <w:rPr>
                <w:bCs/>
                <w:sz w:val="24"/>
              </w:rPr>
              <w:t>g/kw·h</w:t>
            </w:r>
            <w:r>
              <w:rPr>
                <w:rFonts w:hint="eastAsia"/>
                <w:bCs/>
                <w:sz w:val="24"/>
              </w:rPr>
              <w:t>，则本项目备用发电机最大柴油消耗量为</w:t>
            </w:r>
            <w:r>
              <w:rPr>
                <w:bCs/>
                <w:sz w:val="24"/>
              </w:rPr>
              <w:t>1.9</w:t>
            </w:r>
            <w:r>
              <w:rPr>
                <w:rFonts w:hint="eastAsia"/>
                <w:bCs/>
                <w:sz w:val="24"/>
              </w:rPr>
              <w:t>7</w:t>
            </w:r>
            <w:r>
              <w:rPr>
                <w:bCs/>
                <w:sz w:val="24"/>
              </w:rPr>
              <w:t>t/a</w:t>
            </w:r>
            <w:r>
              <w:rPr>
                <w:rFonts w:hint="eastAsia"/>
                <w:bCs/>
                <w:sz w:val="24"/>
              </w:rPr>
              <w:t>。由于备用柴油发电机使用次数少，耗油量底，使用频率具有不确定性，项目正常运营的情况下基本不会启用（除维护保养时短时间启动），产生的少量发电机烟气经自带烟气净化装置处理后经专用排烟风井引至屋顶排放，对大气环境影响较小，本环评不进行量化分析。</w:t>
            </w:r>
          </w:p>
          <w:p>
            <w:pPr>
              <w:adjustRightInd w:val="0"/>
              <w:snapToGrid w:val="0"/>
              <w:spacing w:line="480" w:lineRule="exact"/>
              <w:ind w:firstLine="482" w:firstLineChars="200"/>
              <w:rPr>
                <w:b/>
                <w:bCs/>
                <w:sz w:val="24"/>
              </w:rPr>
            </w:pPr>
            <w:r>
              <w:rPr>
                <w:b/>
                <w:bCs/>
                <w:sz w:val="24"/>
              </w:rPr>
              <w:t>G</w:t>
            </w:r>
            <w:r>
              <w:rPr>
                <w:b/>
                <w:bCs/>
                <w:sz w:val="24"/>
                <w:vertAlign w:val="subscript"/>
              </w:rPr>
              <w:t>5</w:t>
            </w:r>
            <w:r>
              <w:rPr>
                <w:b/>
                <w:bCs/>
                <w:sz w:val="24"/>
              </w:rPr>
              <w:t>：</w:t>
            </w:r>
            <w:r>
              <w:rPr>
                <w:rFonts w:hint="eastAsia"/>
                <w:b/>
                <w:bCs/>
                <w:sz w:val="24"/>
              </w:rPr>
              <w:t>恶臭污染物</w:t>
            </w:r>
          </w:p>
          <w:p>
            <w:pPr>
              <w:adjustRightInd w:val="0"/>
              <w:snapToGrid w:val="0"/>
              <w:spacing w:line="480" w:lineRule="exact"/>
              <w:ind w:firstLine="480" w:firstLineChars="200"/>
              <w:rPr>
                <w:bCs/>
                <w:sz w:val="24"/>
              </w:rPr>
            </w:pPr>
            <w:r>
              <w:rPr>
                <w:rFonts w:hint="eastAsia"/>
                <w:bCs/>
                <w:sz w:val="24"/>
              </w:rPr>
              <w:t>本项目恶臭污染物主要产生于项目东侧自建的一座污水处理站及垃圾中转站，污水处理站运行过程中伴随微生物、原生动物、菌团等生物的新陈代谢会产生一定的恶臭，废气中污染物主要是</w:t>
            </w:r>
            <w:r>
              <w:rPr>
                <w:bCs/>
                <w:sz w:val="24"/>
              </w:rPr>
              <w:t>NH</w:t>
            </w:r>
            <w:r>
              <w:rPr>
                <w:bCs/>
                <w:sz w:val="24"/>
                <w:vertAlign w:val="subscript"/>
              </w:rPr>
              <w:t>3</w:t>
            </w:r>
            <w:r>
              <w:rPr>
                <w:rFonts w:hint="eastAsia"/>
                <w:bCs/>
                <w:sz w:val="24"/>
              </w:rPr>
              <w:t>、</w:t>
            </w:r>
            <w:r>
              <w:rPr>
                <w:bCs/>
                <w:sz w:val="24"/>
              </w:rPr>
              <w:t>H</w:t>
            </w:r>
            <w:r>
              <w:rPr>
                <w:bCs/>
                <w:sz w:val="24"/>
                <w:vertAlign w:val="subscript"/>
              </w:rPr>
              <w:t>2</w:t>
            </w:r>
            <w:r>
              <w:rPr>
                <w:bCs/>
                <w:sz w:val="24"/>
              </w:rPr>
              <w:t>S</w:t>
            </w:r>
            <w:r>
              <w:rPr>
                <w:rFonts w:hint="eastAsia"/>
                <w:bCs/>
                <w:sz w:val="24"/>
              </w:rPr>
              <w:t>及甲烷（</w:t>
            </w:r>
            <w:r>
              <w:rPr>
                <w:bCs/>
                <w:sz w:val="24"/>
              </w:rPr>
              <w:t>CH</w:t>
            </w:r>
            <w:r>
              <w:rPr>
                <w:bCs/>
                <w:sz w:val="24"/>
                <w:vertAlign w:val="subscript"/>
              </w:rPr>
              <w:t>4</w:t>
            </w:r>
            <w:r>
              <w:rPr>
                <w:rFonts w:hint="eastAsia"/>
                <w:bCs/>
                <w:sz w:val="24"/>
              </w:rPr>
              <w:t>），其恶臭产生量受污水量、</w:t>
            </w:r>
            <w:r>
              <w:rPr>
                <w:bCs/>
                <w:sz w:val="24"/>
              </w:rPr>
              <w:t>BOD</w:t>
            </w:r>
            <w:r>
              <w:rPr>
                <w:bCs/>
                <w:sz w:val="24"/>
                <w:vertAlign w:val="subscript"/>
              </w:rPr>
              <w:t>5</w:t>
            </w:r>
            <w:r>
              <w:rPr>
                <w:rFonts w:hint="eastAsia"/>
                <w:bCs/>
                <w:sz w:val="24"/>
              </w:rPr>
              <w:t>负荷、COD、污泥量及堆存量、气象特征等因素影响较大。本项目采用地埋式一体化污水处理设备为全过程封闭式的污水处理工艺，有效抑制了污水恶臭向外环境的散发，恶臭逸出量少，以无组织形式排放。垃圾站主要堆放、中转生活垃圾，高温天气下堆积的生活垃圾会产生恶臭，主要为</w:t>
            </w:r>
            <w:r>
              <w:rPr>
                <w:bCs/>
                <w:sz w:val="24"/>
              </w:rPr>
              <w:t>H</w:t>
            </w:r>
            <w:r>
              <w:rPr>
                <w:bCs/>
                <w:sz w:val="24"/>
                <w:vertAlign w:val="subscript"/>
              </w:rPr>
              <w:t>2</w:t>
            </w:r>
            <w:r>
              <w:rPr>
                <w:bCs/>
                <w:sz w:val="24"/>
              </w:rPr>
              <w:t>S</w:t>
            </w:r>
            <w:r>
              <w:rPr>
                <w:rFonts w:hint="eastAsia"/>
                <w:bCs/>
                <w:sz w:val="24"/>
              </w:rPr>
              <w:t>和</w:t>
            </w:r>
            <w:r>
              <w:rPr>
                <w:bCs/>
                <w:sz w:val="24"/>
              </w:rPr>
              <w:t>NH</w:t>
            </w:r>
            <w:r>
              <w:rPr>
                <w:bCs/>
                <w:sz w:val="24"/>
                <w:vertAlign w:val="subscript"/>
              </w:rPr>
              <w:t>3</w:t>
            </w:r>
            <w:r>
              <w:rPr>
                <w:rFonts w:hint="eastAsia"/>
                <w:bCs/>
                <w:sz w:val="24"/>
              </w:rPr>
              <w:t>，管理人员要定期清理生活垃圾，交由环卫部门处理。</w:t>
            </w:r>
          </w:p>
          <w:p>
            <w:pPr>
              <w:adjustRightInd w:val="0"/>
              <w:snapToGrid w:val="0"/>
              <w:spacing w:line="480" w:lineRule="exact"/>
              <w:ind w:firstLine="482" w:firstLineChars="200"/>
              <w:rPr>
                <w:bCs/>
                <w:sz w:val="24"/>
              </w:rPr>
            </w:pPr>
            <w:r>
              <w:rPr>
                <w:rFonts w:hint="eastAsia"/>
                <w:b/>
                <w:sz w:val="24"/>
                <w:szCs w:val="32"/>
              </w:rPr>
              <w:t>本项目大气污染物产排量汇总情况见下表。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8</w:t>
            </w:r>
            <w:r>
              <w:rPr>
                <w:rFonts w:hint="eastAsia" w:ascii="黑体" w:hAnsi="黑体" w:eastAsia="黑体"/>
                <w:bCs/>
                <w:sz w:val="24"/>
              </w:rPr>
              <w:t xml:space="preserve">  本项目污染物产排量汇总情况表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863"/>
              <w:gridCol w:w="2633"/>
              <w:gridCol w:w="1018"/>
              <w:gridCol w:w="1013"/>
              <w:gridCol w:w="1030"/>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Align w:val="center"/>
                </w:tcPr>
                <w:p>
                  <w:pPr>
                    <w:pStyle w:val="46"/>
                    <w:spacing w:before="0" w:after="0" w:line="240" w:lineRule="auto"/>
                    <w:ind w:firstLine="0" w:firstLineChars="0"/>
                    <w:jc w:val="center"/>
                    <w:rPr>
                      <w:sz w:val="21"/>
                      <w:szCs w:val="21"/>
                    </w:rPr>
                  </w:pPr>
                  <w:bookmarkStart w:id="5" w:name="_Hlk14970184"/>
                  <w:r>
                    <w:rPr>
                      <w:rFonts w:hint="eastAsia"/>
                      <w:sz w:val="21"/>
                      <w:szCs w:val="21"/>
                    </w:rPr>
                    <w:t>污染源</w:t>
                  </w:r>
                </w:p>
              </w:tc>
              <w:tc>
                <w:tcPr>
                  <w:tcW w:w="501" w:type="pct"/>
                  <w:vAlign w:val="center"/>
                </w:tcPr>
                <w:p>
                  <w:pPr>
                    <w:pStyle w:val="46"/>
                    <w:spacing w:before="0" w:after="0" w:line="240" w:lineRule="auto"/>
                    <w:ind w:firstLine="0" w:firstLineChars="0"/>
                    <w:jc w:val="center"/>
                    <w:rPr>
                      <w:sz w:val="21"/>
                      <w:szCs w:val="21"/>
                    </w:rPr>
                  </w:pPr>
                  <w:r>
                    <w:rPr>
                      <w:rFonts w:hint="eastAsia"/>
                      <w:sz w:val="21"/>
                      <w:szCs w:val="21"/>
                    </w:rPr>
                    <w:t>污染物</w:t>
                  </w:r>
                </w:p>
              </w:tc>
              <w:tc>
                <w:tcPr>
                  <w:tcW w:w="1528" w:type="pct"/>
                  <w:vAlign w:val="center"/>
                </w:tcPr>
                <w:p>
                  <w:pPr>
                    <w:pStyle w:val="46"/>
                    <w:spacing w:before="0" w:after="0" w:line="240" w:lineRule="auto"/>
                    <w:ind w:firstLine="0" w:firstLineChars="0"/>
                    <w:jc w:val="center"/>
                    <w:rPr>
                      <w:sz w:val="21"/>
                      <w:szCs w:val="21"/>
                    </w:rPr>
                  </w:pPr>
                  <w:r>
                    <w:rPr>
                      <w:rFonts w:hint="eastAsia"/>
                      <w:sz w:val="21"/>
                      <w:szCs w:val="21"/>
                    </w:rPr>
                    <w:t>处理方式</w:t>
                  </w: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排放</w:t>
                  </w:r>
                </w:p>
                <w:p>
                  <w:pPr>
                    <w:pStyle w:val="46"/>
                    <w:spacing w:before="0" w:after="0" w:line="240" w:lineRule="auto"/>
                    <w:ind w:firstLine="0" w:firstLineChars="0"/>
                    <w:jc w:val="center"/>
                    <w:rPr>
                      <w:sz w:val="21"/>
                      <w:szCs w:val="21"/>
                    </w:rPr>
                  </w:pPr>
                  <w:r>
                    <w:rPr>
                      <w:rFonts w:hint="eastAsia"/>
                      <w:sz w:val="21"/>
                      <w:szCs w:val="21"/>
                    </w:rPr>
                    <w:t>浓度</w:t>
                  </w:r>
                  <w:r>
                    <w:rPr>
                      <w:sz w:val="21"/>
                      <w:szCs w:val="21"/>
                    </w:rPr>
                    <w:t>mg/m</w:t>
                  </w:r>
                  <w:r>
                    <w:rPr>
                      <w:sz w:val="21"/>
                      <w:szCs w:val="21"/>
                      <w:vertAlign w:val="superscript"/>
                    </w:rPr>
                    <w:t>3</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排放</w:t>
                  </w:r>
                </w:p>
                <w:p>
                  <w:pPr>
                    <w:pStyle w:val="46"/>
                    <w:spacing w:before="0" w:after="0" w:line="240" w:lineRule="auto"/>
                    <w:ind w:firstLine="0" w:firstLineChars="0"/>
                    <w:jc w:val="center"/>
                    <w:rPr>
                      <w:sz w:val="21"/>
                      <w:szCs w:val="21"/>
                    </w:rPr>
                  </w:pPr>
                  <w:r>
                    <w:rPr>
                      <w:rFonts w:hint="eastAsia"/>
                      <w:sz w:val="21"/>
                      <w:szCs w:val="21"/>
                    </w:rPr>
                    <w:t>速率</w:t>
                  </w:r>
                </w:p>
                <w:p>
                  <w:pPr>
                    <w:pStyle w:val="46"/>
                    <w:spacing w:before="0" w:after="0" w:line="240" w:lineRule="auto"/>
                    <w:ind w:firstLine="0" w:firstLineChars="0"/>
                    <w:jc w:val="center"/>
                    <w:rPr>
                      <w:sz w:val="21"/>
                      <w:szCs w:val="21"/>
                    </w:rPr>
                  </w:pPr>
                  <w:r>
                    <w:rPr>
                      <w:sz w:val="21"/>
                      <w:szCs w:val="21"/>
                    </w:rPr>
                    <w:t>kg/h</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排放量</w:t>
                  </w:r>
                </w:p>
                <w:p>
                  <w:pPr>
                    <w:pStyle w:val="46"/>
                    <w:spacing w:before="0" w:after="0" w:line="240" w:lineRule="auto"/>
                    <w:ind w:firstLine="0" w:firstLineChars="0"/>
                    <w:jc w:val="center"/>
                    <w:rPr>
                      <w:sz w:val="21"/>
                      <w:szCs w:val="21"/>
                    </w:rPr>
                  </w:pPr>
                  <w:r>
                    <w:rPr>
                      <w:rFonts w:hint="eastAsia"/>
                      <w:sz w:val="21"/>
                      <w:szCs w:val="21"/>
                    </w:rPr>
                    <w:t>t/a</w:t>
                  </w:r>
                </w:p>
              </w:tc>
              <w:tc>
                <w:tcPr>
                  <w:tcW w:w="678" w:type="pct"/>
                  <w:vAlign w:val="center"/>
                </w:tcPr>
                <w:p>
                  <w:pPr>
                    <w:pStyle w:val="46"/>
                    <w:spacing w:before="0" w:after="0" w:line="240" w:lineRule="auto"/>
                    <w:ind w:firstLine="0" w:firstLineChars="0"/>
                    <w:jc w:val="center"/>
                    <w:rPr>
                      <w:sz w:val="21"/>
                      <w:szCs w:val="21"/>
                    </w:rPr>
                  </w:pPr>
                  <w:r>
                    <w:rPr>
                      <w:rFonts w:hint="eastAsia"/>
                      <w:sz w:val="21"/>
                      <w:szCs w:val="21"/>
                    </w:rPr>
                    <w:t>排放形式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restart"/>
                  <w:vAlign w:val="center"/>
                </w:tcPr>
                <w:p>
                  <w:pPr>
                    <w:pStyle w:val="46"/>
                    <w:spacing w:before="0" w:after="0" w:line="240" w:lineRule="auto"/>
                    <w:ind w:firstLine="0" w:firstLineChars="0"/>
                    <w:jc w:val="center"/>
                    <w:rPr>
                      <w:sz w:val="21"/>
                      <w:szCs w:val="21"/>
                    </w:rPr>
                  </w:pPr>
                  <w:r>
                    <w:rPr>
                      <w:rFonts w:hint="eastAsia"/>
                      <w:sz w:val="21"/>
                      <w:szCs w:val="21"/>
                    </w:rPr>
                    <w:t>3台节能环保火化机</w:t>
                  </w:r>
                </w:p>
              </w:tc>
              <w:tc>
                <w:tcPr>
                  <w:tcW w:w="501" w:type="pct"/>
                  <w:vAlign w:val="center"/>
                </w:tcPr>
                <w:p>
                  <w:pPr>
                    <w:pStyle w:val="46"/>
                    <w:spacing w:before="0" w:after="0" w:line="240" w:lineRule="auto"/>
                    <w:ind w:firstLine="0" w:firstLineChars="0"/>
                    <w:jc w:val="center"/>
                    <w:rPr>
                      <w:sz w:val="21"/>
                      <w:szCs w:val="21"/>
                    </w:rPr>
                  </w:pPr>
                  <w:r>
                    <w:rPr>
                      <w:bCs/>
                      <w:sz w:val="21"/>
                      <w:szCs w:val="21"/>
                    </w:rPr>
                    <w:t>烟尘</w:t>
                  </w:r>
                </w:p>
              </w:tc>
              <w:tc>
                <w:tcPr>
                  <w:tcW w:w="1528" w:type="pct"/>
                  <w:vMerge w:val="restart"/>
                  <w:vAlign w:val="center"/>
                </w:tcPr>
                <w:p>
                  <w:pPr>
                    <w:pStyle w:val="46"/>
                    <w:spacing w:before="0" w:after="0" w:line="240" w:lineRule="auto"/>
                    <w:ind w:firstLine="0" w:firstLineChars="0"/>
                    <w:jc w:val="center"/>
                    <w:rPr>
                      <w:bCs/>
                      <w:sz w:val="21"/>
                      <w:szCs w:val="21"/>
                    </w:rPr>
                  </w:pPr>
                  <w:r>
                    <w:rPr>
                      <w:rFonts w:hint="eastAsia"/>
                      <w:bCs/>
                      <w:sz w:val="21"/>
                      <w:szCs w:val="21"/>
                    </w:rPr>
                    <w:t>3台节能环保火化机分别单独配置一套废气处理设施+1根1</w:t>
                  </w:r>
                  <w:r>
                    <w:rPr>
                      <w:bCs/>
                      <w:sz w:val="21"/>
                      <w:szCs w:val="21"/>
                    </w:rPr>
                    <w:t>2m</w:t>
                  </w:r>
                  <w:r>
                    <w:rPr>
                      <w:rFonts w:hint="eastAsia"/>
                      <w:bCs/>
                      <w:sz w:val="21"/>
                      <w:szCs w:val="21"/>
                    </w:rPr>
                    <w:t>高排气筒；共3套废气处理设施，3根排气筒。</w:t>
                  </w:r>
                </w:p>
                <w:p>
                  <w:pPr>
                    <w:pStyle w:val="46"/>
                    <w:spacing w:before="0" w:after="0" w:line="240" w:lineRule="auto"/>
                    <w:ind w:firstLine="0" w:firstLineChars="0"/>
                    <w:jc w:val="center"/>
                    <w:rPr>
                      <w:sz w:val="21"/>
                      <w:szCs w:val="21"/>
                    </w:rPr>
                  </w:pPr>
                  <w:r>
                    <w:rPr>
                      <w:rFonts w:hint="eastAsia"/>
                      <w:bCs/>
                      <w:sz w:val="21"/>
                      <w:szCs w:val="21"/>
                    </w:rPr>
                    <w:t>烟气净化采用急冷装置+半干法脱硫+旋风离心器+活性炭喷射+布袋除尘器组合方案。</w:t>
                  </w:r>
                </w:p>
              </w:tc>
              <w:tc>
                <w:tcPr>
                  <w:tcW w:w="591" w:type="pct"/>
                  <w:vAlign w:val="center"/>
                </w:tcPr>
                <w:p>
                  <w:pPr>
                    <w:pStyle w:val="46"/>
                    <w:spacing w:before="0" w:after="0" w:line="240" w:lineRule="auto"/>
                    <w:ind w:firstLine="0" w:firstLineChars="0"/>
                    <w:jc w:val="center"/>
                    <w:rPr>
                      <w:sz w:val="21"/>
                      <w:szCs w:val="21"/>
                    </w:rPr>
                  </w:pPr>
                  <w:r>
                    <w:rPr>
                      <w:bCs/>
                      <w:sz w:val="21"/>
                      <w:szCs w:val="21"/>
                    </w:rPr>
                    <w:t>20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.36</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.1971</w:t>
                  </w:r>
                </w:p>
              </w:tc>
              <w:tc>
                <w:tcPr>
                  <w:tcW w:w="678" w:type="pct"/>
                  <w:vMerge w:val="restart"/>
                  <w:vAlign w:val="center"/>
                </w:tcPr>
                <w:p>
                  <w:pPr>
                    <w:pStyle w:val="46"/>
                    <w:spacing w:before="0" w:after="0" w:line="240" w:lineRule="auto"/>
                    <w:ind w:firstLine="0" w:firstLineChars="0"/>
                    <w:jc w:val="center"/>
                    <w:rPr>
                      <w:sz w:val="21"/>
                      <w:szCs w:val="21"/>
                    </w:rPr>
                  </w:pPr>
                  <w:r>
                    <w:rPr>
                      <w:rFonts w:hint="eastAsia"/>
                      <w:sz w:val="21"/>
                      <w:szCs w:val="21"/>
                    </w:rPr>
                    <w:t>有组织</w:t>
                  </w:r>
                </w:p>
                <w:p>
                  <w:pPr>
                    <w:pStyle w:val="46"/>
                    <w:spacing w:before="0" w:after="0" w:line="240" w:lineRule="auto"/>
                    <w:ind w:firstLine="0" w:firstLineChars="0"/>
                    <w:jc w:val="center"/>
                    <w:rPr>
                      <w:sz w:val="21"/>
                      <w:szCs w:val="21"/>
                    </w:rPr>
                  </w:pPr>
                  <w:r>
                    <w:rPr>
                      <w:rFonts w:hint="eastAsia"/>
                      <w:sz w:val="21"/>
                      <w:szCs w:val="21"/>
                    </w:rPr>
                    <w:t>3根1</w:t>
                  </w:r>
                  <w:r>
                    <w:rPr>
                      <w:sz w:val="21"/>
                      <w:szCs w:val="21"/>
                    </w:rPr>
                    <w:t>2</w:t>
                  </w:r>
                  <w:r>
                    <w:rPr>
                      <w:rFonts w:hint="eastAsia"/>
                      <w:sz w:val="21"/>
                      <w:szCs w:val="21"/>
                    </w:rPr>
                    <w:t>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SO</w:t>
                  </w:r>
                  <w:r>
                    <w:rPr>
                      <w:bCs/>
                      <w:sz w:val="21"/>
                      <w:szCs w:val="21"/>
                      <w:vertAlign w:val="subscript"/>
                    </w:rPr>
                    <w:t>2</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15</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.27</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.1478</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NO</w:t>
                  </w:r>
                  <w:r>
                    <w:rPr>
                      <w:bCs/>
                      <w:sz w:val="21"/>
                      <w:szCs w:val="21"/>
                      <w:vertAlign w:val="subscript"/>
                    </w:rPr>
                    <w:t>X</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150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2</w:t>
                  </w:r>
                  <w:r>
                    <w:rPr>
                      <w:sz w:val="21"/>
                      <w:szCs w:val="21"/>
                    </w:rPr>
                    <w:t>.7</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1</w:t>
                  </w:r>
                  <w:r>
                    <w:rPr>
                      <w:sz w:val="21"/>
                      <w:szCs w:val="21"/>
                    </w:rPr>
                    <w:t>.4782</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CO</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120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2</w:t>
                  </w:r>
                  <w:r>
                    <w:rPr>
                      <w:sz w:val="21"/>
                      <w:szCs w:val="21"/>
                    </w:rPr>
                    <w:t>.16</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1</w:t>
                  </w:r>
                  <w:r>
                    <w:rPr>
                      <w:sz w:val="21"/>
                      <w:szCs w:val="21"/>
                    </w:rPr>
                    <w:t>.1826</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H</w:t>
                  </w:r>
                  <w:r>
                    <w:rPr>
                      <w:rFonts w:hint="eastAsia"/>
                      <w:bCs/>
                      <w:sz w:val="21"/>
                      <w:szCs w:val="21"/>
                    </w:rPr>
                    <w:t>Cl</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.18</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.0986</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汞</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0.08</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.00144</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.000788</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二噁英类</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jc w:val="center"/>
                    <w:rPr>
                      <w:szCs w:val="21"/>
                    </w:rPr>
                  </w:pPr>
                  <w:r>
                    <w:rPr>
                      <w:rFonts w:hint="eastAsia"/>
                      <w:szCs w:val="21"/>
                    </w:rPr>
                    <w:t>0.</w:t>
                  </w:r>
                  <w:r>
                    <w:rPr>
                      <w:szCs w:val="21"/>
                    </w:rPr>
                    <w:t>41</w:t>
                  </w:r>
                  <w:r>
                    <w:rPr>
                      <w:rFonts w:hint="eastAsia"/>
                      <w:bCs/>
                      <w:szCs w:val="21"/>
                    </w:rPr>
                    <w:t>ng TEQ/m</w:t>
                  </w:r>
                  <w:r>
                    <w:rPr>
                      <w:rFonts w:hint="eastAsia"/>
                      <w:bCs/>
                      <w:szCs w:val="21"/>
                      <w:vertAlign w:val="superscript"/>
                    </w:rPr>
                    <w:t>3</w:t>
                  </w:r>
                </w:p>
              </w:tc>
              <w:tc>
                <w:tcPr>
                  <w:tcW w:w="588" w:type="pct"/>
                  <w:vAlign w:val="center"/>
                </w:tcPr>
                <w:p>
                  <w:pPr>
                    <w:jc w:val="center"/>
                    <w:rPr>
                      <w:szCs w:val="21"/>
                    </w:rPr>
                  </w:pPr>
                  <w:r>
                    <w:rPr>
                      <w:szCs w:val="21"/>
                    </w:rPr>
                    <w:t>7380 ng</w:t>
                  </w:r>
                </w:p>
                <w:p>
                  <w:pPr>
                    <w:pStyle w:val="46"/>
                    <w:spacing w:before="0" w:after="0" w:line="240" w:lineRule="auto"/>
                    <w:ind w:firstLine="0" w:firstLineChars="0"/>
                    <w:jc w:val="center"/>
                    <w:rPr>
                      <w:sz w:val="21"/>
                      <w:szCs w:val="21"/>
                    </w:rPr>
                  </w:pPr>
                  <w:r>
                    <w:rPr>
                      <w:sz w:val="21"/>
                      <w:szCs w:val="21"/>
                    </w:rPr>
                    <w:t>TEQ/h</w:t>
                  </w:r>
                </w:p>
              </w:tc>
              <w:tc>
                <w:tcPr>
                  <w:tcW w:w="598" w:type="pct"/>
                  <w:vAlign w:val="center"/>
                </w:tcPr>
                <w:p>
                  <w:pPr>
                    <w:jc w:val="center"/>
                    <w:rPr>
                      <w:kern w:val="0"/>
                      <w:szCs w:val="21"/>
                      <w:lang w:bidi="ar"/>
                    </w:rPr>
                  </w:pPr>
                  <w:r>
                    <w:rPr>
                      <w:szCs w:val="21"/>
                    </w:rPr>
                    <w:t>4.04</w:t>
                  </w:r>
                  <w:r>
                    <w:rPr>
                      <w:kern w:val="0"/>
                      <w:szCs w:val="21"/>
                      <w:lang w:bidi="ar"/>
                    </w:rPr>
                    <w:t>mg</w:t>
                  </w:r>
                </w:p>
                <w:p>
                  <w:pPr>
                    <w:jc w:val="center"/>
                    <w:rPr>
                      <w:szCs w:val="21"/>
                    </w:rPr>
                  </w:pPr>
                  <w:r>
                    <w:rPr>
                      <w:bCs/>
                      <w:szCs w:val="21"/>
                    </w:rPr>
                    <w:t>TEQ</w:t>
                  </w:r>
                  <w:r>
                    <w:rPr>
                      <w:rFonts w:hint="eastAsia"/>
                      <w:bCs/>
                      <w:szCs w:val="21"/>
                    </w:rPr>
                    <w:t>/a</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restart"/>
                  <w:vAlign w:val="center"/>
                </w:tcPr>
                <w:p>
                  <w:pPr>
                    <w:pStyle w:val="46"/>
                    <w:spacing w:before="0" w:after="0" w:line="240" w:lineRule="auto"/>
                    <w:ind w:firstLine="0" w:firstLineChars="0"/>
                    <w:jc w:val="center"/>
                    <w:rPr>
                      <w:sz w:val="21"/>
                      <w:szCs w:val="21"/>
                    </w:rPr>
                  </w:pPr>
                  <w:r>
                    <w:rPr>
                      <w:rFonts w:hint="eastAsia"/>
                      <w:sz w:val="21"/>
                      <w:szCs w:val="21"/>
                    </w:rPr>
                    <w:t>1台遗物祭品焚烧炉</w:t>
                  </w:r>
                </w:p>
              </w:tc>
              <w:tc>
                <w:tcPr>
                  <w:tcW w:w="501" w:type="pct"/>
                  <w:vAlign w:val="center"/>
                </w:tcPr>
                <w:p>
                  <w:pPr>
                    <w:pStyle w:val="46"/>
                    <w:spacing w:before="0" w:after="0" w:line="240" w:lineRule="auto"/>
                    <w:ind w:firstLine="0" w:firstLineChars="0"/>
                    <w:jc w:val="center"/>
                    <w:rPr>
                      <w:sz w:val="21"/>
                      <w:szCs w:val="21"/>
                    </w:rPr>
                  </w:pPr>
                  <w:r>
                    <w:rPr>
                      <w:bCs/>
                      <w:sz w:val="21"/>
                      <w:szCs w:val="21"/>
                    </w:rPr>
                    <w:t>烟尘</w:t>
                  </w:r>
                </w:p>
              </w:tc>
              <w:tc>
                <w:tcPr>
                  <w:tcW w:w="1528" w:type="pct"/>
                  <w:vMerge w:val="restart"/>
                  <w:vAlign w:val="center"/>
                </w:tcPr>
                <w:p>
                  <w:pPr>
                    <w:pStyle w:val="46"/>
                    <w:spacing w:before="0" w:after="0" w:line="240" w:lineRule="auto"/>
                    <w:ind w:firstLine="0" w:firstLineChars="0"/>
                    <w:jc w:val="center"/>
                    <w:rPr>
                      <w:sz w:val="21"/>
                      <w:szCs w:val="21"/>
                    </w:rPr>
                  </w:pPr>
                  <w:r>
                    <w:rPr>
                      <w:rFonts w:hint="eastAsia"/>
                      <w:sz w:val="21"/>
                      <w:szCs w:val="21"/>
                    </w:rPr>
                    <w:t>遗物祭品焚烧炉单独配置一套废气处理设施+1根12m高排气筒。</w:t>
                  </w:r>
                </w:p>
                <w:p>
                  <w:pPr>
                    <w:pStyle w:val="46"/>
                    <w:spacing w:before="0" w:after="0" w:line="240" w:lineRule="auto"/>
                    <w:ind w:firstLine="0" w:firstLineChars="0"/>
                    <w:jc w:val="center"/>
                    <w:rPr>
                      <w:sz w:val="21"/>
                      <w:szCs w:val="21"/>
                    </w:rPr>
                  </w:pPr>
                  <w:r>
                    <w:rPr>
                      <w:rFonts w:hint="eastAsia"/>
                      <w:bCs/>
                      <w:sz w:val="21"/>
                      <w:szCs w:val="21"/>
                    </w:rPr>
                    <w:t>烟气净化采用急冷装置+半干法脱硫+旋风离心器+活性炭喷射+布袋除尘器组合方案。</w:t>
                  </w:r>
                </w:p>
              </w:tc>
              <w:tc>
                <w:tcPr>
                  <w:tcW w:w="591" w:type="pct"/>
                  <w:vAlign w:val="center"/>
                </w:tcPr>
                <w:p>
                  <w:pPr>
                    <w:pStyle w:val="46"/>
                    <w:spacing w:before="0" w:after="0" w:line="240" w:lineRule="auto"/>
                    <w:ind w:firstLine="0" w:firstLineChars="0"/>
                    <w:jc w:val="center"/>
                    <w:rPr>
                      <w:sz w:val="21"/>
                      <w:szCs w:val="21"/>
                    </w:rPr>
                  </w:pPr>
                  <w:r>
                    <w:rPr>
                      <w:bCs/>
                      <w:sz w:val="21"/>
                      <w:szCs w:val="21"/>
                    </w:rPr>
                    <w:t>40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.2</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.292</w:t>
                  </w:r>
                </w:p>
              </w:tc>
              <w:tc>
                <w:tcPr>
                  <w:tcW w:w="678" w:type="pct"/>
                  <w:vMerge w:val="restart"/>
                  <w:vAlign w:val="center"/>
                </w:tcPr>
                <w:p>
                  <w:pPr>
                    <w:pStyle w:val="46"/>
                    <w:spacing w:before="0" w:after="0" w:line="240" w:lineRule="auto"/>
                    <w:ind w:firstLine="0" w:firstLineChars="0"/>
                    <w:jc w:val="center"/>
                    <w:rPr>
                      <w:sz w:val="21"/>
                      <w:szCs w:val="21"/>
                    </w:rPr>
                  </w:pPr>
                  <w:r>
                    <w:rPr>
                      <w:rFonts w:hint="eastAsia"/>
                      <w:sz w:val="21"/>
                      <w:szCs w:val="21"/>
                    </w:rPr>
                    <w:t>有组织</w:t>
                  </w:r>
                </w:p>
                <w:p>
                  <w:pPr>
                    <w:pStyle w:val="46"/>
                    <w:spacing w:before="0" w:after="0" w:line="240" w:lineRule="auto"/>
                    <w:ind w:firstLine="0" w:firstLineChars="0"/>
                    <w:jc w:val="center"/>
                    <w:rPr>
                      <w:sz w:val="21"/>
                      <w:szCs w:val="21"/>
                    </w:rPr>
                  </w:pPr>
                  <w:r>
                    <w:rPr>
                      <w:sz w:val="21"/>
                      <w:szCs w:val="21"/>
                    </w:rPr>
                    <w:t>1</w:t>
                  </w:r>
                  <w:r>
                    <w:rPr>
                      <w:rFonts w:hint="eastAsia"/>
                      <w:sz w:val="21"/>
                      <w:szCs w:val="21"/>
                    </w:rPr>
                    <w:t>根1</w:t>
                  </w:r>
                  <w:r>
                    <w:rPr>
                      <w:sz w:val="21"/>
                      <w:szCs w:val="21"/>
                    </w:rPr>
                    <w:t>2</w:t>
                  </w:r>
                  <w:r>
                    <w:rPr>
                      <w:rFonts w:hint="eastAsia"/>
                      <w:sz w:val="21"/>
                      <w:szCs w:val="21"/>
                    </w:rPr>
                    <w:t>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SO</w:t>
                  </w:r>
                  <w:r>
                    <w:rPr>
                      <w:bCs/>
                      <w:sz w:val="21"/>
                      <w:szCs w:val="21"/>
                      <w:vertAlign w:val="subscript"/>
                    </w:rPr>
                    <w:t>2</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70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.35</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.511</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NO</w:t>
                  </w:r>
                  <w:r>
                    <w:rPr>
                      <w:bCs/>
                      <w:sz w:val="21"/>
                      <w:szCs w:val="21"/>
                      <w:vertAlign w:val="subscript"/>
                    </w:rPr>
                    <w:t>X</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220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1</w:t>
                  </w:r>
                  <w:r>
                    <w:rPr>
                      <w:sz w:val="21"/>
                      <w:szCs w:val="21"/>
                    </w:rPr>
                    <w:t>.1</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1</w:t>
                  </w:r>
                  <w:r>
                    <w:rPr>
                      <w:sz w:val="21"/>
                      <w:szCs w:val="21"/>
                    </w:rPr>
                    <w:t>.606</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CO</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150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.75</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1</w:t>
                  </w:r>
                  <w:r>
                    <w:rPr>
                      <w:sz w:val="21"/>
                      <w:szCs w:val="21"/>
                    </w:rPr>
                    <w:t>.095</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H</w:t>
                  </w:r>
                  <w:r>
                    <w:rPr>
                      <w:rFonts w:hint="eastAsia"/>
                      <w:bCs/>
                      <w:sz w:val="21"/>
                      <w:szCs w:val="21"/>
                    </w:rPr>
                    <w:t>Cl</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bCs/>
                      <w:sz w:val="21"/>
                      <w:szCs w:val="21"/>
                    </w:rPr>
                    <w:t>10</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.05</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0</w:t>
                  </w:r>
                  <w:r>
                    <w:rPr>
                      <w:sz w:val="21"/>
                      <w:szCs w:val="21"/>
                    </w:rPr>
                    <w:t>.073</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bCs/>
                      <w:sz w:val="21"/>
                      <w:szCs w:val="21"/>
                    </w:rPr>
                    <w:t>二噁英类</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jc w:val="center"/>
                    <w:rPr>
                      <w:szCs w:val="21"/>
                    </w:rPr>
                  </w:pPr>
                  <w:r>
                    <w:rPr>
                      <w:rFonts w:hint="eastAsia"/>
                      <w:szCs w:val="21"/>
                    </w:rPr>
                    <w:t>0.</w:t>
                  </w:r>
                  <w:r>
                    <w:rPr>
                      <w:szCs w:val="21"/>
                    </w:rPr>
                    <w:t>5</w:t>
                  </w:r>
                  <w:r>
                    <w:rPr>
                      <w:bCs/>
                      <w:szCs w:val="21"/>
                    </w:rPr>
                    <w:t>ng</w:t>
                  </w:r>
                  <w:r>
                    <w:rPr>
                      <w:rFonts w:hint="eastAsia"/>
                      <w:bCs/>
                      <w:szCs w:val="21"/>
                    </w:rPr>
                    <w:t xml:space="preserve"> TEQ/m</w:t>
                  </w:r>
                  <w:r>
                    <w:rPr>
                      <w:rFonts w:hint="eastAsia"/>
                      <w:bCs/>
                      <w:szCs w:val="21"/>
                      <w:vertAlign w:val="superscript"/>
                    </w:rPr>
                    <w:t>3</w:t>
                  </w:r>
                </w:p>
              </w:tc>
              <w:tc>
                <w:tcPr>
                  <w:tcW w:w="588" w:type="pct"/>
                  <w:vAlign w:val="center"/>
                </w:tcPr>
                <w:p>
                  <w:pPr>
                    <w:jc w:val="center"/>
                    <w:rPr>
                      <w:szCs w:val="21"/>
                    </w:rPr>
                  </w:pPr>
                  <w:r>
                    <w:rPr>
                      <w:szCs w:val="21"/>
                    </w:rPr>
                    <w:t>2500 ng</w:t>
                  </w:r>
                </w:p>
                <w:p>
                  <w:pPr>
                    <w:pStyle w:val="46"/>
                    <w:spacing w:before="0" w:after="0" w:line="240" w:lineRule="auto"/>
                    <w:ind w:firstLine="0" w:firstLineChars="0"/>
                    <w:jc w:val="center"/>
                    <w:rPr>
                      <w:sz w:val="21"/>
                      <w:szCs w:val="21"/>
                    </w:rPr>
                  </w:pPr>
                  <w:r>
                    <w:rPr>
                      <w:sz w:val="21"/>
                      <w:szCs w:val="21"/>
                    </w:rPr>
                    <w:t>TEQ/h</w:t>
                  </w:r>
                </w:p>
              </w:tc>
              <w:tc>
                <w:tcPr>
                  <w:tcW w:w="598" w:type="pct"/>
                  <w:vAlign w:val="center"/>
                </w:tcPr>
                <w:p>
                  <w:pPr>
                    <w:jc w:val="center"/>
                    <w:rPr>
                      <w:kern w:val="0"/>
                      <w:szCs w:val="21"/>
                      <w:lang w:bidi="ar"/>
                    </w:rPr>
                  </w:pPr>
                  <w:r>
                    <w:rPr>
                      <w:szCs w:val="21"/>
                    </w:rPr>
                    <w:t>3.65</w:t>
                  </w:r>
                  <w:r>
                    <w:rPr>
                      <w:kern w:val="0"/>
                      <w:szCs w:val="21"/>
                      <w:lang w:bidi="ar"/>
                    </w:rPr>
                    <w:t>mg</w:t>
                  </w:r>
                </w:p>
                <w:p>
                  <w:pPr>
                    <w:pStyle w:val="46"/>
                    <w:spacing w:before="0" w:after="0" w:line="240" w:lineRule="auto"/>
                    <w:ind w:firstLine="0" w:firstLineChars="0"/>
                    <w:jc w:val="center"/>
                    <w:rPr>
                      <w:sz w:val="21"/>
                      <w:szCs w:val="21"/>
                    </w:rPr>
                  </w:pPr>
                  <w:r>
                    <w:rPr>
                      <w:bCs/>
                      <w:sz w:val="21"/>
                      <w:szCs w:val="21"/>
                    </w:rPr>
                    <w:t>TEQ</w:t>
                  </w:r>
                  <w:r>
                    <w:rPr>
                      <w:rFonts w:hint="eastAsia"/>
                      <w:bCs/>
                      <w:sz w:val="21"/>
                      <w:szCs w:val="21"/>
                    </w:rPr>
                    <w:t>/a</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restart"/>
                  <w:vAlign w:val="center"/>
                </w:tcPr>
                <w:p>
                  <w:pPr>
                    <w:pStyle w:val="46"/>
                    <w:spacing w:before="0" w:after="0" w:line="240" w:lineRule="auto"/>
                    <w:ind w:firstLine="0" w:firstLineChars="0"/>
                    <w:jc w:val="center"/>
                    <w:rPr>
                      <w:sz w:val="21"/>
                      <w:szCs w:val="21"/>
                    </w:rPr>
                  </w:pPr>
                  <w:r>
                    <w:rPr>
                      <w:rFonts w:hint="eastAsia"/>
                      <w:sz w:val="21"/>
                      <w:szCs w:val="21"/>
                    </w:rPr>
                    <w:t>汽车尾气</w:t>
                  </w:r>
                </w:p>
              </w:tc>
              <w:tc>
                <w:tcPr>
                  <w:tcW w:w="501" w:type="pct"/>
                  <w:vAlign w:val="center"/>
                </w:tcPr>
                <w:p>
                  <w:pPr>
                    <w:pStyle w:val="46"/>
                    <w:spacing w:before="0" w:after="0" w:line="240" w:lineRule="auto"/>
                    <w:ind w:firstLine="0" w:firstLineChars="0"/>
                    <w:jc w:val="center"/>
                    <w:rPr>
                      <w:sz w:val="21"/>
                      <w:szCs w:val="21"/>
                    </w:rPr>
                  </w:pPr>
                  <w:r>
                    <w:rPr>
                      <w:rFonts w:hint="eastAsia"/>
                      <w:bCs/>
                      <w:sz w:val="21"/>
                      <w:szCs w:val="21"/>
                    </w:rPr>
                    <w:t>CO</w:t>
                  </w:r>
                </w:p>
              </w:tc>
              <w:tc>
                <w:tcPr>
                  <w:tcW w:w="1528" w:type="pct"/>
                  <w:vMerge w:val="restart"/>
                  <w:vAlign w:val="center"/>
                </w:tcPr>
                <w:p>
                  <w:pPr>
                    <w:pStyle w:val="46"/>
                    <w:spacing w:before="0" w:after="0" w:line="240" w:lineRule="auto"/>
                    <w:ind w:firstLine="0" w:firstLineChars="0"/>
                    <w:jc w:val="center"/>
                    <w:rPr>
                      <w:sz w:val="21"/>
                      <w:szCs w:val="21"/>
                    </w:rPr>
                  </w:pPr>
                  <w:r>
                    <w:rPr>
                      <w:rFonts w:hint="eastAsia"/>
                      <w:sz w:val="21"/>
                      <w:szCs w:val="21"/>
                    </w:rPr>
                    <w:t>汽车尾气产生较少，同时地面停车场分布范围较广，产生的汽车尾气易自然扩散，本环评不进行量化分析</w:t>
                  </w: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restart"/>
                  <w:vAlign w:val="center"/>
                </w:tcPr>
                <w:p>
                  <w:pPr>
                    <w:pStyle w:val="46"/>
                    <w:spacing w:before="0" w:after="0" w:line="240" w:lineRule="auto"/>
                    <w:ind w:firstLine="0" w:firstLineChars="0"/>
                    <w:jc w:val="center"/>
                    <w:rPr>
                      <w:sz w:val="21"/>
                      <w:szCs w:val="21"/>
                    </w:rPr>
                  </w:pPr>
                  <w:r>
                    <w:rPr>
                      <w:rFonts w:hint="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sz w:val="21"/>
                      <w:szCs w:val="21"/>
                    </w:rPr>
                    <w:t>THC</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continue"/>
                  <w:vAlign w:val="center"/>
                </w:tcPr>
                <w:p>
                  <w:pPr>
                    <w:pStyle w:val="46"/>
                    <w:spacing w:before="0" w:after="0" w:line="240" w:lineRule="auto"/>
                    <w:ind w:firstLine="42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rFonts w:hint="eastAsia"/>
                      <w:bCs/>
                      <w:sz w:val="21"/>
                      <w:szCs w:val="21"/>
                    </w:rPr>
                    <w:t>NO</w:t>
                  </w:r>
                  <w:r>
                    <w:rPr>
                      <w:rFonts w:hint="eastAsia"/>
                      <w:bCs/>
                      <w:sz w:val="21"/>
                      <w:szCs w:val="21"/>
                      <w:vertAlign w:val="subscript"/>
                    </w:rPr>
                    <w:t>x</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Align w:val="center"/>
                </w:tcPr>
                <w:p>
                  <w:pPr>
                    <w:pStyle w:val="46"/>
                    <w:spacing w:before="0" w:after="0" w:line="240" w:lineRule="auto"/>
                    <w:ind w:firstLine="0" w:firstLineChars="0"/>
                    <w:jc w:val="center"/>
                    <w:rPr>
                      <w:sz w:val="21"/>
                      <w:szCs w:val="21"/>
                    </w:rPr>
                  </w:pPr>
                  <w:r>
                    <w:rPr>
                      <w:rFonts w:hint="eastAsia"/>
                      <w:sz w:val="21"/>
                      <w:szCs w:val="21"/>
                    </w:rPr>
                    <w:t>备用发电机废气</w:t>
                  </w:r>
                </w:p>
              </w:tc>
              <w:tc>
                <w:tcPr>
                  <w:tcW w:w="501" w:type="pct"/>
                  <w:vAlign w:val="center"/>
                </w:tcPr>
                <w:p>
                  <w:pPr>
                    <w:pStyle w:val="46"/>
                    <w:spacing w:before="0" w:after="0" w:line="240" w:lineRule="auto"/>
                    <w:ind w:firstLine="0" w:firstLineChars="0"/>
                    <w:jc w:val="center"/>
                    <w:rPr>
                      <w:sz w:val="21"/>
                      <w:szCs w:val="21"/>
                    </w:rPr>
                  </w:pPr>
                  <w:r>
                    <w:rPr>
                      <w:rFonts w:hint="eastAsia"/>
                      <w:sz w:val="21"/>
                      <w:szCs w:val="21"/>
                    </w:rPr>
                    <w:t>燃烧废气</w:t>
                  </w:r>
                </w:p>
              </w:tc>
              <w:tc>
                <w:tcPr>
                  <w:tcW w:w="1528" w:type="pct"/>
                  <w:vAlign w:val="center"/>
                </w:tcPr>
                <w:p>
                  <w:pPr>
                    <w:pStyle w:val="46"/>
                    <w:spacing w:before="0" w:after="0" w:line="240" w:lineRule="auto"/>
                    <w:ind w:firstLine="0" w:firstLineChars="0"/>
                    <w:jc w:val="center"/>
                    <w:rPr>
                      <w:sz w:val="21"/>
                      <w:szCs w:val="21"/>
                    </w:rPr>
                  </w:pPr>
                  <w:r>
                    <w:rPr>
                      <w:rFonts w:hint="eastAsia"/>
                      <w:bCs/>
                      <w:sz w:val="21"/>
                      <w:szCs w:val="21"/>
                    </w:rPr>
                    <w:t>项目正常运营的情况下基本不会启用</w:t>
                  </w: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Align w:val="center"/>
                </w:tcPr>
                <w:p>
                  <w:pPr>
                    <w:pStyle w:val="46"/>
                    <w:spacing w:before="0" w:after="0" w:line="240" w:lineRule="auto"/>
                    <w:ind w:firstLine="0" w:firstLineChars="0"/>
                    <w:jc w:val="center"/>
                    <w:rPr>
                      <w:sz w:val="21"/>
                      <w:szCs w:val="21"/>
                    </w:rPr>
                  </w:pPr>
                  <w:r>
                    <w:rPr>
                      <w:rFonts w:hint="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restart"/>
                  <w:vAlign w:val="center"/>
                </w:tcPr>
                <w:p>
                  <w:pPr>
                    <w:pStyle w:val="46"/>
                    <w:spacing w:before="0" w:after="0" w:line="240" w:lineRule="auto"/>
                    <w:ind w:firstLine="0" w:firstLineChars="0"/>
                    <w:jc w:val="center"/>
                    <w:rPr>
                      <w:sz w:val="21"/>
                      <w:szCs w:val="21"/>
                    </w:rPr>
                  </w:pPr>
                  <w:r>
                    <w:rPr>
                      <w:rFonts w:hint="eastAsia"/>
                      <w:sz w:val="21"/>
                      <w:szCs w:val="21"/>
                    </w:rPr>
                    <w:t>污水处理站废气</w:t>
                  </w:r>
                </w:p>
              </w:tc>
              <w:tc>
                <w:tcPr>
                  <w:tcW w:w="501" w:type="pct"/>
                  <w:vAlign w:val="center"/>
                </w:tcPr>
                <w:p>
                  <w:pPr>
                    <w:pStyle w:val="46"/>
                    <w:spacing w:before="0" w:after="0" w:line="240" w:lineRule="auto"/>
                    <w:ind w:firstLine="0" w:firstLineChars="0"/>
                    <w:jc w:val="center"/>
                    <w:rPr>
                      <w:sz w:val="21"/>
                      <w:szCs w:val="21"/>
                    </w:rPr>
                  </w:pPr>
                  <w:r>
                    <w:rPr>
                      <w:rFonts w:hint="eastAsia"/>
                      <w:sz w:val="21"/>
                      <w:szCs w:val="21"/>
                    </w:rPr>
                    <w:t>N</w:t>
                  </w:r>
                  <w:r>
                    <w:rPr>
                      <w:sz w:val="21"/>
                      <w:szCs w:val="21"/>
                    </w:rPr>
                    <w:t>H3</w:t>
                  </w:r>
                </w:p>
              </w:tc>
              <w:tc>
                <w:tcPr>
                  <w:tcW w:w="1528" w:type="pct"/>
                  <w:vMerge w:val="restart"/>
                  <w:vAlign w:val="center"/>
                </w:tcPr>
                <w:p>
                  <w:pPr>
                    <w:pStyle w:val="46"/>
                    <w:spacing w:before="0" w:after="0" w:line="240" w:lineRule="auto"/>
                    <w:ind w:firstLine="0" w:firstLineChars="0"/>
                    <w:jc w:val="center"/>
                    <w:rPr>
                      <w:sz w:val="21"/>
                      <w:szCs w:val="21"/>
                    </w:rPr>
                  </w:pPr>
                  <w:r>
                    <w:rPr>
                      <w:rFonts w:hint="eastAsia"/>
                      <w:sz w:val="21"/>
                      <w:szCs w:val="21"/>
                    </w:rPr>
                    <w:t>采用地埋式一体化污水处理设备为全过程封闭式的污水处理工艺，有效抑制了污水恶臭向外环境的散发，恶臭逸出量少，以无组织形式排放</w:t>
                  </w: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restart"/>
                  <w:vAlign w:val="center"/>
                </w:tcPr>
                <w:p>
                  <w:pPr>
                    <w:pStyle w:val="46"/>
                    <w:spacing w:before="0" w:after="0" w:line="240" w:lineRule="auto"/>
                    <w:ind w:firstLine="0" w:firstLineChars="0"/>
                    <w:jc w:val="center"/>
                    <w:rPr>
                      <w:sz w:val="21"/>
                      <w:szCs w:val="21"/>
                    </w:rPr>
                  </w:pPr>
                  <w:r>
                    <w:rPr>
                      <w:rFonts w:hint="eastAsia"/>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rFonts w:hint="eastAsia"/>
                      <w:sz w:val="21"/>
                      <w:szCs w:val="21"/>
                    </w:rPr>
                    <w:t>H</w:t>
                  </w:r>
                  <w:r>
                    <w:rPr>
                      <w:sz w:val="21"/>
                      <w:szCs w:val="21"/>
                    </w:rPr>
                    <w:t>2S</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continue"/>
                  <w:vAlign w:val="center"/>
                </w:tcPr>
                <w:p>
                  <w:pPr>
                    <w:pStyle w:val="46"/>
                    <w:spacing w:before="0" w:after="0"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6" w:type="pct"/>
                  <w:vMerge w:val="continue"/>
                  <w:vAlign w:val="center"/>
                </w:tcPr>
                <w:p>
                  <w:pPr>
                    <w:pStyle w:val="46"/>
                    <w:spacing w:before="0" w:after="0" w:line="240" w:lineRule="auto"/>
                    <w:ind w:firstLine="0" w:firstLineChars="0"/>
                    <w:jc w:val="center"/>
                    <w:rPr>
                      <w:sz w:val="21"/>
                      <w:szCs w:val="21"/>
                    </w:rPr>
                  </w:pPr>
                </w:p>
              </w:tc>
              <w:tc>
                <w:tcPr>
                  <w:tcW w:w="501" w:type="pct"/>
                  <w:vAlign w:val="center"/>
                </w:tcPr>
                <w:p>
                  <w:pPr>
                    <w:pStyle w:val="46"/>
                    <w:spacing w:before="0" w:after="0" w:line="240" w:lineRule="auto"/>
                    <w:ind w:firstLine="0" w:firstLineChars="0"/>
                    <w:jc w:val="center"/>
                    <w:rPr>
                      <w:sz w:val="21"/>
                      <w:szCs w:val="21"/>
                    </w:rPr>
                  </w:pPr>
                  <w:r>
                    <w:rPr>
                      <w:rFonts w:hint="eastAsia"/>
                      <w:sz w:val="21"/>
                      <w:szCs w:val="21"/>
                    </w:rPr>
                    <w:t>臭气浓度</w:t>
                  </w:r>
                </w:p>
              </w:tc>
              <w:tc>
                <w:tcPr>
                  <w:tcW w:w="1528" w:type="pct"/>
                  <w:vMerge w:val="continue"/>
                  <w:vAlign w:val="center"/>
                </w:tcPr>
                <w:p>
                  <w:pPr>
                    <w:pStyle w:val="46"/>
                    <w:spacing w:before="0" w:after="0" w:line="240" w:lineRule="auto"/>
                    <w:ind w:firstLine="0" w:firstLineChars="0"/>
                    <w:jc w:val="center"/>
                    <w:rPr>
                      <w:sz w:val="21"/>
                      <w:szCs w:val="21"/>
                    </w:rPr>
                  </w:pPr>
                </w:p>
              </w:tc>
              <w:tc>
                <w:tcPr>
                  <w:tcW w:w="591"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8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598" w:type="pct"/>
                  <w:vAlign w:val="center"/>
                </w:tcPr>
                <w:p>
                  <w:pPr>
                    <w:pStyle w:val="46"/>
                    <w:spacing w:before="0" w:after="0" w:line="240" w:lineRule="auto"/>
                    <w:ind w:firstLine="0" w:firstLineChars="0"/>
                    <w:jc w:val="center"/>
                    <w:rPr>
                      <w:sz w:val="21"/>
                      <w:szCs w:val="21"/>
                    </w:rPr>
                  </w:pPr>
                  <w:r>
                    <w:rPr>
                      <w:rFonts w:hint="eastAsia"/>
                      <w:sz w:val="21"/>
                      <w:szCs w:val="21"/>
                    </w:rPr>
                    <w:t>/</w:t>
                  </w:r>
                </w:p>
              </w:tc>
              <w:tc>
                <w:tcPr>
                  <w:tcW w:w="678" w:type="pct"/>
                  <w:vMerge w:val="continue"/>
                  <w:vAlign w:val="center"/>
                </w:tcPr>
                <w:p>
                  <w:pPr>
                    <w:pStyle w:val="46"/>
                    <w:spacing w:before="0" w:after="0" w:line="240" w:lineRule="auto"/>
                    <w:ind w:firstLine="0" w:firstLineChars="0"/>
                    <w:jc w:val="center"/>
                    <w:rPr>
                      <w:sz w:val="21"/>
                      <w:szCs w:val="21"/>
                    </w:rPr>
                  </w:pPr>
                </w:p>
              </w:tc>
            </w:tr>
            <w:bookmarkEnd w:id="5"/>
          </w:tbl>
          <w:p>
            <w:pPr>
              <w:adjustRightInd w:val="0"/>
              <w:snapToGrid w:val="0"/>
              <w:spacing w:line="480" w:lineRule="exact"/>
              <w:ind w:firstLine="480" w:firstLineChars="200"/>
              <w:rPr>
                <w:sz w:val="24"/>
              </w:rPr>
            </w:pPr>
            <w:r>
              <w:rPr>
                <w:rFonts w:hint="eastAsia"/>
                <w:sz w:val="24"/>
              </w:rPr>
              <w:t>综上所述，本项目主要污染源为</w:t>
            </w:r>
            <w:r>
              <w:rPr>
                <w:sz w:val="24"/>
              </w:rPr>
              <w:t>节能环保火化机</w:t>
            </w:r>
            <w:r>
              <w:rPr>
                <w:rFonts w:hint="eastAsia"/>
                <w:sz w:val="24"/>
              </w:rPr>
              <w:t>、遗物祭品焚烧炉，主要污染物为烟尘、</w:t>
            </w:r>
            <w:r>
              <w:rPr>
                <w:bCs/>
                <w:sz w:val="24"/>
              </w:rPr>
              <w:t>SO</w:t>
            </w:r>
            <w:r>
              <w:rPr>
                <w:bCs/>
                <w:sz w:val="24"/>
                <w:vertAlign w:val="subscript"/>
              </w:rPr>
              <w:t>2</w:t>
            </w:r>
            <w:r>
              <w:rPr>
                <w:rFonts w:hint="eastAsia"/>
                <w:sz w:val="24"/>
              </w:rPr>
              <w:t>、</w:t>
            </w:r>
            <w:r>
              <w:rPr>
                <w:bCs/>
                <w:sz w:val="24"/>
              </w:rPr>
              <w:t>NO</w:t>
            </w:r>
            <w:r>
              <w:rPr>
                <w:bCs/>
                <w:sz w:val="24"/>
                <w:vertAlign w:val="subscript"/>
              </w:rPr>
              <w:t>X</w:t>
            </w:r>
            <w:r>
              <w:rPr>
                <w:rFonts w:hint="eastAsia"/>
                <w:sz w:val="24"/>
              </w:rPr>
              <w:t>、</w:t>
            </w:r>
            <w:r>
              <w:rPr>
                <w:bCs/>
                <w:sz w:val="24"/>
              </w:rPr>
              <w:t>CO</w:t>
            </w:r>
            <w:r>
              <w:rPr>
                <w:rFonts w:hint="eastAsia"/>
                <w:sz w:val="24"/>
              </w:rPr>
              <w:t>、</w:t>
            </w:r>
            <w:r>
              <w:rPr>
                <w:bCs/>
                <w:sz w:val="24"/>
              </w:rPr>
              <w:t>H</w:t>
            </w:r>
            <w:r>
              <w:rPr>
                <w:rFonts w:hint="eastAsia"/>
                <w:bCs/>
                <w:sz w:val="24"/>
              </w:rPr>
              <w:t>Cl</w:t>
            </w:r>
            <w:r>
              <w:rPr>
                <w:rFonts w:hint="eastAsia"/>
                <w:sz w:val="24"/>
              </w:rPr>
              <w:t>、</w:t>
            </w:r>
            <w:r>
              <w:rPr>
                <w:bCs/>
                <w:sz w:val="24"/>
              </w:rPr>
              <w:t>汞</w:t>
            </w:r>
            <w:r>
              <w:rPr>
                <w:rFonts w:hint="eastAsia"/>
                <w:sz w:val="24"/>
              </w:rPr>
              <w:t>、</w:t>
            </w:r>
            <w:r>
              <w:rPr>
                <w:bCs/>
                <w:sz w:val="24"/>
              </w:rPr>
              <w:t>二噁英类</w:t>
            </w:r>
            <w:r>
              <w:rPr>
                <w:rFonts w:hint="eastAsia"/>
                <w:sz w:val="24"/>
              </w:rPr>
              <w:t>，采取的污染防治措施包括</w:t>
            </w:r>
            <w:r>
              <w:rPr>
                <w:rFonts w:hint="eastAsia"/>
                <w:bCs/>
                <w:sz w:val="24"/>
              </w:rPr>
              <w:t>源头控制措施，如选用节能环保火化机，保证</w:t>
            </w:r>
            <w:r>
              <w:rPr>
                <w:bCs/>
                <w:sz w:val="24"/>
              </w:rPr>
              <w:t>火化机炉膛温度</w:t>
            </w:r>
            <w:r>
              <w:rPr>
                <w:rFonts w:hint="eastAsia"/>
                <w:bCs/>
                <w:sz w:val="24"/>
              </w:rPr>
              <w:t>和</w:t>
            </w:r>
            <w:r>
              <w:rPr>
                <w:bCs/>
                <w:sz w:val="24"/>
              </w:rPr>
              <w:t>火化烟气在再燃室中有足够的停留时间</w:t>
            </w:r>
            <w:r>
              <w:rPr>
                <w:rFonts w:hint="eastAsia"/>
                <w:bCs/>
                <w:sz w:val="24"/>
              </w:rPr>
              <w:t>以及</w:t>
            </w:r>
            <w:r>
              <w:rPr>
                <w:bCs/>
                <w:sz w:val="24"/>
              </w:rPr>
              <w:t>合理配风，提高烟气的湍流度</w:t>
            </w:r>
            <w:r>
              <w:rPr>
                <w:rFonts w:hint="eastAsia"/>
                <w:bCs/>
                <w:sz w:val="24"/>
              </w:rPr>
              <w:t>，降低污染物的产生量；以及烟气末端治理措施，如采用急冷装置+半干法脱硫+旋风离心器+活性炭喷射+布袋除尘器组合方案治理烟气，以上技术均属于可行治理技术；火化机烟气中烟尘、S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l、汞、二噁英类的排放浓度可满足《火葬场大气污染物排放标准》（GB13801-2015）中表2新建单位遗体火化大气污染物排放限值要求；遗物祭品焚烧炉烟气中烟尘、S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l、二噁英类的排放浓度可满足《火葬场大气污染物排放标准》（GB13801-2015）中表</w:t>
            </w:r>
            <w:r>
              <w:rPr>
                <w:bCs/>
                <w:sz w:val="24"/>
              </w:rPr>
              <w:t>3</w:t>
            </w:r>
            <w:r>
              <w:rPr>
                <w:rFonts w:hint="eastAsia"/>
                <w:bCs/>
                <w:sz w:val="24"/>
              </w:rPr>
              <w:t>遗物祭品焚烧大气污染物排放限值要求；烟气</w:t>
            </w:r>
            <w:r>
              <w:rPr>
                <w:rFonts w:hint="eastAsia"/>
                <w:sz w:val="24"/>
              </w:rPr>
              <w:t>均可达标排放，且排放量较小，对周围环境影响较小。</w:t>
            </w:r>
          </w:p>
          <w:p>
            <w:pPr>
              <w:adjustRightInd w:val="0"/>
              <w:snapToGrid w:val="0"/>
              <w:spacing w:line="480" w:lineRule="exact"/>
              <w:ind w:firstLine="482" w:firstLineChars="200"/>
              <w:rPr>
                <w:b/>
                <w:bCs/>
                <w:sz w:val="24"/>
              </w:rPr>
            </w:pPr>
            <w:r>
              <w:rPr>
                <w:rFonts w:hint="eastAsia"/>
                <w:b/>
                <w:bCs/>
                <w:sz w:val="24"/>
              </w:rPr>
              <w:t>卫生防护距离：</w:t>
            </w:r>
          </w:p>
          <w:p>
            <w:pPr>
              <w:adjustRightInd w:val="0"/>
              <w:snapToGrid w:val="0"/>
              <w:spacing w:line="480" w:lineRule="exact"/>
              <w:ind w:firstLine="480" w:firstLineChars="200"/>
              <w:rPr>
                <w:sz w:val="24"/>
              </w:rPr>
            </w:pPr>
            <w:r>
              <w:rPr>
                <w:rFonts w:hint="eastAsia"/>
                <w:sz w:val="24"/>
              </w:rPr>
              <w:t>根据</w:t>
            </w:r>
            <w:r>
              <w:rPr>
                <w:rFonts w:hint="eastAsia"/>
                <w:kern w:val="0"/>
                <w:sz w:val="24"/>
              </w:rPr>
              <w:t>“关于印发《山西省殡葬基础设施建设指南》的通知”（晋民发[</w:t>
            </w:r>
            <w:r>
              <w:rPr>
                <w:kern w:val="0"/>
                <w:sz w:val="24"/>
              </w:rPr>
              <w:t>2020]60</w:t>
            </w:r>
            <w:r>
              <w:rPr>
                <w:rFonts w:hint="eastAsia"/>
                <w:kern w:val="0"/>
                <w:sz w:val="24"/>
              </w:rPr>
              <w:t>号），殡仪馆选址应符合城乡规划和土地利用总体规划（国土空间规划），不得占用永久基本农田，避开“三沿六区”以及各类自然保护地，应建在当地常年主导风向的下风侧，应有利于排水和空气扩散，尽量选择周边单位和居民较少、相对独立、交通便利的地域，并处理好与周边单位及居民的关系，符合《火葬场卫生防护距离标准》（G</w:t>
            </w:r>
            <w:r>
              <w:rPr>
                <w:kern w:val="0"/>
                <w:sz w:val="24"/>
              </w:rPr>
              <w:t>B18081</w:t>
            </w:r>
            <w:r>
              <w:rPr>
                <w:rFonts w:hint="eastAsia"/>
                <w:kern w:val="0"/>
                <w:sz w:val="24"/>
              </w:rPr>
              <w:t>）规定。</w:t>
            </w:r>
          </w:p>
          <w:p>
            <w:pPr>
              <w:adjustRightInd w:val="0"/>
              <w:snapToGrid w:val="0"/>
              <w:spacing w:line="480" w:lineRule="exact"/>
              <w:ind w:firstLine="480" w:firstLineChars="200"/>
              <w:rPr>
                <w:sz w:val="24"/>
              </w:rPr>
            </w:pPr>
            <w:r>
              <w:rPr>
                <w:rFonts w:hint="eastAsia"/>
                <w:sz w:val="24"/>
              </w:rPr>
              <w:t>根据</w:t>
            </w:r>
            <w:r>
              <w:rPr>
                <w:rFonts w:hint="eastAsia"/>
                <w:kern w:val="0"/>
                <w:sz w:val="24"/>
              </w:rPr>
              <w:t>《火葬场卫生防护距离标准》（G</w:t>
            </w:r>
            <w:r>
              <w:rPr>
                <w:kern w:val="0"/>
                <w:sz w:val="24"/>
              </w:rPr>
              <w:t>B18081-2000</w:t>
            </w:r>
            <w:r>
              <w:rPr>
                <w:rFonts w:hint="eastAsia"/>
                <w:kern w:val="0"/>
                <w:sz w:val="24"/>
              </w:rPr>
              <w:t>）的规定，火葬场的卫生防护距离，按其所在地年五年平均风速和焚尸量规定如下表所示：</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9</w:t>
            </w:r>
            <w:r>
              <w:rPr>
                <w:rFonts w:hint="eastAsia" w:ascii="黑体" w:hAnsi="黑体" w:eastAsia="黑体"/>
                <w:bCs/>
                <w:sz w:val="24"/>
              </w:rPr>
              <w:t xml:space="preserve">  火葬场卫生防护距离</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2135"/>
              <w:gridCol w:w="2138"/>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67" w:type="pct"/>
                  <w:vMerge w:val="restar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规模</w:t>
                  </w:r>
                </w:p>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年焚尸量，具</w:t>
                  </w:r>
                </w:p>
              </w:tc>
              <w:tc>
                <w:tcPr>
                  <w:tcW w:w="3733" w:type="pct"/>
                  <w:gridSpan w:val="3"/>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所在地区近五年平均风速，m/s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7" w:type="pct"/>
                  <w:vMerge w:val="continue"/>
                  <w:vAlign w:val="center"/>
                </w:tcPr>
                <w:p>
                  <w:pPr>
                    <w:pStyle w:val="60"/>
                    <w:snapToGrid/>
                    <w:spacing w:line="240" w:lineRule="auto"/>
                    <w:ind w:firstLine="0"/>
                    <w:jc w:val="center"/>
                    <w:rPr>
                      <w:rFonts w:ascii="Times New Roman" w:hAnsi="Times New Roman" w:eastAsia="宋体"/>
                      <w:sz w:val="21"/>
                      <w:szCs w:val="21"/>
                    </w:rPr>
                  </w:pPr>
                </w:p>
              </w:tc>
              <w:tc>
                <w:tcPr>
                  <w:tcW w:w="1239"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＜2</w:t>
                  </w:r>
                </w:p>
              </w:tc>
              <w:tc>
                <w:tcPr>
                  <w:tcW w:w="1241"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2~</w:t>
                  </w:r>
                  <w:r>
                    <w:rPr>
                      <w:rFonts w:ascii="Times New Roman" w:hAnsi="Times New Roman" w:eastAsia="宋体"/>
                      <w:sz w:val="21"/>
                      <w:szCs w:val="21"/>
                    </w:rPr>
                    <w:t>4</w:t>
                  </w:r>
                </w:p>
              </w:tc>
              <w:tc>
                <w:tcPr>
                  <w:tcW w:w="125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6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000</w:t>
                  </w:r>
                </w:p>
              </w:tc>
              <w:tc>
                <w:tcPr>
                  <w:tcW w:w="1239"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7</w:t>
                  </w:r>
                  <w:r>
                    <w:rPr>
                      <w:rFonts w:ascii="Times New Roman" w:hAnsi="Times New Roman" w:eastAsia="宋体"/>
                      <w:sz w:val="21"/>
                      <w:szCs w:val="21"/>
                    </w:rPr>
                    <w:t>00m</w:t>
                  </w:r>
                </w:p>
              </w:tc>
              <w:tc>
                <w:tcPr>
                  <w:tcW w:w="1241"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6</w:t>
                  </w:r>
                  <w:r>
                    <w:rPr>
                      <w:rFonts w:ascii="Times New Roman" w:hAnsi="Times New Roman" w:eastAsia="宋体"/>
                      <w:sz w:val="21"/>
                      <w:szCs w:val="21"/>
                    </w:rPr>
                    <w:t>00m</w:t>
                  </w:r>
                </w:p>
              </w:tc>
              <w:tc>
                <w:tcPr>
                  <w:tcW w:w="125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26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000</w:t>
                  </w:r>
                </w:p>
              </w:tc>
              <w:tc>
                <w:tcPr>
                  <w:tcW w:w="1239"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5</w:t>
                  </w:r>
                  <w:r>
                    <w:rPr>
                      <w:rFonts w:ascii="Times New Roman" w:hAnsi="Times New Roman" w:eastAsia="宋体"/>
                      <w:sz w:val="21"/>
                      <w:szCs w:val="21"/>
                    </w:rPr>
                    <w:t>00m</w:t>
                  </w:r>
                </w:p>
              </w:tc>
              <w:tc>
                <w:tcPr>
                  <w:tcW w:w="1241"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4</w:t>
                  </w:r>
                  <w:r>
                    <w:rPr>
                      <w:rFonts w:ascii="Times New Roman" w:hAnsi="Times New Roman" w:eastAsia="宋体"/>
                      <w:sz w:val="21"/>
                      <w:szCs w:val="21"/>
                    </w:rPr>
                    <w:t>00m</w:t>
                  </w:r>
                </w:p>
              </w:tc>
              <w:tc>
                <w:tcPr>
                  <w:tcW w:w="125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3</w:t>
                  </w:r>
                  <w:r>
                    <w:rPr>
                      <w:rFonts w:ascii="Times New Roman" w:hAnsi="Times New Roman" w:eastAsia="宋体"/>
                      <w:sz w:val="21"/>
                      <w:szCs w:val="21"/>
                    </w:rPr>
                    <w:t>00m</w:t>
                  </w:r>
                </w:p>
              </w:tc>
            </w:tr>
          </w:tbl>
          <w:p>
            <w:pPr>
              <w:adjustRightInd w:val="0"/>
              <w:snapToGrid w:val="0"/>
              <w:spacing w:line="480" w:lineRule="exact"/>
              <w:ind w:firstLine="480" w:firstLineChars="200"/>
              <w:rPr>
                <w:bCs/>
                <w:sz w:val="24"/>
              </w:rPr>
            </w:pPr>
            <w:r>
              <w:rPr>
                <w:rFonts w:hint="eastAsia"/>
                <w:bCs/>
                <w:sz w:val="24"/>
              </w:rPr>
              <w:t>本项目火化间共配备</w:t>
            </w:r>
            <w:r>
              <w:rPr>
                <w:bCs/>
                <w:sz w:val="24"/>
              </w:rPr>
              <w:t>3</w:t>
            </w:r>
            <w:r>
              <w:rPr>
                <w:rFonts w:hint="eastAsia"/>
                <w:bCs/>
                <w:sz w:val="24"/>
              </w:rPr>
              <w:t>台节能环保燃油火化机，燃料采用0#</w:t>
            </w:r>
            <w:r>
              <w:rPr>
                <w:bCs/>
                <w:sz w:val="24"/>
              </w:rPr>
              <w:t>-30</w:t>
            </w:r>
            <w:r>
              <w:rPr>
                <w:rFonts w:hint="eastAsia"/>
                <w:bCs/>
                <w:sz w:val="24"/>
              </w:rPr>
              <w:t>#轻质柴油，年最大服务能力为火化</w:t>
            </w:r>
            <w:r>
              <w:rPr>
                <w:bCs/>
                <w:sz w:val="24"/>
              </w:rPr>
              <w:t>2190</w:t>
            </w:r>
            <w:r>
              <w:rPr>
                <w:rFonts w:hint="eastAsia"/>
                <w:bCs/>
                <w:sz w:val="24"/>
              </w:rPr>
              <w:t>具遗体；五台县近五年平均风速为1</w:t>
            </w:r>
            <w:r>
              <w:rPr>
                <w:bCs/>
                <w:sz w:val="24"/>
              </w:rPr>
              <w:t>.7</w:t>
            </w:r>
            <w:r>
              <w:rPr>
                <w:rFonts w:hint="eastAsia"/>
                <w:bCs/>
                <w:sz w:val="24"/>
              </w:rPr>
              <w:t>m</w:t>
            </w:r>
            <w:r>
              <w:rPr>
                <w:bCs/>
                <w:sz w:val="24"/>
              </w:rPr>
              <w:t>/s</w:t>
            </w:r>
            <w:r>
              <w:rPr>
                <w:rFonts w:hint="eastAsia"/>
                <w:bCs/>
                <w:sz w:val="24"/>
              </w:rPr>
              <w:t>，因此执行的卫生防护距离为5</w:t>
            </w:r>
            <w:r>
              <w:rPr>
                <w:bCs/>
                <w:sz w:val="24"/>
              </w:rPr>
              <w:t>00m</w:t>
            </w:r>
            <w:r>
              <w:rPr>
                <w:rFonts w:hint="eastAsia"/>
                <w:bCs/>
                <w:sz w:val="24"/>
              </w:rPr>
              <w:t>，</w:t>
            </w:r>
            <w:r>
              <w:rPr>
                <w:sz w:val="24"/>
              </w:rPr>
              <w:t>距本项目拟建场址最近的居住区为距场址西侧约700m的东茹村</w:t>
            </w:r>
            <w:r>
              <w:rPr>
                <w:rFonts w:hint="eastAsia"/>
                <w:sz w:val="24"/>
              </w:rPr>
              <w:t>，满足卫生防护距离的要求。</w:t>
            </w:r>
          </w:p>
          <w:p>
            <w:pPr>
              <w:adjustRightInd w:val="0"/>
              <w:snapToGrid w:val="0"/>
              <w:spacing w:line="480" w:lineRule="exact"/>
              <w:ind w:firstLine="482" w:firstLineChars="200"/>
              <w:rPr>
                <w:b/>
                <w:bCs/>
                <w:sz w:val="24"/>
              </w:rPr>
            </w:pPr>
            <w:r>
              <w:rPr>
                <w:rFonts w:hint="eastAsia"/>
                <w:b/>
                <w:bCs/>
                <w:sz w:val="24"/>
              </w:rPr>
              <w:t>大气监测计划：</w:t>
            </w:r>
          </w:p>
          <w:p>
            <w:pPr>
              <w:adjustRightInd w:val="0"/>
              <w:snapToGrid w:val="0"/>
              <w:spacing w:line="480" w:lineRule="exact"/>
              <w:ind w:firstLine="480" w:firstLineChars="200"/>
              <w:rPr>
                <w:sz w:val="24"/>
              </w:rPr>
            </w:pPr>
            <w:r>
              <w:rPr>
                <w:rFonts w:hint="eastAsia"/>
                <w:sz w:val="24"/>
              </w:rPr>
              <w:t>根据《排污单位自行监测技术指南 总则》（HJ 819-2017），</w:t>
            </w:r>
            <w:r>
              <w:rPr>
                <w:rFonts w:hint="eastAsia"/>
                <w:bCs/>
                <w:sz w:val="24"/>
              </w:rPr>
              <w:t>本项目废气监测内容见下表。</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10</w:t>
            </w:r>
            <w:r>
              <w:rPr>
                <w:rFonts w:hint="eastAsia" w:ascii="黑体" w:hAnsi="黑体" w:eastAsia="黑体"/>
                <w:bCs/>
                <w:sz w:val="24"/>
              </w:rPr>
              <w:t xml:space="preserve">  有组织废气监测方案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119"/>
              <w:gridCol w:w="124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监测点位</w:t>
                  </w:r>
                </w:p>
              </w:tc>
              <w:tc>
                <w:tcPr>
                  <w:tcW w:w="1810"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监测指标</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监测频次</w:t>
                  </w:r>
                </w:p>
              </w:tc>
              <w:tc>
                <w:tcPr>
                  <w:tcW w:w="152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widowControl/>
                    <w:jc w:val="center"/>
                    <w:rPr>
                      <w:kern w:val="0"/>
                      <w:szCs w:val="21"/>
                    </w:rPr>
                  </w:pPr>
                  <w:r>
                    <w:rPr>
                      <w:rFonts w:hint="eastAsia"/>
                      <w:szCs w:val="21"/>
                    </w:rPr>
                    <w:t>1#火化机烟气排气筒D</w:t>
                  </w:r>
                  <w:r>
                    <w:rPr>
                      <w:szCs w:val="21"/>
                    </w:rPr>
                    <w:t>A001</w:t>
                  </w:r>
                </w:p>
              </w:tc>
              <w:tc>
                <w:tcPr>
                  <w:tcW w:w="1810"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烟尘、S</w:t>
                  </w:r>
                  <w:r>
                    <w:rPr>
                      <w:rFonts w:ascii="Times New Roman" w:hAnsi="Times New Roman" w:eastAsia="宋体"/>
                      <w:bCs/>
                      <w:sz w:val="21"/>
                      <w:szCs w:val="21"/>
                    </w:rPr>
                    <w:t>O</w:t>
                  </w:r>
                  <w:r>
                    <w:rPr>
                      <w:rFonts w:ascii="Times New Roman" w:hAnsi="Times New Roman" w:eastAsia="宋体"/>
                      <w:bCs/>
                      <w:sz w:val="21"/>
                      <w:szCs w:val="21"/>
                      <w:vertAlign w:val="subscript"/>
                    </w:rPr>
                    <w:t>2</w:t>
                  </w:r>
                  <w:r>
                    <w:rPr>
                      <w:rFonts w:hint="eastAsia" w:ascii="Times New Roman" w:hAnsi="Times New Roman" w:eastAsia="宋体"/>
                      <w:bCs/>
                      <w:sz w:val="21"/>
                      <w:szCs w:val="21"/>
                    </w:rPr>
                    <w:t>、N</w:t>
                  </w:r>
                  <w:r>
                    <w:rPr>
                      <w:rFonts w:ascii="Times New Roman" w:hAnsi="Times New Roman" w:eastAsia="宋体"/>
                      <w:bCs/>
                      <w:sz w:val="21"/>
                      <w:szCs w:val="21"/>
                    </w:rPr>
                    <w:t>O</w:t>
                  </w:r>
                  <w:r>
                    <w:rPr>
                      <w:rFonts w:ascii="Times New Roman" w:hAnsi="Times New Roman" w:eastAsia="宋体"/>
                      <w:bCs/>
                      <w:sz w:val="21"/>
                      <w:szCs w:val="21"/>
                      <w:vertAlign w:val="subscript"/>
                    </w:rPr>
                    <w:t>x</w:t>
                  </w:r>
                  <w:r>
                    <w:rPr>
                      <w:rFonts w:hint="eastAsia" w:ascii="Times New Roman" w:hAnsi="Times New Roman" w:eastAsia="宋体"/>
                      <w:bCs/>
                      <w:sz w:val="21"/>
                      <w:szCs w:val="21"/>
                    </w:rPr>
                    <w:t>、C</w:t>
                  </w:r>
                  <w:r>
                    <w:rPr>
                      <w:rFonts w:ascii="Times New Roman" w:hAnsi="Times New Roman" w:eastAsia="宋体"/>
                      <w:bCs/>
                      <w:sz w:val="21"/>
                      <w:szCs w:val="21"/>
                    </w:rPr>
                    <w:t>O</w:t>
                  </w:r>
                  <w:r>
                    <w:rPr>
                      <w:rFonts w:hint="eastAsia" w:ascii="Times New Roman" w:hAnsi="Times New Roman" w:eastAsia="宋体"/>
                      <w:bCs/>
                      <w:sz w:val="21"/>
                      <w:szCs w:val="21"/>
                    </w:rPr>
                    <w:t>、H</w:t>
                  </w:r>
                  <w:r>
                    <w:rPr>
                      <w:rFonts w:ascii="Times New Roman" w:hAnsi="Times New Roman" w:eastAsia="宋体"/>
                      <w:bCs/>
                      <w:sz w:val="21"/>
                      <w:szCs w:val="21"/>
                    </w:rPr>
                    <w:t>C</w:t>
                  </w:r>
                  <w:r>
                    <w:rPr>
                      <w:rFonts w:hint="eastAsia" w:ascii="Times New Roman" w:hAnsi="Times New Roman" w:eastAsia="宋体"/>
                      <w:bCs/>
                      <w:sz w:val="21"/>
                      <w:szCs w:val="21"/>
                    </w:rPr>
                    <w:t>l、汞、二噁英类、烟气黑度</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1527" w:type="pct"/>
                  <w:vMerge w:val="restar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《火葬场大气污染物排放标准》（GB13801-2015）中表2新建单位遗体火化大气污染物排放限值要求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3" w:type="pct"/>
                  <w:vAlign w:val="center"/>
                </w:tcPr>
                <w:p>
                  <w:pPr>
                    <w:widowControl/>
                    <w:jc w:val="center"/>
                    <w:rPr>
                      <w:kern w:val="0"/>
                      <w:szCs w:val="21"/>
                    </w:rPr>
                  </w:pPr>
                  <w:r>
                    <w:rPr>
                      <w:szCs w:val="21"/>
                    </w:rPr>
                    <w:t>2</w:t>
                  </w:r>
                  <w:r>
                    <w:rPr>
                      <w:rFonts w:hint="eastAsia"/>
                      <w:szCs w:val="21"/>
                    </w:rPr>
                    <w:t>#火化机烟气排气筒D</w:t>
                  </w:r>
                  <w:r>
                    <w:rPr>
                      <w:szCs w:val="21"/>
                    </w:rPr>
                    <w:t>A002</w:t>
                  </w:r>
                </w:p>
              </w:tc>
              <w:tc>
                <w:tcPr>
                  <w:tcW w:w="1810"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烟尘、S</w:t>
                  </w:r>
                  <w:r>
                    <w:rPr>
                      <w:rFonts w:ascii="Times New Roman" w:hAnsi="Times New Roman" w:eastAsia="宋体"/>
                      <w:bCs/>
                      <w:sz w:val="21"/>
                      <w:szCs w:val="21"/>
                    </w:rPr>
                    <w:t>O</w:t>
                  </w:r>
                  <w:r>
                    <w:rPr>
                      <w:rFonts w:ascii="Times New Roman" w:hAnsi="Times New Roman" w:eastAsia="宋体"/>
                      <w:bCs/>
                      <w:sz w:val="21"/>
                      <w:szCs w:val="21"/>
                      <w:vertAlign w:val="subscript"/>
                    </w:rPr>
                    <w:t>2</w:t>
                  </w:r>
                  <w:r>
                    <w:rPr>
                      <w:rFonts w:hint="eastAsia" w:ascii="Times New Roman" w:hAnsi="Times New Roman" w:eastAsia="宋体"/>
                      <w:bCs/>
                      <w:sz w:val="21"/>
                      <w:szCs w:val="21"/>
                    </w:rPr>
                    <w:t>、N</w:t>
                  </w:r>
                  <w:r>
                    <w:rPr>
                      <w:rFonts w:ascii="Times New Roman" w:hAnsi="Times New Roman" w:eastAsia="宋体"/>
                      <w:bCs/>
                      <w:sz w:val="21"/>
                      <w:szCs w:val="21"/>
                    </w:rPr>
                    <w:t>O</w:t>
                  </w:r>
                  <w:r>
                    <w:rPr>
                      <w:rFonts w:ascii="Times New Roman" w:hAnsi="Times New Roman" w:eastAsia="宋体"/>
                      <w:bCs/>
                      <w:sz w:val="21"/>
                      <w:szCs w:val="21"/>
                      <w:vertAlign w:val="subscript"/>
                    </w:rPr>
                    <w:t>x</w:t>
                  </w:r>
                  <w:r>
                    <w:rPr>
                      <w:rFonts w:hint="eastAsia" w:ascii="Times New Roman" w:hAnsi="Times New Roman" w:eastAsia="宋体"/>
                      <w:bCs/>
                      <w:sz w:val="21"/>
                      <w:szCs w:val="21"/>
                    </w:rPr>
                    <w:t>、C</w:t>
                  </w:r>
                  <w:r>
                    <w:rPr>
                      <w:rFonts w:ascii="Times New Roman" w:hAnsi="Times New Roman" w:eastAsia="宋体"/>
                      <w:bCs/>
                      <w:sz w:val="21"/>
                      <w:szCs w:val="21"/>
                    </w:rPr>
                    <w:t>O</w:t>
                  </w:r>
                  <w:r>
                    <w:rPr>
                      <w:rFonts w:hint="eastAsia" w:ascii="Times New Roman" w:hAnsi="Times New Roman" w:eastAsia="宋体"/>
                      <w:bCs/>
                      <w:sz w:val="21"/>
                      <w:szCs w:val="21"/>
                    </w:rPr>
                    <w:t>、H</w:t>
                  </w:r>
                  <w:r>
                    <w:rPr>
                      <w:rFonts w:ascii="Times New Roman" w:hAnsi="Times New Roman" w:eastAsia="宋体"/>
                      <w:bCs/>
                      <w:sz w:val="21"/>
                      <w:szCs w:val="21"/>
                    </w:rPr>
                    <w:t>C</w:t>
                  </w:r>
                  <w:r>
                    <w:rPr>
                      <w:rFonts w:hint="eastAsia" w:ascii="Times New Roman" w:hAnsi="Times New Roman" w:eastAsia="宋体"/>
                      <w:bCs/>
                      <w:sz w:val="21"/>
                      <w:szCs w:val="21"/>
                    </w:rPr>
                    <w:t>l、汞、二噁英类、烟气黑度</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1527" w:type="pct"/>
                  <w:vMerge w:val="continue"/>
                  <w:vAlign w:val="center"/>
                </w:tcPr>
                <w:p>
                  <w:pPr>
                    <w:pStyle w:val="60"/>
                    <w:snapToGrid/>
                    <w:spacing w:line="240" w:lineRule="auto"/>
                    <w:ind w:firstLine="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Align w:val="center"/>
                </w:tcPr>
                <w:p>
                  <w:pPr>
                    <w:widowControl/>
                    <w:jc w:val="center"/>
                    <w:rPr>
                      <w:kern w:val="0"/>
                      <w:szCs w:val="21"/>
                    </w:rPr>
                  </w:pPr>
                  <w:r>
                    <w:rPr>
                      <w:szCs w:val="21"/>
                    </w:rPr>
                    <w:t>3</w:t>
                  </w:r>
                  <w:r>
                    <w:rPr>
                      <w:rFonts w:hint="eastAsia"/>
                      <w:szCs w:val="21"/>
                    </w:rPr>
                    <w:t>#火化机烟气排气筒D</w:t>
                  </w:r>
                  <w:r>
                    <w:rPr>
                      <w:szCs w:val="21"/>
                    </w:rPr>
                    <w:t>A003</w:t>
                  </w:r>
                </w:p>
              </w:tc>
              <w:tc>
                <w:tcPr>
                  <w:tcW w:w="1810" w:type="pct"/>
                  <w:vAlign w:val="center"/>
                </w:tcPr>
                <w:p>
                  <w:pPr>
                    <w:widowControl/>
                    <w:jc w:val="center"/>
                    <w:rPr>
                      <w:kern w:val="0"/>
                      <w:szCs w:val="21"/>
                    </w:rPr>
                  </w:pPr>
                  <w:r>
                    <w:rPr>
                      <w:rFonts w:hint="eastAsia"/>
                      <w:bCs/>
                      <w:kern w:val="0"/>
                      <w:szCs w:val="21"/>
                    </w:rPr>
                    <w:t>烟尘、S</w:t>
                  </w:r>
                  <w:r>
                    <w:rPr>
                      <w:bCs/>
                      <w:kern w:val="0"/>
                      <w:szCs w:val="21"/>
                    </w:rPr>
                    <w:t>O</w:t>
                  </w:r>
                  <w:r>
                    <w:rPr>
                      <w:bCs/>
                      <w:kern w:val="0"/>
                      <w:szCs w:val="21"/>
                      <w:vertAlign w:val="subscript"/>
                    </w:rPr>
                    <w:t>2</w:t>
                  </w:r>
                  <w:r>
                    <w:rPr>
                      <w:rFonts w:hint="eastAsia"/>
                      <w:bCs/>
                      <w:kern w:val="0"/>
                      <w:szCs w:val="21"/>
                    </w:rPr>
                    <w:t>、N</w:t>
                  </w:r>
                  <w:r>
                    <w:rPr>
                      <w:bCs/>
                      <w:kern w:val="0"/>
                      <w:szCs w:val="21"/>
                    </w:rPr>
                    <w:t>O</w:t>
                  </w:r>
                  <w:r>
                    <w:rPr>
                      <w:bCs/>
                      <w:kern w:val="0"/>
                      <w:szCs w:val="21"/>
                      <w:vertAlign w:val="subscript"/>
                    </w:rPr>
                    <w:t>x</w:t>
                  </w:r>
                  <w:r>
                    <w:rPr>
                      <w:rFonts w:hint="eastAsia"/>
                      <w:bCs/>
                      <w:kern w:val="0"/>
                      <w:szCs w:val="21"/>
                    </w:rPr>
                    <w:t>、C</w:t>
                  </w:r>
                  <w:r>
                    <w:rPr>
                      <w:bCs/>
                      <w:kern w:val="0"/>
                      <w:szCs w:val="21"/>
                    </w:rPr>
                    <w:t>O</w:t>
                  </w:r>
                  <w:r>
                    <w:rPr>
                      <w:rFonts w:hint="eastAsia"/>
                      <w:bCs/>
                      <w:kern w:val="0"/>
                      <w:szCs w:val="21"/>
                    </w:rPr>
                    <w:t>、H</w:t>
                  </w:r>
                  <w:r>
                    <w:rPr>
                      <w:bCs/>
                      <w:kern w:val="0"/>
                      <w:szCs w:val="21"/>
                    </w:rPr>
                    <w:t>C</w:t>
                  </w:r>
                  <w:r>
                    <w:rPr>
                      <w:rFonts w:hint="eastAsia"/>
                      <w:bCs/>
                      <w:kern w:val="0"/>
                      <w:szCs w:val="21"/>
                    </w:rPr>
                    <w:t>l、汞、二噁英类</w:t>
                  </w:r>
                  <w:r>
                    <w:rPr>
                      <w:rFonts w:hint="eastAsia"/>
                      <w:bCs/>
                      <w:szCs w:val="21"/>
                    </w:rPr>
                    <w:t>、烟气黑度</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1527" w:type="pct"/>
                  <w:vMerge w:val="continue"/>
                  <w:vAlign w:val="center"/>
                </w:tcPr>
                <w:p>
                  <w:pPr>
                    <w:pStyle w:val="60"/>
                    <w:snapToGrid/>
                    <w:spacing w:line="240" w:lineRule="auto"/>
                    <w:ind w:firstLine="0"/>
                    <w:jc w:val="center"/>
                    <w:rPr>
                      <w:rFonts w:ascii="Times New Roman" w:hAnsi="Times New Roman"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43" w:type="pct"/>
                  <w:vAlign w:val="center"/>
                </w:tcPr>
                <w:p>
                  <w:pPr>
                    <w:widowControl/>
                    <w:jc w:val="center"/>
                    <w:rPr>
                      <w:kern w:val="0"/>
                      <w:szCs w:val="21"/>
                    </w:rPr>
                  </w:pPr>
                  <w:r>
                    <w:rPr>
                      <w:rFonts w:hint="eastAsia"/>
                      <w:szCs w:val="21"/>
                    </w:rPr>
                    <w:t>遗物祭品焚烧炉烟气排气筒D</w:t>
                  </w:r>
                  <w:r>
                    <w:rPr>
                      <w:szCs w:val="21"/>
                    </w:rPr>
                    <w:t>A004</w:t>
                  </w:r>
                </w:p>
              </w:tc>
              <w:tc>
                <w:tcPr>
                  <w:tcW w:w="1810" w:type="pct"/>
                  <w:vAlign w:val="center"/>
                </w:tcPr>
                <w:p>
                  <w:pPr>
                    <w:widowControl/>
                    <w:jc w:val="center"/>
                    <w:rPr>
                      <w:szCs w:val="21"/>
                    </w:rPr>
                  </w:pPr>
                  <w:r>
                    <w:rPr>
                      <w:rFonts w:hint="eastAsia"/>
                      <w:bCs/>
                      <w:szCs w:val="21"/>
                    </w:rPr>
                    <w:t>烟尘、S</w:t>
                  </w:r>
                  <w:r>
                    <w:rPr>
                      <w:bCs/>
                      <w:szCs w:val="21"/>
                    </w:rPr>
                    <w:t>O</w:t>
                  </w:r>
                  <w:r>
                    <w:rPr>
                      <w:bCs/>
                      <w:szCs w:val="21"/>
                      <w:vertAlign w:val="subscript"/>
                    </w:rPr>
                    <w:t>2</w:t>
                  </w:r>
                  <w:r>
                    <w:rPr>
                      <w:rFonts w:hint="eastAsia"/>
                      <w:bCs/>
                      <w:szCs w:val="21"/>
                    </w:rPr>
                    <w:t>、N</w:t>
                  </w:r>
                  <w:r>
                    <w:rPr>
                      <w:bCs/>
                      <w:szCs w:val="21"/>
                    </w:rPr>
                    <w:t>O</w:t>
                  </w:r>
                  <w:r>
                    <w:rPr>
                      <w:bCs/>
                      <w:szCs w:val="21"/>
                      <w:vertAlign w:val="subscript"/>
                    </w:rPr>
                    <w:t>x</w:t>
                  </w:r>
                  <w:r>
                    <w:rPr>
                      <w:rFonts w:hint="eastAsia"/>
                      <w:bCs/>
                      <w:szCs w:val="21"/>
                    </w:rPr>
                    <w:t>、C</w:t>
                  </w:r>
                  <w:r>
                    <w:rPr>
                      <w:bCs/>
                      <w:szCs w:val="21"/>
                    </w:rPr>
                    <w:t>O</w:t>
                  </w:r>
                  <w:r>
                    <w:rPr>
                      <w:rFonts w:hint="eastAsia"/>
                      <w:bCs/>
                      <w:szCs w:val="21"/>
                    </w:rPr>
                    <w:t>、H</w:t>
                  </w:r>
                  <w:r>
                    <w:rPr>
                      <w:bCs/>
                      <w:szCs w:val="21"/>
                    </w:rPr>
                    <w:t>C</w:t>
                  </w:r>
                  <w:r>
                    <w:rPr>
                      <w:rFonts w:hint="eastAsia"/>
                      <w:bCs/>
                      <w:szCs w:val="21"/>
                    </w:rPr>
                    <w:t>l、二噁英类、烟气黑度</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152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《火葬场大气污染物排放标准》（GB13801-2015）中表3遗物祭品焚烧大气污染物排放限值要求</w:t>
                  </w:r>
                </w:p>
              </w:tc>
            </w:tr>
          </w:tbl>
          <w:p>
            <w:pPr>
              <w:spacing w:line="480" w:lineRule="exact"/>
              <w:jc w:val="center"/>
              <w:rPr>
                <w:rFonts w:ascii="黑体" w:hAnsi="黑体" w:eastAsia="黑体"/>
                <w:kern w:val="0"/>
                <w:sz w:val="24"/>
                <w:szCs w:val="32"/>
              </w:rPr>
            </w:pPr>
            <w:r>
              <w:rPr>
                <w:rFonts w:hint="eastAsia" w:ascii="黑体" w:hAnsi="黑体" w:eastAsia="黑体"/>
                <w:kern w:val="0"/>
                <w:sz w:val="24"/>
                <w:szCs w:val="32"/>
              </w:rPr>
              <w:t>表</w:t>
            </w:r>
            <w:r>
              <w:rPr>
                <w:rFonts w:hint="eastAsia"/>
                <w:bCs/>
                <w:sz w:val="24"/>
                <w:szCs w:val="32"/>
              </w:rPr>
              <w:t>4-</w:t>
            </w:r>
            <w:r>
              <w:rPr>
                <w:bCs/>
                <w:sz w:val="24"/>
                <w:szCs w:val="32"/>
              </w:rPr>
              <w:t xml:space="preserve">11 </w:t>
            </w:r>
            <w:r>
              <w:rPr>
                <w:rFonts w:hint="eastAsia" w:ascii="黑体" w:hAnsi="黑体" w:eastAsia="黑体"/>
                <w:kern w:val="0"/>
                <w:sz w:val="24"/>
                <w:szCs w:val="32"/>
              </w:rPr>
              <w:t xml:space="preserve"> 无组织废气监测方案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6"/>
              <w:gridCol w:w="1795"/>
              <w:gridCol w:w="1659"/>
              <w:gridCol w:w="3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97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监测点位</w:t>
                  </w:r>
                </w:p>
              </w:tc>
              <w:tc>
                <w:tcPr>
                  <w:tcW w:w="1042"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监测指标</w:t>
                  </w:r>
                </w:p>
              </w:tc>
              <w:tc>
                <w:tcPr>
                  <w:tcW w:w="963"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监测频次</w:t>
                  </w:r>
                </w:p>
              </w:tc>
              <w:tc>
                <w:tcPr>
                  <w:tcW w:w="2022"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3" w:type="pct"/>
                  <w:vAlign w:val="center"/>
                </w:tcPr>
                <w:p>
                  <w:pPr>
                    <w:widowControl/>
                    <w:jc w:val="center"/>
                    <w:rPr>
                      <w:kern w:val="0"/>
                      <w:szCs w:val="21"/>
                    </w:rPr>
                  </w:pPr>
                  <w:r>
                    <w:rPr>
                      <w:rFonts w:hint="eastAsia"/>
                      <w:bCs/>
                      <w:kern w:val="0"/>
                      <w:szCs w:val="21"/>
                    </w:rPr>
                    <w:t>厂界</w:t>
                  </w:r>
                </w:p>
              </w:tc>
              <w:tc>
                <w:tcPr>
                  <w:tcW w:w="1042"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臭气浓度</w:t>
                  </w:r>
                </w:p>
              </w:tc>
              <w:tc>
                <w:tcPr>
                  <w:tcW w:w="963"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2022"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bCs/>
                      <w:sz w:val="21"/>
                      <w:szCs w:val="21"/>
                    </w:rPr>
                    <w:t>《</w:t>
                  </w:r>
                  <w:r>
                    <w:rPr>
                      <w:rFonts w:hint="eastAsia" w:ascii="Times New Roman" w:hAnsi="Times New Roman" w:eastAsia="宋体"/>
                      <w:bCs/>
                      <w:sz w:val="21"/>
                      <w:szCs w:val="21"/>
                    </w:rPr>
                    <w:t>恶臭污染物排放标准</w:t>
                  </w:r>
                  <w:r>
                    <w:rPr>
                      <w:rFonts w:ascii="Times New Roman" w:hAnsi="Times New Roman" w:eastAsia="宋体"/>
                      <w:bCs/>
                      <w:sz w:val="21"/>
                      <w:szCs w:val="21"/>
                    </w:rPr>
                    <w:t>》（</w:t>
                  </w:r>
                  <w:r>
                    <w:rPr>
                      <w:rFonts w:hint="eastAsia" w:ascii="Times New Roman" w:hAnsi="Times New Roman" w:eastAsia="宋体"/>
                      <w:bCs/>
                      <w:sz w:val="21"/>
                      <w:szCs w:val="21"/>
                    </w:rPr>
                    <w:t>GB14554-93</w:t>
                  </w:r>
                  <w:r>
                    <w:rPr>
                      <w:rFonts w:ascii="Times New Roman" w:hAnsi="Times New Roman" w:eastAsia="宋体"/>
                      <w:bCs/>
                      <w:sz w:val="21"/>
                      <w:szCs w:val="21"/>
                    </w:rPr>
                    <w:t>）</w:t>
                  </w:r>
                </w:p>
              </w:tc>
            </w:tr>
          </w:tbl>
          <w:p>
            <w:pPr>
              <w:adjustRightInd w:val="0"/>
              <w:snapToGrid w:val="0"/>
              <w:spacing w:line="480" w:lineRule="exact"/>
              <w:ind w:firstLine="482" w:firstLineChars="200"/>
              <w:rPr>
                <w:sz w:val="24"/>
              </w:rPr>
            </w:pPr>
            <w:r>
              <w:rPr>
                <w:rFonts w:hint="eastAsia"/>
                <w:b/>
                <w:bCs/>
                <w:sz w:val="24"/>
              </w:rPr>
              <w:t>2、运营期</w:t>
            </w:r>
            <w:r>
              <w:rPr>
                <w:rFonts w:hint="eastAsia"/>
                <w:b/>
                <w:sz w:val="24"/>
              </w:rPr>
              <w:t>水</w:t>
            </w:r>
            <w:r>
              <w:rPr>
                <w:b/>
                <w:sz w:val="24"/>
              </w:rPr>
              <w:t>污染源强</w:t>
            </w:r>
            <w:r>
              <w:rPr>
                <w:rFonts w:hint="eastAsia"/>
                <w:b/>
                <w:sz w:val="24"/>
              </w:rPr>
              <w:t>及污染防治措施</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int="eastAsia" w:hAnsi="宋体"/>
                <w:b/>
                <w:sz w:val="24"/>
                <w:szCs w:val="32"/>
                <w:vertAlign w:val="subscript"/>
              </w:rPr>
              <w:t>1</w:t>
            </w:r>
            <w:r>
              <w:rPr>
                <w:rFonts w:hint="eastAsia" w:hAnsi="宋体"/>
                <w:b/>
                <w:sz w:val="24"/>
                <w:szCs w:val="32"/>
              </w:rPr>
              <w:t>：</w:t>
            </w:r>
            <w:r>
              <w:rPr>
                <w:rFonts w:hint="eastAsia" w:hAnsi="宋体"/>
                <w:b/>
                <w:bCs/>
                <w:sz w:val="24"/>
                <w:szCs w:val="32"/>
              </w:rPr>
              <w:t>遗体处置清洗、消毒废水；</w:t>
            </w:r>
          </w:p>
          <w:p>
            <w:pPr>
              <w:adjustRightInd w:val="0"/>
              <w:snapToGrid w:val="0"/>
              <w:spacing w:line="480" w:lineRule="exact"/>
              <w:ind w:firstLine="480" w:firstLineChars="200"/>
              <w:rPr>
                <w:bCs/>
                <w:sz w:val="24"/>
              </w:rPr>
            </w:pPr>
            <w:r>
              <w:rPr>
                <w:rFonts w:hint="eastAsia"/>
                <w:sz w:val="24"/>
              </w:rPr>
              <w:t>参考同类报告，遗体处置包括沐浴、化妆、换衣等殡仪服务以及处置台清洗、消毒，用水量约为0</w:t>
            </w:r>
            <w:r>
              <w:rPr>
                <w:sz w:val="24"/>
              </w:rPr>
              <w:t>.2-</w:t>
            </w:r>
            <w:r>
              <w:rPr>
                <w:rFonts w:hint="eastAsia"/>
                <w:sz w:val="24"/>
              </w:rPr>
              <w:t>0.3m</w:t>
            </w:r>
            <w:r>
              <w:rPr>
                <w:rFonts w:hint="eastAsia"/>
                <w:sz w:val="24"/>
                <w:vertAlign w:val="superscript"/>
              </w:rPr>
              <w:t>3</w:t>
            </w:r>
            <w:r>
              <w:rPr>
                <w:rFonts w:hint="eastAsia"/>
                <w:sz w:val="24"/>
              </w:rPr>
              <w:t>/具，本项目取遗体处置清洗、消毒用水为0</w:t>
            </w:r>
            <w:r>
              <w:rPr>
                <w:sz w:val="24"/>
              </w:rPr>
              <w:t>.2</w:t>
            </w:r>
            <w:r>
              <w:rPr>
                <w:rFonts w:hint="eastAsia"/>
                <w:sz w:val="24"/>
              </w:rPr>
              <w:t xml:space="preserve"> m</w:t>
            </w:r>
            <w:r>
              <w:rPr>
                <w:rFonts w:hint="eastAsia"/>
                <w:sz w:val="24"/>
                <w:vertAlign w:val="superscript"/>
              </w:rPr>
              <w:t>3</w:t>
            </w:r>
            <w:r>
              <w:rPr>
                <w:rFonts w:hint="eastAsia"/>
                <w:sz w:val="24"/>
              </w:rPr>
              <w:t>/具；</w:t>
            </w:r>
            <w:r>
              <w:rPr>
                <w:sz w:val="24"/>
              </w:rPr>
              <w:t>以项目最高年服务能力计，即</w:t>
            </w:r>
            <w:r>
              <w:rPr>
                <w:rFonts w:hint="eastAsia"/>
                <w:sz w:val="24"/>
              </w:rPr>
              <w:t>年火化遗体</w:t>
            </w:r>
            <w:r>
              <w:rPr>
                <w:sz w:val="24"/>
              </w:rPr>
              <w:t>2190具</w:t>
            </w:r>
            <w:r>
              <w:rPr>
                <w:rFonts w:hint="eastAsia"/>
                <w:sz w:val="24"/>
              </w:rPr>
              <w:t>计，则本项目遗体处置清洗、消毒用水量为4</w:t>
            </w:r>
            <w:r>
              <w:rPr>
                <w:sz w:val="24"/>
              </w:rPr>
              <w:t>38</w:t>
            </w:r>
            <w:r>
              <w:rPr>
                <w:rFonts w:hint="eastAsia"/>
                <w:sz w:val="24"/>
              </w:rPr>
              <w:t>m</w:t>
            </w:r>
            <w:r>
              <w:rPr>
                <w:sz w:val="24"/>
                <w:vertAlign w:val="superscript"/>
              </w:rPr>
              <w:t>3</w:t>
            </w:r>
            <w:r>
              <w:rPr>
                <w:sz w:val="24"/>
              </w:rPr>
              <w:t>/a</w:t>
            </w:r>
            <w:r>
              <w:rPr>
                <w:rFonts w:hint="eastAsia"/>
                <w:sz w:val="24"/>
              </w:rPr>
              <w:t>，1</w:t>
            </w:r>
            <w:r>
              <w:rPr>
                <w:sz w:val="24"/>
              </w:rPr>
              <w:t>.2</w:t>
            </w:r>
            <w:r>
              <w:rPr>
                <w:rFonts w:hint="eastAsia"/>
                <w:sz w:val="24"/>
              </w:rPr>
              <w:t>m</w:t>
            </w:r>
            <w:r>
              <w:rPr>
                <w:sz w:val="24"/>
                <w:vertAlign w:val="superscript"/>
              </w:rPr>
              <w:t>3</w:t>
            </w:r>
            <w:r>
              <w:rPr>
                <w:sz w:val="24"/>
              </w:rPr>
              <w:t>/</w:t>
            </w:r>
            <w:r>
              <w:rPr>
                <w:rFonts w:hint="eastAsia"/>
                <w:sz w:val="24"/>
              </w:rPr>
              <w:t>d；产污系数按用水量的</w:t>
            </w:r>
            <w:r>
              <w:rPr>
                <w:sz w:val="24"/>
              </w:rPr>
              <w:t>80</w:t>
            </w:r>
            <w:r>
              <w:rPr>
                <w:rFonts w:hint="eastAsia"/>
                <w:sz w:val="24"/>
              </w:rPr>
              <w:t>%计，则污水产生量为</w:t>
            </w:r>
            <w:r>
              <w:rPr>
                <w:sz w:val="24"/>
              </w:rPr>
              <w:t>350.4</w:t>
            </w:r>
            <w:r>
              <w:rPr>
                <w:rFonts w:hint="eastAsia"/>
                <w:sz w:val="24"/>
              </w:rPr>
              <w:t>m³/a（</w:t>
            </w:r>
            <w:r>
              <w:rPr>
                <w:sz w:val="24"/>
              </w:rPr>
              <w:t>0.96</w:t>
            </w:r>
            <w:r>
              <w:rPr>
                <w:rFonts w:hint="eastAsia"/>
                <w:sz w:val="24"/>
              </w:rPr>
              <w:t>m³/d）。</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Ansi="宋体"/>
                <w:b/>
                <w:sz w:val="24"/>
                <w:szCs w:val="32"/>
                <w:vertAlign w:val="subscript"/>
              </w:rPr>
              <w:t>2</w:t>
            </w:r>
            <w:r>
              <w:rPr>
                <w:rFonts w:hint="eastAsia" w:hAnsi="宋体"/>
                <w:b/>
                <w:sz w:val="24"/>
                <w:szCs w:val="32"/>
              </w:rPr>
              <w:t>：</w:t>
            </w:r>
            <w:r>
              <w:rPr>
                <w:rFonts w:hint="eastAsia" w:hAnsi="宋体"/>
                <w:b/>
                <w:bCs/>
                <w:sz w:val="24"/>
                <w:szCs w:val="32"/>
              </w:rPr>
              <w:t>专用殡仪车辆清洗、消毒废水；</w:t>
            </w:r>
          </w:p>
          <w:p>
            <w:pPr>
              <w:adjustRightInd w:val="0"/>
              <w:snapToGrid w:val="0"/>
              <w:spacing w:line="480" w:lineRule="exact"/>
              <w:ind w:firstLine="480" w:firstLineChars="200"/>
              <w:rPr>
                <w:bCs/>
                <w:sz w:val="24"/>
              </w:rPr>
            </w:pPr>
            <w:r>
              <w:rPr>
                <w:rFonts w:hint="eastAsia"/>
                <w:sz w:val="24"/>
              </w:rPr>
              <w:t>专用殡仪车辆清洗消毒用水按8</w:t>
            </w:r>
            <w:r>
              <w:rPr>
                <w:sz w:val="24"/>
              </w:rPr>
              <w:t>0L/</w:t>
            </w:r>
            <w:r>
              <w:rPr>
                <w:rFonts w:hint="eastAsia"/>
                <w:sz w:val="24"/>
              </w:rPr>
              <w:t>辆·次计，清洗次数按2</w:t>
            </w:r>
            <w:r>
              <w:rPr>
                <w:sz w:val="24"/>
              </w:rPr>
              <w:t>190</w:t>
            </w:r>
            <w:r>
              <w:rPr>
                <w:rFonts w:hint="eastAsia"/>
                <w:sz w:val="24"/>
              </w:rPr>
              <w:t>次/计，则本项目专用殡仪车辆清洗消毒用水量为1</w:t>
            </w:r>
            <w:r>
              <w:rPr>
                <w:sz w:val="24"/>
              </w:rPr>
              <w:t>75.2</w:t>
            </w:r>
            <w:r>
              <w:rPr>
                <w:rFonts w:hint="eastAsia"/>
                <w:sz w:val="24"/>
              </w:rPr>
              <w:t>m</w:t>
            </w:r>
            <w:r>
              <w:rPr>
                <w:sz w:val="24"/>
                <w:vertAlign w:val="superscript"/>
              </w:rPr>
              <w:t>3</w:t>
            </w:r>
            <w:r>
              <w:rPr>
                <w:sz w:val="24"/>
              </w:rPr>
              <w:t>/</w:t>
            </w:r>
            <w:r>
              <w:rPr>
                <w:rFonts w:hint="eastAsia"/>
                <w:sz w:val="24"/>
              </w:rPr>
              <w:t>a，0</w:t>
            </w:r>
            <w:r>
              <w:rPr>
                <w:sz w:val="24"/>
              </w:rPr>
              <w:t>.48</w:t>
            </w:r>
            <w:r>
              <w:rPr>
                <w:rFonts w:hint="eastAsia"/>
                <w:sz w:val="24"/>
              </w:rPr>
              <w:t>m</w:t>
            </w:r>
            <w:r>
              <w:rPr>
                <w:sz w:val="24"/>
                <w:vertAlign w:val="superscript"/>
              </w:rPr>
              <w:t>3</w:t>
            </w:r>
            <w:r>
              <w:rPr>
                <w:sz w:val="24"/>
              </w:rPr>
              <w:t>/d</w:t>
            </w:r>
            <w:r>
              <w:rPr>
                <w:rFonts w:hint="eastAsia"/>
                <w:sz w:val="24"/>
              </w:rPr>
              <w:t>。产污系数按用水量的8</w:t>
            </w:r>
            <w:r>
              <w:rPr>
                <w:sz w:val="24"/>
              </w:rPr>
              <w:t>0</w:t>
            </w:r>
            <w:r>
              <w:rPr>
                <w:rFonts w:hint="eastAsia"/>
                <w:sz w:val="24"/>
              </w:rPr>
              <w:t>%计，则污水产生量为</w:t>
            </w:r>
            <w:r>
              <w:rPr>
                <w:sz w:val="24"/>
              </w:rPr>
              <w:t>140.2</w:t>
            </w:r>
            <w:r>
              <w:rPr>
                <w:rFonts w:hint="eastAsia"/>
                <w:sz w:val="24"/>
              </w:rPr>
              <w:t>m³/a（</w:t>
            </w:r>
            <w:r>
              <w:rPr>
                <w:sz w:val="24"/>
              </w:rPr>
              <w:t>0.384</w:t>
            </w:r>
            <w:r>
              <w:rPr>
                <w:rFonts w:hint="eastAsia"/>
                <w:sz w:val="24"/>
              </w:rPr>
              <w:t>m³/d）。</w:t>
            </w:r>
          </w:p>
          <w:p>
            <w:pPr>
              <w:adjustRightInd w:val="0"/>
              <w:snapToGrid w:val="0"/>
              <w:spacing w:line="480" w:lineRule="exact"/>
              <w:ind w:firstLine="482" w:firstLineChars="200"/>
              <w:rPr>
                <w:rFonts w:hAnsi="宋体"/>
                <w:b/>
                <w:bCs/>
                <w:sz w:val="24"/>
                <w:szCs w:val="32"/>
              </w:rPr>
            </w:pPr>
            <w:r>
              <w:rPr>
                <w:rFonts w:hint="eastAsia" w:hAnsi="宋体"/>
                <w:b/>
                <w:sz w:val="24"/>
                <w:szCs w:val="32"/>
              </w:rPr>
              <w:t>W</w:t>
            </w:r>
            <w:r>
              <w:rPr>
                <w:rFonts w:hAnsi="宋体"/>
                <w:b/>
                <w:sz w:val="24"/>
                <w:szCs w:val="32"/>
                <w:vertAlign w:val="subscript"/>
              </w:rPr>
              <w:t>3</w:t>
            </w:r>
            <w:r>
              <w:rPr>
                <w:rFonts w:hint="eastAsia" w:hAnsi="宋体"/>
                <w:b/>
                <w:sz w:val="24"/>
                <w:szCs w:val="32"/>
              </w:rPr>
              <w:t>：</w:t>
            </w:r>
            <w:r>
              <w:rPr>
                <w:rFonts w:hint="eastAsia"/>
                <w:b/>
                <w:bCs/>
                <w:sz w:val="24"/>
              </w:rPr>
              <w:t>来访人员及工作人员生活污水</w:t>
            </w:r>
            <w:r>
              <w:rPr>
                <w:rFonts w:hint="eastAsia" w:hAnsi="宋体"/>
                <w:b/>
                <w:bCs/>
                <w:sz w:val="24"/>
                <w:szCs w:val="32"/>
              </w:rPr>
              <w:t>；</w:t>
            </w:r>
          </w:p>
          <w:p>
            <w:pPr>
              <w:adjustRightInd w:val="0"/>
              <w:snapToGrid w:val="0"/>
              <w:spacing w:line="480" w:lineRule="exact"/>
              <w:ind w:firstLine="480" w:firstLineChars="200"/>
              <w:rPr>
                <w:sz w:val="24"/>
              </w:rPr>
            </w:pPr>
            <w:r>
              <w:rPr>
                <w:rFonts w:hint="eastAsia"/>
                <w:sz w:val="24"/>
              </w:rPr>
              <w:t>目前五台县尚未定编县级殡仪馆定员，环评时</w:t>
            </w:r>
            <w:r>
              <w:rPr>
                <w:sz w:val="24"/>
              </w:rPr>
              <w:t>项目运营期</w:t>
            </w:r>
            <w:r>
              <w:rPr>
                <w:rFonts w:hint="eastAsia"/>
                <w:sz w:val="24"/>
              </w:rPr>
              <w:t>暂</w:t>
            </w:r>
            <w:r>
              <w:rPr>
                <w:sz w:val="24"/>
              </w:rPr>
              <w:t>拟</w:t>
            </w:r>
            <w:r>
              <w:rPr>
                <w:rFonts w:hint="eastAsia"/>
                <w:sz w:val="24"/>
              </w:rPr>
              <w:t>按</w:t>
            </w:r>
            <w:r>
              <w:rPr>
                <w:sz w:val="24"/>
              </w:rPr>
              <w:t>工作人员20人</w:t>
            </w:r>
            <w:r>
              <w:rPr>
                <w:rFonts w:hint="eastAsia"/>
                <w:sz w:val="24"/>
              </w:rPr>
              <w:t>计算产排污量；工作人员用水定额按9</w:t>
            </w:r>
            <w:r>
              <w:rPr>
                <w:sz w:val="24"/>
              </w:rPr>
              <w:t>0L/(</w:t>
            </w:r>
            <w:r>
              <w:rPr>
                <w:rFonts w:hint="eastAsia"/>
                <w:sz w:val="24"/>
              </w:rPr>
              <w:t>p·d</w:t>
            </w:r>
            <w:r>
              <w:rPr>
                <w:sz w:val="24"/>
              </w:rPr>
              <w:t>)</w:t>
            </w:r>
            <w:r>
              <w:rPr>
                <w:rFonts w:hint="eastAsia"/>
                <w:sz w:val="24"/>
              </w:rPr>
              <w:t>计，则工作人员生活用水量为1</w:t>
            </w:r>
            <w:r>
              <w:rPr>
                <w:sz w:val="24"/>
              </w:rPr>
              <w:t>.8</w:t>
            </w:r>
            <w:r>
              <w:rPr>
                <w:rFonts w:hint="eastAsia"/>
                <w:sz w:val="24"/>
              </w:rPr>
              <w:t xml:space="preserve"> m</w:t>
            </w:r>
            <w:r>
              <w:rPr>
                <w:rFonts w:hint="eastAsia"/>
                <w:sz w:val="24"/>
                <w:vertAlign w:val="superscript"/>
              </w:rPr>
              <w:t>3</w:t>
            </w:r>
            <w:r>
              <w:rPr>
                <w:rFonts w:hint="eastAsia"/>
                <w:sz w:val="24"/>
              </w:rPr>
              <w:t>/</w:t>
            </w:r>
            <w:r>
              <w:rPr>
                <w:sz w:val="24"/>
              </w:rPr>
              <w:t>d</w:t>
            </w:r>
            <w:r>
              <w:rPr>
                <w:rFonts w:hint="eastAsia"/>
                <w:sz w:val="24"/>
              </w:rPr>
              <w:t>（6</w:t>
            </w:r>
            <w:r>
              <w:rPr>
                <w:sz w:val="24"/>
              </w:rPr>
              <w:t>57</w:t>
            </w:r>
            <w:r>
              <w:rPr>
                <w:rFonts w:hint="eastAsia"/>
                <w:sz w:val="24"/>
              </w:rPr>
              <w:t xml:space="preserve"> m</w:t>
            </w:r>
            <w:r>
              <w:rPr>
                <w:rFonts w:hint="eastAsia"/>
                <w:sz w:val="24"/>
                <w:vertAlign w:val="superscript"/>
              </w:rPr>
              <w:t>3</w:t>
            </w:r>
            <w:r>
              <w:rPr>
                <w:rFonts w:hint="eastAsia"/>
                <w:sz w:val="24"/>
              </w:rPr>
              <w:t>/a），产污系数按用水量的</w:t>
            </w:r>
            <w:r>
              <w:rPr>
                <w:sz w:val="24"/>
              </w:rPr>
              <w:t>80</w:t>
            </w:r>
            <w:r>
              <w:rPr>
                <w:rFonts w:hint="eastAsia"/>
                <w:sz w:val="24"/>
              </w:rPr>
              <w:t>%计，则污水产生量为</w:t>
            </w:r>
            <w:r>
              <w:rPr>
                <w:sz w:val="24"/>
              </w:rPr>
              <w:t>1.44</w:t>
            </w:r>
            <w:r>
              <w:rPr>
                <w:rFonts w:hint="eastAsia"/>
                <w:sz w:val="24"/>
              </w:rPr>
              <w:t>m³/</w:t>
            </w:r>
            <w:r>
              <w:rPr>
                <w:sz w:val="24"/>
              </w:rPr>
              <w:t>d</w:t>
            </w:r>
            <w:r>
              <w:rPr>
                <w:rFonts w:hint="eastAsia"/>
                <w:sz w:val="24"/>
              </w:rPr>
              <w:t>（</w:t>
            </w:r>
            <w:r>
              <w:rPr>
                <w:sz w:val="24"/>
              </w:rPr>
              <w:t>525.6</w:t>
            </w:r>
            <w:r>
              <w:rPr>
                <w:rFonts w:hint="eastAsia"/>
                <w:sz w:val="24"/>
              </w:rPr>
              <w:t>m³/</w:t>
            </w:r>
            <w:r>
              <w:rPr>
                <w:sz w:val="24"/>
              </w:rPr>
              <w:t>a</w:t>
            </w:r>
            <w:r>
              <w:rPr>
                <w:rFonts w:hint="eastAsia"/>
                <w:sz w:val="24"/>
              </w:rPr>
              <w:t>）。</w:t>
            </w:r>
          </w:p>
          <w:p>
            <w:pPr>
              <w:adjustRightInd w:val="0"/>
              <w:snapToGrid w:val="0"/>
              <w:spacing w:line="480" w:lineRule="exact"/>
              <w:ind w:firstLine="480" w:firstLineChars="200"/>
              <w:rPr>
                <w:sz w:val="24"/>
              </w:rPr>
            </w:pPr>
            <w:r>
              <w:rPr>
                <w:sz w:val="24"/>
              </w:rPr>
              <w:t>本项目最高年服务能力</w:t>
            </w:r>
            <w:r>
              <w:rPr>
                <w:rFonts w:hint="eastAsia"/>
                <w:sz w:val="24"/>
              </w:rPr>
              <w:t>为每年火化</w:t>
            </w:r>
            <w:r>
              <w:rPr>
                <w:sz w:val="24"/>
              </w:rPr>
              <w:t>2190</w:t>
            </w:r>
            <w:r>
              <w:rPr>
                <w:rFonts w:hint="eastAsia"/>
                <w:sz w:val="24"/>
              </w:rPr>
              <w:t>具遗体并通过配套的殡葬服务，按一天每个悼念厅两场悼念会，一场</w:t>
            </w:r>
            <w:r>
              <w:rPr>
                <w:sz w:val="24"/>
              </w:rPr>
              <w:t>5</w:t>
            </w:r>
            <w:r>
              <w:rPr>
                <w:rFonts w:hint="eastAsia"/>
                <w:sz w:val="24"/>
              </w:rPr>
              <w:t>0人来计算，悼念、来访人员的用水量按</w:t>
            </w:r>
            <w:r>
              <w:rPr>
                <w:sz w:val="24"/>
              </w:rPr>
              <w:t>10</w:t>
            </w:r>
            <w:r>
              <w:rPr>
                <w:rFonts w:hint="eastAsia"/>
                <w:sz w:val="24"/>
              </w:rPr>
              <w:t>L/人</w:t>
            </w:r>
            <w:r>
              <w:rPr>
                <w:bCs/>
                <w:sz w:val="24"/>
              </w:rPr>
              <w:t>·d</w:t>
            </w:r>
            <w:r>
              <w:rPr>
                <w:rFonts w:hint="eastAsia"/>
                <w:bCs/>
                <w:sz w:val="24"/>
              </w:rPr>
              <w:t>计，每天悼念、</w:t>
            </w:r>
            <w:r>
              <w:rPr>
                <w:rFonts w:hint="eastAsia"/>
                <w:sz w:val="24"/>
              </w:rPr>
              <w:t>来访</w:t>
            </w:r>
            <w:r>
              <w:rPr>
                <w:rFonts w:hint="eastAsia"/>
                <w:bCs/>
                <w:sz w:val="24"/>
              </w:rPr>
              <w:t>人员为</w:t>
            </w:r>
            <w:r>
              <w:rPr>
                <w:bCs/>
                <w:sz w:val="24"/>
              </w:rPr>
              <w:t>3</w:t>
            </w:r>
            <w:r>
              <w:rPr>
                <w:rFonts w:hint="eastAsia"/>
                <w:bCs/>
                <w:sz w:val="24"/>
              </w:rPr>
              <w:t>00人。</w:t>
            </w:r>
            <w:r>
              <w:rPr>
                <w:rFonts w:hint="eastAsia"/>
                <w:sz w:val="24"/>
              </w:rPr>
              <w:t>则悼念、来访人员生活用水量为</w:t>
            </w:r>
            <w:r>
              <w:rPr>
                <w:sz w:val="24"/>
              </w:rPr>
              <w:t>3</w:t>
            </w:r>
            <w:r>
              <w:rPr>
                <w:rFonts w:hint="eastAsia"/>
                <w:sz w:val="24"/>
              </w:rPr>
              <w:t xml:space="preserve"> m</w:t>
            </w:r>
            <w:r>
              <w:rPr>
                <w:rFonts w:hint="eastAsia"/>
                <w:sz w:val="24"/>
                <w:vertAlign w:val="superscript"/>
              </w:rPr>
              <w:t>3</w:t>
            </w:r>
            <w:r>
              <w:rPr>
                <w:rFonts w:hint="eastAsia"/>
                <w:sz w:val="24"/>
              </w:rPr>
              <w:t>/</w:t>
            </w:r>
            <w:r>
              <w:rPr>
                <w:sz w:val="24"/>
              </w:rPr>
              <w:t>d</w:t>
            </w:r>
            <w:r>
              <w:rPr>
                <w:rFonts w:hint="eastAsia"/>
                <w:sz w:val="24"/>
              </w:rPr>
              <w:t>（</w:t>
            </w:r>
            <w:r>
              <w:rPr>
                <w:sz w:val="24"/>
              </w:rPr>
              <w:t>1095</w:t>
            </w:r>
            <w:r>
              <w:rPr>
                <w:rFonts w:hint="eastAsia"/>
                <w:sz w:val="24"/>
              </w:rPr>
              <w:t xml:space="preserve"> m</w:t>
            </w:r>
            <w:r>
              <w:rPr>
                <w:rFonts w:hint="eastAsia"/>
                <w:sz w:val="24"/>
                <w:vertAlign w:val="superscript"/>
              </w:rPr>
              <w:t>3</w:t>
            </w:r>
            <w:r>
              <w:rPr>
                <w:rFonts w:hint="eastAsia"/>
                <w:sz w:val="24"/>
              </w:rPr>
              <w:t>/a），产污系数按用水量的</w:t>
            </w:r>
            <w:r>
              <w:rPr>
                <w:sz w:val="24"/>
              </w:rPr>
              <w:t>80</w:t>
            </w:r>
            <w:r>
              <w:rPr>
                <w:rFonts w:hint="eastAsia"/>
                <w:sz w:val="24"/>
              </w:rPr>
              <w:t>%计，则污水产生量为</w:t>
            </w:r>
            <w:r>
              <w:rPr>
                <w:sz w:val="24"/>
              </w:rPr>
              <w:t>2.4</w:t>
            </w:r>
            <w:r>
              <w:rPr>
                <w:rFonts w:hint="eastAsia"/>
                <w:sz w:val="24"/>
              </w:rPr>
              <w:t>m³/</w:t>
            </w:r>
            <w:r>
              <w:rPr>
                <w:sz w:val="24"/>
              </w:rPr>
              <w:t>d</w:t>
            </w:r>
            <w:r>
              <w:rPr>
                <w:rFonts w:hint="eastAsia"/>
                <w:sz w:val="24"/>
              </w:rPr>
              <w:t>（</w:t>
            </w:r>
            <w:r>
              <w:rPr>
                <w:sz w:val="24"/>
              </w:rPr>
              <w:t>876</w:t>
            </w:r>
            <w:r>
              <w:rPr>
                <w:rFonts w:hint="eastAsia"/>
                <w:sz w:val="24"/>
              </w:rPr>
              <w:t>m³/</w:t>
            </w:r>
            <w:r>
              <w:rPr>
                <w:sz w:val="24"/>
              </w:rPr>
              <w:t>a</w:t>
            </w:r>
            <w:r>
              <w:rPr>
                <w:rFonts w:hint="eastAsia"/>
                <w:sz w:val="24"/>
              </w:rPr>
              <w:t>）。</w:t>
            </w:r>
          </w:p>
          <w:p>
            <w:pPr>
              <w:adjustRightInd w:val="0"/>
              <w:snapToGrid w:val="0"/>
              <w:spacing w:line="480" w:lineRule="exact"/>
              <w:ind w:firstLine="480" w:firstLineChars="200"/>
              <w:rPr>
                <w:bCs/>
                <w:sz w:val="24"/>
              </w:rPr>
            </w:pPr>
            <w:r>
              <w:rPr>
                <w:rFonts w:hint="eastAsia"/>
                <w:sz w:val="24"/>
              </w:rPr>
              <w:t>遗体处置清洗、消毒废水，</w:t>
            </w:r>
            <w:r>
              <w:rPr>
                <w:rFonts w:hint="eastAsia" w:hAnsi="宋体"/>
                <w:sz w:val="24"/>
                <w:szCs w:val="32"/>
              </w:rPr>
              <w:t>专用殡仪车辆清洗、消毒废水，</w:t>
            </w:r>
            <w:r>
              <w:rPr>
                <w:rFonts w:hint="eastAsia"/>
                <w:sz w:val="24"/>
              </w:rPr>
              <w:t>经消毒池预处理后进入自建污水处理站处理，与其他生活污水一同进入自建污水处理站处理；废水经污水处理站处理后非采暖期（5月至1</w:t>
            </w:r>
            <w:r>
              <w:rPr>
                <w:sz w:val="24"/>
              </w:rPr>
              <w:t>0</w:t>
            </w:r>
            <w:r>
              <w:rPr>
                <w:rFonts w:hint="eastAsia"/>
                <w:sz w:val="24"/>
              </w:rPr>
              <w:t>月）可用于道路浇洒及绿化浇灌，采暖期（1</w:t>
            </w:r>
            <w:r>
              <w:rPr>
                <w:sz w:val="24"/>
              </w:rPr>
              <w:t>1</w:t>
            </w:r>
            <w:r>
              <w:rPr>
                <w:rFonts w:hint="eastAsia"/>
                <w:sz w:val="24"/>
              </w:rPr>
              <w:t>月-</w:t>
            </w:r>
            <w:r>
              <w:rPr>
                <w:sz w:val="24"/>
              </w:rPr>
              <w:t>4</w:t>
            </w:r>
            <w:r>
              <w:rPr>
                <w:rFonts w:hint="eastAsia"/>
                <w:sz w:val="24"/>
              </w:rPr>
              <w:t>月）定期统一抽送至五台县生活污水处理厂。</w:t>
            </w:r>
          </w:p>
          <w:p>
            <w:pPr>
              <w:adjustRightInd w:val="0"/>
              <w:snapToGrid w:val="0"/>
              <w:spacing w:line="480" w:lineRule="exact"/>
              <w:ind w:firstLine="482" w:firstLineChars="200"/>
              <w:rPr>
                <w:bCs/>
                <w:sz w:val="24"/>
              </w:rPr>
            </w:pPr>
            <w:r>
              <w:rPr>
                <w:rFonts w:hint="eastAsia"/>
                <w:b/>
                <w:sz w:val="24"/>
                <w:szCs w:val="32"/>
              </w:rPr>
              <w:t>本项目水污染物产排量汇总情况见下表。</w:t>
            </w:r>
          </w:p>
          <w:p>
            <w:pPr>
              <w:autoSpaceDE w:val="0"/>
              <w:autoSpaceDN w:val="0"/>
              <w:adjustRightInd w:val="0"/>
              <w:spacing w:line="480" w:lineRule="exact"/>
              <w:jc w:val="center"/>
              <w:rPr>
                <w:rFonts w:ascii="黑体" w:hAnsi="黑体" w:eastAsia="黑体"/>
                <w:sz w:val="24"/>
                <w:szCs w:val="32"/>
              </w:rPr>
            </w:pPr>
            <w:r>
              <w:rPr>
                <w:rFonts w:hint="eastAsia" w:ascii="黑体" w:hAnsi="黑体" w:eastAsia="黑体"/>
                <w:sz w:val="24"/>
                <w:szCs w:val="32"/>
              </w:rPr>
              <w:t>表</w:t>
            </w:r>
            <w:r>
              <w:rPr>
                <w:rFonts w:ascii="黑体" w:hAnsi="黑体" w:eastAsia="黑体"/>
                <w:sz w:val="24"/>
                <w:szCs w:val="32"/>
              </w:rPr>
              <w:t>4</w:t>
            </w:r>
            <w:r>
              <w:rPr>
                <w:rFonts w:hint="eastAsia" w:ascii="黑体" w:hAnsi="黑体" w:eastAsia="黑体"/>
                <w:sz w:val="24"/>
                <w:szCs w:val="32"/>
              </w:rPr>
              <w:t>-</w:t>
            </w:r>
            <w:r>
              <w:rPr>
                <w:rFonts w:ascii="黑体" w:hAnsi="黑体" w:eastAsia="黑体"/>
                <w:sz w:val="24"/>
                <w:szCs w:val="32"/>
              </w:rPr>
              <w:t>12</w:t>
            </w:r>
            <w:r>
              <w:rPr>
                <w:rFonts w:hint="eastAsia" w:ascii="黑体" w:hAnsi="黑体" w:eastAsia="黑体"/>
                <w:sz w:val="24"/>
                <w:szCs w:val="32"/>
              </w:rPr>
              <w:t xml:space="preserve">  </w:t>
            </w:r>
            <w:r>
              <w:rPr>
                <w:rFonts w:ascii="黑体" w:hAnsi="黑体" w:eastAsia="黑体"/>
                <w:sz w:val="24"/>
                <w:szCs w:val="32"/>
              </w:rPr>
              <w:t>本项目</w:t>
            </w:r>
            <w:r>
              <w:rPr>
                <w:rFonts w:hint="eastAsia" w:ascii="黑体" w:hAnsi="黑体" w:eastAsia="黑体"/>
                <w:sz w:val="24"/>
                <w:szCs w:val="32"/>
              </w:rPr>
              <w:t>水</w:t>
            </w:r>
            <w:r>
              <w:rPr>
                <w:rFonts w:ascii="黑体" w:hAnsi="黑体" w:eastAsia="黑体"/>
                <w:sz w:val="24"/>
                <w:szCs w:val="32"/>
              </w:rPr>
              <w:t>污染物汇总表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018"/>
              <w:gridCol w:w="3782"/>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10" w:type="pct"/>
                  <w:vAlign w:val="center"/>
                </w:tcPr>
                <w:p>
                  <w:pPr>
                    <w:autoSpaceDE w:val="0"/>
                    <w:autoSpaceDN w:val="0"/>
                    <w:adjustRightInd w:val="0"/>
                    <w:jc w:val="center"/>
                    <w:rPr>
                      <w:szCs w:val="21"/>
                    </w:rPr>
                  </w:pPr>
                  <w:r>
                    <w:rPr>
                      <w:rFonts w:hAnsi="宋体"/>
                      <w:szCs w:val="21"/>
                    </w:rPr>
                    <w:t>项目</w:t>
                  </w:r>
                </w:p>
              </w:tc>
              <w:tc>
                <w:tcPr>
                  <w:tcW w:w="591" w:type="pct"/>
                  <w:vAlign w:val="center"/>
                </w:tcPr>
                <w:p>
                  <w:pPr>
                    <w:autoSpaceDE w:val="0"/>
                    <w:autoSpaceDN w:val="0"/>
                    <w:adjustRightInd w:val="0"/>
                    <w:jc w:val="center"/>
                    <w:rPr>
                      <w:szCs w:val="21"/>
                    </w:rPr>
                  </w:pPr>
                  <w:r>
                    <w:rPr>
                      <w:rFonts w:hAnsi="宋体"/>
                      <w:szCs w:val="21"/>
                    </w:rPr>
                    <w:t>产生量</w:t>
                  </w:r>
                  <w:r>
                    <w:rPr>
                      <w:rFonts w:hint="eastAsia" w:hAnsi="宋体"/>
                      <w:szCs w:val="21"/>
                    </w:rPr>
                    <w:t>m</w:t>
                  </w:r>
                  <w:r>
                    <w:rPr>
                      <w:rFonts w:hAnsi="宋体"/>
                      <w:szCs w:val="21"/>
                      <w:vertAlign w:val="superscript"/>
                    </w:rPr>
                    <w:t>3</w:t>
                  </w:r>
                  <w:r>
                    <w:rPr>
                      <w:rFonts w:hAnsi="宋体"/>
                      <w:szCs w:val="21"/>
                    </w:rPr>
                    <w:t>/d</w:t>
                  </w:r>
                </w:p>
              </w:tc>
              <w:tc>
                <w:tcPr>
                  <w:tcW w:w="2195" w:type="pct"/>
                  <w:vAlign w:val="center"/>
                </w:tcPr>
                <w:p>
                  <w:pPr>
                    <w:autoSpaceDE w:val="0"/>
                    <w:autoSpaceDN w:val="0"/>
                    <w:adjustRightInd w:val="0"/>
                    <w:jc w:val="center"/>
                    <w:rPr>
                      <w:szCs w:val="21"/>
                    </w:rPr>
                  </w:pPr>
                  <w:r>
                    <w:rPr>
                      <w:rFonts w:hAnsi="宋体"/>
                      <w:szCs w:val="21"/>
                    </w:rPr>
                    <w:t>处理方式</w:t>
                  </w:r>
                </w:p>
              </w:tc>
              <w:tc>
                <w:tcPr>
                  <w:tcW w:w="1104" w:type="pct"/>
                  <w:vAlign w:val="center"/>
                </w:tcPr>
                <w:p>
                  <w:pPr>
                    <w:autoSpaceDE w:val="0"/>
                    <w:autoSpaceDN w:val="0"/>
                    <w:adjustRightInd w:val="0"/>
                    <w:jc w:val="center"/>
                    <w:rPr>
                      <w:szCs w:val="21"/>
                    </w:rPr>
                  </w:pPr>
                  <w:r>
                    <w:rPr>
                      <w:rFonts w:hAnsi="宋体"/>
                      <w:szCs w:val="21"/>
                    </w:rPr>
                    <w:t>排放量</w:t>
                  </w:r>
                  <w:r>
                    <w:rPr>
                      <w:rFonts w:hint="eastAsia" w:hAnsi="宋体"/>
                      <w:szCs w:val="21"/>
                    </w:rPr>
                    <w:t>m</w:t>
                  </w:r>
                  <w:r>
                    <w:rPr>
                      <w:rFonts w:hAnsi="宋体"/>
                      <w:szCs w:val="21"/>
                      <w:vertAlign w:val="superscript"/>
                    </w:rPr>
                    <w:t>3</w:t>
                  </w:r>
                  <w:r>
                    <w:rPr>
                      <w:rFonts w:hAnsi="宋体"/>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0" w:type="pct"/>
                  <w:vAlign w:val="center"/>
                </w:tcPr>
                <w:p>
                  <w:pPr>
                    <w:autoSpaceDE w:val="0"/>
                    <w:autoSpaceDN w:val="0"/>
                    <w:adjustRightInd w:val="0"/>
                    <w:jc w:val="center"/>
                    <w:rPr>
                      <w:rFonts w:hAnsi="宋体"/>
                      <w:szCs w:val="21"/>
                    </w:rPr>
                  </w:pPr>
                  <w:r>
                    <w:rPr>
                      <w:rFonts w:hint="eastAsia"/>
                      <w:szCs w:val="21"/>
                    </w:rPr>
                    <w:t>遗体处置清洗、消毒废水</w:t>
                  </w:r>
                </w:p>
              </w:tc>
              <w:tc>
                <w:tcPr>
                  <w:tcW w:w="591" w:type="pct"/>
                  <w:vAlign w:val="center"/>
                </w:tcPr>
                <w:p>
                  <w:pPr>
                    <w:autoSpaceDE w:val="0"/>
                    <w:autoSpaceDN w:val="0"/>
                    <w:adjustRightInd w:val="0"/>
                    <w:jc w:val="center"/>
                    <w:rPr>
                      <w:rFonts w:hAnsi="宋体"/>
                      <w:szCs w:val="21"/>
                    </w:rPr>
                  </w:pPr>
                  <w:r>
                    <w:rPr>
                      <w:szCs w:val="21"/>
                    </w:rPr>
                    <w:t>0.96</w:t>
                  </w:r>
                </w:p>
              </w:tc>
              <w:tc>
                <w:tcPr>
                  <w:tcW w:w="2195" w:type="pct"/>
                  <w:vMerge w:val="restart"/>
                  <w:vAlign w:val="center"/>
                </w:tcPr>
                <w:p>
                  <w:pPr>
                    <w:autoSpaceDE w:val="0"/>
                    <w:autoSpaceDN w:val="0"/>
                    <w:adjustRightInd w:val="0"/>
                    <w:jc w:val="center"/>
                    <w:rPr>
                      <w:rFonts w:hAnsi="宋体"/>
                      <w:szCs w:val="21"/>
                    </w:rPr>
                  </w:pPr>
                  <w:r>
                    <w:rPr>
                      <w:rFonts w:hint="eastAsia" w:hAnsi="宋体"/>
                      <w:szCs w:val="21"/>
                    </w:rPr>
                    <w:t>遗体处置清洗、消毒废水，专用殡仪车辆清洗、消毒废水，经消毒池预处理后进入自建污水处理站处理，与其他生活污水一同进入自建污水处理站处理；废水经污水处理站处理后非采暖期（5月至1</w:t>
                  </w:r>
                  <w:r>
                    <w:rPr>
                      <w:rFonts w:hAnsi="宋体"/>
                      <w:szCs w:val="21"/>
                    </w:rPr>
                    <w:t>0</w:t>
                  </w:r>
                  <w:r>
                    <w:rPr>
                      <w:rFonts w:hint="eastAsia" w:hAnsi="宋体"/>
                      <w:szCs w:val="21"/>
                    </w:rPr>
                    <w:t>月）可用于道路浇洒及绿化浇灌，采暖期（1</w:t>
                  </w:r>
                  <w:r>
                    <w:rPr>
                      <w:rFonts w:hAnsi="宋体"/>
                      <w:szCs w:val="21"/>
                    </w:rPr>
                    <w:t>1</w:t>
                  </w:r>
                  <w:r>
                    <w:rPr>
                      <w:rFonts w:hint="eastAsia" w:hAnsi="宋体"/>
                      <w:szCs w:val="21"/>
                    </w:rPr>
                    <w:t>月-</w:t>
                  </w:r>
                  <w:r>
                    <w:rPr>
                      <w:rFonts w:hAnsi="宋体"/>
                      <w:szCs w:val="21"/>
                    </w:rPr>
                    <w:t>4</w:t>
                  </w:r>
                  <w:r>
                    <w:rPr>
                      <w:rFonts w:hint="eastAsia" w:hAnsi="宋体"/>
                      <w:szCs w:val="21"/>
                    </w:rPr>
                    <w:t>月）定期统一抽送至五台县生活污水处理厂。</w:t>
                  </w:r>
                </w:p>
              </w:tc>
              <w:tc>
                <w:tcPr>
                  <w:tcW w:w="1104" w:type="pct"/>
                  <w:vMerge w:val="restart"/>
                  <w:vAlign w:val="center"/>
                </w:tcPr>
                <w:p>
                  <w:pPr>
                    <w:autoSpaceDE w:val="0"/>
                    <w:autoSpaceDN w:val="0"/>
                    <w:adjustRightInd w:val="0"/>
                    <w:jc w:val="center"/>
                    <w:rPr>
                      <w:rFonts w:hAnsi="宋体"/>
                      <w:szCs w:val="21"/>
                    </w:rPr>
                  </w:pPr>
                  <w:r>
                    <w:rPr>
                      <w:rFonts w:hint="eastAsia" w:hAnsi="宋体"/>
                      <w:szCs w:val="21"/>
                    </w:rPr>
                    <w:t>非采暖期全部回用于道路浇洒及绿化浇灌；</w:t>
                  </w:r>
                </w:p>
                <w:p>
                  <w:pPr>
                    <w:autoSpaceDE w:val="0"/>
                    <w:autoSpaceDN w:val="0"/>
                    <w:adjustRightInd w:val="0"/>
                    <w:jc w:val="center"/>
                    <w:rPr>
                      <w:rFonts w:hAnsi="宋体"/>
                      <w:szCs w:val="21"/>
                    </w:rPr>
                  </w:pPr>
                  <w:r>
                    <w:rPr>
                      <w:rFonts w:hint="eastAsia" w:hAnsi="宋体"/>
                      <w:szCs w:val="21"/>
                    </w:rPr>
                    <w:t>采暖期定期统一抽送至五台县生活污水处理厂，排放量5</w:t>
                  </w:r>
                  <w:r>
                    <w:rPr>
                      <w:rFonts w:hAnsi="宋体"/>
                      <w:szCs w:val="21"/>
                    </w:rPr>
                    <w:t>.2</w:t>
                  </w:r>
                  <w:r>
                    <w:rPr>
                      <w:rFonts w:hint="eastAsia" w:hAnsi="宋体"/>
                      <w:szCs w:val="21"/>
                    </w:rPr>
                    <w:t>m</w:t>
                  </w:r>
                  <w:r>
                    <w:rPr>
                      <w:rFonts w:hAnsi="宋体"/>
                      <w:szCs w:val="21"/>
                      <w:vertAlign w:val="superscript"/>
                    </w:rPr>
                    <w:t>3</w:t>
                  </w:r>
                  <w:r>
                    <w:rPr>
                      <w:rFonts w:hAnsi="宋体"/>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10" w:type="pct"/>
                  <w:vAlign w:val="center"/>
                </w:tcPr>
                <w:p>
                  <w:pPr>
                    <w:autoSpaceDE w:val="0"/>
                    <w:autoSpaceDN w:val="0"/>
                    <w:adjustRightInd w:val="0"/>
                    <w:jc w:val="center"/>
                    <w:rPr>
                      <w:szCs w:val="21"/>
                    </w:rPr>
                  </w:pPr>
                  <w:r>
                    <w:rPr>
                      <w:rFonts w:hint="eastAsia"/>
                      <w:szCs w:val="21"/>
                    </w:rPr>
                    <w:t>专用殡仪车辆清洗、消毒废水</w:t>
                  </w:r>
                </w:p>
              </w:tc>
              <w:tc>
                <w:tcPr>
                  <w:tcW w:w="591" w:type="pct"/>
                  <w:vAlign w:val="center"/>
                </w:tcPr>
                <w:p>
                  <w:pPr>
                    <w:autoSpaceDE w:val="0"/>
                    <w:autoSpaceDN w:val="0"/>
                    <w:adjustRightInd w:val="0"/>
                    <w:jc w:val="center"/>
                    <w:rPr>
                      <w:szCs w:val="21"/>
                    </w:rPr>
                  </w:pPr>
                  <w:r>
                    <w:rPr>
                      <w:rFonts w:hint="eastAsia"/>
                      <w:szCs w:val="21"/>
                    </w:rPr>
                    <w:t>0</w:t>
                  </w:r>
                  <w:r>
                    <w:rPr>
                      <w:szCs w:val="21"/>
                    </w:rPr>
                    <w:t>.384</w:t>
                  </w:r>
                </w:p>
              </w:tc>
              <w:tc>
                <w:tcPr>
                  <w:tcW w:w="2195" w:type="pct"/>
                  <w:vMerge w:val="continue"/>
                  <w:vAlign w:val="center"/>
                </w:tcPr>
                <w:p>
                  <w:pPr>
                    <w:autoSpaceDE w:val="0"/>
                    <w:autoSpaceDN w:val="0"/>
                    <w:adjustRightInd w:val="0"/>
                    <w:jc w:val="center"/>
                    <w:rPr>
                      <w:szCs w:val="21"/>
                    </w:rPr>
                  </w:pPr>
                </w:p>
              </w:tc>
              <w:tc>
                <w:tcPr>
                  <w:tcW w:w="1104" w:type="pct"/>
                  <w:vMerge w:val="continue"/>
                  <w:vAlign w:val="center"/>
                </w:tcPr>
                <w:p>
                  <w:pPr>
                    <w:autoSpaceDE w:val="0"/>
                    <w:autoSpaceDN w:val="0"/>
                    <w:adjustRightIn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10" w:type="pct"/>
                  <w:vAlign w:val="center"/>
                </w:tcPr>
                <w:p>
                  <w:pPr>
                    <w:autoSpaceDE w:val="0"/>
                    <w:autoSpaceDN w:val="0"/>
                    <w:adjustRightInd w:val="0"/>
                    <w:jc w:val="center"/>
                    <w:rPr>
                      <w:szCs w:val="21"/>
                    </w:rPr>
                  </w:pPr>
                  <w:r>
                    <w:rPr>
                      <w:rFonts w:hint="eastAsia"/>
                      <w:szCs w:val="21"/>
                    </w:rPr>
                    <w:t>来访人员及工作人员生活污水</w:t>
                  </w:r>
                </w:p>
              </w:tc>
              <w:tc>
                <w:tcPr>
                  <w:tcW w:w="591" w:type="pct"/>
                  <w:vAlign w:val="center"/>
                </w:tcPr>
                <w:p>
                  <w:pPr>
                    <w:autoSpaceDE w:val="0"/>
                    <w:autoSpaceDN w:val="0"/>
                    <w:adjustRightInd w:val="0"/>
                    <w:jc w:val="center"/>
                    <w:rPr>
                      <w:szCs w:val="21"/>
                    </w:rPr>
                  </w:pPr>
                  <w:r>
                    <w:rPr>
                      <w:szCs w:val="21"/>
                    </w:rPr>
                    <w:t>3.84</w:t>
                  </w:r>
                </w:p>
              </w:tc>
              <w:tc>
                <w:tcPr>
                  <w:tcW w:w="2195" w:type="pct"/>
                  <w:vMerge w:val="continue"/>
                  <w:vAlign w:val="center"/>
                </w:tcPr>
                <w:p>
                  <w:pPr>
                    <w:autoSpaceDE w:val="0"/>
                    <w:autoSpaceDN w:val="0"/>
                    <w:adjustRightInd w:val="0"/>
                    <w:jc w:val="center"/>
                    <w:rPr>
                      <w:szCs w:val="21"/>
                    </w:rPr>
                  </w:pPr>
                </w:p>
              </w:tc>
              <w:tc>
                <w:tcPr>
                  <w:tcW w:w="1104" w:type="pct"/>
                  <w:vMerge w:val="continue"/>
                  <w:vAlign w:val="center"/>
                </w:tcPr>
                <w:p>
                  <w:pPr>
                    <w:autoSpaceDE w:val="0"/>
                    <w:autoSpaceDN w:val="0"/>
                    <w:adjustRightInd w:val="0"/>
                    <w:jc w:val="center"/>
                    <w:rPr>
                      <w:szCs w:val="21"/>
                    </w:rPr>
                  </w:pPr>
                </w:p>
              </w:tc>
            </w:tr>
          </w:tbl>
          <w:p>
            <w:pPr>
              <w:adjustRightInd w:val="0"/>
              <w:snapToGrid w:val="0"/>
              <w:spacing w:line="480" w:lineRule="exact"/>
              <w:ind w:firstLine="480" w:firstLineChars="200"/>
              <w:rPr>
                <w:bCs/>
                <w:sz w:val="24"/>
              </w:rPr>
            </w:pPr>
            <w:r>
              <w:rPr>
                <w:rFonts w:hint="eastAsia"/>
                <w:bCs/>
                <w:sz w:val="24"/>
              </w:rPr>
              <w:t>综上所述，本项目产生的遗体处置清洗、消毒废水，专用殡仪车辆清洗、消毒废水，经消毒池预处理后进入自建污水处理站处理，与其他生活污水一同进入自建污水处理站处理；废水经污水处理站处理后非采暖期（5月至1</w:t>
            </w:r>
            <w:r>
              <w:rPr>
                <w:bCs/>
                <w:sz w:val="24"/>
              </w:rPr>
              <w:t>0</w:t>
            </w:r>
            <w:r>
              <w:rPr>
                <w:rFonts w:hint="eastAsia"/>
                <w:bCs/>
                <w:sz w:val="24"/>
              </w:rPr>
              <w:t>月）可用于道路浇洒及绿化浇灌，不外排；采暖期（1</w:t>
            </w:r>
            <w:r>
              <w:rPr>
                <w:bCs/>
                <w:sz w:val="24"/>
              </w:rPr>
              <w:t>1</w:t>
            </w:r>
            <w:r>
              <w:rPr>
                <w:rFonts w:hint="eastAsia"/>
                <w:bCs/>
                <w:sz w:val="24"/>
              </w:rPr>
              <w:t>月-</w:t>
            </w:r>
            <w:r>
              <w:rPr>
                <w:bCs/>
                <w:sz w:val="24"/>
              </w:rPr>
              <w:t>4</w:t>
            </w:r>
            <w:r>
              <w:rPr>
                <w:rFonts w:hint="eastAsia"/>
                <w:bCs/>
                <w:sz w:val="24"/>
              </w:rPr>
              <w:t>月）定期统一抽送至五台县生活污水处理厂处理。本项目无废水直接外排，对区域水环境影响较小。</w:t>
            </w:r>
          </w:p>
          <w:p>
            <w:pPr>
              <w:adjustRightInd w:val="0"/>
              <w:snapToGrid w:val="0"/>
              <w:spacing w:line="480" w:lineRule="exact"/>
              <w:ind w:firstLine="482" w:firstLineChars="200"/>
              <w:rPr>
                <w:b/>
                <w:sz w:val="24"/>
                <w:szCs w:val="32"/>
              </w:rPr>
            </w:pPr>
            <w:r>
              <w:rPr>
                <w:rFonts w:hint="eastAsia"/>
                <w:b/>
                <w:sz w:val="24"/>
                <w:szCs w:val="32"/>
              </w:rPr>
              <w:t>地埋式一体化污水处理站工艺流程。</w:t>
            </w:r>
          </w:p>
          <w:p>
            <w:pPr>
              <w:adjustRightInd w:val="0"/>
              <w:snapToGrid w:val="0"/>
              <w:spacing w:line="480" w:lineRule="exact"/>
              <w:ind w:firstLine="480" w:firstLineChars="200"/>
              <w:rPr>
                <w:bCs/>
                <w:sz w:val="24"/>
                <w:szCs w:val="32"/>
              </w:rPr>
            </w:pPr>
            <w:r>
              <w:rPr>
                <w:rFonts w:hint="eastAsia"/>
                <w:bCs/>
                <w:sz w:val="24"/>
                <w:szCs w:val="32"/>
              </w:rPr>
              <w:t>本项目产生的废水经地埋式一体化污水处理设施处理达《城市污水再生利用 城市杂用水水质》（G</w:t>
            </w:r>
            <w:r>
              <w:rPr>
                <w:bCs/>
                <w:sz w:val="24"/>
                <w:szCs w:val="32"/>
              </w:rPr>
              <w:t>B18920-2002</w:t>
            </w:r>
            <w:r>
              <w:rPr>
                <w:rFonts w:hint="eastAsia"/>
                <w:bCs/>
                <w:sz w:val="24"/>
                <w:szCs w:val="32"/>
              </w:rPr>
              <w:t>）中城市绿化水质标准后在非采暖期回用于道路浇洒及绿化浇灌。本项目地埋式一体化污水处理设施处理工艺见下图：</w:t>
            </w:r>
          </w:p>
          <w:p>
            <w:pPr>
              <w:adjustRightInd w:val="0"/>
              <w:snapToGrid w:val="0"/>
              <w:jc w:val="center"/>
              <w:rPr>
                <w:bCs/>
                <w:sz w:val="24"/>
                <w:szCs w:val="32"/>
              </w:rPr>
            </w:pPr>
            <w:r>
              <w:object>
                <v:shape id="_x0000_i1028" o:spt="75" type="#_x0000_t75" style="height:96pt;width:431.25pt;" o:ole="t" filled="f" o:preferrelative="t" stroked="f" coordsize="21600,21600">
                  <v:path/>
                  <v:fill on="f" focussize="0,0"/>
                  <v:stroke on="f" joinstyle="miter"/>
                  <v:imagedata r:id="rId25" o:title=""/>
                  <o:lock v:ext="edit" aspectratio="t"/>
                  <w10:wrap type="none"/>
                  <w10:anchorlock/>
                </v:shape>
                <o:OLEObject Type="Embed" ProgID="Visio.Drawing.15" ShapeID="_x0000_i1028" DrawAspect="Content" ObjectID="_1468075728" r:id="rId24">
                  <o:LockedField>false</o:LockedField>
                </o:OLEObject>
              </w:object>
            </w:r>
          </w:p>
          <w:p>
            <w:pPr>
              <w:adjustRightInd w:val="0"/>
              <w:snapToGrid w:val="0"/>
              <w:spacing w:line="480" w:lineRule="exact"/>
              <w:jc w:val="center"/>
              <w:rPr>
                <w:rFonts w:ascii="黑体" w:hAnsi="黑体" w:eastAsia="黑体"/>
                <w:bCs/>
                <w:sz w:val="24"/>
                <w:szCs w:val="32"/>
              </w:rPr>
            </w:pPr>
            <w:r>
              <w:rPr>
                <w:rFonts w:hint="eastAsia" w:ascii="黑体" w:hAnsi="黑体" w:eastAsia="黑体"/>
                <w:bCs/>
                <w:sz w:val="24"/>
                <w:szCs w:val="32"/>
              </w:rPr>
              <w:t>图4</w:t>
            </w:r>
            <w:r>
              <w:rPr>
                <w:rFonts w:ascii="黑体" w:hAnsi="黑体" w:eastAsia="黑体"/>
                <w:bCs/>
                <w:sz w:val="24"/>
                <w:szCs w:val="32"/>
              </w:rPr>
              <w:t xml:space="preserve">-2  </w:t>
            </w:r>
            <w:r>
              <w:rPr>
                <w:rFonts w:hint="eastAsia" w:ascii="黑体" w:hAnsi="黑体" w:eastAsia="黑体"/>
                <w:bCs/>
                <w:sz w:val="24"/>
                <w:szCs w:val="32"/>
              </w:rPr>
              <w:t>本项目地埋式一体化污水处理设施处理工艺</w:t>
            </w:r>
          </w:p>
          <w:p>
            <w:pPr>
              <w:adjustRightInd w:val="0"/>
              <w:snapToGrid w:val="0"/>
              <w:spacing w:line="480" w:lineRule="exact"/>
              <w:ind w:firstLine="480" w:firstLineChars="200"/>
              <w:rPr>
                <w:sz w:val="24"/>
              </w:rPr>
            </w:pPr>
            <w:r>
              <w:rPr>
                <w:rFonts w:hint="eastAsia"/>
                <w:sz w:val="24"/>
              </w:rPr>
              <w:t>本项目产生废水基本为生活污水，污染物成分不复杂，浓度不高。项目自建污水处理站拟采用一体化污水处理设备处理项目废水，主要处理工艺为生物接触氧化法，该处理工艺是以附着在载体（俗称填料）上的生物膜为主，净化有机废水的一种高效水处理工艺，兼有活性污泥和生物膜法的优点，对水质的适应性强，耐冲击负荷性能好，出水水质稳定，不会产生污泥膨胀，对氨氮、COD、BOD5、SS等废水污染物具有良好的祛除效果；该工艺因具有高效节能、占地面积小，耐冲击负荷、运行管理方便等特点而广泛应用于各行各业的污水处理系统。</w:t>
            </w:r>
          </w:p>
          <w:p>
            <w:pPr>
              <w:adjustRightInd w:val="0"/>
              <w:snapToGrid w:val="0"/>
              <w:spacing w:line="480" w:lineRule="exact"/>
              <w:ind w:firstLine="482" w:firstLineChars="200"/>
              <w:rPr>
                <w:b/>
                <w:bCs/>
                <w:sz w:val="24"/>
              </w:rPr>
            </w:pPr>
            <w:r>
              <w:rPr>
                <w:rFonts w:hint="eastAsia"/>
                <w:b/>
                <w:bCs/>
                <w:sz w:val="24"/>
              </w:rPr>
              <w:t>废水监测计划：</w:t>
            </w:r>
          </w:p>
          <w:p>
            <w:pPr>
              <w:adjustRightInd w:val="0"/>
              <w:snapToGrid w:val="0"/>
              <w:spacing w:line="480" w:lineRule="exact"/>
              <w:ind w:firstLine="480" w:firstLineChars="200"/>
              <w:rPr>
                <w:sz w:val="24"/>
              </w:rPr>
            </w:pPr>
            <w:r>
              <w:rPr>
                <w:rFonts w:hint="eastAsia"/>
                <w:sz w:val="24"/>
              </w:rPr>
              <w:t>根据《排污单位自行监测技术指南 总则》（HJ 819-2017），</w:t>
            </w:r>
            <w:r>
              <w:rPr>
                <w:rFonts w:hint="eastAsia"/>
                <w:bCs/>
                <w:sz w:val="24"/>
              </w:rPr>
              <w:t>本项目废水监测内容见下表。</w:t>
            </w: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13</w:t>
            </w:r>
            <w:r>
              <w:rPr>
                <w:rFonts w:hint="eastAsia" w:ascii="黑体" w:hAnsi="黑体" w:eastAsia="黑体"/>
                <w:bCs/>
                <w:sz w:val="24"/>
              </w:rPr>
              <w:t xml:space="preserve">  废水监测方案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3265"/>
              <w:gridCol w:w="1241"/>
              <w:gridCol w:w="2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858"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监测点位</w:t>
                  </w:r>
                </w:p>
              </w:tc>
              <w:tc>
                <w:tcPr>
                  <w:tcW w:w="1895"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监测指标</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监测频次</w:t>
                  </w:r>
                </w:p>
              </w:tc>
              <w:tc>
                <w:tcPr>
                  <w:tcW w:w="152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8" w:type="pct"/>
                  <w:vAlign w:val="center"/>
                </w:tcPr>
                <w:p>
                  <w:pPr>
                    <w:widowControl/>
                    <w:jc w:val="center"/>
                    <w:rPr>
                      <w:kern w:val="0"/>
                      <w:szCs w:val="21"/>
                    </w:rPr>
                  </w:pPr>
                  <w:r>
                    <w:rPr>
                      <w:rFonts w:hint="eastAsia"/>
                      <w:bCs/>
                      <w:szCs w:val="21"/>
                    </w:rPr>
                    <w:t>地埋式一体化污水处理站出口</w:t>
                  </w:r>
                </w:p>
              </w:tc>
              <w:tc>
                <w:tcPr>
                  <w:tcW w:w="1895"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sz w:val="21"/>
                      <w:szCs w:val="21"/>
                    </w:rPr>
                    <w:t>p</w:t>
                  </w:r>
                  <w:r>
                    <w:rPr>
                      <w:rFonts w:ascii="Times New Roman" w:hAnsi="Times New Roman" w:eastAsia="宋体"/>
                      <w:sz w:val="21"/>
                      <w:szCs w:val="21"/>
                    </w:rPr>
                    <w:t>H</w:t>
                  </w:r>
                  <w:r>
                    <w:rPr>
                      <w:rFonts w:hint="eastAsia" w:ascii="Times New Roman" w:hAnsi="Times New Roman" w:eastAsia="宋体"/>
                      <w:sz w:val="21"/>
                      <w:szCs w:val="21"/>
                    </w:rPr>
                    <w:t>、色度、嗅、浊度、溶解性总故土、生化需氧量（BOD</w:t>
                  </w:r>
                  <w:r>
                    <w:rPr>
                      <w:rFonts w:hint="eastAsia" w:ascii="Times New Roman" w:hAnsi="Times New Roman" w:eastAsia="宋体"/>
                      <w:sz w:val="21"/>
                      <w:szCs w:val="21"/>
                      <w:vertAlign w:val="subscript"/>
                    </w:rPr>
                    <w:t>5</w:t>
                  </w:r>
                  <w:r>
                    <w:rPr>
                      <w:rFonts w:hint="eastAsia" w:ascii="Times New Roman" w:hAnsi="Times New Roman" w:eastAsia="宋体"/>
                      <w:sz w:val="21"/>
                      <w:szCs w:val="21"/>
                    </w:rPr>
                    <w:t>）、氨氮、阴离子表面活性剂、溶解氧、总余氯、总大肠菌群</w:t>
                  </w:r>
                </w:p>
              </w:tc>
              <w:tc>
                <w:tcPr>
                  <w:tcW w:w="720" w:type="pct"/>
                  <w:vAlign w:val="center"/>
                </w:tcPr>
                <w:p>
                  <w:pPr>
                    <w:pStyle w:val="60"/>
                    <w:snapToGrid/>
                    <w:spacing w:line="240" w:lineRule="auto"/>
                    <w:ind w:firstLine="0"/>
                    <w:jc w:val="center"/>
                    <w:rPr>
                      <w:rFonts w:ascii="Times New Roman" w:hAnsi="Times New Roman" w:eastAsia="宋体"/>
                      <w:sz w:val="21"/>
                      <w:szCs w:val="21"/>
                    </w:rPr>
                  </w:pPr>
                  <w:r>
                    <w:rPr>
                      <w:rFonts w:ascii="Times New Roman" w:hAnsi="Times New Roman" w:eastAsia="宋体"/>
                      <w:sz w:val="21"/>
                      <w:szCs w:val="21"/>
                    </w:rPr>
                    <w:t>1</w:t>
                  </w:r>
                  <w:r>
                    <w:rPr>
                      <w:rFonts w:hint="eastAsia" w:ascii="Times New Roman" w:hAnsi="Times New Roman" w:eastAsia="宋体"/>
                      <w:sz w:val="21"/>
                      <w:szCs w:val="21"/>
                    </w:rPr>
                    <w:t>次</w:t>
                  </w:r>
                  <w:r>
                    <w:rPr>
                      <w:rFonts w:ascii="Times New Roman" w:hAnsi="Times New Roman" w:eastAsia="宋体"/>
                      <w:sz w:val="21"/>
                      <w:szCs w:val="21"/>
                    </w:rPr>
                    <w:t>/</w:t>
                  </w:r>
                  <w:r>
                    <w:rPr>
                      <w:rFonts w:hint="eastAsia" w:ascii="Times New Roman" w:hAnsi="Times New Roman" w:eastAsia="宋体"/>
                      <w:sz w:val="21"/>
                      <w:szCs w:val="21"/>
                    </w:rPr>
                    <w:t>年</w:t>
                  </w:r>
                </w:p>
              </w:tc>
              <w:tc>
                <w:tcPr>
                  <w:tcW w:w="1527" w:type="pct"/>
                  <w:vAlign w:val="center"/>
                </w:tcPr>
                <w:p>
                  <w:pPr>
                    <w:pStyle w:val="60"/>
                    <w:snapToGrid/>
                    <w:spacing w:line="240" w:lineRule="auto"/>
                    <w:ind w:firstLine="0"/>
                    <w:jc w:val="center"/>
                    <w:rPr>
                      <w:rFonts w:ascii="Times New Roman" w:hAnsi="Times New Roman" w:eastAsia="宋体"/>
                      <w:sz w:val="21"/>
                      <w:szCs w:val="21"/>
                    </w:rPr>
                  </w:pPr>
                  <w:r>
                    <w:rPr>
                      <w:rFonts w:hint="eastAsia" w:ascii="Times New Roman" w:hAnsi="Times New Roman" w:eastAsia="宋体"/>
                      <w:bCs/>
                      <w:sz w:val="21"/>
                      <w:szCs w:val="21"/>
                    </w:rPr>
                    <w:t xml:space="preserve">《城市污水再生利用 </w:t>
                  </w:r>
                  <w:r>
                    <w:rPr>
                      <w:rFonts w:ascii="Times New Roman" w:hAnsi="Times New Roman" w:eastAsia="宋体"/>
                      <w:bCs/>
                      <w:sz w:val="21"/>
                      <w:szCs w:val="21"/>
                    </w:rPr>
                    <w:t>城市杂用水水质</w:t>
                  </w:r>
                  <w:r>
                    <w:rPr>
                      <w:rFonts w:hint="eastAsia" w:ascii="Times New Roman" w:hAnsi="Times New Roman" w:eastAsia="宋体"/>
                      <w:bCs/>
                      <w:sz w:val="21"/>
                      <w:szCs w:val="21"/>
                    </w:rPr>
                    <w:t>》（G</w:t>
                  </w:r>
                  <w:r>
                    <w:rPr>
                      <w:rFonts w:ascii="Times New Roman" w:hAnsi="Times New Roman" w:eastAsia="宋体"/>
                      <w:bCs/>
                      <w:sz w:val="21"/>
                      <w:szCs w:val="21"/>
                    </w:rPr>
                    <w:t>B18920-2002</w:t>
                  </w:r>
                  <w:r>
                    <w:rPr>
                      <w:rFonts w:hint="eastAsia" w:ascii="Times New Roman" w:hAnsi="Times New Roman" w:eastAsia="宋体"/>
                      <w:bCs/>
                      <w:sz w:val="21"/>
                      <w:szCs w:val="21"/>
                    </w:rPr>
                    <w:t>）中城市绿化水质标准</w:t>
                  </w:r>
                </w:p>
              </w:tc>
            </w:tr>
          </w:tbl>
          <w:p>
            <w:pPr>
              <w:adjustRightInd w:val="0"/>
              <w:snapToGrid w:val="0"/>
              <w:spacing w:line="480" w:lineRule="exact"/>
              <w:ind w:firstLine="482" w:firstLineChars="200"/>
              <w:rPr>
                <w:sz w:val="24"/>
              </w:rPr>
            </w:pPr>
            <w:r>
              <w:rPr>
                <w:b/>
                <w:bCs/>
                <w:sz w:val="24"/>
              </w:rPr>
              <w:t>4</w:t>
            </w:r>
            <w:r>
              <w:rPr>
                <w:rFonts w:hint="eastAsia"/>
                <w:b/>
                <w:bCs/>
                <w:sz w:val="24"/>
              </w:rPr>
              <w:t>、运营期</w:t>
            </w:r>
            <w:r>
              <w:rPr>
                <w:rFonts w:hint="eastAsia"/>
                <w:b/>
                <w:sz w:val="24"/>
              </w:rPr>
              <w:t>固体废物</w:t>
            </w:r>
            <w:r>
              <w:rPr>
                <w:b/>
                <w:sz w:val="24"/>
              </w:rPr>
              <w:t>源强</w:t>
            </w:r>
            <w:r>
              <w:rPr>
                <w:rFonts w:hint="eastAsia"/>
                <w:b/>
                <w:sz w:val="24"/>
              </w:rPr>
              <w:t>及污染防治措施</w:t>
            </w:r>
          </w:p>
          <w:p>
            <w:pPr>
              <w:adjustRightInd w:val="0"/>
              <w:snapToGrid w:val="0"/>
              <w:spacing w:line="480" w:lineRule="exact"/>
              <w:ind w:firstLine="480" w:firstLineChars="200"/>
              <w:rPr>
                <w:bCs/>
                <w:sz w:val="24"/>
              </w:rPr>
            </w:pPr>
            <w:r>
              <w:rPr>
                <w:rFonts w:hint="eastAsia"/>
                <w:bCs/>
                <w:sz w:val="24"/>
              </w:rPr>
              <w:t>根据项目产污环节分析，项目固废主要包括遗体火化产生的骨灰，少量遗留的灰渣（包括部分遗体中无法被焚毁的钢板、骨钉等金属植入物），遗物祭品焚烧灰渣，污水处理设施污泥，火化炉、焚烧炉配套烟气处理设施收集的焚烧飞灰、废脱硫粉、废活性炭，以及生活垃圾。</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1</w:t>
            </w:r>
            <w:r>
              <w:rPr>
                <w:rFonts w:hint="eastAsia" w:hAnsi="宋体"/>
                <w:b/>
                <w:sz w:val="24"/>
                <w:szCs w:val="32"/>
              </w:rPr>
              <w:t>：</w:t>
            </w:r>
            <w:r>
              <w:rPr>
                <w:rFonts w:hint="eastAsia"/>
                <w:b/>
                <w:bCs/>
                <w:sz w:val="24"/>
              </w:rPr>
              <w:t>遗体火化产生的骨灰</w:t>
            </w:r>
            <w:r>
              <w:rPr>
                <w:rFonts w:hint="eastAsia" w:hAnsi="宋体"/>
                <w:b/>
                <w:bCs/>
                <w:sz w:val="24"/>
                <w:szCs w:val="32"/>
              </w:rPr>
              <w:t>；</w:t>
            </w:r>
          </w:p>
          <w:p>
            <w:pPr>
              <w:adjustRightInd w:val="0"/>
              <w:snapToGrid w:val="0"/>
              <w:spacing w:line="480" w:lineRule="exact"/>
              <w:ind w:firstLine="480" w:firstLineChars="200"/>
              <w:rPr>
                <w:bCs/>
                <w:sz w:val="24"/>
              </w:rPr>
            </w:pPr>
            <w:r>
              <w:rPr>
                <w:rFonts w:hint="eastAsia"/>
                <w:bCs/>
                <w:sz w:val="24"/>
              </w:rPr>
              <w:t>通过查阅相关资料，成人骨灰重量介于0.9~3.6kg之间，平均重量约为2.4kg，本项目单具遗体火化骨灰产生量以2.4kg计，年产生量约</w:t>
            </w:r>
            <w:r>
              <w:rPr>
                <w:bCs/>
                <w:sz w:val="24"/>
              </w:rPr>
              <w:t>5.256</w:t>
            </w:r>
            <w:r>
              <w:rPr>
                <w:rFonts w:hint="eastAsia"/>
                <w:bCs/>
                <w:sz w:val="24"/>
              </w:rPr>
              <w:t>t。骨灰在进行挑捡后由各逝者家属装进骨灰盒带走，葬入墓地或寄存于骨灰寄存楼。</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2</w:t>
            </w:r>
            <w:r>
              <w:rPr>
                <w:rFonts w:hint="eastAsia" w:hAnsi="宋体"/>
                <w:b/>
                <w:sz w:val="24"/>
                <w:szCs w:val="32"/>
              </w:rPr>
              <w:t>：</w:t>
            </w:r>
            <w:r>
              <w:rPr>
                <w:rFonts w:hint="eastAsia"/>
                <w:b/>
                <w:bCs/>
                <w:sz w:val="24"/>
              </w:rPr>
              <w:t>火化炉遗留的灰渣</w:t>
            </w:r>
            <w:r>
              <w:rPr>
                <w:rFonts w:hint="eastAsia" w:hAnsi="宋体"/>
                <w:b/>
                <w:bCs/>
                <w:sz w:val="24"/>
                <w:szCs w:val="32"/>
              </w:rPr>
              <w:t>；</w:t>
            </w:r>
          </w:p>
          <w:p>
            <w:pPr>
              <w:adjustRightInd w:val="0"/>
              <w:snapToGrid w:val="0"/>
              <w:spacing w:line="480" w:lineRule="exact"/>
              <w:ind w:firstLine="480" w:firstLineChars="200"/>
              <w:rPr>
                <w:bCs/>
                <w:sz w:val="24"/>
              </w:rPr>
            </w:pPr>
            <w:r>
              <w:rPr>
                <w:rFonts w:hint="eastAsia"/>
                <w:bCs/>
                <w:sz w:val="24"/>
              </w:rPr>
              <w:t>遗体火化捡灰后仍有部分灰渣残留，包括部分遗体中存在无法被焚毁的医疗钢板、骨钉等金属植入物，为防止混灰，每完成一具遗体的火化作业后将对火化炉进行仔细清理，类比同类项目，该部分灰渣的产生量平均约0.1kg/具，则本项目火化炉遗留灰渣产生量约0.</w:t>
            </w:r>
            <w:r>
              <w:rPr>
                <w:bCs/>
                <w:sz w:val="24"/>
              </w:rPr>
              <w:t>219</w:t>
            </w:r>
            <w:r>
              <w:rPr>
                <w:rFonts w:hint="eastAsia"/>
                <w:bCs/>
                <w:sz w:val="24"/>
              </w:rPr>
              <w:t>t/a。火化炉遗留的灰渣收集后与生活垃圾一起运至市政指定的地点外协处理。</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3</w:t>
            </w:r>
            <w:r>
              <w:rPr>
                <w:rFonts w:hint="eastAsia" w:hAnsi="宋体"/>
                <w:b/>
                <w:sz w:val="24"/>
                <w:szCs w:val="32"/>
              </w:rPr>
              <w:t>：</w:t>
            </w:r>
            <w:r>
              <w:rPr>
                <w:rFonts w:hint="eastAsia"/>
                <w:b/>
                <w:bCs/>
                <w:sz w:val="24"/>
              </w:rPr>
              <w:t>遗物祭品焚烧灰渣</w:t>
            </w:r>
            <w:r>
              <w:rPr>
                <w:rFonts w:hint="eastAsia" w:hAnsi="宋体"/>
                <w:b/>
                <w:bCs/>
                <w:sz w:val="24"/>
                <w:szCs w:val="32"/>
              </w:rPr>
              <w:t>；</w:t>
            </w:r>
          </w:p>
          <w:p>
            <w:pPr>
              <w:adjustRightInd w:val="0"/>
              <w:snapToGrid w:val="0"/>
              <w:spacing w:line="480" w:lineRule="exact"/>
              <w:ind w:firstLine="480" w:firstLineChars="200"/>
              <w:rPr>
                <w:bCs/>
                <w:sz w:val="24"/>
              </w:rPr>
            </w:pPr>
            <w:r>
              <w:rPr>
                <w:rFonts w:hint="eastAsia"/>
                <w:bCs/>
                <w:sz w:val="24"/>
              </w:rPr>
              <w:t>根据调查，平均每具遗体会焚烧遗物和花圈、纸钱等祭祀品按20kg计，则每年燃烧祭祀品量为</w:t>
            </w:r>
            <w:r>
              <w:rPr>
                <w:bCs/>
                <w:sz w:val="24"/>
              </w:rPr>
              <w:t>43.8</w:t>
            </w:r>
            <w:r>
              <w:rPr>
                <w:rFonts w:hint="eastAsia"/>
                <w:bCs/>
                <w:sz w:val="24"/>
              </w:rPr>
              <w:t>t/a，焚烧过程中减容率以78%计算，则产生灰渣量为</w:t>
            </w:r>
            <w:r>
              <w:rPr>
                <w:bCs/>
                <w:sz w:val="24"/>
              </w:rPr>
              <w:t>9.636</w:t>
            </w:r>
            <w:r>
              <w:rPr>
                <w:rFonts w:hint="eastAsia"/>
                <w:bCs/>
                <w:sz w:val="24"/>
              </w:rPr>
              <w:t>t/a，遗物祭品焚烧灰渣</w:t>
            </w:r>
            <w:r>
              <w:rPr>
                <w:bCs/>
                <w:sz w:val="24"/>
              </w:rPr>
              <w:t>收集后</w:t>
            </w:r>
            <w:r>
              <w:rPr>
                <w:rFonts w:hint="eastAsia"/>
                <w:bCs/>
                <w:sz w:val="24"/>
              </w:rPr>
              <w:t>与生活垃圾一起运至</w:t>
            </w:r>
            <w:r>
              <w:rPr>
                <w:bCs/>
                <w:sz w:val="24"/>
              </w:rPr>
              <w:t>市政指定的地点外协处理</w:t>
            </w:r>
            <w:r>
              <w:rPr>
                <w:rFonts w:hint="eastAsia"/>
                <w:bCs/>
                <w:sz w:val="24"/>
              </w:rPr>
              <w:t>。</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4</w:t>
            </w:r>
            <w:r>
              <w:rPr>
                <w:rFonts w:hint="eastAsia" w:hAnsi="宋体"/>
                <w:b/>
                <w:sz w:val="24"/>
                <w:szCs w:val="32"/>
              </w:rPr>
              <w:t>：</w:t>
            </w:r>
            <w:r>
              <w:rPr>
                <w:rFonts w:hint="eastAsia"/>
                <w:b/>
                <w:bCs/>
                <w:sz w:val="24"/>
              </w:rPr>
              <w:t>污水处理设施污泥</w:t>
            </w:r>
            <w:r>
              <w:rPr>
                <w:rFonts w:hint="eastAsia" w:hAnsi="宋体"/>
                <w:b/>
                <w:bCs/>
                <w:sz w:val="24"/>
                <w:szCs w:val="32"/>
              </w:rPr>
              <w:t>；</w:t>
            </w:r>
          </w:p>
          <w:p>
            <w:pPr>
              <w:adjustRightInd w:val="0"/>
              <w:snapToGrid w:val="0"/>
              <w:spacing w:line="480" w:lineRule="exact"/>
              <w:ind w:firstLine="480" w:firstLineChars="200"/>
              <w:rPr>
                <w:bCs/>
                <w:sz w:val="24"/>
              </w:rPr>
            </w:pPr>
            <w:r>
              <w:rPr>
                <w:rFonts w:hint="eastAsia"/>
                <w:bCs/>
                <w:sz w:val="24"/>
              </w:rPr>
              <w:t>污水处理站拟采配备一体化污水处理设备，主要工艺为生物接触氧化，年处理污水量为</w:t>
            </w:r>
            <w:r>
              <w:rPr>
                <w:bCs/>
                <w:sz w:val="24"/>
              </w:rPr>
              <w:t>1892m</w:t>
            </w:r>
            <w:r>
              <w:rPr>
                <w:bCs/>
                <w:sz w:val="24"/>
                <w:vertAlign w:val="superscript"/>
              </w:rPr>
              <w:t>3</w:t>
            </w:r>
            <w:r>
              <w:rPr>
                <w:rFonts w:hint="eastAsia"/>
                <w:bCs/>
                <w:sz w:val="24"/>
              </w:rPr>
              <w:t>，参考二级污水处理厂一般情况下污泥产生量为处理每万立方米污水产生</w:t>
            </w:r>
            <w:r>
              <w:rPr>
                <w:bCs/>
                <w:sz w:val="24"/>
              </w:rPr>
              <w:t>5-10t</w:t>
            </w:r>
            <w:r>
              <w:rPr>
                <w:rFonts w:hint="eastAsia"/>
                <w:bCs/>
                <w:sz w:val="24"/>
              </w:rPr>
              <w:t>脱水污泥（</w:t>
            </w:r>
            <w:r>
              <w:rPr>
                <w:bCs/>
                <w:sz w:val="24"/>
              </w:rPr>
              <w:t>80%</w:t>
            </w:r>
            <w:r>
              <w:rPr>
                <w:rFonts w:hint="eastAsia"/>
                <w:bCs/>
                <w:sz w:val="24"/>
              </w:rPr>
              <w:t>含水率），本项目取</w:t>
            </w:r>
            <w:r>
              <w:rPr>
                <w:bCs/>
                <w:sz w:val="24"/>
              </w:rPr>
              <w:t>8t</w:t>
            </w:r>
            <w:r>
              <w:rPr>
                <w:rFonts w:hint="eastAsia"/>
                <w:bCs/>
                <w:sz w:val="24"/>
              </w:rPr>
              <w:t>，则污水处理站污泥产生量约为</w:t>
            </w:r>
            <w:r>
              <w:rPr>
                <w:bCs/>
                <w:sz w:val="24"/>
              </w:rPr>
              <w:t>1.5t/a</w:t>
            </w:r>
            <w:r>
              <w:rPr>
                <w:rFonts w:hint="eastAsia"/>
                <w:bCs/>
                <w:sz w:val="24"/>
              </w:rPr>
              <w:t>。污水处理设施污泥采用消石灰干化后与生活垃圾一起运至市政指定的地点外协处理。</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5</w:t>
            </w:r>
            <w:r>
              <w:rPr>
                <w:rFonts w:hint="eastAsia" w:hAnsi="宋体"/>
                <w:b/>
                <w:sz w:val="24"/>
                <w:szCs w:val="32"/>
              </w:rPr>
              <w:t>：</w:t>
            </w:r>
            <w:r>
              <w:rPr>
                <w:rFonts w:hint="eastAsia"/>
                <w:b/>
                <w:bCs/>
                <w:sz w:val="24"/>
              </w:rPr>
              <w:t>火化炉、焚烧炉配套烟气处理设施收集的焚烧飞灰、废脱硫粉、废活性炭</w:t>
            </w:r>
            <w:r>
              <w:rPr>
                <w:rFonts w:hint="eastAsia" w:hAnsi="宋体"/>
                <w:b/>
                <w:bCs/>
                <w:sz w:val="24"/>
                <w:szCs w:val="32"/>
              </w:rPr>
              <w:t>；</w:t>
            </w:r>
          </w:p>
          <w:p>
            <w:pPr>
              <w:adjustRightInd w:val="0"/>
              <w:snapToGrid w:val="0"/>
              <w:spacing w:line="480" w:lineRule="exact"/>
              <w:ind w:firstLine="482" w:firstLineChars="200"/>
              <w:rPr>
                <w:bCs/>
                <w:sz w:val="24"/>
              </w:rPr>
            </w:pPr>
            <w:r>
              <w:rPr>
                <w:rFonts w:hint="eastAsia"/>
                <w:b/>
                <w:sz w:val="24"/>
              </w:rPr>
              <w:t>焚烧飞灰：</w:t>
            </w:r>
            <w:r>
              <w:rPr>
                <w:rFonts w:hint="eastAsia"/>
                <w:bCs/>
                <w:sz w:val="24"/>
              </w:rPr>
              <w:t>遗物焚烧和遗体焚烧产生的飞灰基本上被布袋除尘器截留，飞灰产生量约为焚烧物量的</w:t>
            </w:r>
            <w:r>
              <w:rPr>
                <w:bCs/>
                <w:sz w:val="24"/>
              </w:rPr>
              <w:t>3%</w:t>
            </w:r>
            <w:r>
              <w:rPr>
                <w:rFonts w:hint="eastAsia"/>
                <w:bCs/>
                <w:sz w:val="24"/>
              </w:rPr>
              <w:t>，本年项目每年焚烧遗物约</w:t>
            </w:r>
            <w:r>
              <w:rPr>
                <w:bCs/>
                <w:sz w:val="24"/>
              </w:rPr>
              <w:t>43.8t/a</w:t>
            </w:r>
            <w:r>
              <w:rPr>
                <w:rFonts w:hint="eastAsia"/>
                <w:bCs/>
                <w:sz w:val="24"/>
              </w:rPr>
              <w:t>、遗体</w:t>
            </w:r>
            <w:r>
              <w:rPr>
                <w:bCs/>
                <w:sz w:val="24"/>
              </w:rPr>
              <w:t>2190</w:t>
            </w:r>
            <w:r>
              <w:rPr>
                <w:rFonts w:hint="eastAsia"/>
                <w:bCs/>
                <w:sz w:val="24"/>
              </w:rPr>
              <w:t>具</w:t>
            </w:r>
            <w:r>
              <w:rPr>
                <w:bCs/>
                <w:sz w:val="24"/>
              </w:rPr>
              <w:t>/</w:t>
            </w:r>
            <w:r>
              <w:rPr>
                <w:rFonts w:hint="eastAsia"/>
                <w:bCs/>
                <w:sz w:val="24"/>
              </w:rPr>
              <w:t>年（按</w:t>
            </w:r>
            <w:r>
              <w:rPr>
                <w:bCs/>
                <w:sz w:val="24"/>
              </w:rPr>
              <w:t>60kg/</w:t>
            </w:r>
            <w:r>
              <w:rPr>
                <w:rFonts w:hint="eastAsia"/>
                <w:bCs/>
                <w:sz w:val="24"/>
              </w:rPr>
              <w:t>具计），则飞灰产生量为</w:t>
            </w:r>
            <w:r>
              <w:rPr>
                <w:bCs/>
                <w:sz w:val="24"/>
              </w:rPr>
              <w:t>5.256t/a</w:t>
            </w:r>
            <w:r>
              <w:rPr>
                <w:rFonts w:hint="eastAsia"/>
                <w:bCs/>
                <w:sz w:val="24"/>
              </w:rPr>
              <w:t>。危险废物类别</w:t>
            </w:r>
            <w:r>
              <w:rPr>
                <w:bCs/>
                <w:sz w:val="24"/>
              </w:rPr>
              <w:t>HW18</w:t>
            </w:r>
            <w:r>
              <w:rPr>
                <w:rFonts w:hint="eastAsia"/>
                <w:bCs/>
                <w:sz w:val="24"/>
              </w:rPr>
              <w:t>，废物代码</w:t>
            </w:r>
            <w:r>
              <w:rPr>
                <w:bCs/>
                <w:sz w:val="24"/>
              </w:rPr>
              <w:t>772-002-18</w:t>
            </w:r>
            <w:r>
              <w:rPr>
                <w:rFonts w:hint="eastAsia"/>
                <w:bCs/>
                <w:sz w:val="24"/>
              </w:rPr>
              <w:t>。</w:t>
            </w:r>
          </w:p>
          <w:p>
            <w:pPr>
              <w:adjustRightInd w:val="0"/>
              <w:snapToGrid w:val="0"/>
              <w:spacing w:line="480" w:lineRule="exact"/>
              <w:ind w:firstLine="482" w:firstLineChars="200"/>
              <w:rPr>
                <w:sz w:val="24"/>
              </w:rPr>
            </w:pPr>
            <w:r>
              <w:rPr>
                <w:rFonts w:hint="eastAsia"/>
                <w:b/>
                <w:bCs/>
                <w:sz w:val="24"/>
              </w:rPr>
              <w:t>废脱硫粉：</w:t>
            </w:r>
            <w:r>
              <w:rPr>
                <w:rFonts w:hint="eastAsia"/>
                <w:sz w:val="24"/>
              </w:rPr>
              <w:t>干法脱硫工艺中使用石灰粉采用喷射形式在布袋除尘器前端喷入，石灰粉全部由后续废气处理设备截留而产生废脱硫粉。根据工艺，焚烧一具遗体需喷入石灰粉800g，按照年火化</w:t>
            </w:r>
            <w:r>
              <w:rPr>
                <w:sz w:val="24"/>
              </w:rPr>
              <w:t>2190</w:t>
            </w:r>
            <w:r>
              <w:rPr>
                <w:rFonts w:hint="eastAsia"/>
                <w:sz w:val="24"/>
              </w:rPr>
              <w:t>具遗体计算，则本项目废脱硫粉年产生量为</w:t>
            </w:r>
            <w:r>
              <w:rPr>
                <w:sz w:val="24"/>
              </w:rPr>
              <w:t>1.752</w:t>
            </w:r>
            <w:r>
              <w:rPr>
                <w:rFonts w:hint="eastAsia"/>
                <w:sz w:val="24"/>
              </w:rPr>
              <w:t>t/a。危险废物类别HW18，废物代码772-005-18。</w:t>
            </w:r>
          </w:p>
          <w:p>
            <w:pPr>
              <w:adjustRightInd w:val="0"/>
              <w:snapToGrid w:val="0"/>
              <w:spacing w:line="480" w:lineRule="exact"/>
              <w:ind w:firstLine="482" w:firstLineChars="200"/>
              <w:rPr>
                <w:sz w:val="24"/>
              </w:rPr>
            </w:pPr>
            <w:r>
              <w:rPr>
                <w:rFonts w:hint="eastAsia"/>
                <w:b/>
                <w:bCs/>
                <w:sz w:val="24"/>
              </w:rPr>
              <w:t>废活性炭：</w:t>
            </w:r>
            <w:r>
              <w:rPr>
                <w:rFonts w:hint="eastAsia"/>
                <w:sz w:val="24"/>
              </w:rPr>
              <w:t>火化烟气和遗物祭品焚烧烟气处理设施都设有活性炭喷射装置，每套设施活性炭初装量约50kg，更换周期约</w:t>
            </w:r>
            <w:r>
              <w:rPr>
                <w:sz w:val="24"/>
              </w:rPr>
              <w:t>3</w:t>
            </w:r>
            <w:r>
              <w:rPr>
                <w:rFonts w:hint="eastAsia"/>
                <w:sz w:val="24"/>
              </w:rPr>
              <w:t>0天。废活性炭的产生量=</w:t>
            </w:r>
            <w:r>
              <w:rPr>
                <w:sz w:val="24"/>
              </w:rPr>
              <w:t>活性炭重量+吸附的</w:t>
            </w:r>
            <w:r>
              <w:rPr>
                <w:rFonts w:hint="eastAsia"/>
                <w:sz w:val="24"/>
              </w:rPr>
              <w:t>污染物的</w:t>
            </w:r>
            <w:r>
              <w:rPr>
                <w:sz w:val="24"/>
              </w:rPr>
              <w:t>重量</w:t>
            </w:r>
            <w:r>
              <w:rPr>
                <w:rFonts w:hint="eastAsia"/>
                <w:sz w:val="24"/>
              </w:rPr>
              <w:t>，烟气处理设施活性炭主要用于吸附二噁英、汞等污染物，根据工程分析，由于二噁英、汞等特征污染物产生量极少，吸附量对废活性炭的增重基本可忽略不计，造成废活性炭增重的主要原因为吸附的水分和颗粒物，增重量以活性炭自身重量的10%计，则每次更换产生废活性炭约0.</w:t>
            </w:r>
            <w:r>
              <w:rPr>
                <w:sz w:val="24"/>
              </w:rPr>
              <w:t>22</w:t>
            </w:r>
            <w:r>
              <w:rPr>
                <w:rFonts w:hint="eastAsia"/>
                <w:sz w:val="24"/>
              </w:rPr>
              <w:t>t，全年共产生废活性炭约</w:t>
            </w:r>
            <w:r>
              <w:rPr>
                <w:sz w:val="24"/>
              </w:rPr>
              <w:t>2.64</w:t>
            </w:r>
            <w:r>
              <w:rPr>
                <w:rFonts w:hint="eastAsia"/>
                <w:sz w:val="24"/>
              </w:rPr>
              <w:t>t。危险废物类别HW18，废物代码772-005-18。</w:t>
            </w:r>
          </w:p>
          <w:p>
            <w:pPr>
              <w:adjustRightInd w:val="0"/>
              <w:snapToGrid w:val="0"/>
              <w:spacing w:line="480" w:lineRule="exact"/>
              <w:ind w:firstLine="480" w:firstLineChars="200"/>
              <w:rPr>
                <w:sz w:val="24"/>
              </w:rPr>
            </w:pPr>
            <w:r>
              <w:rPr>
                <w:rFonts w:hint="eastAsia"/>
                <w:sz w:val="24"/>
              </w:rPr>
              <w:t>上述产生的焚烧飞灰、废脱硫粉、废活性炭为危险废物，储存于特定容器中，暂存于危废暂存间内，委托有相关处理资质的单位定期外协处置</w:t>
            </w:r>
          </w:p>
          <w:p>
            <w:pPr>
              <w:pStyle w:val="60"/>
              <w:jc w:val="both"/>
              <w:rPr>
                <w:rFonts w:ascii="Times New Roman" w:hAnsi="宋体" w:eastAsia="宋体"/>
              </w:rPr>
            </w:pPr>
            <w:r>
              <w:rPr>
                <w:rFonts w:hint="eastAsia" w:ascii="Times New Roman" w:hAnsi="宋体" w:eastAsia="宋体"/>
                <w:szCs w:val="20"/>
              </w:rPr>
              <w:t>本项目危险废物产生情况见下表。</w:t>
            </w:r>
          </w:p>
          <w:p>
            <w:pPr>
              <w:spacing w:line="480" w:lineRule="exact"/>
              <w:jc w:val="center"/>
              <w:rPr>
                <w:rFonts w:ascii="黑体" w:hAnsi="黑体" w:eastAsia="黑体"/>
                <w:sz w:val="24"/>
                <w:szCs w:val="32"/>
              </w:rPr>
            </w:pPr>
          </w:p>
          <w:p>
            <w:pPr>
              <w:spacing w:line="480" w:lineRule="exact"/>
              <w:jc w:val="center"/>
              <w:rPr>
                <w:rFonts w:ascii="黑体" w:hAnsi="黑体" w:eastAsia="黑体"/>
                <w:sz w:val="24"/>
                <w:szCs w:val="32"/>
              </w:rPr>
            </w:pPr>
          </w:p>
          <w:p>
            <w:pPr>
              <w:spacing w:line="480" w:lineRule="exact"/>
              <w:jc w:val="center"/>
              <w:rPr>
                <w:rFonts w:ascii="黑体" w:hAnsi="黑体" w:eastAsia="黑体"/>
                <w:sz w:val="24"/>
                <w:szCs w:val="32"/>
              </w:rPr>
            </w:pPr>
            <w:r>
              <w:rPr>
                <w:rFonts w:hint="eastAsia" w:ascii="黑体" w:hAnsi="黑体" w:eastAsia="黑体"/>
                <w:sz w:val="24"/>
                <w:szCs w:val="32"/>
              </w:rPr>
              <w:t>表4-</w:t>
            </w:r>
            <w:r>
              <w:rPr>
                <w:rFonts w:ascii="黑体" w:hAnsi="黑体" w:eastAsia="黑体"/>
                <w:sz w:val="24"/>
                <w:szCs w:val="32"/>
              </w:rPr>
              <w:t>14</w:t>
            </w:r>
            <w:r>
              <w:rPr>
                <w:rFonts w:hint="eastAsia" w:ascii="黑体" w:hAnsi="黑体" w:eastAsia="黑体"/>
                <w:sz w:val="24"/>
                <w:szCs w:val="32"/>
              </w:rPr>
              <w:t xml:space="preserve">  危险废物汇总表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796"/>
              <w:gridCol w:w="867"/>
              <w:gridCol w:w="1251"/>
              <w:gridCol w:w="958"/>
              <w:gridCol w:w="1029"/>
              <w:gridCol w:w="614"/>
              <w:gridCol w:w="1170"/>
              <w:gridCol w:w="703"/>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序号</w:t>
                  </w:r>
                </w:p>
              </w:tc>
              <w:tc>
                <w:tcPr>
                  <w:tcW w:w="462"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危险废物名称</w:t>
                  </w:r>
                </w:p>
              </w:tc>
              <w:tc>
                <w:tcPr>
                  <w:tcW w:w="503"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危险废物类别</w:t>
                  </w:r>
                </w:p>
              </w:tc>
              <w:tc>
                <w:tcPr>
                  <w:tcW w:w="72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危险废物代码</w:t>
                  </w:r>
                </w:p>
              </w:tc>
              <w:tc>
                <w:tcPr>
                  <w:tcW w:w="55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产生量(吨/年)</w:t>
                  </w:r>
                </w:p>
              </w:tc>
              <w:tc>
                <w:tcPr>
                  <w:tcW w:w="597"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产生工序及装置</w:t>
                  </w:r>
                </w:p>
              </w:tc>
              <w:tc>
                <w:tcPr>
                  <w:tcW w:w="35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形态</w:t>
                  </w:r>
                </w:p>
              </w:tc>
              <w:tc>
                <w:tcPr>
                  <w:tcW w:w="679"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主要成分</w:t>
                  </w:r>
                  <w:r>
                    <w:rPr>
                      <w:rFonts w:hint="eastAsia"/>
                      <w:color w:val="auto"/>
                      <w:sz w:val="21"/>
                      <w:szCs w:val="21"/>
                    </w:rPr>
                    <w:t>/</w:t>
                  </w:r>
                  <w:r>
                    <w:rPr>
                      <w:color w:val="auto"/>
                      <w:sz w:val="21"/>
                      <w:szCs w:val="21"/>
                    </w:rPr>
                    <w:t>有害成分</w:t>
                  </w:r>
                </w:p>
              </w:tc>
              <w:tc>
                <w:tcPr>
                  <w:tcW w:w="408"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产废周期</w:t>
                  </w:r>
                </w:p>
              </w:tc>
              <w:tc>
                <w:tcPr>
                  <w:tcW w:w="44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危险</w:t>
                  </w:r>
                </w:p>
                <w:p>
                  <w:pPr>
                    <w:pStyle w:val="61"/>
                    <w:widowControl/>
                    <w:snapToGrid/>
                    <w:spacing w:line="240" w:lineRule="auto"/>
                    <w:ind w:firstLine="0" w:firstLineChars="0"/>
                    <w:rPr>
                      <w:color w:val="auto"/>
                      <w:sz w:val="21"/>
                      <w:szCs w:val="21"/>
                    </w:rPr>
                  </w:pPr>
                  <w:r>
                    <w:rPr>
                      <w:color w:val="auto"/>
                      <w:sz w:val="21"/>
                      <w:szCs w:val="21"/>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1</w:t>
                  </w:r>
                </w:p>
              </w:tc>
              <w:tc>
                <w:tcPr>
                  <w:tcW w:w="462"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焚烧飞灰</w:t>
                  </w:r>
                </w:p>
              </w:tc>
              <w:tc>
                <w:tcPr>
                  <w:tcW w:w="503"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HW18</w:t>
                  </w:r>
                </w:p>
              </w:tc>
              <w:tc>
                <w:tcPr>
                  <w:tcW w:w="72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772-002-18</w:t>
                  </w:r>
                </w:p>
              </w:tc>
              <w:tc>
                <w:tcPr>
                  <w:tcW w:w="556"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kern w:val="32"/>
                      <w:sz w:val="21"/>
                      <w:szCs w:val="21"/>
                    </w:rPr>
                  </w:pPr>
                  <w:r>
                    <w:rPr>
                      <w:rFonts w:ascii="Times New Roman" w:hAnsi="Times New Roman"/>
                      <w:bCs/>
                      <w:kern w:val="32"/>
                      <w:sz w:val="21"/>
                      <w:szCs w:val="21"/>
                    </w:rPr>
                    <w:t>5.256</w:t>
                  </w:r>
                </w:p>
              </w:tc>
              <w:tc>
                <w:tcPr>
                  <w:tcW w:w="597" w:type="pct"/>
                  <w:shd w:val="clear" w:color="auto" w:fill="auto"/>
                  <w:vAlign w:val="center"/>
                </w:tcPr>
                <w:p>
                  <w:pPr>
                    <w:pStyle w:val="61"/>
                    <w:snapToGrid/>
                    <w:spacing w:line="240" w:lineRule="auto"/>
                    <w:ind w:firstLine="0" w:firstLineChars="0"/>
                    <w:rPr>
                      <w:color w:val="auto"/>
                      <w:sz w:val="21"/>
                      <w:szCs w:val="21"/>
                    </w:rPr>
                  </w:pPr>
                  <w:r>
                    <w:rPr>
                      <w:rFonts w:hint="eastAsia"/>
                      <w:color w:val="auto"/>
                      <w:sz w:val="21"/>
                      <w:szCs w:val="21"/>
                    </w:rPr>
                    <w:t>火化、焚烧</w:t>
                  </w:r>
                </w:p>
              </w:tc>
              <w:tc>
                <w:tcPr>
                  <w:tcW w:w="35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固态</w:t>
                  </w:r>
                </w:p>
              </w:tc>
              <w:tc>
                <w:tcPr>
                  <w:tcW w:w="679"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含重金属及二噁英</w:t>
                  </w:r>
                </w:p>
              </w:tc>
              <w:tc>
                <w:tcPr>
                  <w:tcW w:w="408"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间歇</w:t>
                  </w:r>
                </w:p>
              </w:tc>
              <w:tc>
                <w:tcPr>
                  <w:tcW w:w="44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2</w:t>
                  </w:r>
                </w:p>
              </w:tc>
              <w:tc>
                <w:tcPr>
                  <w:tcW w:w="462"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废脱硫粉</w:t>
                  </w:r>
                </w:p>
              </w:tc>
              <w:tc>
                <w:tcPr>
                  <w:tcW w:w="503"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HW18</w:t>
                  </w:r>
                </w:p>
              </w:tc>
              <w:tc>
                <w:tcPr>
                  <w:tcW w:w="72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772-005-18</w:t>
                  </w:r>
                </w:p>
              </w:tc>
              <w:tc>
                <w:tcPr>
                  <w:tcW w:w="556"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kern w:val="32"/>
                      <w:sz w:val="21"/>
                      <w:szCs w:val="21"/>
                    </w:rPr>
                  </w:pPr>
                  <w:r>
                    <w:rPr>
                      <w:rFonts w:hint="eastAsia" w:ascii="Times New Roman" w:hAnsi="Times New Roman"/>
                      <w:kern w:val="32"/>
                      <w:sz w:val="21"/>
                      <w:szCs w:val="21"/>
                    </w:rPr>
                    <w:t>1</w:t>
                  </w:r>
                  <w:r>
                    <w:rPr>
                      <w:rFonts w:ascii="Times New Roman" w:hAnsi="Times New Roman"/>
                      <w:kern w:val="32"/>
                      <w:sz w:val="21"/>
                      <w:szCs w:val="21"/>
                    </w:rPr>
                    <w:t>.752</w:t>
                  </w:r>
                </w:p>
              </w:tc>
              <w:tc>
                <w:tcPr>
                  <w:tcW w:w="597" w:type="pct"/>
                  <w:shd w:val="clear" w:color="auto" w:fill="auto"/>
                  <w:vAlign w:val="center"/>
                </w:tcPr>
                <w:p>
                  <w:pPr>
                    <w:pStyle w:val="61"/>
                    <w:snapToGrid/>
                    <w:spacing w:line="240" w:lineRule="auto"/>
                    <w:ind w:firstLine="0" w:firstLineChars="0"/>
                    <w:rPr>
                      <w:color w:val="auto"/>
                      <w:sz w:val="21"/>
                      <w:szCs w:val="21"/>
                    </w:rPr>
                  </w:pPr>
                  <w:r>
                    <w:rPr>
                      <w:rFonts w:hint="eastAsia"/>
                      <w:color w:val="auto"/>
                      <w:sz w:val="21"/>
                      <w:szCs w:val="21"/>
                    </w:rPr>
                    <w:t>烟气处理</w:t>
                  </w:r>
                </w:p>
              </w:tc>
              <w:tc>
                <w:tcPr>
                  <w:tcW w:w="35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固态</w:t>
                  </w:r>
                </w:p>
              </w:tc>
              <w:tc>
                <w:tcPr>
                  <w:tcW w:w="679"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含重金属及二噁英</w:t>
                  </w:r>
                </w:p>
              </w:tc>
              <w:tc>
                <w:tcPr>
                  <w:tcW w:w="408"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间歇</w:t>
                  </w:r>
                </w:p>
              </w:tc>
              <w:tc>
                <w:tcPr>
                  <w:tcW w:w="44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有毒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26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3</w:t>
                  </w:r>
                </w:p>
              </w:tc>
              <w:tc>
                <w:tcPr>
                  <w:tcW w:w="462"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废活性炭</w:t>
                  </w:r>
                </w:p>
              </w:tc>
              <w:tc>
                <w:tcPr>
                  <w:tcW w:w="503"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HW18</w:t>
                  </w:r>
                </w:p>
              </w:tc>
              <w:tc>
                <w:tcPr>
                  <w:tcW w:w="72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772-005-18</w:t>
                  </w:r>
                </w:p>
              </w:tc>
              <w:tc>
                <w:tcPr>
                  <w:tcW w:w="556" w:type="pct"/>
                  <w:shd w:val="clear" w:color="auto" w:fill="auto"/>
                  <w:vAlign w:val="center"/>
                </w:tcPr>
                <w:p>
                  <w:pPr>
                    <w:pStyle w:val="16"/>
                    <w:autoSpaceDE w:val="0"/>
                    <w:autoSpaceDN w:val="0"/>
                    <w:adjustRightInd w:val="0"/>
                    <w:spacing w:before="0" w:beforeAutospacing="0" w:after="0" w:afterAutospacing="0"/>
                    <w:jc w:val="center"/>
                    <w:rPr>
                      <w:rFonts w:ascii="Times New Roman" w:hAnsi="Times New Roman"/>
                      <w:kern w:val="32"/>
                      <w:sz w:val="21"/>
                      <w:szCs w:val="21"/>
                    </w:rPr>
                  </w:pPr>
                  <w:r>
                    <w:rPr>
                      <w:rFonts w:hint="eastAsia" w:ascii="Times New Roman" w:hAnsi="Times New Roman"/>
                      <w:kern w:val="32"/>
                      <w:sz w:val="21"/>
                      <w:szCs w:val="21"/>
                    </w:rPr>
                    <w:t>2</w:t>
                  </w:r>
                  <w:r>
                    <w:rPr>
                      <w:rFonts w:ascii="Times New Roman" w:hAnsi="Times New Roman"/>
                      <w:kern w:val="32"/>
                      <w:sz w:val="21"/>
                      <w:szCs w:val="21"/>
                    </w:rPr>
                    <w:t>.64</w:t>
                  </w:r>
                </w:p>
              </w:tc>
              <w:tc>
                <w:tcPr>
                  <w:tcW w:w="597" w:type="pct"/>
                  <w:shd w:val="clear" w:color="auto" w:fill="auto"/>
                  <w:vAlign w:val="center"/>
                </w:tcPr>
                <w:p>
                  <w:pPr>
                    <w:pStyle w:val="61"/>
                    <w:snapToGrid/>
                    <w:spacing w:line="240" w:lineRule="auto"/>
                    <w:ind w:firstLine="0" w:firstLineChars="0"/>
                    <w:rPr>
                      <w:color w:val="auto"/>
                      <w:sz w:val="21"/>
                      <w:szCs w:val="21"/>
                    </w:rPr>
                  </w:pPr>
                  <w:r>
                    <w:rPr>
                      <w:rFonts w:hint="eastAsia"/>
                      <w:color w:val="auto"/>
                      <w:sz w:val="21"/>
                      <w:szCs w:val="21"/>
                    </w:rPr>
                    <w:t>烟气处理</w:t>
                  </w:r>
                </w:p>
              </w:tc>
              <w:tc>
                <w:tcPr>
                  <w:tcW w:w="356"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固态</w:t>
                  </w:r>
                </w:p>
              </w:tc>
              <w:tc>
                <w:tcPr>
                  <w:tcW w:w="679" w:type="pct"/>
                  <w:shd w:val="clear" w:color="auto" w:fill="auto"/>
                  <w:vAlign w:val="center"/>
                </w:tcPr>
                <w:p>
                  <w:pPr>
                    <w:pStyle w:val="61"/>
                    <w:widowControl/>
                    <w:snapToGrid/>
                    <w:spacing w:line="240" w:lineRule="auto"/>
                    <w:ind w:firstLine="0" w:firstLineChars="0"/>
                    <w:rPr>
                      <w:color w:val="auto"/>
                      <w:sz w:val="21"/>
                      <w:szCs w:val="21"/>
                    </w:rPr>
                  </w:pPr>
                  <w:r>
                    <w:rPr>
                      <w:rFonts w:hint="eastAsia"/>
                      <w:color w:val="auto"/>
                      <w:sz w:val="21"/>
                      <w:szCs w:val="21"/>
                    </w:rPr>
                    <w:t>含重金属及二噁英</w:t>
                  </w:r>
                </w:p>
              </w:tc>
              <w:tc>
                <w:tcPr>
                  <w:tcW w:w="408"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间歇</w:t>
                  </w:r>
                </w:p>
              </w:tc>
              <w:tc>
                <w:tcPr>
                  <w:tcW w:w="446" w:type="pct"/>
                  <w:shd w:val="clear" w:color="auto" w:fill="auto"/>
                  <w:vAlign w:val="center"/>
                </w:tcPr>
                <w:p>
                  <w:pPr>
                    <w:pStyle w:val="61"/>
                    <w:widowControl/>
                    <w:snapToGrid/>
                    <w:spacing w:line="240" w:lineRule="auto"/>
                    <w:ind w:firstLine="0" w:firstLineChars="0"/>
                    <w:rPr>
                      <w:color w:val="auto"/>
                      <w:sz w:val="21"/>
                      <w:szCs w:val="21"/>
                    </w:rPr>
                  </w:pPr>
                  <w:r>
                    <w:rPr>
                      <w:color w:val="auto"/>
                      <w:sz w:val="21"/>
                      <w:szCs w:val="21"/>
                    </w:rPr>
                    <w:t>有毒</w:t>
                  </w:r>
                </w:p>
              </w:tc>
            </w:tr>
          </w:tbl>
          <w:p>
            <w:pPr>
              <w:adjustRightInd w:val="0"/>
              <w:snapToGrid w:val="0"/>
              <w:spacing w:line="480" w:lineRule="exact"/>
              <w:ind w:firstLine="480" w:firstLineChars="200"/>
              <w:rPr>
                <w:sz w:val="24"/>
              </w:rPr>
            </w:pPr>
            <w:r>
              <w:rPr>
                <w:sz w:val="24"/>
              </w:rPr>
              <w:t>根据《危险废物贮存污染控制标准》（GB18597-2001）的规定，本次评价要求场所建设应当符合《危险废物贮存污染控制标准》，临时贮存场所应设防渗、防淋、防起尘、防晒。危废由专人负责收集，收集过程中按危废类别分类收集，收集容器采用危废专用收集容器，并及时交有资质的单位进行处置。</w:t>
            </w:r>
          </w:p>
          <w:p>
            <w:pPr>
              <w:adjustRightInd w:val="0"/>
              <w:snapToGrid w:val="0"/>
              <w:spacing w:line="480" w:lineRule="exact"/>
              <w:ind w:firstLine="480" w:firstLineChars="200"/>
              <w:rPr>
                <w:sz w:val="24"/>
              </w:rPr>
            </w:pPr>
            <w:r>
              <w:rPr>
                <w:sz w:val="24"/>
              </w:rPr>
              <w:t>根据《危险废物贮存污染控制标准》（GB18597-2013）及《危险废物转移联单管理办法》（国家环境保护总局令  第5号）的要求，本报告对项目产生的危险废物的贮存、管理提出如下要求：</w:t>
            </w:r>
          </w:p>
          <w:p>
            <w:pPr>
              <w:spacing w:line="480" w:lineRule="exact"/>
              <w:ind w:firstLine="480" w:firstLineChars="200"/>
              <w:rPr>
                <w:rFonts w:eastAsia="新宋体"/>
                <w:sz w:val="24"/>
              </w:rPr>
            </w:pPr>
            <w:r>
              <w:rPr>
                <w:rFonts w:eastAsia="新宋体"/>
                <w:sz w:val="24"/>
              </w:rPr>
              <w:t>1）一般要求</w:t>
            </w:r>
          </w:p>
          <w:p>
            <w:pPr>
              <w:spacing w:line="48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在常温常压下不水解、不挥发的固体危险废物可在贮存设施内分别堆放；</w:t>
            </w:r>
          </w:p>
          <w:p>
            <w:pPr>
              <w:spacing w:line="480" w:lineRule="exact"/>
              <w:ind w:firstLine="480" w:firstLineChars="200"/>
              <w:rPr>
                <w:sz w:val="24"/>
              </w:rPr>
            </w:pPr>
            <w:r>
              <w:rPr>
                <w:sz w:val="24"/>
              </w:rPr>
              <w:fldChar w:fldCharType="begin"/>
            </w:r>
            <w:r>
              <w:rPr>
                <w:sz w:val="24"/>
              </w:rPr>
              <w:instrText xml:space="preserve"> = 2 \* GB3 </w:instrText>
            </w:r>
            <w:r>
              <w:rPr>
                <w:sz w:val="24"/>
              </w:rPr>
              <w:fldChar w:fldCharType="separate"/>
            </w:r>
            <w:r>
              <w:rPr>
                <w:rFonts w:hint="eastAsia" w:ascii="宋体" w:hAnsi="宋体" w:cs="宋体"/>
                <w:sz w:val="24"/>
              </w:rPr>
              <w:t>②</w:t>
            </w:r>
            <w:r>
              <w:rPr>
                <w:sz w:val="24"/>
              </w:rPr>
              <w:fldChar w:fldCharType="end"/>
            </w:r>
            <w:r>
              <w:rPr>
                <w:sz w:val="24"/>
              </w:rPr>
              <w:t>除规定外，必须将危险废物装入容器内；</w:t>
            </w:r>
          </w:p>
          <w:p>
            <w:pPr>
              <w:spacing w:line="480" w:lineRule="exact"/>
              <w:ind w:firstLine="480" w:firstLineChars="200"/>
              <w:rPr>
                <w:sz w:val="24"/>
              </w:rPr>
            </w:pPr>
            <w:r>
              <w:rPr>
                <w:sz w:val="24"/>
              </w:rPr>
              <w:fldChar w:fldCharType="begin"/>
            </w:r>
            <w:r>
              <w:rPr>
                <w:sz w:val="24"/>
              </w:rPr>
              <w:instrText xml:space="preserve"> = 3 \* GB3 </w:instrText>
            </w:r>
            <w:r>
              <w:rPr>
                <w:sz w:val="24"/>
              </w:rPr>
              <w:fldChar w:fldCharType="separate"/>
            </w:r>
            <w:r>
              <w:rPr>
                <w:rFonts w:hint="eastAsia" w:ascii="宋体" w:hAnsi="宋体" w:cs="宋体"/>
                <w:sz w:val="24"/>
              </w:rPr>
              <w:t>③</w:t>
            </w:r>
            <w:r>
              <w:rPr>
                <w:sz w:val="24"/>
              </w:rPr>
              <w:fldChar w:fldCharType="end"/>
            </w:r>
            <w:r>
              <w:rPr>
                <w:sz w:val="24"/>
              </w:rPr>
              <w:t>禁止将不相容的危险废物在同一容器内混装；</w:t>
            </w:r>
          </w:p>
          <w:p>
            <w:pPr>
              <w:spacing w:line="480" w:lineRule="exact"/>
              <w:ind w:firstLine="480" w:firstLineChars="200"/>
              <w:rPr>
                <w:sz w:val="24"/>
              </w:rPr>
            </w:pPr>
            <w:r>
              <w:rPr>
                <w:sz w:val="24"/>
              </w:rPr>
              <w:fldChar w:fldCharType="begin"/>
            </w:r>
            <w:r>
              <w:rPr>
                <w:sz w:val="24"/>
              </w:rPr>
              <w:instrText xml:space="preserve"> = 4 \* GB3 </w:instrText>
            </w:r>
            <w:r>
              <w:rPr>
                <w:sz w:val="24"/>
              </w:rPr>
              <w:fldChar w:fldCharType="separate"/>
            </w:r>
            <w:r>
              <w:rPr>
                <w:rFonts w:hint="eastAsia" w:ascii="宋体" w:hAnsi="宋体" w:cs="宋体"/>
                <w:sz w:val="24"/>
              </w:rPr>
              <w:t>④</w:t>
            </w:r>
            <w:r>
              <w:rPr>
                <w:sz w:val="24"/>
              </w:rPr>
              <w:fldChar w:fldCharType="end"/>
            </w:r>
            <w:r>
              <w:rPr>
                <w:sz w:val="24"/>
              </w:rPr>
              <w:t>无法装入常用容器的危险废物可用防漏胶袋等盛装；</w:t>
            </w:r>
          </w:p>
          <w:p>
            <w:pPr>
              <w:spacing w:line="480" w:lineRule="exact"/>
              <w:ind w:firstLine="480" w:firstLineChars="200"/>
              <w:rPr>
                <w:sz w:val="24"/>
              </w:rPr>
            </w:pPr>
            <w:r>
              <w:rPr>
                <w:sz w:val="24"/>
              </w:rPr>
              <w:fldChar w:fldCharType="begin"/>
            </w:r>
            <w:r>
              <w:rPr>
                <w:sz w:val="24"/>
              </w:rPr>
              <w:instrText xml:space="preserve"> = 5 \* GB3 </w:instrText>
            </w:r>
            <w:r>
              <w:rPr>
                <w:sz w:val="24"/>
              </w:rPr>
              <w:fldChar w:fldCharType="separate"/>
            </w:r>
            <w:r>
              <w:rPr>
                <w:rFonts w:hint="eastAsia" w:ascii="宋体" w:hAnsi="宋体" w:cs="宋体"/>
                <w:sz w:val="24"/>
              </w:rPr>
              <w:t>⑤</w:t>
            </w:r>
            <w:r>
              <w:rPr>
                <w:sz w:val="24"/>
              </w:rPr>
              <w:fldChar w:fldCharType="end"/>
            </w:r>
            <w:r>
              <w:rPr>
                <w:sz w:val="24"/>
              </w:rPr>
              <w:t>转载液体、半固体危险废物的容器内须留足够空间，容器顶部与液体表面之间保留100mm以上的空间；</w:t>
            </w:r>
          </w:p>
          <w:p>
            <w:pPr>
              <w:spacing w:line="480" w:lineRule="exact"/>
              <w:ind w:firstLine="480" w:firstLineChars="200"/>
              <w:rPr>
                <w:sz w:val="24"/>
              </w:rPr>
            </w:pPr>
            <w:r>
              <w:rPr>
                <w:sz w:val="24"/>
              </w:rPr>
              <w:fldChar w:fldCharType="begin"/>
            </w:r>
            <w:r>
              <w:rPr>
                <w:sz w:val="24"/>
              </w:rPr>
              <w:instrText xml:space="preserve"> = 6 \* GB3 </w:instrText>
            </w:r>
            <w:r>
              <w:rPr>
                <w:sz w:val="24"/>
              </w:rPr>
              <w:fldChar w:fldCharType="separate"/>
            </w:r>
            <w:r>
              <w:rPr>
                <w:rFonts w:hint="eastAsia" w:ascii="宋体" w:hAnsi="宋体" w:cs="宋体"/>
                <w:sz w:val="24"/>
              </w:rPr>
              <w:t>⑥</w:t>
            </w:r>
            <w:r>
              <w:rPr>
                <w:sz w:val="24"/>
              </w:rPr>
              <w:fldChar w:fldCharType="end"/>
            </w:r>
            <w:r>
              <w:rPr>
                <w:sz w:val="24"/>
              </w:rPr>
              <w:t>盛装危险废物的容器上必须粘贴符合本标准附录A所示的标签；</w:t>
            </w:r>
          </w:p>
          <w:p>
            <w:pPr>
              <w:spacing w:line="480" w:lineRule="exact"/>
              <w:ind w:firstLine="480" w:firstLineChars="200"/>
              <w:rPr>
                <w:sz w:val="24"/>
                <w:szCs w:val="22"/>
              </w:rPr>
            </w:pPr>
            <w:r>
              <w:rPr>
                <w:rFonts w:hint="eastAsia" w:ascii="宋体" w:hAnsi="宋体" w:cs="宋体"/>
                <w:sz w:val="24"/>
                <w:szCs w:val="22"/>
              </w:rPr>
              <w:t>⑦</w:t>
            </w:r>
            <w:r>
              <w:rPr>
                <w:sz w:val="24"/>
                <w:szCs w:val="22"/>
              </w:rPr>
              <w:t>危险废物贮存设施在施工前应做环境影响评价。</w:t>
            </w:r>
          </w:p>
          <w:p>
            <w:pPr>
              <w:spacing w:line="480" w:lineRule="exact"/>
              <w:ind w:firstLine="480" w:firstLineChars="200"/>
              <w:rPr>
                <w:sz w:val="24"/>
              </w:rPr>
            </w:pPr>
            <w:r>
              <w:rPr>
                <w:sz w:val="24"/>
              </w:rPr>
              <w:t>2）危险废物贮存容器</w:t>
            </w:r>
          </w:p>
          <w:p>
            <w:pPr>
              <w:adjustRightInd w:val="0"/>
              <w:snapToGrid w:val="0"/>
              <w:spacing w:line="480" w:lineRule="exact"/>
              <w:ind w:firstLine="480" w:firstLineChars="200"/>
              <w:rPr>
                <w:sz w:val="24"/>
              </w:rPr>
            </w:pPr>
            <w:r>
              <w:rPr>
                <w:rFonts w:hint="eastAsia" w:ascii="宋体" w:hAnsi="宋体" w:cs="宋体"/>
                <w:sz w:val="24"/>
              </w:rPr>
              <w:t>①</w:t>
            </w:r>
            <w:r>
              <w:rPr>
                <w:sz w:val="24"/>
              </w:rPr>
              <w:t>应当使用符合标准的容器盛装危险废物；</w:t>
            </w:r>
          </w:p>
          <w:p>
            <w:pPr>
              <w:spacing w:line="480" w:lineRule="exact"/>
              <w:ind w:firstLine="480" w:firstLineChars="200"/>
              <w:rPr>
                <w:sz w:val="24"/>
              </w:rPr>
            </w:pPr>
            <w:r>
              <w:rPr>
                <w:rFonts w:hint="eastAsia" w:ascii="宋体" w:hAnsi="宋体" w:cs="宋体"/>
                <w:sz w:val="24"/>
              </w:rPr>
              <w:t>②</w:t>
            </w:r>
            <w:r>
              <w:rPr>
                <w:sz w:val="24"/>
              </w:rPr>
              <w:t>装载危险废物的容器及材质要满足相应的强度要求；</w:t>
            </w:r>
          </w:p>
          <w:p>
            <w:pPr>
              <w:spacing w:line="480" w:lineRule="exact"/>
              <w:ind w:firstLine="480" w:firstLineChars="200"/>
              <w:rPr>
                <w:sz w:val="24"/>
              </w:rPr>
            </w:pPr>
            <w:r>
              <w:rPr>
                <w:rFonts w:hint="eastAsia" w:ascii="宋体" w:hAnsi="宋体" w:cs="宋体"/>
                <w:sz w:val="24"/>
              </w:rPr>
              <w:t>③</w:t>
            </w:r>
            <w:r>
              <w:rPr>
                <w:sz w:val="24"/>
              </w:rPr>
              <w:t>装载危险废物的容器必须完好无损；</w:t>
            </w:r>
          </w:p>
          <w:p>
            <w:pPr>
              <w:spacing w:line="480" w:lineRule="exact"/>
              <w:ind w:firstLine="480" w:firstLineChars="200"/>
              <w:rPr>
                <w:sz w:val="24"/>
              </w:rPr>
            </w:pPr>
            <w:r>
              <w:rPr>
                <w:rFonts w:hint="eastAsia" w:ascii="宋体" w:hAnsi="宋体" w:cs="宋体"/>
                <w:sz w:val="24"/>
              </w:rPr>
              <w:t>④</w:t>
            </w:r>
            <w:r>
              <w:rPr>
                <w:sz w:val="24"/>
              </w:rPr>
              <w:t>装载危险废物的容器材质和衬里要与危险废物相容（不相互反应）；</w:t>
            </w:r>
          </w:p>
          <w:p>
            <w:pPr>
              <w:spacing w:line="480" w:lineRule="exact"/>
              <w:ind w:firstLine="480" w:firstLineChars="200"/>
              <w:rPr>
                <w:sz w:val="24"/>
                <w:szCs w:val="22"/>
              </w:rPr>
            </w:pPr>
            <w:r>
              <w:rPr>
                <w:rFonts w:hint="eastAsia" w:ascii="宋体" w:hAnsi="宋体" w:cs="宋体"/>
                <w:sz w:val="24"/>
                <w:szCs w:val="22"/>
              </w:rPr>
              <w:t>⑤</w:t>
            </w:r>
            <w:r>
              <w:rPr>
                <w:sz w:val="24"/>
                <w:szCs w:val="22"/>
              </w:rPr>
              <w:t>液体危险废物可注入开孔直径不超过70毫米并有放气孔的桶中。</w:t>
            </w:r>
          </w:p>
          <w:p>
            <w:pPr>
              <w:spacing w:line="480" w:lineRule="exact"/>
              <w:ind w:firstLine="480" w:firstLineChars="200"/>
              <w:rPr>
                <w:sz w:val="24"/>
              </w:rPr>
            </w:pPr>
            <w:r>
              <w:rPr>
                <w:sz w:val="24"/>
              </w:rPr>
              <w:t>3）危险废物暂存区的设计原则</w:t>
            </w:r>
          </w:p>
          <w:p>
            <w:pPr>
              <w:spacing w:line="480" w:lineRule="exact"/>
              <w:ind w:firstLine="480" w:firstLineChars="200"/>
              <w:rPr>
                <w:sz w:val="24"/>
              </w:rPr>
            </w:pPr>
            <w:r>
              <w:rPr>
                <w:rFonts w:hint="eastAsia" w:ascii="宋体" w:hAnsi="宋体" w:cs="宋体"/>
                <w:sz w:val="24"/>
              </w:rPr>
              <w:t>①</w:t>
            </w:r>
            <w:r>
              <w:rPr>
                <w:sz w:val="24"/>
              </w:rPr>
              <w:t>地面与裙角要用坚固、防渗的材料建造，建筑材料必须与危险废物相容；</w:t>
            </w:r>
          </w:p>
          <w:p>
            <w:pPr>
              <w:spacing w:line="480" w:lineRule="exact"/>
              <w:ind w:firstLine="480" w:firstLineChars="200"/>
              <w:rPr>
                <w:sz w:val="24"/>
              </w:rPr>
            </w:pPr>
            <w:r>
              <w:rPr>
                <w:rFonts w:hint="eastAsia" w:ascii="宋体" w:hAnsi="宋体" w:cs="宋体"/>
                <w:sz w:val="24"/>
              </w:rPr>
              <w:t>②</w:t>
            </w:r>
            <w:r>
              <w:rPr>
                <w:sz w:val="24"/>
              </w:rPr>
              <w:t>必须有泄漏液体收集装置；</w:t>
            </w:r>
          </w:p>
          <w:p>
            <w:pPr>
              <w:spacing w:line="480" w:lineRule="exact"/>
              <w:ind w:firstLine="480" w:firstLineChars="200"/>
              <w:rPr>
                <w:sz w:val="24"/>
              </w:rPr>
            </w:pPr>
            <w:r>
              <w:rPr>
                <w:rFonts w:hint="eastAsia" w:ascii="宋体" w:hAnsi="宋体" w:cs="宋体"/>
                <w:sz w:val="24"/>
              </w:rPr>
              <w:t>③</w:t>
            </w:r>
            <w:r>
              <w:rPr>
                <w:sz w:val="24"/>
              </w:rPr>
              <w:t>设施内要有安全照明设施和观察窗口；</w:t>
            </w:r>
          </w:p>
          <w:p>
            <w:pPr>
              <w:spacing w:line="480" w:lineRule="exact"/>
              <w:ind w:firstLine="480" w:firstLineChars="200"/>
              <w:rPr>
                <w:sz w:val="24"/>
              </w:rPr>
            </w:pPr>
            <w:r>
              <w:rPr>
                <w:rFonts w:hint="eastAsia" w:ascii="宋体" w:hAnsi="宋体" w:cs="宋体"/>
                <w:sz w:val="24"/>
              </w:rPr>
              <w:t>④</w:t>
            </w:r>
            <w:r>
              <w:rPr>
                <w:sz w:val="24"/>
              </w:rPr>
              <w:t>用以存放装载液体、半固态危险废物容器的地方，必有耐腐蚀的硬化地面，且表面无裂缝；</w:t>
            </w:r>
          </w:p>
          <w:p>
            <w:pPr>
              <w:spacing w:line="480" w:lineRule="exact"/>
              <w:ind w:firstLine="480" w:firstLineChars="200"/>
              <w:rPr>
                <w:sz w:val="24"/>
              </w:rPr>
            </w:pPr>
            <w:r>
              <w:rPr>
                <w:rFonts w:hint="eastAsia" w:ascii="宋体" w:hAnsi="宋体" w:cs="宋体"/>
                <w:sz w:val="24"/>
              </w:rPr>
              <w:t>⑤</w:t>
            </w:r>
            <w:r>
              <w:rPr>
                <w:sz w:val="24"/>
              </w:rPr>
              <w:t>应设计堵截泄漏的裙脚，地面与裙脚所围建的容积不低于堵截最大容器的最大储量或总量的1/5；</w:t>
            </w:r>
          </w:p>
          <w:p>
            <w:pPr>
              <w:spacing w:line="480" w:lineRule="exact"/>
              <w:ind w:firstLine="480" w:firstLineChars="200"/>
              <w:rPr>
                <w:sz w:val="24"/>
              </w:rPr>
            </w:pPr>
            <w:r>
              <w:rPr>
                <w:rFonts w:hint="eastAsia" w:ascii="宋体" w:hAnsi="宋体" w:cs="宋体"/>
                <w:sz w:val="24"/>
              </w:rPr>
              <w:t>⑥</w:t>
            </w:r>
            <w:r>
              <w:rPr>
                <w:sz w:val="24"/>
              </w:rPr>
              <w:t>不相容的危险废物必须分开存放，并设有隔离间隔断。</w:t>
            </w:r>
          </w:p>
          <w:p>
            <w:pPr>
              <w:spacing w:line="480" w:lineRule="exact"/>
              <w:ind w:firstLine="480" w:firstLineChars="200"/>
              <w:rPr>
                <w:sz w:val="24"/>
              </w:rPr>
            </w:pPr>
            <w:r>
              <w:rPr>
                <w:sz w:val="24"/>
              </w:rPr>
              <w:t>4）危险废物的堆放</w:t>
            </w:r>
          </w:p>
          <w:p>
            <w:pPr>
              <w:spacing w:line="480" w:lineRule="exact"/>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贮存设施必须防渗，基础必须防渗，防渗层为至少1m厚粘土层(渗透系数≤10</w:t>
            </w:r>
            <w:r>
              <w:rPr>
                <w:sz w:val="24"/>
                <w:vertAlign w:val="superscript"/>
              </w:rPr>
              <w:t>-7</w:t>
            </w:r>
            <w:r>
              <w:rPr>
                <w:sz w:val="24"/>
              </w:rPr>
              <w:t>cm/s)，或2mm厚高密度聚乙烯，或至少2mm厚的其它人工材料，渗透系数≤10</w:t>
            </w:r>
            <w:r>
              <w:rPr>
                <w:sz w:val="24"/>
                <w:vertAlign w:val="superscript"/>
              </w:rPr>
              <w:t>-10</w:t>
            </w:r>
            <w:r>
              <w:rPr>
                <w:sz w:val="24"/>
              </w:rPr>
              <w:t>cm/s。</w:t>
            </w:r>
          </w:p>
          <w:p>
            <w:pPr>
              <w:spacing w:line="480" w:lineRule="exact"/>
              <w:ind w:firstLine="480" w:firstLineChars="200"/>
              <w:rPr>
                <w:sz w:val="24"/>
              </w:rPr>
            </w:pPr>
            <w:r>
              <w:rPr>
                <w:rFonts w:hint="eastAsia" w:ascii="宋体" w:hAnsi="宋体" w:cs="宋体"/>
                <w:sz w:val="24"/>
              </w:rPr>
              <w:t>②</w:t>
            </w:r>
            <w:r>
              <w:rPr>
                <w:kern w:val="0"/>
                <w:sz w:val="24"/>
                <w:shd w:val="clear" w:color="auto" w:fill="FFFFFF"/>
                <w:lang w:bidi="ar"/>
              </w:rPr>
              <w:t>堆放危险废物的高度应根据地面承载能力确定；</w:t>
            </w:r>
          </w:p>
          <w:p>
            <w:pPr>
              <w:spacing w:line="480" w:lineRule="exact"/>
              <w:ind w:firstLine="480" w:firstLineChars="200"/>
              <w:rPr>
                <w:sz w:val="24"/>
              </w:rPr>
            </w:pPr>
            <w:r>
              <w:rPr>
                <w:rFonts w:hint="eastAsia" w:ascii="宋体" w:hAnsi="宋体" w:cs="宋体"/>
                <w:sz w:val="24"/>
              </w:rPr>
              <w:t>③</w:t>
            </w:r>
            <w:r>
              <w:rPr>
                <w:kern w:val="0"/>
                <w:sz w:val="24"/>
                <w:shd w:val="clear" w:color="auto" w:fill="FFFFFF"/>
                <w:lang w:bidi="ar"/>
              </w:rPr>
              <w:t>应设计建造径流疏导系统，保证能防止25年一遇的暴雨不会流到危险废物堆里；</w:t>
            </w:r>
          </w:p>
          <w:p>
            <w:pPr>
              <w:spacing w:line="480" w:lineRule="exact"/>
              <w:ind w:firstLine="480" w:firstLineChars="200"/>
              <w:rPr>
                <w:sz w:val="24"/>
              </w:rPr>
            </w:pPr>
            <w:r>
              <w:rPr>
                <w:rFonts w:hint="eastAsia" w:ascii="宋体" w:hAnsi="宋体" w:cs="宋体"/>
                <w:sz w:val="24"/>
              </w:rPr>
              <w:t>④</w:t>
            </w:r>
            <w:r>
              <w:rPr>
                <w:kern w:val="0"/>
                <w:sz w:val="24"/>
                <w:shd w:val="clear" w:color="auto" w:fill="FFFFFF"/>
                <w:lang w:bidi="ar"/>
              </w:rPr>
              <w:t>危险废物堆要防风、防雨、防晒；</w:t>
            </w:r>
          </w:p>
          <w:p>
            <w:pPr>
              <w:spacing w:line="480" w:lineRule="exact"/>
              <w:ind w:firstLine="480" w:firstLineChars="200"/>
              <w:rPr>
                <w:bCs/>
                <w:sz w:val="24"/>
              </w:rPr>
            </w:pPr>
            <w:r>
              <w:rPr>
                <w:rFonts w:hint="eastAsia" w:ascii="宋体" w:hAnsi="宋体" w:cs="宋体"/>
                <w:sz w:val="24"/>
              </w:rPr>
              <w:t>⑤</w:t>
            </w:r>
            <w:r>
              <w:rPr>
                <w:sz w:val="24"/>
              </w:rPr>
              <w:t>贮存设施内应有危险废物要放入符合标准的容器内，加上标签。</w:t>
            </w:r>
          </w:p>
          <w:p>
            <w:pPr>
              <w:adjustRightInd w:val="0"/>
              <w:snapToGrid w:val="0"/>
              <w:spacing w:line="480" w:lineRule="exact"/>
              <w:ind w:firstLine="480" w:firstLineChars="200"/>
              <w:rPr>
                <w:sz w:val="24"/>
              </w:rPr>
            </w:pPr>
            <w:r>
              <w:rPr>
                <w:sz w:val="24"/>
              </w:rPr>
              <w:t>危险废物运输执行《危险废物收集 贮存 运输技术规范》（HJ2025-2012）及《危险废物转移联单管理方法》的相关要求。</w:t>
            </w:r>
          </w:p>
          <w:p>
            <w:pPr>
              <w:adjustRightInd w:val="0"/>
              <w:snapToGrid w:val="0"/>
              <w:spacing w:line="480" w:lineRule="exact"/>
              <w:ind w:firstLine="482" w:firstLineChars="200"/>
              <w:rPr>
                <w:rFonts w:hAnsi="宋体"/>
                <w:b/>
                <w:bCs/>
                <w:sz w:val="24"/>
                <w:szCs w:val="32"/>
              </w:rPr>
            </w:pPr>
            <w:r>
              <w:rPr>
                <w:rFonts w:hAnsi="宋体"/>
                <w:b/>
                <w:sz w:val="24"/>
                <w:szCs w:val="32"/>
              </w:rPr>
              <w:t>S</w:t>
            </w:r>
            <w:r>
              <w:rPr>
                <w:rFonts w:hAnsi="宋体"/>
                <w:b/>
                <w:sz w:val="24"/>
                <w:szCs w:val="32"/>
                <w:vertAlign w:val="subscript"/>
              </w:rPr>
              <w:t>6</w:t>
            </w:r>
            <w:r>
              <w:rPr>
                <w:rFonts w:hint="eastAsia" w:hAnsi="宋体"/>
                <w:b/>
                <w:sz w:val="24"/>
                <w:szCs w:val="32"/>
              </w:rPr>
              <w:t>：</w:t>
            </w:r>
            <w:r>
              <w:rPr>
                <w:rFonts w:hint="eastAsia"/>
                <w:b/>
                <w:bCs/>
                <w:sz w:val="24"/>
              </w:rPr>
              <w:t>生活垃圾</w:t>
            </w:r>
            <w:r>
              <w:rPr>
                <w:rFonts w:hint="eastAsia" w:hAnsi="宋体"/>
                <w:b/>
                <w:bCs/>
                <w:sz w:val="24"/>
                <w:szCs w:val="32"/>
              </w:rPr>
              <w:t>；</w:t>
            </w:r>
          </w:p>
          <w:p>
            <w:pPr>
              <w:adjustRightInd w:val="0"/>
              <w:snapToGrid w:val="0"/>
              <w:spacing w:line="480" w:lineRule="exact"/>
              <w:ind w:firstLine="480" w:firstLineChars="200"/>
              <w:rPr>
                <w:bCs/>
                <w:sz w:val="24"/>
              </w:rPr>
            </w:pPr>
            <w:r>
              <w:rPr>
                <w:rFonts w:hint="eastAsia"/>
                <w:bCs/>
                <w:sz w:val="24"/>
              </w:rPr>
              <w:t>生活垃圾主要来自员工和丧祭人员的生活垃圾，</w:t>
            </w:r>
            <w:r>
              <w:rPr>
                <w:rFonts w:hint="eastAsia"/>
                <w:sz w:val="24"/>
              </w:rPr>
              <w:t>环评时</w:t>
            </w:r>
            <w:r>
              <w:rPr>
                <w:sz w:val="24"/>
              </w:rPr>
              <w:t>项目运营期</w:t>
            </w:r>
            <w:r>
              <w:rPr>
                <w:rFonts w:hint="eastAsia"/>
                <w:sz w:val="24"/>
              </w:rPr>
              <w:t>暂</w:t>
            </w:r>
            <w:r>
              <w:rPr>
                <w:sz w:val="24"/>
              </w:rPr>
              <w:t>拟</w:t>
            </w:r>
            <w:r>
              <w:rPr>
                <w:rFonts w:hint="eastAsia"/>
                <w:sz w:val="24"/>
              </w:rPr>
              <w:t>按</w:t>
            </w:r>
            <w:r>
              <w:rPr>
                <w:sz w:val="24"/>
              </w:rPr>
              <w:t>工作人员20人</w:t>
            </w:r>
            <w:r>
              <w:rPr>
                <w:rFonts w:hint="eastAsia"/>
                <w:sz w:val="24"/>
              </w:rPr>
              <w:t>计算产排污量；</w:t>
            </w:r>
            <w:r>
              <w:rPr>
                <w:rFonts w:hint="eastAsia"/>
                <w:bCs/>
                <w:sz w:val="24"/>
              </w:rPr>
              <w:t>生活垃圾</w:t>
            </w:r>
            <w:r>
              <w:rPr>
                <w:bCs/>
                <w:sz w:val="24"/>
              </w:rPr>
              <w:t>0.5kg/人·天计算</w:t>
            </w:r>
            <w:r>
              <w:rPr>
                <w:rFonts w:hint="eastAsia"/>
                <w:bCs/>
                <w:sz w:val="24"/>
              </w:rPr>
              <w:t>，则员工的生活垃圾产生量为</w:t>
            </w:r>
            <w:r>
              <w:rPr>
                <w:bCs/>
                <w:sz w:val="24"/>
              </w:rPr>
              <w:t>3.65</w:t>
            </w:r>
            <w:r>
              <w:rPr>
                <w:rFonts w:hint="eastAsia"/>
                <w:bCs/>
                <w:sz w:val="24"/>
              </w:rPr>
              <w:t>t/a；每天悼念、来访人员人数约为</w:t>
            </w:r>
            <w:r>
              <w:rPr>
                <w:bCs/>
                <w:sz w:val="24"/>
              </w:rPr>
              <w:t>3</w:t>
            </w:r>
            <w:r>
              <w:rPr>
                <w:rFonts w:hint="eastAsia"/>
                <w:bCs/>
                <w:sz w:val="24"/>
              </w:rPr>
              <w:t>00人，生活垃圾按0.1</w:t>
            </w:r>
            <w:r>
              <w:rPr>
                <w:bCs/>
                <w:sz w:val="24"/>
              </w:rPr>
              <w:t>kg/人·天计算</w:t>
            </w:r>
            <w:r>
              <w:rPr>
                <w:rFonts w:hint="eastAsia"/>
                <w:bCs/>
                <w:sz w:val="24"/>
              </w:rPr>
              <w:t>，则悼念人员的生活垃圾为</w:t>
            </w:r>
            <w:r>
              <w:rPr>
                <w:bCs/>
                <w:sz w:val="24"/>
              </w:rPr>
              <w:t>10.95</w:t>
            </w:r>
            <w:r>
              <w:rPr>
                <w:rFonts w:hint="eastAsia"/>
                <w:bCs/>
                <w:sz w:val="24"/>
              </w:rPr>
              <w:t>t/a。</w:t>
            </w:r>
            <w:r>
              <w:rPr>
                <w:bCs/>
                <w:sz w:val="24"/>
              </w:rPr>
              <w:t>收集后委托乡镇环卫部门统一清运、处理。</w:t>
            </w:r>
          </w:p>
          <w:p>
            <w:pPr>
              <w:adjustRightInd w:val="0"/>
              <w:snapToGrid w:val="0"/>
              <w:spacing w:line="480" w:lineRule="exact"/>
              <w:ind w:firstLine="482" w:firstLineChars="200"/>
              <w:rPr>
                <w:sz w:val="24"/>
              </w:rPr>
            </w:pPr>
            <w:r>
              <w:rPr>
                <w:rFonts w:hint="eastAsia"/>
                <w:b/>
                <w:sz w:val="24"/>
                <w:szCs w:val="32"/>
              </w:rPr>
              <w:t>本项目固废污染物产排量汇总情况见下表。</w:t>
            </w: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p>
          <w:p>
            <w:pPr>
              <w:autoSpaceDE w:val="0"/>
              <w:autoSpaceDN w:val="0"/>
              <w:adjustRightInd w:val="0"/>
              <w:spacing w:line="480" w:lineRule="exact"/>
              <w:jc w:val="center"/>
              <w:rPr>
                <w:rFonts w:ascii="黑体" w:hAnsi="黑体" w:eastAsia="黑体"/>
                <w:sz w:val="24"/>
                <w:szCs w:val="32"/>
              </w:rPr>
            </w:pPr>
            <w:r>
              <w:rPr>
                <w:rFonts w:hint="eastAsia" w:ascii="黑体" w:hAnsi="黑体" w:eastAsia="黑体"/>
                <w:sz w:val="24"/>
                <w:szCs w:val="32"/>
              </w:rPr>
              <w:t>表4-</w:t>
            </w:r>
            <w:r>
              <w:rPr>
                <w:rFonts w:ascii="黑体" w:hAnsi="黑体" w:eastAsia="黑体"/>
                <w:sz w:val="24"/>
                <w:szCs w:val="32"/>
              </w:rPr>
              <w:t xml:space="preserve">15 </w:t>
            </w:r>
            <w:r>
              <w:rPr>
                <w:rFonts w:hint="eastAsia" w:ascii="黑体" w:hAnsi="黑体" w:eastAsia="黑体"/>
                <w:sz w:val="24"/>
                <w:szCs w:val="32"/>
              </w:rPr>
              <w:t xml:space="preserve"> </w:t>
            </w:r>
            <w:r>
              <w:rPr>
                <w:rFonts w:ascii="黑体" w:hAnsi="黑体" w:eastAsia="黑体"/>
                <w:sz w:val="24"/>
                <w:szCs w:val="32"/>
              </w:rPr>
              <w:t>本项目</w:t>
            </w:r>
            <w:r>
              <w:rPr>
                <w:rFonts w:hint="eastAsia" w:ascii="黑体" w:hAnsi="黑体" w:eastAsia="黑体"/>
                <w:sz w:val="24"/>
                <w:szCs w:val="32"/>
              </w:rPr>
              <w:t>固体</w:t>
            </w:r>
            <w:r>
              <w:rPr>
                <w:rFonts w:ascii="黑体" w:hAnsi="黑体" w:eastAsia="黑体"/>
                <w:sz w:val="24"/>
                <w:szCs w:val="32"/>
              </w:rPr>
              <w:t>污染物汇总表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1"/>
              <w:gridCol w:w="1230"/>
              <w:gridCol w:w="3606"/>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szCs w:val="21"/>
                    </w:rPr>
                  </w:pPr>
                  <w:r>
                    <w:rPr>
                      <w:rFonts w:hAnsi="宋体"/>
                      <w:szCs w:val="21"/>
                    </w:rPr>
                    <w:t>项目</w:t>
                  </w:r>
                </w:p>
              </w:tc>
              <w:tc>
                <w:tcPr>
                  <w:tcW w:w="714" w:type="pct"/>
                  <w:vAlign w:val="center"/>
                </w:tcPr>
                <w:p>
                  <w:pPr>
                    <w:autoSpaceDE w:val="0"/>
                    <w:autoSpaceDN w:val="0"/>
                    <w:jc w:val="center"/>
                    <w:rPr>
                      <w:szCs w:val="21"/>
                    </w:rPr>
                  </w:pPr>
                  <w:r>
                    <w:rPr>
                      <w:rFonts w:hAnsi="宋体"/>
                      <w:szCs w:val="21"/>
                    </w:rPr>
                    <w:t>产生量</w:t>
                  </w:r>
                  <w:r>
                    <w:rPr>
                      <w:szCs w:val="21"/>
                    </w:rPr>
                    <w:t>t/a</w:t>
                  </w:r>
                </w:p>
              </w:tc>
              <w:tc>
                <w:tcPr>
                  <w:tcW w:w="2093" w:type="pct"/>
                  <w:vAlign w:val="center"/>
                </w:tcPr>
                <w:p>
                  <w:pPr>
                    <w:autoSpaceDE w:val="0"/>
                    <w:autoSpaceDN w:val="0"/>
                    <w:jc w:val="center"/>
                    <w:rPr>
                      <w:szCs w:val="21"/>
                    </w:rPr>
                  </w:pPr>
                  <w:r>
                    <w:rPr>
                      <w:rFonts w:hAnsi="宋体"/>
                      <w:szCs w:val="21"/>
                    </w:rPr>
                    <w:t>处理方式</w:t>
                  </w:r>
                </w:p>
              </w:tc>
              <w:tc>
                <w:tcPr>
                  <w:tcW w:w="689" w:type="pct"/>
                  <w:vAlign w:val="center"/>
                </w:tcPr>
                <w:p>
                  <w:pPr>
                    <w:autoSpaceDE w:val="0"/>
                    <w:autoSpaceDN w:val="0"/>
                    <w:jc w:val="center"/>
                    <w:rPr>
                      <w:szCs w:val="21"/>
                    </w:rPr>
                  </w:pPr>
                  <w:r>
                    <w:rPr>
                      <w:rFonts w:hAnsi="宋体"/>
                      <w:szCs w:val="21"/>
                    </w:rPr>
                    <w:t>排放量</w:t>
                  </w:r>
                  <w:r>
                    <w:rPr>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遗体火化产生的骨灰</w:t>
                  </w:r>
                </w:p>
              </w:tc>
              <w:tc>
                <w:tcPr>
                  <w:tcW w:w="714" w:type="pct"/>
                  <w:vAlign w:val="center"/>
                </w:tcPr>
                <w:p>
                  <w:pPr>
                    <w:autoSpaceDE w:val="0"/>
                    <w:autoSpaceDN w:val="0"/>
                    <w:jc w:val="center"/>
                    <w:rPr>
                      <w:szCs w:val="21"/>
                    </w:rPr>
                  </w:pPr>
                  <w:r>
                    <w:rPr>
                      <w:szCs w:val="21"/>
                    </w:rPr>
                    <w:t>5.256</w:t>
                  </w:r>
                </w:p>
              </w:tc>
              <w:tc>
                <w:tcPr>
                  <w:tcW w:w="2093" w:type="pct"/>
                  <w:vAlign w:val="center"/>
                </w:tcPr>
                <w:p>
                  <w:pPr>
                    <w:widowControl/>
                    <w:jc w:val="center"/>
                    <w:rPr>
                      <w:szCs w:val="21"/>
                    </w:rPr>
                  </w:pPr>
                  <w:r>
                    <w:rPr>
                      <w:rFonts w:hint="eastAsia"/>
                      <w:bCs/>
                      <w:szCs w:val="21"/>
                    </w:rPr>
                    <w:t>骨灰在进行挑捡后由各逝者家属装进骨灰盒带走，葬入墓地或寄存于骨灰寄存楼</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火化炉遗留的灰渣</w:t>
                  </w:r>
                </w:p>
              </w:tc>
              <w:tc>
                <w:tcPr>
                  <w:tcW w:w="714" w:type="pct"/>
                  <w:vAlign w:val="center"/>
                </w:tcPr>
                <w:p>
                  <w:pPr>
                    <w:autoSpaceDE w:val="0"/>
                    <w:autoSpaceDN w:val="0"/>
                    <w:jc w:val="center"/>
                    <w:rPr>
                      <w:szCs w:val="21"/>
                    </w:rPr>
                  </w:pPr>
                  <w:r>
                    <w:rPr>
                      <w:rFonts w:hint="eastAsia"/>
                      <w:bCs/>
                      <w:szCs w:val="21"/>
                    </w:rPr>
                    <w:t>0.</w:t>
                  </w:r>
                  <w:r>
                    <w:rPr>
                      <w:bCs/>
                      <w:szCs w:val="21"/>
                    </w:rPr>
                    <w:t>219</w:t>
                  </w:r>
                </w:p>
              </w:tc>
              <w:tc>
                <w:tcPr>
                  <w:tcW w:w="2093" w:type="pct"/>
                  <w:vAlign w:val="center"/>
                </w:tcPr>
                <w:p>
                  <w:pPr>
                    <w:widowControl/>
                    <w:jc w:val="center"/>
                    <w:rPr>
                      <w:szCs w:val="21"/>
                    </w:rPr>
                  </w:pPr>
                  <w:r>
                    <w:rPr>
                      <w:rFonts w:hint="eastAsia" w:hAnsi="宋体"/>
                      <w:szCs w:val="21"/>
                    </w:rPr>
                    <w:t>火化炉遗留的灰渣</w:t>
                  </w:r>
                  <w:r>
                    <w:rPr>
                      <w:rFonts w:hint="eastAsia"/>
                      <w:szCs w:val="21"/>
                    </w:rPr>
                    <w:t>收集后与生活垃圾一起运至</w:t>
                  </w:r>
                  <w:r>
                    <w:rPr>
                      <w:rFonts w:hAnsi="宋体"/>
                      <w:szCs w:val="21"/>
                    </w:rPr>
                    <w:t>市政指定的地点外协处理</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遗物祭品焚烧灰渣</w:t>
                  </w:r>
                </w:p>
              </w:tc>
              <w:tc>
                <w:tcPr>
                  <w:tcW w:w="714" w:type="pct"/>
                  <w:vAlign w:val="center"/>
                </w:tcPr>
                <w:p>
                  <w:pPr>
                    <w:autoSpaceDE w:val="0"/>
                    <w:autoSpaceDN w:val="0"/>
                    <w:jc w:val="center"/>
                    <w:rPr>
                      <w:szCs w:val="21"/>
                    </w:rPr>
                  </w:pPr>
                  <w:r>
                    <w:rPr>
                      <w:rFonts w:hint="eastAsia"/>
                      <w:szCs w:val="21"/>
                    </w:rPr>
                    <w:t>9</w:t>
                  </w:r>
                  <w:r>
                    <w:rPr>
                      <w:szCs w:val="21"/>
                    </w:rPr>
                    <w:t>.636</w:t>
                  </w:r>
                </w:p>
              </w:tc>
              <w:tc>
                <w:tcPr>
                  <w:tcW w:w="2093" w:type="pct"/>
                  <w:vAlign w:val="center"/>
                </w:tcPr>
                <w:p>
                  <w:pPr>
                    <w:widowControl/>
                    <w:jc w:val="center"/>
                    <w:rPr>
                      <w:szCs w:val="21"/>
                    </w:rPr>
                  </w:pPr>
                  <w:r>
                    <w:rPr>
                      <w:rFonts w:hint="eastAsia" w:hAnsi="宋体"/>
                      <w:szCs w:val="21"/>
                    </w:rPr>
                    <w:t>遗物祭品焚烧灰渣</w:t>
                  </w:r>
                  <w:r>
                    <w:rPr>
                      <w:rFonts w:hint="eastAsia"/>
                      <w:szCs w:val="21"/>
                    </w:rPr>
                    <w:t>收集后与生活垃圾一起运至</w:t>
                  </w:r>
                  <w:r>
                    <w:rPr>
                      <w:rFonts w:hAnsi="宋体"/>
                      <w:szCs w:val="21"/>
                    </w:rPr>
                    <w:t>市政指定的地点外协处理</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污水处理设施污泥</w:t>
                  </w:r>
                </w:p>
              </w:tc>
              <w:tc>
                <w:tcPr>
                  <w:tcW w:w="714" w:type="pct"/>
                  <w:vAlign w:val="center"/>
                </w:tcPr>
                <w:p>
                  <w:pPr>
                    <w:autoSpaceDE w:val="0"/>
                    <w:autoSpaceDN w:val="0"/>
                    <w:jc w:val="center"/>
                    <w:rPr>
                      <w:szCs w:val="21"/>
                    </w:rPr>
                  </w:pPr>
                  <w:r>
                    <w:rPr>
                      <w:rFonts w:hint="eastAsia"/>
                      <w:szCs w:val="21"/>
                    </w:rPr>
                    <w:t>1</w:t>
                  </w:r>
                  <w:r>
                    <w:rPr>
                      <w:szCs w:val="21"/>
                    </w:rPr>
                    <w:t>.5</w:t>
                  </w:r>
                </w:p>
              </w:tc>
              <w:tc>
                <w:tcPr>
                  <w:tcW w:w="2093" w:type="pct"/>
                  <w:vAlign w:val="center"/>
                </w:tcPr>
                <w:p>
                  <w:pPr>
                    <w:widowControl/>
                    <w:jc w:val="center"/>
                    <w:rPr>
                      <w:szCs w:val="21"/>
                    </w:rPr>
                  </w:pPr>
                  <w:r>
                    <w:rPr>
                      <w:rFonts w:hint="eastAsia" w:hAnsi="宋体"/>
                      <w:szCs w:val="21"/>
                    </w:rPr>
                    <w:t>污水处理设施污泥采用消石灰干化后与</w:t>
                  </w:r>
                  <w:r>
                    <w:rPr>
                      <w:rFonts w:hint="eastAsia"/>
                      <w:szCs w:val="21"/>
                    </w:rPr>
                    <w:t>生活垃圾一起运至</w:t>
                  </w:r>
                  <w:r>
                    <w:rPr>
                      <w:rFonts w:hAnsi="宋体"/>
                      <w:szCs w:val="21"/>
                    </w:rPr>
                    <w:t>市政指定的地点外协处理</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焚烧飞灰（HW</w:t>
                  </w:r>
                  <w:r>
                    <w:rPr>
                      <w:rFonts w:hAnsi="宋体"/>
                      <w:szCs w:val="21"/>
                    </w:rPr>
                    <w:t>18</w:t>
                  </w:r>
                  <w:r>
                    <w:rPr>
                      <w:rFonts w:hint="eastAsia" w:hAnsi="宋体"/>
                      <w:szCs w:val="21"/>
                    </w:rPr>
                    <w:t>-</w:t>
                  </w:r>
                  <w:r>
                    <w:rPr>
                      <w:rFonts w:hAnsi="宋体"/>
                      <w:bCs/>
                      <w:szCs w:val="21"/>
                    </w:rPr>
                    <w:t>772-002-18</w:t>
                  </w:r>
                  <w:r>
                    <w:rPr>
                      <w:rFonts w:hint="eastAsia" w:hAnsi="宋体"/>
                      <w:szCs w:val="21"/>
                    </w:rPr>
                    <w:t>）</w:t>
                  </w:r>
                </w:p>
              </w:tc>
              <w:tc>
                <w:tcPr>
                  <w:tcW w:w="714" w:type="pct"/>
                  <w:vAlign w:val="center"/>
                </w:tcPr>
                <w:p>
                  <w:pPr>
                    <w:autoSpaceDE w:val="0"/>
                    <w:autoSpaceDN w:val="0"/>
                    <w:jc w:val="center"/>
                    <w:rPr>
                      <w:szCs w:val="21"/>
                    </w:rPr>
                  </w:pPr>
                  <w:r>
                    <w:rPr>
                      <w:rFonts w:hint="eastAsia"/>
                      <w:szCs w:val="21"/>
                    </w:rPr>
                    <w:t>5</w:t>
                  </w:r>
                  <w:r>
                    <w:rPr>
                      <w:szCs w:val="21"/>
                    </w:rPr>
                    <w:t>.256</w:t>
                  </w:r>
                </w:p>
              </w:tc>
              <w:tc>
                <w:tcPr>
                  <w:tcW w:w="2093" w:type="pct"/>
                  <w:vMerge w:val="restart"/>
                  <w:vAlign w:val="center"/>
                </w:tcPr>
                <w:p>
                  <w:pPr>
                    <w:autoSpaceDE w:val="0"/>
                    <w:autoSpaceDN w:val="0"/>
                    <w:jc w:val="center"/>
                    <w:rPr>
                      <w:rFonts w:hAnsi="宋体"/>
                      <w:szCs w:val="21"/>
                    </w:rPr>
                  </w:pPr>
                  <w:r>
                    <w:rPr>
                      <w:rFonts w:hint="eastAsia" w:hAnsi="宋体"/>
                      <w:szCs w:val="21"/>
                    </w:rPr>
                    <w:t>储存于特定容器中，暂存于危废库内，委托有相关处理资质的单位定期外协处置</w:t>
                  </w: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废脱硫粉（HW</w:t>
                  </w:r>
                  <w:r>
                    <w:rPr>
                      <w:rFonts w:hAnsi="宋体"/>
                      <w:szCs w:val="21"/>
                    </w:rPr>
                    <w:t>18</w:t>
                  </w:r>
                  <w:r>
                    <w:rPr>
                      <w:rFonts w:hint="eastAsia" w:hAnsi="宋体"/>
                      <w:szCs w:val="21"/>
                    </w:rPr>
                    <w:t>-772-005-18）</w:t>
                  </w:r>
                </w:p>
              </w:tc>
              <w:tc>
                <w:tcPr>
                  <w:tcW w:w="714" w:type="pct"/>
                  <w:vAlign w:val="center"/>
                </w:tcPr>
                <w:p>
                  <w:pPr>
                    <w:autoSpaceDE w:val="0"/>
                    <w:autoSpaceDN w:val="0"/>
                    <w:jc w:val="center"/>
                    <w:rPr>
                      <w:szCs w:val="21"/>
                    </w:rPr>
                  </w:pPr>
                  <w:r>
                    <w:rPr>
                      <w:rFonts w:hint="eastAsia"/>
                      <w:szCs w:val="21"/>
                    </w:rPr>
                    <w:t>1</w:t>
                  </w:r>
                  <w:r>
                    <w:rPr>
                      <w:szCs w:val="21"/>
                    </w:rPr>
                    <w:t>.752</w:t>
                  </w:r>
                </w:p>
              </w:tc>
              <w:tc>
                <w:tcPr>
                  <w:tcW w:w="2093" w:type="pct"/>
                  <w:vMerge w:val="continue"/>
                  <w:vAlign w:val="center"/>
                </w:tcPr>
                <w:p>
                  <w:pPr>
                    <w:autoSpaceDE w:val="0"/>
                    <w:autoSpaceDN w:val="0"/>
                    <w:jc w:val="center"/>
                    <w:rPr>
                      <w:rFonts w:hAnsi="宋体"/>
                      <w:szCs w:val="21"/>
                    </w:rPr>
                  </w:pP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rFonts w:hAnsi="宋体"/>
                      <w:szCs w:val="21"/>
                    </w:rPr>
                  </w:pPr>
                  <w:r>
                    <w:rPr>
                      <w:rFonts w:hint="eastAsia" w:hAnsi="宋体"/>
                      <w:szCs w:val="21"/>
                    </w:rPr>
                    <w:t>废活性炭（HW</w:t>
                  </w:r>
                  <w:r>
                    <w:rPr>
                      <w:rFonts w:hAnsi="宋体"/>
                      <w:szCs w:val="21"/>
                    </w:rPr>
                    <w:t>18</w:t>
                  </w:r>
                  <w:r>
                    <w:rPr>
                      <w:rFonts w:hint="eastAsia" w:hAnsi="宋体"/>
                      <w:szCs w:val="21"/>
                    </w:rPr>
                    <w:t>-772-005-18）</w:t>
                  </w:r>
                </w:p>
              </w:tc>
              <w:tc>
                <w:tcPr>
                  <w:tcW w:w="714" w:type="pct"/>
                  <w:vAlign w:val="center"/>
                </w:tcPr>
                <w:p>
                  <w:pPr>
                    <w:autoSpaceDE w:val="0"/>
                    <w:autoSpaceDN w:val="0"/>
                    <w:jc w:val="center"/>
                    <w:rPr>
                      <w:szCs w:val="21"/>
                    </w:rPr>
                  </w:pPr>
                  <w:r>
                    <w:rPr>
                      <w:rFonts w:hint="eastAsia"/>
                      <w:szCs w:val="21"/>
                    </w:rPr>
                    <w:t>2</w:t>
                  </w:r>
                  <w:r>
                    <w:rPr>
                      <w:szCs w:val="21"/>
                    </w:rPr>
                    <w:t>.64</w:t>
                  </w:r>
                </w:p>
              </w:tc>
              <w:tc>
                <w:tcPr>
                  <w:tcW w:w="2093" w:type="pct"/>
                  <w:vMerge w:val="continue"/>
                  <w:vAlign w:val="center"/>
                </w:tcPr>
                <w:p>
                  <w:pPr>
                    <w:autoSpaceDE w:val="0"/>
                    <w:autoSpaceDN w:val="0"/>
                    <w:jc w:val="center"/>
                    <w:rPr>
                      <w:rFonts w:hAnsi="宋体"/>
                      <w:szCs w:val="21"/>
                    </w:rPr>
                  </w:pPr>
                </w:p>
              </w:tc>
              <w:tc>
                <w:tcPr>
                  <w:tcW w:w="689" w:type="pct"/>
                  <w:vAlign w:val="center"/>
                </w:tcPr>
                <w:p>
                  <w:pPr>
                    <w:autoSpaceDE w:val="0"/>
                    <w:autoSpaceDN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504" w:type="pct"/>
                  <w:vAlign w:val="center"/>
                </w:tcPr>
                <w:p>
                  <w:pPr>
                    <w:autoSpaceDE w:val="0"/>
                    <w:autoSpaceDN w:val="0"/>
                    <w:jc w:val="center"/>
                    <w:rPr>
                      <w:szCs w:val="21"/>
                    </w:rPr>
                  </w:pPr>
                  <w:r>
                    <w:rPr>
                      <w:rFonts w:hAnsi="宋体"/>
                      <w:szCs w:val="21"/>
                    </w:rPr>
                    <w:t>生活垃圾</w:t>
                  </w:r>
                </w:p>
              </w:tc>
              <w:tc>
                <w:tcPr>
                  <w:tcW w:w="714" w:type="pct"/>
                  <w:vAlign w:val="center"/>
                </w:tcPr>
                <w:p>
                  <w:pPr>
                    <w:autoSpaceDE w:val="0"/>
                    <w:autoSpaceDN w:val="0"/>
                    <w:jc w:val="center"/>
                    <w:rPr>
                      <w:szCs w:val="21"/>
                    </w:rPr>
                  </w:pPr>
                  <w:r>
                    <w:rPr>
                      <w:rFonts w:hint="eastAsia"/>
                      <w:szCs w:val="21"/>
                    </w:rPr>
                    <w:t>1</w:t>
                  </w:r>
                  <w:r>
                    <w:rPr>
                      <w:szCs w:val="21"/>
                    </w:rPr>
                    <w:t>4.6</w:t>
                  </w:r>
                </w:p>
              </w:tc>
              <w:tc>
                <w:tcPr>
                  <w:tcW w:w="2093" w:type="pct"/>
                  <w:vAlign w:val="center"/>
                </w:tcPr>
                <w:p>
                  <w:pPr>
                    <w:autoSpaceDE w:val="0"/>
                    <w:autoSpaceDN w:val="0"/>
                    <w:jc w:val="center"/>
                    <w:rPr>
                      <w:szCs w:val="21"/>
                    </w:rPr>
                  </w:pPr>
                  <w:r>
                    <w:rPr>
                      <w:rFonts w:hAnsi="宋体"/>
                      <w:szCs w:val="21"/>
                    </w:rPr>
                    <w:t>设置垃圾筒，垃圾经收集后运至市政指定的地点外协处理</w:t>
                  </w:r>
                </w:p>
              </w:tc>
              <w:tc>
                <w:tcPr>
                  <w:tcW w:w="689" w:type="pct"/>
                  <w:vAlign w:val="center"/>
                </w:tcPr>
                <w:p>
                  <w:pPr>
                    <w:autoSpaceDE w:val="0"/>
                    <w:autoSpaceDN w:val="0"/>
                    <w:jc w:val="center"/>
                    <w:rPr>
                      <w:szCs w:val="21"/>
                    </w:rPr>
                  </w:pPr>
                  <w:r>
                    <w:rPr>
                      <w:szCs w:val="21"/>
                    </w:rPr>
                    <w:t>0</w:t>
                  </w:r>
                </w:p>
              </w:tc>
            </w:tr>
          </w:tbl>
          <w:p>
            <w:pPr>
              <w:adjustRightInd w:val="0"/>
              <w:snapToGrid w:val="0"/>
              <w:spacing w:line="480" w:lineRule="exact"/>
              <w:ind w:firstLine="480" w:firstLineChars="200"/>
              <w:rPr>
                <w:bCs/>
                <w:sz w:val="24"/>
              </w:rPr>
            </w:pPr>
            <w:r>
              <w:rPr>
                <w:rFonts w:hint="eastAsia"/>
                <w:bCs/>
                <w:sz w:val="24"/>
              </w:rPr>
              <w:t>综上所述，本项目所产生的固体废物均得到了综合利用或合理处置，对周围环境影响较小。</w:t>
            </w:r>
          </w:p>
          <w:p>
            <w:pPr>
              <w:adjustRightInd w:val="0"/>
              <w:snapToGrid w:val="0"/>
              <w:spacing w:line="480" w:lineRule="exact"/>
              <w:ind w:firstLine="482" w:firstLineChars="200"/>
              <w:rPr>
                <w:sz w:val="24"/>
              </w:rPr>
            </w:pPr>
            <w:r>
              <w:rPr>
                <w:b/>
                <w:bCs/>
                <w:sz w:val="24"/>
              </w:rPr>
              <w:t>4</w:t>
            </w:r>
            <w:r>
              <w:rPr>
                <w:rFonts w:hint="eastAsia"/>
                <w:b/>
                <w:bCs/>
                <w:sz w:val="24"/>
              </w:rPr>
              <w:t>、运营期</w:t>
            </w:r>
            <w:r>
              <w:rPr>
                <w:rFonts w:hint="eastAsia"/>
                <w:b/>
                <w:sz w:val="24"/>
              </w:rPr>
              <w:t>噪声源及污染防治措施</w:t>
            </w:r>
          </w:p>
          <w:p>
            <w:pPr>
              <w:adjustRightInd w:val="0"/>
              <w:snapToGrid w:val="0"/>
              <w:spacing w:line="480" w:lineRule="exact"/>
              <w:ind w:firstLine="482" w:firstLineChars="200"/>
              <w:rPr>
                <w:bCs/>
                <w:sz w:val="24"/>
              </w:rPr>
            </w:pPr>
            <w:r>
              <w:rPr>
                <w:rFonts w:hint="eastAsia"/>
                <w:b/>
                <w:sz w:val="24"/>
              </w:rPr>
              <w:t>（1）噪声源及污染防治措施</w:t>
            </w:r>
          </w:p>
          <w:p>
            <w:pPr>
              <w:adjustRightInd w:val="0"/>
              <w:snapToGrid w:val="0"/>
              <w:spacing w:line="480" w:lineRule="exact"/>
              <w:ind w:firstLine="480" w:firstLineChars="200"/>
              <w:rPr>
                <w:bCs/>
                <w:sz w:val="24"/>
              </w:rPr>
            </w:pPr>
            <w:r>
              <w:rPr>
                <w:rFonts w:hint="eastAsia"/>
                <w:bCs/>
                <w:sz w:val="24"/>
              </w:rPr>
              <w:t>本项目主要噪声源为火化机、焚烧炉的鼓、引风机，烟气处理设施引风机，冰柜制冷机运行噪声，悼念活动时高音喇叭、乐队奏乐以及人群哀悼等产生的噪声，以及交通噪声；这些噪声源强为70～</w:t>
            </w:r>
            <w:r>
              <w:rPr>
                <w:bCs/>
                <w:sz w:val="24"/>
              </w:rPr>
              <w:t>105</w:t>
            </w:r>
            <w:r>
              <w:rPr>
                <w:rFonts w:hint="eastAsia"/>
                <w:bCs/>
                <w:sz w:val="24"/>
              </w:rPr>
              <w:t>dB(A)。</w:t>
            </w:r>
            <w:r>
              <w:rPr>
                <w:rFonts w:hint="eastAsia" w:cs="宋体"/>
                <w:lang w:bidi="ar"/>
              </w:rPr>
              <w:t>营运期主要噪声源位置及源强见下表</w:t>
            </w:r>
            <w:r>
              <w:rPr>
                <w:lang w:bidi="ar"/>
              </w:rPr>
              <w:t>5-1</w:t>
            </w:r>
            <w:r>
              <w:rPr>
                <w:rFonts w:hint="eastAsia"/>
                <w:lang w:bidi="ar"/>
              </w:rPr>
              <w:t>4</w:t>
            </w:r>
            <w:r>
              <w:rPr>
                <w:rFonts w:hint="eastAsia" w:cs="宋体"/>
                <w:lang w:bidi="ar"/>
              </w:rPr>
              <w:t>。</w:t>
            </w:r>
          </w:p>
          <w:p>
            <w:pPr>
              <w:pStyle w:val="16"/>
              <w:widowControl w:val="0"/>
              <w:spacing w:before="0" w:beforeAutospacing="0" w:after="0" w:afterAutospacing="0" w:line="480" w:lineRule="exact"/>
              <w:jc w:val="center"/>
              <w:rPr>
                <w:rFonts w:ascii="黑体" w:hAnsi="黑体" w:eastAsia="黑体"/>
                <w:bCs/>
                <w:szCs w:val="24"/>
              </w:rPr>
            </w:pPr>
            <w:r>
              <w:rPr>
                <w:rFonts w:hint="eastAsia" w:ascii="黑体" w:hAnsi="黑体" w:eastAsia="黑体"/>
                <w:bCs/>
                <w:kern w:val="2"/>
                <w:szCs w:val="24"/>
                <w:lang w:bidi="ar"/>
              </w:rPr>
              <w:t>表</w:t>
            </w:r>
            <w:r>
              <w:rPr>
                <w:rFonts w:ascii="黑体" w:hAnsi="黑体" w:eastAsia="黑体"/>
                <w:bCs/>
                <w:kern w:val="2"/>
                <w:szCs w:val="24"/>
                <w:lang w:bidi="ar"/>
              </w:rPr>
              <w:t xml:space="preserve">5-16 </w:t>
            </w:r>
            <w:r>
              <w:rPr>
                <w:rFonts w:hint="eastAsia" w:ascii="黑体" w:hAnsi="黑体" w:eastAsia="黑体"/>
                <w:bCs/>
                <w:kern w:val="2"/>
                <w:szCs w:val="24"/>
                <w:lang w:bidi="ar"/>
              </w:rPr>
              <w:t>营运期主要噪声源及源强</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9"/>
              <w:gridCol w:w="3780"/>
              <w:gridCol w:w="1335"/>
              <w:gridCol w:w="2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序号</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噪声源</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噪声</w:t>
                  </w:r>
                  <w:r>
                    <w:rPr>
                      <w:rFonts w:ascii="Times New Roman" w:hAnsi="Times New Roman"/>
                      <w:sz w:val="21"/>
                      <w:szCs w:val="21"/>
                      <w:lang w:bidi="ar"/>
                    </w:rPr>
                    <w:t>dB(A)</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产生位置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ascii="Times New Roman" w:hAnsi="Times New Roman"/>
                      <w:sz w:val="21"/>
                      <w:szCs w:val="21"/>
                      <w:lang w:bidi="ar"/>
                    </w:rPr>
                    <w:t>1</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火化机、焚烧炉的鼓、引风机</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ascii="Times New Roman" w:hAnsi="Times New Roman"/>
                      <w:sz w:val="21"/>
                      <w:szCs w:val="21"/>
                      <w:lang w:bidi="ar"/>
                    </w:rPr>
                    <w:t>70-105</w:t>
                  </w:r>
                </w:p>
              </w:tc>
              <w:tc>
                <w:tcPr>
                  <w:tcW w:w="1422" w:type="pct"/>
                  <w:vMerge w:val="restart"/>
                  <w:tcBorders>
                    <w:top w:val="single" w:color="auto" w:sz="4" w:space="0"/>
                    <w:left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火化间、焚烧炉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rFonts w:ascii="Times New Roman" w:hAnsi="Times New Roman"/>
                      <w:sz w:val="21"/>
                      <w:szCs w:val="21"/>
                      <w:lang w:bidi="ar"/>
                    </w:rPr>
                  </w:pPr>
                  <w:r>
                    <w:rPr>
                      <w:rFonts w:hint="eastAsia" w:ascii="Times New Roman" w:hAnsi="Times New Roman"/>
                      <w:sz w:val="21"/>
                      <w:szCs w:val="21"/>
                      <w:lang w:bidi="ar"/>
                    </w:rPr>
                    <w:t>2</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rFonts w:ascii="Times New Roman" w:hAnsi="Times New Roman"/>
                      <w:sz w:val="21"/>
                      <w:szCs w:val="21"/>
                      <w:lang w:bidi="ar"/>
                    </w:rPr>
                  </w:pPr>
                  <w:r>
                    <w:rPr>
                      <w:rFonts w:hint="eastAsia" w:ascii="Times New Roman" w:hAnsi="Times New Roman"/>
                      <w:sz w:val="21"/>
                      <w:szCs w:val="21"/>
                      <w:lang w:bidi="ar"/>
                    </w:rPr>
                    <w:t>烟气处理设施</w:t>
                  </w:r>
                  <w:r>
                    <w:rPr>
                      <w:rFonts w:hint="eastAsia" w:ascii="Times New Roman" w:hAnsi="Times New Roman"/>
                      <w:bCs/>
                      <w:sz w:val="21"/>
                      <w:szCs w:val="21"/>
                      <w:lang w:bidi="ar"/>
                    </w:rPr>
                    <w:t>引风机</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rFonts w:ascii="Times New Roman" w:hAnsi="Times New Roman"/>
                      <w:sz w:val="21"/>
                      <w:szCs w:val="21"/>
                      <w:lang w:bidi="ar"/>
                    </w:rPr>
                  </w:pPr>
                  <w:r>
                    <w:rPr>
                      <w:rFonts w:ascii="Times New Roman" w:hAnsi="Times New Roman"/>
                      <w:sz w:val="21"/>
                      <w:szCs w:val="21"/>
                      <w:lang w:bidi="ar"/>
                    </w:rPr>
                    <w:t>75-105</w:t>
                  </w:r>
                </w:p>
              </w:tc>
              <w:tc>
                <w:tcPr>
                  <w:tcW w:w="1422" w:type="pct"/>
                  <w:vMerge w:val="continue"/>
                  <w:tcBorders>
                    <w:left w:val="single" w:color="auto" w:sz="4" w:space="0"/>
                    <w:bottom w:val="single" w:color="auto" w:sz="4" w:space="0"/>
                    <w:right w:val="single" w:color="auto" w:sz="4" w:space="0"/>
                  </w:tcBorders>
                  <w:vAlign w:val="center"/>
                </w:tcPr>
                <w:p>
                  <w:pPr>
                    <w:pStyle w:val="16"/>
                    <w:spacing w:before="0" w:beforeAutospacing="0" w:after="0" w:afterAutospacing="0"/>
                    <w:jc w:val="center"/>
                    <w:rPr>
                      <w:rFonts w:ascii="Times New Roman" w:hAnsi="Times New Roman"/>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3</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冰柜制冷机运行噪声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ascii="Times New Roman" w:hAnsi="Times New Roman"/>
                      <w:sz w:val="21"/>
                      <w:szCs w:val="21"/>
                      <w:lang w:bidi="ar"/>
                    </w:rPr>
                    <w:t>70-80</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遗体处置中心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4</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悼念活动时高音喇叭、乐队奏乐以及人群哀悼等产生的噪声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ascii="Times New Roman" w:hAnsi="Times New Roman"/>
                      <w:sz w:val="21"/>
                      <w:szCs w:val="21"/>
                      <w:lang w:bidi="ar"/>
                    </w:rPr>
                    <w:t>70-85</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sz w:val="21"/>
                      <w:szCs w:val="21"/>
                    </w:rPr>
                    <w:t>悼念区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5</w:t>
                  </w:r>
                </w:p>
              </w:tc>
              <w:tc>
                <w:tcPr>
                  <w:tcW w:w="2194"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ascii="Times New Roman" w:hAnsi="Times New Roman"/>
                      <w:sz w:val="21"/>
                      <w:szCs w:val="21"/>
                      <w:lang w:bidi="ar"/>
                    </w:rPr>
                    <w:t>交通噪声</w:t>
                  </w:r>
                </w:p>
              </w:tc>
              <w:tc>
                <w:tcPr>
                  <w:tcW w:w="775"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ascii="Times New Roman" w:hAnsi="Times New Roman"/>
                      <w:sz w:val="21"/>
                      <w:szCs w:val="21"/>
                      <w:lang w:bidi="ar"/>
                    </w:rPr>
                    <w:t>65-75</w:t>
                  </w:r>
                </w:p>
              </w:tc>
              <w:tc>
                <w:tcPr>
                  <w:tcW w:w="1422" w:type="pct"/>
                  <w:tcBorders>
                    <w:top w:val="single" w:color="auto" w:sz="4" w:space="0"/>
                    <w:left w:val="single" w:color="auto" w:sz="4" w:space="0"/>
                    <w:bottom w:val="single" w:color="auto" w:sz="4" w:space="0"/>
                    <w:right w:val="single" w:color="auto" w:sz="4" w:space="0"/>
                  </w:tcBorders>
                  <w:vAlign w:val="center"/>
                </w:tcPr>
                <w:p>
                  <w:pPr>
                    <w:pStyle w:val="16"/>
                    <w:spacing w:before="0" w:beforeAutospacing="0" w:after="0" w:afterAutospacing="0"/>
                    <w:jc w:val="center"/>
                    <w:rPr>
                      <w:sz w:val="21"/>
                      <w:szCs w:val="21"/>
                    </w:rPr>
                  </w:pPr>
                  <w:r>
                    <w:rPr>
                      <w:rFonts w:hint="eastAsia"/>
                      <w:sz w:val="21"/>
                      <w:szCs w:val="21"/>
                    </w:rPr>
                    <w:t>停车场</w:t>
                  </w:r>
                </w:p>
              </w:tc>
            </w:tr>
          </w:tbl>
          <w:p>
            <w:pPr>
              <w:adjustRightInd w:val="0"/>
              <w:snapToGrid w:val="0"/>
              <w:spacing w:line="480" w:lineRule="exact"/>
              <w:ind w:firstLine="480" w:firstLineChars="200"/>
              <w:rPr>
                <w:bCs/>
                <w:sz w:val="24"/>
              </w:rPr>
            </w:pPr>
            <w:r>
              <w:rPr>
                <w:rFonts w:hint="eastAsia"/>
                <w:bCs/>
                <w:sz w:val="24"/>
              </w:rPr>
              <w:t>对各类噪声源采取以下措施：</w:t>
            </w:r>
          </w:p>
          <w:p>
            <w:pPr>
              <w:adjustRightInd w:val="0"/>
              <w:snapToGrid w:val="0"/>
              <w:spacing w:line="480" w:lineRule="exact"/>
              <w:ind w:firstLine="480" w:firstLineChars="200"/>
              <w:rPr>
                <w:sz w:val="24"/>
              </w:rPr>
            </w:pPr>
            <w:r>
              <w:rPr>
                <w:rFonts w:hint="eastAsia"/>
                <w:sz w:val="24"/>
              </w:rPr>
              <w:t>①</w:t>
            </w:r>
            <w:r>
              <w:rPr>
                <w:rFonts w:hint="eastAsia"/>
                <w:bCs/>
                <w:sz w:val="24"/>
              </w:rPr>
              <w:t>在设备选型时，类比同行业先进设备，尽量选用噪声小的设备；</w:t>
            </w:r>
          </w:p>
          <w:p>
            <w:pPr>
              <w:adjustRightInd w:val="0"/>
              <w:snapToGrid w:val="0"/>
              <w:spacing w:line="480" w:lineRule="exact"/>
              <w:ind w:firstLine="480" w:firstLineChars="200"/>
              <w:rPr>
                <w:sz w:val="24"/>
              </w:rPr>
            </w:pPr>
            <w:r>
              <w:rPr>
                <w:rFonts w:hint="eastAsia"/>
                <w:sz w:val="24"/>
              </w:rPr>
              <w:t>②</w:t>
            </w:r>
            <w:r>
              <w:rPr>
                <w:rFonts w:hint="eastAsia"/>
                <w:bCs/>
                <w:sz w:val="24"/>
              </w:rPr>
              <w:t>各产躁设备进行基础减振，采取室内安装等措施；</w:t>
            </w:r>
          </w:p>
          <w:p>
            <w:pPr>
              <w:adjustRightInd w:val="0"/>
              <w:snapToGrid w:val="0"/>
              <w:spacing w:line="480" w:lineRule="exact"/>
              <w:ind w:firstLine="480" w:firstLineChars="200"/>
              <w:rPr>
                <w:sz w:val="24"/>
              </w:rPr>
            </w:pPr>
            <w:r>
              <w:rPr>
                <w:rFonts w:hint="eastAsia"/>
                <w:sz w:val="24"/>
              </w:rPr>
              <w:t>③</w:t>
            </w:r>
            <w:r>
              <w:rPr>
                <w:rFonts w:hint="eastAsia"/>
                <w:bCs/>
                <w:sz w:val="24"/>
              </w:rPr>
              <w:t>进入厂区的车辆要限速行驶，禁止鸣笛；</w:t>
            </w:r>
          </w:p>
          <w:p>
            <w:pPr>
              <w:adjustRightInd w:val="0"/>
              <w:snapToGrid w:val="0"/>
              <w:spacing w:line="480" w:lineRule="exact"/>
              <w:ind w:firstLine="480" w:firstLineChars="200"/>
              <w:rPr>
                <w:sz w:val="24"/>
              </w:rPr>
            </w:pPr>
            <w:r>
              <w:rPr>
                <w:rFonts w:hint="eastAsia"/>
                <w:sz w:val="24"/>
              </w:rPr>
              <w:t>④控制悼念活动时高音喇叭、乐队奏乐时的噪声级</w:t>
            </w:r>
            <w:r>
              <w:rPr>
                <w:rFonts w:hint="eastAsia"/>
                <w:bCs/>
                <w:sz w:val="24"/>
              </w:rPr>
              <w:t>。</w:t>
            </w:r>
          </w:p>
          <w:p>
            <w:pPr>
              <w:adjustRightInd w:val="0"/>
              <w:snapToGrid w:val="0"/>
              <w:spacing w:line="480" w:lineRule="exact"/>
              <w:ind w:firstLine="482" w:firstLineChars="200"/>
              <w:rPr>
                <w:sz w:val="24"/>
              </w:rPr>
            </w:pPr>
            <w:r>
              <w:rPr>
                <w:rFonts w:hint="eastAsia"/>
                <w:b/>
                <w:bCs/>
                <w:sz w:val="24"/>
              </w:rPr>
              <w:t>（2）</w:t>
            </w:r>
            <w:r>
              <w:rPr>
                <w:rFonts w:hint="eastAsia" w:hAnsi="宋体"/>
                <w:b/>
                <w:sz w:val="24"/>
                <w:szCs w:val="32"/>
              </w:rPr>
              <w:t>声环境影响预测与分析</w:t>
            </w:r>
          </w:p>
          <w:p>
            <w:pPr>
              <w:adjustRightInd w:val="0"/>
              <w:snapToGrid w:val="0"/>
              <w:spacing w:line="480" w:lineRule="exact"/>
              <w:ind w:firstLine="480" w:firstLineChars="200"/>
              <w:rPr>
                <w:bCs/>
                <w:sz w:val="24"/>
              </w:rPr>
            </w:pPr>
            <w:r>
              <w:rPr>
                <w:rFonts w:hint="eastAsia"/>
                <w:bCs/>
                <w:sz w:val="24"/>
              </w:rPr>
              <w:t>本次评价采用《环境影响评价技术导则—声环境》（</w:t>
            </w:r>
            <w:r>
              <w:rPr>
                <w:bCs/>
                <w:sz w:val="24"/>
              </w:rPr>
              <w:t>HJ/T2.4</w:t>
            </w:r>
            <w:r>
              <w:rPr>
                <w:rFonts w:hint="eastAsia"/>
                <w:bCs/>
                <w:sz w:val="24"/>
              </w:rPr>
              <w:t>—</w:t>
            </w:r>
            <w:r>
              <w:rPr>
                <w:bCs/>
                <w:sz w:val="24"/>
              </w:rPr>
              <w:t>2009</w:t>
            </w:r>
            <w:r>
              <w:rPr>
                <w:rFonts w:hint="eastAsia"/>
                <w:bCs/>
                <w:sz w:val="24"/>
              </w:rPr>
              <w:t>）中推荐的工业噪声预测计算模式，具体如下：</w:t>
            </w:r>
          </w:p>
          <w:p>
            <w:pPr>
              <w:adjustRightInd w:val="0"/>
              <w:snapToGrid w:val="0"/>
              <w:spacing w:line="480" w:lineRule="exact"/>
              <w:ind w:firstLine="480" w:firstLineChars="200"/>
              <w:rPr>
                <w:bCs/>
                <w:sz w:val="24"/>
              </w:rPr>
            </w:pPr>
            <w:r>
              <w:rPr>
                <w:rFonts w:hint="eastAsia"/>
                <w:bCs/>
                <w:sz w:val="24"/>
              </w:rPr>
              <w:t>①室外点声源在预测点产生的声级计算公式</w:t>
            </w:r>
          </w:p>
          <w:p>
            <w:pPr>
              <w:adjustRightInd w:val="0"/>
              <w:snapToGrid w:val="0"/>
              <w:spacing w:line="480" w:lineRule="exact"/>
              <w:ind w:firstLine="480" w:firstLineChars="200"/>
              <w:rPr>
                <w:bCs/>
                <w:sz w:val="24"/>
              </w:rPr>
            </w:pPr>
            <w:r>
              <w:rPr>
                <w:rFonts w:hint="eastAsia"/>
                <w:bCs/>
                <w:sz w:val="24"/>
              </w:rPr>
              <w:t>已知声源的倍频带声功率级，预测点位置的倍频带声压级</w:t>
            </w:r>
            <w:r>
              <w:rPr>
                <w:bCs/>
                <w:sz w:val="24"/>
              </w:rPr>
              <w:t>L</w:t>
            </w:r>
            <w:r>
              <w:rPr>
                <w:bCs/>
                <w:sz w:val="24"/>
                <w:vertAlign w:val="subscript"/>
              </w:rPr>
              <w:t>p</w:t>
            </w:r>
            <w:r>
              <w:rPr>
                <w:bCs/>
                <w:sz w:val="24"/>
              </w:rPr>
              <w:t>(r)</w:t>
            </w:r>
            <w:r>
              <w:rPr>
                <w:rFonts w:hint="eastAsia"/>
                <w:bCs/>
                <w:sz w:val="24"/>
              </w:rPr>
              <w:t>可按下式计算：</w:t>
            </w:r>
          </w:p>
          <w:p>
            <w:pPr>
              <w:adjustRightInd w:val="0"/>
              <w:snapToGrid w:val="0"/>
              <w:spacing w:line="480" w:lineRule="exact"/>
              <w:ind w:firstLine="480" w:firstLineChars="200"/>
              <w:rPr>
                <w:bCs/>
                <w:sz w:val="24"/>
              </w:rPr>
            </w:pPr>
            <w:r>
              <w:rPr>
                <w:bCs/>
                <w:sz w:val="24"/>
              </w:rPr>
              <w:t>L</w:t>
            </w:r>
            <w:r>
              <w:rPr>
                <w:bCs/>
                <w:sz w:val="24"/>
                <w:vertAlign w:val="subscript"/>
              </w:rPr>
              <w:t>p</w:t>
            </w:r>
            <w:r>
              <w:rPr>
                <w:bCs/>
                <w:sz w:val="24"/>
              </w:rPr>
              <w:t>(r)= L</w:t>
            </w:r>
            <w:r>
              <w:rPr>
                <w:bCs/>
                <w:sz w:val="24"/>
                <w:vertAlign w:val="subscript"/>
              </w:rPr>
              <w:t xml:space="preserve">w </w:t>
            </w:r>
            <w:r>
              <w:rPr>
                <w:bCs/>
                <w:sz w:val="24"/>
              </w:rPr>
              <w:t>+ D</w:t>
            </w:r>
            <w:r>
              <w:rPr>
                <w:bCs/>
                <w:sz w:val="24"/>
                <w:vertAlign w:val="subscript"/>
              </w:rPr>
              <w:t>c</w:t>
            </w:r>
            <w:r>
              <w:rPr>
                <w:rFonts w:hint="eastAsia"/>
                <w:bCs/>
                <w:sz w:val="24"/>
              </w:rPr>
              <w:t>－</w:t>
            </w:r>
            <w:r>
              <w:rPr>
                <w:bCs/>
                <w:sz w:val="24"/>
              </w:rPr>
              <w:t>(A</w:t>
            </w:r>
            <w:r>
              <w:rPr>
                <w:bCs/>
                <w:sz w:val="24"/>
                <w:vertAlign w:val="subscript"/>
              </w:rPr>
              <w:t>div</w:t>
            </w:r>
            <w:r>
              <w:rPr>
                <w:bCs/>
                <w:sz w:val="24"/>
              </w:rPr>
              <w:t>+A</w:t>
            </w:r>
            <w:r>
              <w:rPr>
                <w:bCs/>
                <w:sz w:val="24"/>
                <w:vertAlign w:val="subscript"/>
              </w:rPr>
              <w:t>atm</w:t>
            </w:r>
            <w:r>
              <w:rPr>
                <w:bCs/>
                <w:sz w:val="24"/>
              </w:rPr>
              <w:t>+A</w:t>
            </w:r>
            <w:r>
              <w:rPr>
                <w:bCs/>
                <w:sz w:val="24"/>
                <w:vertAlign w:val="subscript"/>
              </w:rPr>
              <w:t>gr</w:t>
            </w:r>
            <w:r>
              <w:rPr>
                <w:bCs/>
                <w:sz w:val="24"/>
              </w:rPr>
              <w:t>+A</w:t>
            </w:r>
            <w:r>
              <w:rPr>
                <w:bCs/>
                <w:sz w:val="24"/>
                <w:vertAlign w:val="subscript"/>
              </w:rPr>
              <w:t>bar</w:t>
            </w:r>
            <w:r>
              <w:rPr>
                <w:bCs/>
                <w:sz w:val="24"/>
              </w:rPr>
              <w:t>+A</w:t>
            </w:r>
            <w:r>
              <w:rPr>
                <w:bCs/>
                <w:sz w:val="24"/>
                <w:vertAlign w:val="subscript"/>
              </w:rPr>
              <w:t>misc</w:t>
            </w:r>
            <w:r>
              <w:rPr>
                <w:bCs/>
                <w:sz w:val="24"/>
              </w:rPr>
              <w:t>)</w:t>
            </w:r>
          </w:p>
          <w:p>
            <w:pPr>
              <w:adjustRightInd w:val="0"/>
              <w:snapToGrid w:val="0"/>
              <w:spacing w:line="480" w:lineRule="exact"/>
              <w:ind w:firstLine="480" w:firstLineChars="200"/>
              <w:rPr>
                <w:bCs/>
                <w:sz w:val="24"/>
              </w:rPr>
            </w:pPr>
            <w:r>
              <w:rPr>
                <w:bCs/>
                <w:sz w:val="24"/>
              </w:rPr>
              <w:t>A</w:t>
            </w:r>
            <w:r>
              <w:rPr>
                <w:bCs/>
                <w:sz w:val="24"/>
                <w:vertAlign w:val="subscript"/>
              </w:rPr>
              <w:t>div</w:t>
            </w:r>
            <w:r>
              <w:rPr>
                <w:rFonts w:hint="eastAsia"/>
                <w:bCs/>
                <w:sz w:val="24"/>
              </w:rPr>
              <w:t>——几何发散引起的倍频带衰减，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atm</w:t>
            </w:r>
            <w:r>
              <w:rPr>
                <w:rFonts w:hint="eastAsia"/>
                <w:bCs/>
                <w:sz w:val="24"/>
              </w:rPr>
              <w:t>——大气吸收引起的倍频带衰减，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g</w:t>
            </w:r>
            <w:r>
              <w:rPr>
                <w:rFonts w:hint="eastAsia"/>
                <w:bCs/>
                <w:sz w:val="24"/>
              </w:rPr>
              <w:t>——地面效应引起的倍频带衰减，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bar</w:t>
            </w:r>
            <w:r>
              <w:rPr>
                <w:rFonts w:hint="eastAsia"/>
                <w:bCs/>
                <w:sz w:val="24"/>
              </w:rPr>
              <w:t>——声屏障引起的倍频带衰减，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bCs/>
                <w:sz w:val="24"/>
              </w:rPr>
              <w:t>A</w:t>
            </w:r>
            <w:r>
              <w:rPr>
                <w:bCs/>
                <w:sz w:val="24"/>
                <w:vertAlign w:val="subscript"/>
              </w:rPr>
              <w:t>misc</w:t>
            </w:r>
            <w:r>
              <w:rPr>
                <w:rFonts w:hint="eastAsia"/>
                <w:bCs/>
                <w:sz w:val="24"/>
              </w:rPr>
              <w:t>——其他多方面效应引起的倍频带衰减，</w:t>
            </w:r>
            <w:r>
              <w:rPr>
                <w:bCs/>
                <w:sz w:val="24"/>
              </w:rPr>
              <w:t>dB</w:t>
            </w:r>
            <w:r>
              <w:rPr>
                <w:rFonts w:hint="eastAsia"/>
                <w:bCs/>
                <w:sz w:val="24"/>
              </w:rPr>
              <w:t>；</w:t>
            </w:r>
          </w:p>
          <w:p>
            <w:pPr>
              <w:adjustRightInd w:val="0"/>
              <w:snapToGrid w:val="0"/>
              <w:spacing w:line="480" w:lineRule="exact"/>
              <w:ind w:firstLine="480" w:firstLineChars="200"/>
              <w:rPr>
                <w:bCs/>
                <w:sz w:val="24"/>
              </w:rPr>
            </w:pPr>
            <w:r>
              <w:rPr>
                <w:rFonts w:hint="eastAsia"/>
                <w:bCs/>
                <w:sz w:val="24"/>
              </w:rPr>
              <w:t>预测点的</w:t>
            </w:r>
            <w:r>
              <w:rPr>
                <w:bCs/>
                <w:sz w:val="24"/>
              </w:rPr>
              <w:t>A</w:t>
            </w:r>
            <w:r>
              <w:rPr>
                <w:rFonts w:hint="eastAsia"/>
                <w:bCs/>
                <w:sz w:val="24"/>
              </w:rPr>
              <w:t>声级</w:t>
            </w:r>
            <w:r>
              <w:rPr>
                <w:bCs/>
                <w:sz w:val="24"/>
              </w:rPr>
              <w:t>L</w:t>
            </w:r>
            <w:r>
              <w:rPr>
                <w:bCs/>
                <w:sz w:val="24"/>
                <w:vertAlign w:val="subscript"/>
              </w:rPr>
              <w:t>A</w:t>
            </w:r>
            <w:r>
              <w:rPr>
                <w:bCs/>
                <w:sz w:val="24"/>
              </w:rPr>
              <w:t>(r)</w:t>
            </w:r>
            <w:r>
              <w:rPr>
                <w:rFonts w:hint="eastAsia"/>
                <w:bCs/>
                <w:sz w:val="24"/>
              </w:rPr>
              <w:t>可利用</w:t>
            </w:r>
            <w:r>
              <w:rPr>
                <w:bCs/>
                <w:sz w:val="24"/>
              </w:rPr>
              <w:t>8</w:t>
            </w:r>
            <w:r>
              <w:rPr>
                <w:rFonts w:hint="eastAsia"/>
                <w:bCs/>
                <w:sz w:val="24"/>
              </w:rPr>
              <w:t>个倍频带的声压级按下式计算：</w:t>
            </w:r>
          </w:p>
          <w:p>
            <w:pPr>
              <w:adjustRightInd w:val="0"/>
              <w:snapToGrid w:val="0"/>
              <w:spacing w:line="480" w:lineRule="exact"/>
              <w:ind w:firstLine="480" w:firstLineChars="200"/>
              <w:rPr>
                <w:bCs/>
                <w:sz w:val="24"/>
              </w:rPr>
            </w:pPr>
            <w:r>
              <w:rPr>
                <w:bCs/>
                <w:sz w:val="24"/>
              </w:rPr>
              <w:t>L</w:t>
            </w:r>
            <w:r>
              <w:rPr>
                <w:bCs/>
                <w:sz w:val="24"/>
                <w:vertAlign w:val="subscript"/>
              </w:rPr>
              <w:t>A</w:t>
            </w:r>
            <w:r>
              <w:rPr>
                <w:bCs/>
                <w:sz w:val="24"/>
              </w:rPr>
              <w:t>(r)=10lg</w:t>
            </w:r>
            <w:r>
              <w:rPr>
                <w:rFonts w:hint="eastAsia"/>
                <w:bCs/>
                <w:sz w:val="24"/>
              </w:rPr>
              <w:t>（∑</w:t>
            </w:r>
            <w:r>
              <w:rPr>
                <w:bCs/>
                <w:sz w:val="24"/>
              </w:rPr>
              <w:t>10</w:t>
            </w:r>
            <w:r>
              <w:rPr>
                <w:bCs/>
                <w:sz w:val="24"/>
                <w:vertAlign w:val="superscript"/>
              </w:rPr>
              <w:t>0.1Lpi(r)-</w:t>
            </w:r>
            <w:r>
              <w:rPr>
                <w:bCs/>
                <w:sz w:val="24"/>
              </w:rPr>
              <w:t xml:space="preserve"> </w:t>
            </w:r>
            <w:r>
              <w:rPr>
                <w:rFonts w:hint="eastAsia" w:ascii="微软雅黑" w:hAnsi="微软雅黑" w:eastAsia="微软雅黑" w:cs="微软雅黑"/>
                <w:bCs/>
                <w:sz w:val="24"/>
                <w:vertAlign w:val="superscript"/>
              </w:rPr>
              <w:t>∆</w:t>
            </w:r>
            <w:r>
              <w:rPr>
                <w:bCs/>
                <w:sz w:val="24"/>
                <w:vertAlign w:val="superscript"/>
              </w:rPr>
              <w:t>Li</w:t>
            </w:r>
            <w:r>
              <w:rPr>
                <w:rFonts w:hint="eastAsia"/>
                <w:bCs/>
                <w:sz w:val="24"/>
              </w:rPr>
              <w:t>）</w:t>
            </w:r>
          </w:p>
          <w:p>
            <w:pPr>
              <w:adjustRightInd w:val="0"/>
              <w:snapToGrid w:val="0"/>
              <w:spacing w:line="480" w:lineRule="exact"/>
              <w:ind w:firstLine="480" w:firstLineChars="200"/>
              <w:rPr>
                <w:bCs/>
                <w:sz w:val="24"/>
              </w:rPr>
            </w:pPr>
            <w:r>
              <w:rPr>
                <w:rFonts w:hint="eastAsia"/>
                <w:bCs/>
                <w:sz w:val="24"/>
              </w:rPr>
              <w:t>③噪声贡献值计算</w:t>
            </w:r>
          </w:p>
          <w:p>
            <w:pPr>
              <w:adjustRightInd w:val="0"/>
              <w:snapToGrid w:val="0"/>
              <w:spacing w:line="480" w:lineRule="exact"/>
              <w:ind w:firstLine="480" w:firstLineChars="200"/>
              <w:rPr>
                <w:bCs/>
                <w:sz w:val="24"/>
              </w:rPr>
            </w:pPr>
            <w:r>
              <w:rPr>
                <w:rFonts w:hint="eastAsia"/>
                <w:bCs/>
                <w:sz w:val="24"/>
              </w:rPr>
              <w:t>设第</w:t>
            </w:r>
            <w:r>
              <w:rPr>
                <w:bCs/>
                <w:sz w:val="24"/>
              </w:rPr>
              <w:t>i</w:t>
            </w:r>
            <w:r>
              <w:rPr>
                <w:rFonts w:hint="eastAsia"/>
                <w:bCs/>
                <w:sz w:val="24"/>
              </w:rPr>
              <w:t>个室外声源在预测点产生的</w:t>
            </w:r>
            <w:r>
              <w:rPr>
                <w:bCs/>
                <w:sz w:val="24"/>
              </w:rPr>
              <w:t>A</w:t>
            </w:r>
            <w:r>
              <w:rPr>
                <w:rFonts w:hint="eastAsia"/>
                <w:bCs/>
                <w:sz w:val="24"/>
              </w:rPr>
              <w:t>声级为</w:t>
            </w:r>
            <w:r>
              <w:rPr>
                <w:bCs/>
                <w:sz w:val="24"/>
              </w:rPr>
              <w:t>L</w:t>
            </w:r>
            <w:r>
              <w:rPr>
                <w:bCs/>
                <w:sz w:val="24"/>
                <w:vertAlign w:val="subscript"/>
              </w:rPr>
              <w:t>Ai</w:t>
            </w:r>
            <w:r>
              <w:rPr>
                <w:rFonts w:hint="eastAsia"/>
                <w:bCs/>
                <w:sz w:val="24"/>
              </w:rPr>
              <w:t>，在</w:t>
            </w:r>
            <w:r>
              <w:rPr>
                <w:bCs/>
                <w:sz w:val="24"/>
              </w:rPr>
              <w:t>T</w:t>
            </w:r>
            <w:r>
              <w:rPr>
                <w:rFonts w:hint="eastAsia"/>
                <w:bCs/>
                <w:sz w:val="24"/>
              </w:rPr>
              <w:t>时间内该声源工作时间为</w:t>
            </w:r>
            <w:r>
              <w:rPr>
                <w:bCs/>
                <w:sz w:val="24"/>
              </w:rPr>
              <w:t>t</w:t>
            </w:r>
            <w:r>
              <w:rPr>
                <w:bCs/>
                <w:sz w:val="24"/>
                <w:vertAlign w:val="subscript"/>
              </w:rPr>
              <w:t>i</w:t>
            </w:r>
            <w:r>
              <w:rPr>
                <w:rFonts w:hint="eastAsia"/>
                <w:bCs/>
                <w:sz w:val="24"/>
              </w:rPr>
              <w:t>；第</w:t>
            </w:r>
            <w:r>
              <w:rPr>
                <w:bCs/>
                <w:sz w:val="24"/>
              </w:rPr>
              <w:t>j</w:t>
            </w:r>
            <w:r>
              <w:rPr>
                <w:rFonts w:hint="eastAsia"/>
                <w:bCs/>
                <w:sz w:val="24"/>
              </w:rPr>
              <w:t>个等效室外声源在预测点产生的</w:t>
            </w:r>
            <w:r>
              <w:rPr>
                <w:bCs/>
                <w:sz w:val="24"/>
              </w:rPr>
              <w:t>A</w:t>
            </w:r>
            <w:r>
              <w:rPr>
                <w:rFonts w:hint="eastAsia"/>
                <w:bCs/>
                <w:sz w:val="24"/>
              </w:rPr>
              <w:t>声级为</w:t>
            </w:r>
            <w:r>
              <w:rPr>
                <w:bCs/>
                <w:sz w:val="24"/>
              </w:rPr>
              <w:t>L</w:t>
            </w:r>
            <w:r>
              <w:rPr>
                <w:bCs/>
                <w:sz w:val="24"/>
                <w:vertAlign w:val="subscript"/>
              </w:rPr>
              <w:t>Aj</w:t>
            </w:r>
            <w:r>
              <w:rPr>
                <w:rFonts w:hint="eastAsia"/>
                <w:bCs/>
                <w:sz w:val="24"/>
              </w:rPr>
              <w:t>，在</w:t>
            </w:r>
            <w:r>
              <w:rPr>
                <w:bCs/>
                <w:sz w:val="24"/>
              </w:rPr>
              <w:t>T</w:t>
            </w:r>
            <w:r>
              <w:rPr>
                <w:rFonts w:hint="eastAsia"/>
                <w:bCs/>
                <w:sz w:val="24"/>
              </w:rPr>
              <w:t>时间内该声源工作时间为</w:t>
            </w:r>
            <w:r>
              <w:rPr>
                <w:bCs/>
                <w:sz w:val="24"/>
              </w:rPr>
              <w:t>t</w:t>
            </w:r>
            <w:r>
              <w:rPr>
                <w:bCs/>
                <w:sz w:val="24"/>
                <w:vertAlign w:val="subscript"/>
              </w:rPr>
              <w:t>j</w:t>
            </w:r>
            <w:r>
              <w:rPr>
                <w:rFonts w:hint="eastAsia"/>
                <w:bCs/>
                <w:sz w:val="24"/>
              </w:rPr>
              <w:t>，则拟建工程声源对预测点产生的贡献值（</w:t>
            </w:r>
            <w:r>
              <w:rPr>
                <w:bCs/>
                <w:sz w:val="24"/>
              </w:rPr>
              <w:t>L</w:t>
            </w:r>
            <w:r>
              <w:rPr>
                <w:bCs/>
                <w:sz w:val="24"/>
                <w:vertAlign w:val="subscript"/>
              </w:rPr>
              <w:t>eqg</w:t>
            </w:r>
            <w:r>
              <w:rPr>
                <w:rFonts w:hint="eastAsia"/>
                <w:bCs/>
                <w:sz w:val="24"/>
              </w:rPr>
              <w:t>）为：</w:t>
            </w:r>
          </w:p>
          <w:p>
            <w:pPr>
              <w:adjustRightInd w:val="0"/>
              <w:snapToGrid w:val="0"/>
              <w:spacing w:line="480" w:lineRule="exact"/>
              <w:ind w:firstLine="480" w:firstLineChars="200"/>
              <w:rPr>
                <w:bCs/>
                <w:sz w:val="24"/>
              </w:rPr>
            </w:pPr>
            <w:r>
              <w:rPr>
                <w:bCs/>
                <w:sz w:val="24"/>
              </w:rPr>
              <w:t>L</w:t>
            </w:r>
            <w:r>
              <w:rPr>
                <w:bCs/>
                <w:sz w:val="24"/>
                <w:vertAlign w:val="subscript"/>
              </w:rPr>
              <w:t>eqg</w:t>
            </w:r>
            <w:r>
              <w:rPr>
                <w:bCs/>
                <w:sz w:val="24"/>
              </w:rPr>
              <w:t>=10lg[1/T</w:t>
            </w:r>
            <w:r>
              <w:rPr>
                <w:rFonts w:hint="eastAsia"/>
                <w:bCs/>
                <w:sz w:val="24"/>
              </w:rPr>
              <w:t>（∑</w:t>
            </w:r>
            <w:r>
              <w:rPr>
                <w:bCs/>
                <w:sz w:val="24"/>
              </w:rPr>
              <w:t>t</w:t>
            </w:r>
            <w:r>
              <w:rPr>
                <w:bCs/>
                <w:sz w:val="24"/>
                <w:vertAlign w:val="subscript"/>
              </w:rPr>
              <w:t>i</w:t>
            </w:r>
            <w:r>
              <w:rPr>
                <w:bCs/>
                <w:sz w:val="24"/>
              </w:rPr>
              <w:t>10</w:t>
            </w:r>
            <w:r>
              <w:rPr>
                <w:bCs/>
                <w:sz w:val="24"/>
                <w:vertAlign w:val="superscript"/>
              </w:rPr>
              <w:t>0.1LAi</w:t>
            </w:r>
            <w:r>
              <w:rPr>
                <w:bCs/>
                <w:sz w:val="24"/>
              </w:rPr>
              <w:t>+</w:t>
            </w:r>
            <w:r>
              <w:rPr>
                <w:rFonts w:hint="eastAsia"/>
                <w:bCs/>
                <w:sz w:val="24"/>
              </w:rPr>
              <w:t>∑</w:t>
            </w:r>
            <w:r>
              <w:rPr>
                <w:bCs/>
                <w:sz w:val="24"/>
              </w:rPr>
              <w:t>t</w:t>
            </w:r>
            <w:r>
              <w:rPr>
                <w:bCs/>
                <w:sz w:val="24"/>
                <w:vertAlign w:val="subscript"/>
              </w:rPr>
              <w:t>j</w:t>
            </w:r>
            <w:r>
              <w:rPr>
                <w:bCs/>
                <w:sz w:val="24"/>
              </w:rPr>
              <w:t>10</w:t>
            </w:r>
            <w:r>
              <w:rPr>
                <w:bCs/>
                <w:sz w:val="24"/>
                <w:vertAlign w:val="superscript"/>
              </w:rPr>
              <w:t>0.1LAj</w:t>
            </w:r>
            <w:r>
              <w:rPr>
                <w:rFonts w:hint="eastAsia"/>
                <w:bCs/>
                <w:sz w:val="24"/>
              </w:rPr>
              <w:t>）</w:t>
            </w:r>
            <w:r>
              <w:rPr>
                <w:bCs/>
                <w:sz w:val="24"/>
              </w:rPr>
              <w:t>]</w:t>
            </w:r>
          </w:p>
          <w:p>
            <w:pPr>
              <w:adjustRightInd w:val="0"/>
              <w:snapToGrid w:val="0"/>
              <w:spacing w:line="480" w:lineRule="exact"/>
              <w:ind w:firstLine="480" w:firstLineChars="200"/>
              <w:rPr>
                <w:bCs/>
                <w:sz w:val="24"/>
              </w:rPr>
            </w:pPr>
            <w:r>
              <w:rPr>
                <w:rFonts w:hint="eastAsia"/>
                <w:bCs/>
                <w:sz w:val="24"/>
              </w:rPr>
              <w:t>式中：</w:t>
            </w:r>
            <w:r>
              <w:rPr>
                <w:bCs/>
                <w:sz w:val="24"/>
              </w:rPr>
              <w:t>t</w:t>
            </w:r>
            <w:r>
              <w:rPr>
                <w:bCs/>
                <w:sz w:val="24"/>
                <w:vertAlign w:val="subscript"/>
              </w:rPr>
              <w:t>j</w:t>
            </w:r>
            <w:r>
              <w:rPr>
                <w:rFonts w:hint="eastAsia"/>
                <w:bCs/>
                <w:sz w:val="24"/>
              </w:rPr>
              <w:t>——在</w:t>
            </w:r>
            <w:r>
              <w:rPr>
                <w:bCs/>
                <w:sz w:val="24"/>
              </w:rPr>
              <w:t>T</w:t>
            </w:r>
            <w:r>
              <w:rPr>
                <w:rFonts w:hint="eastAsia"/>
                <w:bCs/>
                <w:sz w:val="24"/>
              </w:rPr>
              <w:t>时间内</w:t>
            </w:r>
            <w:r>
              <w:rPr>
                <w:bCs/>
                <w:sz w:val="24"/>
              </w:rPr>
              <w:t>j</w:t>
            </w:r>
            <w:r>
              <w:rPr>
                <w:rFonts w:hint="eastAsia"/>
                <w:bCs/>
                <w:sz w:val="24"/>
              </w:rPr>
              <w:t>声源工作时间，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t</w:t>
            </w:r>
            <w:r>
              <w:rPr>
                <w:bCs/>
                <w:sz w:val="24"/>
                <w:vertAlign w:val="subscript"/>
              </w:rPr>
              <w:t>i</w:t>
            </w:r>
            <w:r>
              <w:rPr>
                <w:rFonts w:hint="eastAsia"/>
                <w:bCs/>
                <w:sz w:val="24"/>
              </w:rPr>
              <w:t>——在</w:t>
            </w:r>
            <w:r>
              <w:rPr>
                <w:bCs/>
                <w:sz w:val="24"/>
              </w:rPr>
              <w:t>T</w:t>
            </w:r>
            <w:r>
              <w:rPr>
                <w:rFonts w:hint="eastAsia"/>
                <w:bCs/>
                <w:sz w:val="24"/>
              </w:rPr>
              <w:t>时间内</w:t>
            </w:r>
            <w:r>
              <w:rPr>
                <w:bCs/>
                <w:sz w:val="24"/>
              </w:rPr>
              <w:t>i</w:t>
            </w:r>
            <w:r>
              <w:rPr>
                <w:rFonts w:hint="eastAsia"/>
                <w:bCs/>
                <w:sz w:val="24"/>
              </w:rPr>
              <w:t>声源工作时间，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T</w:t>
            </w:r>
            <w:r>
              <w:rPr>
                <w:rFonts w:hint="eastAsia"/>
                <w:bCs/>
                <w:sz w:val="24"/>
              </w:rPr>
              <w:t>——用于计算等效声级的时间，</w:t>
            </w:r>
            <w:r>
              <w:rPr>
                <w:bCs/>
                <w:sz w:val="24"/>
              </w:rPr>
              <w:t>s</w:t>
            </w:r>
            <w:r>
              <w:rPr>
                <w:rFonts w:hint="eastAsia"/>
                <w:bCs/>
                <w:sz w:val="24"/>
              </w:rPr>
              <w:t>；</w:t>
            </w:r>
          </w:p>
          <w:p>
            <w:pPr>
              <w:adjustRightInd w:val="0"/>
              <w:snapToGrid w:val="0"/>
              <w:spacing w:line="480" w:lineRule="exact"/>
              <w:ind w:firstLine="480" w:firstLineChars="200"/>
              <w:rPr>
                <w:bCs/>
                <w:sz w:val="24"/>
              </w:rPr>
            </w:pPr>
            <w:r>
              <w:rPr>
                <w:bCs/>
                <w:sz w:val="24"/>
              </w:rPr>
              <w:t xml:space="preserve">      N</w:t>
            </w:r>
            <w:r>
              <w:rPr>
                <w:rFonts w:hint="eastAsia"/>
                <w:bCs/>
                <w:sz w:val="24"/>
              </w:rPr>
              <w:t>——室外声源个数；</w:t>
            </w:r>
          </w:p>
          <w:p>
            <w:pPr>
              <w:adjustRightInd w:val="0"/>
              <w:snapToGrid w:val="0"/>
              <w:spacing w:line="480" w:lineRule="exact"/>
              <w:ind w:firstLine="480" w:firstLineChars="200"/>
              <w:rPr>
                <w:bCs/>
                <w:sz w:val="24"/>
              </w:rPr>
            </w:pPr>
            <w:r>
              <w:rPr>
                <w:bCs/>
                <w:sz w:val="24"/>
              </w:rPr>
              <w:t xml:space="preserve">      M</w:t>
            </w:r>
            <w:r>
              <w:rPr>
                <w:rFonts w:hint="eastAsia"/>
                <w:bCs/>
                <w:sz w:val="24"/>
              </w:rPr>
              <w:t>——等效室外声源个数。</w:t>
            </w:r>
          </w:p>
          <w:p>
            <w:pPr>
              <w:adjustRightInd w:val="0"/>
              <w:snapToGrid w:val="0"/>
              <w:spacing w:line="480" w:lineRule="exact"/>
              <w:ind w:firstLine="480" w:firstLineChars="200"/>
              <w:rPr>
                <w:bCs/>
                <w:sz w:val="24"/>
              </w:rPr>
            </w:pPr>
            <w:r>
              <w:rPr>
                <w:rFonts w:hint="eastAsia"/>
                <w:bCs/>
                <w:sz w:val="24"/>
              </w:rPr>
              <w:t>根据本项目工程噪声源的分布，对厂区四周边界噪声排放量进行了预测计算，预测结果见下表。</w:t>
            </w: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spacing w:line="480" w:lineRule="exact"/>
              <w:ind w:firstLine="480" w:firstLineChars="200"/>
              <w:rPr>
                <w:bCs/>
                <w:sz w:val="24"/>
              </w:rPr>
            </w:pPr>
          </w:p>
          <w:p>
            <w:pPr>
              <w:adjustRightInd w:val="0"/>
              <w:snapToGrid w:val="0"/>
              <w:jc w:val="center"/>
              <w:rPr>
                <w:bCs/>
                <w:sz w:val="24"/>
              </w:rPr>
            </w:pPr>
            <w:r>
              <w:drawing>
                <wp:inline distT="0" distB="0" distL="0" distR="0">
                  <wp:extent cx="5330825" cy="791464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rcRect l="21497" t="2567" r="9382" b="7176"/>
                          <a:stretch>
                            <a:fillRect/>
                          </a:stretch>
                        </pic:blipFill>
                        <pic:spPr>
                          <a:xfrm>
                            <a:off x="0" y="0"/>
                            <a:ext cx="5346385" cy="7937530"/>
                          </a:xfrm>
                          <a:prstGeom prst="rect">
                            <a:avLst/>
                          </a:prstGeom>
                          <a:ln>
                            <a:noFill/>
                          </a:ln>
                        </pic:spPr>
                      </pic:pic>
                    </a:graphicData>
                  </a:graphic>
                </wp:inline>
              </w:drawing>
            </w:r>
          </w:p>
          <w:p>
            <w:pPr>
              <w:adjustRightInd w:val="0"/>
              <w:snapToGrid w:val="0"/>
              <w:spacing w:line="480" w:lineRule="exact"/>
              <w:jc w:val="center"/>
              <w:rPr>
                <w:rFonts w:ascii="黑体" w:hAnsi="黑体" w:eastAsia="黑体"/>
                <w:sz w:val="24"/>
              </w:rPr>
            </w:pPr>
            <w:r>
              <w:rPr>
                <w:rFonts w:hint="eastAsia" w:ascii="黑体" w:hAnsi="黑体" w:eastAsia="黑体"/>
                <w:sz w:val="24"/>
              </w:rPr>
              <w:t>图4</w:t>
            </w:r>
            <w:r>
              <w:rPr>
                <w:rFonts w:ascii="黑体" w:hAnsi="黑体" w:eastAsia="黑体"/>
                <w:sz w:val="24"/>
              </w:rPr>
              <w:t xml:space="preserve">-1  </w:t>
            </w:r>
            <w:r>
              <w:rPr>
                <w:rFonts w:hint="eastAsia" w:ascii="黑体" w:hAnsi="黑体" w:eastAsia="黑体"/>
                <w:sz w:val="24"/>
              </w:rPr>
              <w:t>噪声等值线分布图</w:t>
            </w:r>
          </w:p>
          <w:p>
            <w:pPr>
              <w:adjustRightInd w:val="0"/>
              <w:snapToGrid w:val="0"/>
              <w:spacing w:line="480" w:lineRule="exact"/>
              <w:jc w:val="center"/>
              <w:rPr>
                <w:rFonts w:ascii="黑体" w:hAnsi="黑体" w:eastAsia="黑体"/>
                <w:bCs/>
                <w:sz w:val="24"/>
              </w:rPr>
            </w:pPr>
          </w:p>
          <w:p>
            <w:pPr>
              <w:adjustRightInd w:val="0"/>
              <w:snapToGrid w:val="0"/>
              <w:spacing w:line="480" w:lineRule="exact"/>
              <w:jc w:val="center"/>
              <w:rPr>
                <w:rFonts w:ascii="黑体" w:hAnsi="黑体" w:eastAsia="黑体"/>
                <w:bCs/>
                <w:sz w:val="24"/>
              </w:rPr>
            </w:pPr>
            <w:r>
              <w:rPr>
                <w:rFonts w:hint="eastAsia" w:ascii="黑体" w:hAnsi="黑体" w:eastAsia="黑体"/>
                <w:bCs/>
                <w:sz w:val="24"/>
              </w:rPr>
              <w:t>表4-</w:t>
            </w:r>
            <w:r>
              <w:rPr>
                <w:rFonts w:ascii="黑体" w:hAnsi="黑体" w:eastAsia="黑体"/>
                <w:bCs/>
                <w:sz w:val="24"/>
              </w:rPr>
              <w:t xml:space="preserve">17 </w:t>
            </w:r>
            <w:r>
              <w:rPr>
                <w:rFonts w:hint="eastAsia" w:ascii="黑体" w:hAnsi="黑体" w:eastAsia="黑体"/>
                <w:bCs/>
                <w:sz w:val="24"/>
              </w:rPr>
              <w:t>项目噪声预测结果</w:t>
            </w:r>
            <w:r>
              <w:rPr>
                <w:rFonts w:ascii="黑体" w:hAnsi="黑体" w:eastAsia="黑体"/>
                <w:bCs/>
                <w:sz w:val="24"/>
              </w:rPr>
              <w:t xml:space="preserve">  dB</w:t>
            </w:r>
            <w:r>
              <w:rPr>
                <w:rFonts w:hint="eastAsia" w:ascii="黑体" w:hAnsi="黑体" w:eastAsia="黑体"/>
                <w:bCs/>
                <w:sz w:val="24"/>
              </w:rPr>
              <w:t>（</w:t>
            </w:r>
            <w:r>
              <w:rPr>
                <w:rFonts w:ascii="黑体" w:hAnsi="黑体" w:eastAsia="黑体"/>
                <w:bCs/>
                <w:sz w:val="24"/>
              </w:rPr>
              <w:t>A</w:t>
            </w:r>
            <w:r>
              <w:rPr>
                <w:rFonts w:hint="eastAsia" w:ascii="黑体" w:hAnsi="黑体" w:eastAsia="黑体"/>
                <w:bCs/>
                <w:sz w:val="24"/>
              </w:rPr>
              <w:t>）</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2050"/>
              <w:gridCol w:w="1644"/>
              <w:gridCol w:w="1644"/>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717"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时间</w:t>
                  </w:r>
                </w:p>
              </w:tc>
              <w:tc>
                <w:tcPr>
                  <w:tcW w:w="1190"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预测点位</w:t>
                  </w:r>
                </w:p>
              </w:tc>
              <w:tc>
                <w:tcPr>
                  <w:tcW w:w="954"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贡献值</w:t>
                  </w:r>
                </w:p>
              </w:tc>
              <w:tc>
                <w:tcPr>
                  <w:tcW w:w="954"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标准值</w:t>
                  </w:r>
                </w:p>
              </w:tc>
              <w:tc>
                <w:tcPr>
                  <w:tcW w:w="1185"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17" w:type="pct"/>
                  <w:vMerge w:val="restar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昼间</w:t>
                  </w:r>
                </w:p>
              </w:tc>
              <w:tc>
                <w:tcPr>
                  <w:tcW w:w="1190"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场界北侧</w:t>
                  </w:r>
                </w:p>
              </w:tc>
              <w:tc>
                <w:tcPr>
                  <w:tcW w:w="954" w:type="pct"/>
                  <w:vAlign w:val="center"/>
                </w:tcPr>
                <w:p>
                  <w:pPr>
                    <w:pStyle w:val="46"/>
                    <w:snapToGrid/>
                    <w:spacing w:before="0" w:after="0" w:line="240" w:lineRule="auto"/>
                    <w:ind w:firstLine="0" w:firstLineChars="0"/>
                    <w:jc w:val="center"/>
                    <w:rPr>
                      <w:rFonts w:hAnsi="宋体"/>
                      <w:sz w:val="21"/>
                      <w:szCs w:val="21"/>
                    </w:rPr>
                  </w:pPr>
                  <w:r>
                    <w:rPr>
                      <w:rFonts w:hAnsi="宋体"/>
                      <w:sz w:val="21"/>
                      <w:szCs w:val="21"/>
                    </w:rPr>
                    <w:t>47.5</w:t>
                  </w:r>
                </w:p>
              </w:tc>
              <w:tc>
                <w:tcPr>
                  <w:tcW w:w="954" w:type="pct"/>
                  <w:vMerge w:val="restar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6</w:t>
                  </w:r>
                  <w:r>
                    <w:rPr>
                      <w:rFonts w:hAnsi="宋体"/>
                      <w:sz w:val="21"/>
                      <w:szCs w:val="21"/>
                    </w:rPr>
                    <w:t>0</w:t>
                  </w:r>
                </w:p>
              </w:tc>
              <w:tc>
                <w:tcPr>
                  <w:tcW w:w="1185"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717" w:type="pct"/>
                  <w:vMerge w:val="continue"/>
                  <w:vAlign w:val="center"/>
                </w:tcPr>
                <w:p>
                  <w:pPr>
                    <w:pStyle w:val="46"/>
                    <w:snapToGrid/>
                    <w:spacing w:before="0" w:after="0" w:line="240" w:lineRule="auto"/>
                    <w:ind w:firstLine="0" w:firstLineChars="0"/>
                    <w:jc w:val="center"/>
                    <w:rPr>
                      <w:rFonts w:hAnsi="宋体"/>
                      <w:sz w:val="21"/>
                      <w:szCs w:val="21"/>
                    </w:rPr>
                  </w:pPr>
                </w:p>
              </w:tc>
              <w:tc>
                <w:tcPr>
                  <w:tcW w:w="1190"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场界东侧</w:t>
                  </w:r>
                </w:p>
              </w:tc>
              <w:tc>
                <w:tcPr>
                  <w:tcW w:w="954" w:type="pct"/>
                  <w:vAlign w:val="center"/>
                </w:tcPr>
                <w:p>
                  <w:pPr>
                    <w:pStyle w:val="46"/>
                    <w:snapToGrid/>
                    <w:spacing w:before="0" w:after="0" w:line="240" w:lineRule="auto"/>
                    <w:ind w:firstLine="0" w:firstLineChars="0"/>
                    <w:jc w:val="center"/>
                    <w:rPr>
                      <w:rFonts w:hAnsi="宋体"/>
                      <w:sz w:val="21"/>
                      <w:szCs w:val="21"/>
                    </w:rPr>
                  </w:pPr>
                  <w:r>
                    <w:rPr>
                      <w:rFonts w:hAnsi="宋体"/>
                      <w:sz w:val="21"/>
                      <w:szCs w:val="21"/>
                    </w:rPr>
                    <w:t>45.5</w:t>
                  </w:r>
                </w:p>
              </w:tc>
              <w:tc>
                <w:tcPr>
                  <w:tcW w:w="954" w:type="pct"/>
                  <w:vMerge w:val="continue"/>
                  <w:vAlign w:val="center"/>
                </w:tcPr>
                <w:p>
                  <w:pPr>
                    <w:pStyle w:val="46"/>
                    <w:snapToGrid/>
                    <w:spacing w:before="0" w:after="0" w:line="240" w:lineRule="auto"/>
                    <w:ind w:firstLine="0" w:firstLineChars="0"/>
                    <w:jc w:val="center"/>
                    <w:rPr>
                      <w:rFonts w:hAnsi="宋体"/>
                      <w:sz w:val="21"/>
                      <w:szCs w:val="21"/>
                    </w:rPr>
                  </w:pPr>
                </w:p>
              </w:tc>
              <w:tc>
                <w:tcPr>
                  <w:tcW w:w="1185"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717" w:type="pct"/>
                  <w:vMerge w:val="continue"/>
                  <w:vAlign w:val="center"/>
                </w:tcPr>
                <w:p>
                  <w:pPr>
                    <w:pStyle w:val="46"/>
                    <w:snapToGrid/>
                    <w:spacing w:before="0" w:after="0" w:line="240" w:lineRule="auto"/>
                    <w:ind w:firstLine="0" w:firstLineChars="0"/>
                    <w:jc w:val="center"/>
                    <w:rPr>
                      <w:rFonts w:hAnsi="宋体"/>
                      <w:sz w:val="21"/>
                      <w:szCs w:val="21"/>
                    </w:rPr>
                  </w:pPr>
                </w:p>
              </w:tc>
              <w:tc>
                <w:tcPr>
                  <w:tcW w:w="1190"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场界南侧</w:t>
                  </w:r>
                </w:p>
              </w:tc>
              <w:tc>
                <w:tcPr>
                  <w:tcW w:w="954" w:type="pct"/>
                  <w:vAlign w:val="center"/>
                </w:tcPr>
                <w:p>
                  <w:pPr>
                    <w:pStyle w:val="46"/>
                    <w:snapToGrid/>
                    <w:spacing w:before="0" w:after="0" w:line="240" w:lineRule="auto"/>
                    <w:ind w:firstLine="0" w:firstLineChars="0"/>
                    <w:jc w:val="center"/>
                    <w:rPr>
                      <w:rFonts w:hAnsi="宋体"/>
                      <w:sz w:val="21"/>
                      <w:szCs w:val="21"/>
                    </w:rPr>
                  </w:pPr>
                  <w:r>
                    <w:rPr>
                      <w:rFonts w:hAnsi="宋体"/>
                      <w:sz w:val="21"/>
                      <w:szCs w:val="21"/>
                    </w:rPr>
                    <w:t>45.1</w:t>
                  </w:r>
                </w:p>
              </w:tc>
              <w:tc>
                <w:tcPr>
                  <w:tcW w:w="954" w:type="pct"/>
                  <w:vMerge w:val="continue"/>
                  <w:vAlign w:val="center"/>
                </w:tcPr>
                <w:p>
                  <w:pPr>
                    <w:pStyle w:val="46"/>
                    <w:snapToGrid/>
                    <w:spacing w:before="0" w:after="0" w:line="240" w:lineRule="auto"/>
                    <w:ind w:firstLine="0" w:firstLineChars="0"/>
                    <w:jc w:val="center"/>
                    <w:rPr>
                      <w:rFonts w:hAnsi="宋体"/>
                      <w:sz w:val="21"/>
                      <w:szCs w:val="21"/>
                    </w:rPr>
                  </w:pPr>
                </w:p>
              </w:tc>
              <w:tc>
                <w:tcPr>
                  <w:tcW w:w="1185"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trPr>
              <w:tc>
                <w:tcPr>
                  <w:tcW w:w="717" w:type="pct"/>
                  <w:vMerge w:val="continue"/>
                  <w:vAlign w:val="center"/>
                </w:tcPr>
                <w:p>
                  <w:pPr>
                    <w:pStyle w:val="46"/>
                    <w:snapToGrid/>
                    <w:spacing w:before="0" w:after="0" w:line="240" w:lineRule="auto"/>
                    <w:ind w:firstLine="0" w:firstLineChars="0"/>
                    <w:jc w:val="center"/>
                    <w:rPr>
                      <w:rFonts w:hAnsi="宋体"/>
                      <w:sz w:val="21"/>
                      <w:szCs w:val="21"/>
                    </w:rPr>
                  </w:pPr>
                </w:p>
              </w:tc>
              <w:tc>
                <w:tcPr>
                  <w:tcW w:w="1190"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场界西侧</w:t>
                  </w:r>
                </w:p>
              </w:tc>
              <w:tc>
                <w:tcPr>
                  <w:tcW w:w="954" w:type="pct"/>
                  <w:vAlign w:val="center"/>
                </w:tcPr>
                <w:p>
                  <w:pPr>
                    <w:pStyle w:val="46"/>
                    <w:snapToGrid/>
                    <w:spacing w:before="0" w:after="0" w:line="240" w:lineRule="auto"/>
                    <w:ind w:firstLine="0" w:firstLineChars="0"/>
                    <w:jc w:val="center"/>
                    <w:rPr>
                      <w:rFonts w:hAnsi="宋体"/>
                      <w:sz w:val="21"/>
                      <w:szCs w:val="21"/>
                    </w:rPr>
                  </w:pPr>
                  <w:r>
                    <w:rPr>
                      <w:rFonts w:hAnsi="宋体"/>
                      <w:sz w:val="21"/>
                      <w:szCs w:val="21"/>
                    </w:rPr>
                    <w:t>44.8</w:t>
                  </w:r>
                </w:p>
              </w:tc>
              <w:tc>
                <w:tcPr>
                  <w:tcW w:w="954" w:type="pct"/>
                  <w:vMerge w:val="continue"/>
                  <w:vAlign w:val="center"/>
                </w:tcPr>
                <w:p>
                  <w:pPr>
                    <w:pStyle w:val="46"/>
                    <w:snapToGrid/>
                    <w:spacing w:before="0" w:after="0" w:line="240" w:lineRule="auto"/>
                    <w:ind w:firstLine="0" w:firstLineChars="0"/>
                    <w:jc w:val="center"/>
                    <w:rPr>
                      <w:rFonts w:hAnsi="宋体"/>
                      <w:sz w:val="21"/>
                      <w:szCs w:val="21"/>
                    </w:rPr>
                  </w:pPr>
                </w:p>
              </w:tc>
              <w:tc>
                <w:tcPr>
                  <w:tcW w:w="1185" w:type="pct"/>
                  <w:vAlign w:val="center"/>
                </w:tcPr>
                <w:p>
                  <w:pPr>
                    <w:pStyle w:val="46"/>
                    <w:snapToGrid/>
                    <w:spacing w:before="0" w:after="0" w:line="240" w:lineRule="auto"/>
                    <w:ind w:firstLine="0" w:firstLineChars="0"/>
                    <w:jc w:val="center"/>
                    <w:rPr>
                      <w:rFonts w:hAnsi="宋体"/>
                      <w:sz w:val="21"/>
                      <w:szCs w:val="21"/>
                    </w:rPr>
                  </w:pPr>
                  <w:r>
                    <w:rPr>
                      <w:rFonts w:hint="eastAsia" w:hAnsi="宋体"/>
                      <w:sz w:val="21"/>
                      <w:szCs w:val="21"/>
                    </w:rPr>
                    <w:t>达标</w:t>
                  </w:r>
                </w:p>
              </w:tc>
            </w:tr>
          </w:tbl>
          <w:p>
            <w:pPr>
              <w:adjustRightInd w:val="0"/>
              <w:snapToGrid w:val="0"/>
              <w:spacing w:line="480" w:lineRule="exact"/>
              <w:ind w:firstLine="480" w:firstLineChars="200"/>
              <w:rPr>
                <w:bCs/>
                <w:sz w:val="24"/>
              </w:rPr>
            </w:pPr>
            <w:r>
              <w:rPr>
                <w:rFonts w:hint="eastAsia"/>
                <w:bCs/>
                <w:sz w:val="24"/>
              </w:rPr>
              <w:t>由</w:t>
            </w:r>
            <w:r>
              <w:rPr>
                <w:bCs/>
                <w:sz w:val="24"/>
              </w:rPr>
              <w:t>表</w:t>
            </w:r>
            <w:r>
              <w:rPr>
                <w:rFonts w:hint="eastAsia"/>
                <w:bCs/>
                <w:sz w:val="24"/>
              </w:rPr>
              <w:t>4-9</w:t>
            </w:r>
            <w:r>
              <w:rPr>
                <w:bCs/>
                <w:sz w:val="24"/>
              </w:rPr>
              <w:t>中噪声预测结果</w:t>
            </w:r>
            <w:r>
              <w:rPr>
                <w:rFonts w:hint="eastAsia"/>
                <w:bCs/>
                <w:sz w:val="24"/>
              </w:rPr>
              <w:t>可知</w:t>
            </w:r>
            <w:r>
              <w:rPr>
                <w:bCs/>
                <w:sz w:val="24"/>
              </w:rPr>
              <w:t>：</w:t>
            </w:r>
            <w:bookmarkStart w:id="6" w:name="OLE_LINK10"/>
            <w:r>
              <w:rPr>
                <w:rFonts w:hint="eastAsia"/>
                <w:bCs/>
                <w:sz w:val="24"/>
              </w:rPr>
              <w:t>场</w:t>
            </w:r>
            <w:r>
              <w:rPr>
                <w:bCs/>
                <w:sz w:val="24"/>
              </w:rPr>
              <w:t>界贡献值范围在44.8～47.5dB(A)，</w:t>
            </w:r>
            <w:bookmarkEnd w:id="6"/>
            <w:r>
              <w:rPr>
                <w:rFonts w:hint="eastAsia"/>
                <w:bCs/>
                <w:sz w:val="24"/>
              </w:rPr>
              <w:t>场界噪声贡献值均未超过</w:t>
            </w:r>
            <w:r>
              <w:rPr>
                <w:bCs/>
                <w:sz w:val="24"/>
              </w:rPr>
              <w:t>《工业企业厂界环境噪声排放标准》(GB12348-2008)中</w:t>
            </w:r>
            <w:r>
              <w:rPr>
                <w:rFonts w:hint="eastAsia"/>
                <w:bCs/>
                <w:sz w:val="24"/>
              </w:rPr>
              <w:t>2</w:t>
            </w:r>
            <w:r>
              <w:rPr>
                <w:bCs/>
                <w:sz w:val="24"/>
              </w:rPr>
              <w:t>类</w:t>
            </w:r>
            <w:r>
              <w:rPr>
                <w:rFonts w:hint="eastAsia"/>
                <w:bCs/>
                <w:sz w:val="24"/>
              </w:rPr>
              <w:t>标准值。因此，本项目</w:t>
            </w:r>
            <w:r>
              <w:rPr>
                <w:bCs/>
                <w:sz w:val="24"/>
              </w:rPr>
              <w:t>在采取环评规定的噪声治理措施后，</w:t>
            </w:r>
            <w:r>
              <w:rPr>
                <w:rFonts w:hint="eastAsia"/>
                <w:bCs/>
                <w:sz w:val="24"/>
              </w:rPr>
              <w:t>厂界噪声增加值较小，对厂界及噪声敏感点声环境影响较小。</w:t>
            </w:r>
          </w:p>
          <w:p>
            <w:pPr>
              <w:adjustRightInd w:val="0"/>
              <w:snapToGrid w:val="0"/>
              <w:spacing w:line="480" w:lineRule="exact"/>
              <w:ind w:firstLine="482" w:firstLineChars="200"/>
              <w:rPr>
                <w:b/>
                <w:bCs/>
                <w:sz w:val="24"/>
              </w:rPr>
            </w:pPr>
            <w:r>
              <w:rPr>
                <w:rFonts w:hint="eastAsia"/>
                <w:b/>
                <w:bCs/>
                <w:sz w:val="24"/>
              </w:rPr>
              <w:t>声环境监测计划：</w:t>
            </w:r>
          </w:p>
          <w:p>
            <w:pPr>
              <w:adjustRightInd w:val="0"/>
              <w:snapToGrid w:val="0"/>
              <w:spacing w:line="480" w:lineRule="exact"/>
              <w:ind w:firstLine="480" w:firstLineChars="200"/>
              <w:rPr>
                <w:sz w:val="24"/>
              </w:rPr>
            </w:pPr>
            <w:r>
              <w:rPr>
                <w:rFonts w:hint="eastAsia"/>
                <w:sz w:val="24"/>
              </w:rPr>
              <w:t>根据《排污单位自行监测技术指南 总则》（HJ 819-2017），</w:t>
            </w:r>
            <w:r>
              <w:rPr>
                <w:rFonts w:hint="eastAsia"/>
                <w:bCs/>
                <w:sz w:val="24"/>
              </w:rPr>
              <w:t>本项目声环境监测内容见下表。</w:t>
            </w:r>
          </w:p>
          <w:p>
            <w:pPr>
              <w:spacing w:line="480" w:lineRule="exact"/>
              <w:jc w:val="center"/>
              <w:rPr>
                <w:rFonts w:ascii="黑体" w:hAnsi="黑体" w:eastAsia="黑体"/>
                <w:kern w:val="0"/>
                <w:sz w:val="24"/>
                <w:szCs w:val="32"/>
              </w:rPr>
            </w:pPr>
            <w:r>
              <w:rPr>
                <w:rFonts w:hint="eastAsia" w:ascii="黑体" w:hAnsi="黑体" w:eastAsia="黑体"/>
                <w:kern w:val="0"/>
                <w:sz w:val="24"/>
                <w:szCs w:val="32"/>
              </w:rPr>
              <w:t>表</w:t>
            </w:r>
            <w:r>
              <w:rPr>
                <w:rFonts w:ascii="黑体" w:hAnsi="黑体" w:eastAsia="黑体"/>
                <w:bCs/>
                <w:sz w:val="24"/>
                <w:szCs w:val="32"/>
              </w:rPr>
              <w:t>4-18</w:t>
            </w:r>
            <w:r>
              <w:rPr>
                <w:rFonts w:hint="eastAsia" w:ascii="黑体" w:hAnsi="黑体" w:eastAsia="黑体"/>
                <w:bCs/>
                <w:sz w:val="24"/>
                <w:szCs w:val="32"/>
              </w:rPr>
              <w:t xml:space="preserve"> </w:t>
            </w:r>
            <w:r>
              <w:rPr>
                <w:rFonts w:hint="eastAsia" w:ascii="黑体" w:hAnsi="黑体" w:eastAsia="黑体"/>
                <w:kern w:val="0"/>
                <w:sz w:val="24"/>
                <w:szCs w:val="32"/>
              </w:rPr>
              <w:t xml:space="preserve"> 噪声监测方案</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864"/>
              <w:gridCol w:w="2364"/>
              <w:gridCol w:w="3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5" w:type="pct"/>
                  <w:vAlign w:val="center"/>
                </w:tcPr>
                <w:p>
                  <w:pPr>
                    <w:widowControl/>
                    <w:jc w:val="center"/>
                    <w:rPr>
                      <w:kern w:val="0"/>
                      <w:szCs w:val="21"/>
                    </w:rPr>
                  </w:pPr>
                  <w:r>
                    <w:rPr>
                      <w:kern w:val="0"/>
                      <w:szCs w:val="21"/>
                    </w:rPr>
                    <w:t>监测点位</w:t>
                  </w:r>
                </w:p>
              </w:tc>
              <w:tc>
                <w:tcPr>
                  <w:tcW w:w="1082" w:type="pct"/>
                  <w:vAlign w:val="center"/>
                </w:tcPr>
                <w:p>
                  <w:pPr>
                    <w:widowControl/>
                    <w:jc w:val="center"/>
                    <w:rPr>
                      <w:kern w:val="0"/>
                      <w:szCs w:val="21"/>
                    </w:rPr>
                  </w:pPr>
                  <w:r>
                    <w:rPr>
                      <w:kern w:val="0"/>
                      <w:szCs w:val="21"/>
                    </w:rPr>
                    <w:t>监测指标</w:t>
                  </w:r>
                </w:p>
              </w:tc>
              <w:tc>
                <w:tcPr>
                  <w:tcW w:w="1372" w:type="pct"/>
                  <w:vAlign w:val="center"/>
                </w:tcPr>
                <w:p>
                  <w:pPr>
                    <w:widowControl/>
                    <w:jc w:val="center"/>
                    <w:rPr>
                      <w:kern w:val="0"/>
                      <w:szCs w:val="21"/>
                    </w:rPr>
                  </w:pPr>
                  <w:r>
                    <w:rPr>
                      <w:kern w:val="0"/>
                      <w:szCs w:val="21"/>
                    </w:rPr>
                    <w:t>监测频次</w:t>
                  </w:r>
                </w:p>
              </w:tc>
              <w:tc>
                <w:tcPr>
                  <w:tcW w:w="1831" w:type="pct"/>
                  <w:vAlign w:val="center"/>
                </w:tcPr>
                <w:p>
                  <w:pPr>
                    <w:widowControl/>
                    <w:jc w:val="center"/>
                    <w:rPr>
                      <w:kern w:val="0"/>
                      <w:szCs w:val="21"/>
                    </w:rPr>
                  </w:pPr>
                  <w:r>
                    <w:rPr>
                      <w:kern w:val="0"/>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5" w:type="pct"/>
                  <w:vAlign w:val="center"/>
                </w:tcPr>
                <w:p>
                  <w:pPr>
                    <w:widowControl/>
                    <w:jc w:val="center"/>
                    <w:rPr>
                      <w:kern w:val="0"/>
                      <w:szCs w:val="21"/>
                    </w:rPr>
                  </w:pPr>
                  <w:r>
                    <w:rPr>
                      <w:rFonts w:hint="eastAsia"/>
                      <w:szCs w:val="21"/>
                    </w:rPr>
                    <w:t>厂界</w:t>
                  </w:r>
                </w:p>
              </w:tc>
              <w:tc>
                <w:tcPr>
                  <w:tcW w:w="1082" w:type="pct"/>
                  <w:vAlign w:val="center"/>
                </w:tcPr>
                <w:p>
                  <w:pPr>
                    <w:widowControl/>
                    <w:jc w:val="center"/>
                    <w:rPr>
                      <w:kern w:val="0"/>
                      <w:szCs w:val="21"/>
                    </w:rPr>
                  </w:pPr>
                  <w:r>
                    <w:rPr>
                      <w:szCs w:val="21"/>
                    </w:rPr>
                    <w:t>Leq</w:t>
                  </w:r>
                  <w:r>
                    <w:rPr>
                      <w:rFonts w:hint="eastAsia"/>
                      <w:szCs w:val="21"/>
                    </w:rPr>
                    <w:t>，同时统计</w:t>
                  </w:r>
                  <w:r>
                    <w:rPr>
                      <w:szCs w:val="21"/>
                    </w:rPr>
                    <w:t>L</w:t>
                  </w:r>
                  <w:r>
                    <w:rPr>
                      <w:szCs w:val="21"/>
                      <w:vertAlign w:val="subscript"/>
                    </w:rPr>
                    <w:t>10</w:t>
                  </w:r>
                  <w:r>
                    <w:rPr>
                      <w:rFonts w:hint="eastAsia"/>
                      <w:szCs w:val="21"/>
                    </w:rPr>
                    <w:t>、</w:t>
                  </w:r>
                  <w:r>
                    <w:rPr>
                      <w:szCs w:val="21"/>
                    </w:rPr>
                    <w:t>L</w:t>
                  </w:r>
                  <w:r>
                    <w:rPr>
                      <w:szCs w:val="21"/>
                      <w:vertAlign w:val="subscript"/>
                    </w:rPr>
                    <w:t>50</w:t>
                  </w:r>
                  <w:r>
                    <w:rPr>
                      <w:rFonts w:hint="eastAsia"/>
                      <w:szCs w:val="21"/>
                    </w:rPr>
                    <w:t>、</w:t>
                  </w:r>
                  <w:r>
                    <w:rPr>
                      <w:szCs w:val="21"/>
                    </w:rPr>
                    <w:t>L</w:t>
                  </w:r>
                  <w:r>
                    <w:rPr>
                      <w:szCs w:val="21"/>
                      <w:vertAlign w:val="subscript"/>
                    </w:rPr>
                    <w:t>90</w:t>
                  </w:r>
                </w:p>
              </w:tc>
              <w:tc>
                <w:tcPr>
                  <w:tcW w:w="1372" w:type="pct"/>
                  <w:vAlign w:val="center"/>
                </w:tcPr>
                <w:p>
                  <w:pPr>
                    <w:widowControl/>
                    <w:jc w:val="center"/>
                    <w:rPr>
                      <w:kern w:val="0"/>
                      <w:szCs w:val="21"/>
                    </w:rPr>
                  </w:pPr>
                  <w:r>
                    <w:rPr>
                      <w:rFonts w:hint="eastAsia"/>
                      <w:spacing w:val="4"/>
                      <w:szCs w:val="21"/>
                    </w:rPr>
                    <w:t>每季度进行一次监测，每次昼夜各监测一次</w:t>
                  </w:r>
                </w:p>
              </w:tc>
              <w:tc>
                <w:tcPr>
                  <w:tcW w:w="1831" w:type="pct"/>
                  <w:vAlign w:val="center"/>
                </w:tcPr>
                <w:p>
                  <w:pPr>
                    <w:jc w:val="center"/>
                    <w:rPr>
                      <w:kern w:val="0"/>
                      <w:szCs w:val="21"/>
                    </w:rPr>
                  </w:pPr>
                  <w:r>
                    <w:rPr>
                      <w:rFonts w:hint="eastAsia"/>
                      <w:szCs w:val="21"/>
                    </w:rPr>
                    <w:t>《工业企业厂界环境噪声排放标准》（</w:t>
                  </w:r>
                  <w:r>
                    <w:rPr>
                      <w:szCs w:val="21"/>
                    </w:rPr>
                    <w:t>GB12348-2008</w:t>
                  </w:r>
                  <w:r>
                    <w:rPr>
                      <w:rFonts w:hint="eastAsia"/>
                      <w:szCs w:val="21"/>
                    </w:rPr>
                    <w:t>）中</w:t>
                  </w:r>
                  <w:r>
                    <w:rPr>
                      <w:szCs w:val="21"/>
                    </w:rPr>
                    <w:t>2</w:t>
                  </w:r>
                  <w:r>
                    <w:rPr>
                      <w:rFonts w:hint="eastAsia"/>
                      <w:szCs w:val="21"/>
                    </w:rPr>
                    <w:t>类</w:t>
                  </w:r>
                </w:p>
              </w:tc>
            </w:tr>
          </w:tbl>
          <w:p>
            <w:pPr>
              <w:adjustRightInd w:val="0"/>
              <w:snapToGrid w:val="0"/>
              <w:spacing w:line="480" w:lineRule="exact"/>
              <w:ind w:firstLine="482" w:firstLineChars="200"/>
              <w:rPr>
                <w:sz w:val="24"/>
              </w:rPr>
            </w:pPr>
            <w:r>
              <w:rPr>
                <w:b/>
                <w:bCs/>
                <w:sz w:val="24"/>
              </w:rPr>
              <w:t>5</w:t>
            </w:r>
            <w:r>
              <w:rPr>
                <w:rFonts w:hint="eastAsia"/>
                <w:b/>
                <w:bCs/>
                <w:sz w:val="24"/>
              </w:rPr>
              <w:t>、运营期</w:t>
            </w:r>
            <w:r>
              <w:rPr>
                <w:rFonts w:hint="eastAsia"/>
                <w:b/>
                <w:sz w:val="24"/>
              </w:rPr>
              <w:t>生态影响分析</w:t>
            </w:r>
          </w:p>
          <w:p>
            <w:pPr>
              <w:adjustRightInd w:val="0"/>
              <w:snapToGrid w:val="0"/>
              <w:spacing w:line="480" w:lineRule="exact"/>
              <w:ind w:firstLine="480" w:firstLineChars="200"/>
              <w:rPr>
                <w:sz w:val="24"/>
              </w:rPr>
            </w:pPr>
            <w:r>
              <w:rPr>
                <w:rFonts w:hint="eastAsia"/>
                <w:sz w:val="24"/>
              </w:rPr>
              <w:t>项目拟建场址位置位于山</w:t>
            </w:r>
            <w:r>
              <w:rPr>
                <w:sz w:val="24"/>
              </w:rPr>
              <w:t>西省忻州市五台县茹村乡东茹村恶山坪，拟建场址占地面积21954.68m</w:t>
            </w:r>
            <w:r>
              <w:rPr>
                <w:sz w:val="24"/>
                <w:vertAlign w:val="superscript"/>
              </w:rPr>
              <w:t>2</w:t>
            </w:r>
            <w:r>
              <w:rPr>
                <w:sz w:val="24"/>
              </w:rPr>
              <w:t>，中心点坐标为E</w:t>
            </w:r>
            <w:r>
              <w:rPr>
                <w:sz w:val="24"/>
                <w:szCs w:val="32"/>
              </w:rPr>
              <w:t xml:space="preserve"> </w:t>
            </w:r>
            <w:r>
              <w:rPr>
                <w:sz w:val="24"/>
              </w:rPr>
              <w:t>113°22′55.801″，N</w:t>
            </w:r>
            <w:r>
              <w:rPr>
                <w:sz w:val="24"/>
                <w:szCs w:val="32"/>
              </w:rPr>
              <w:t xml:space="preserve"> </w:t>
            </w:r>
            <w:r>
              <w:rPr>
                <w:sz w:val="24"/>
              </w:rPr>
              <w:t>38°44′9.293″；拟建场址四周均为耕地</w:t>
            </w:r>
            <w:r>
              <w:rPr>
                <w:rFonts w:hint="eastAsia"/>
                <w:sz w:val="24"/>
              </w:rPr>
              <w:t>。</w:t>
            </w:r>
            <w:r>
              <w:rPr>
                <w:spacing w:val="4"/>
                <w:sz w:val="24"/>
              </w:rPr>
              <w:t>项目附近以农业生态环境为主。</w:t>
            </w:r>
            <w:r>
              <w:rPr>
                <w:sz w:val="24"/>
              </w:rPr>
              <w:t>项目四周植被类型比较单一，自然环境一般，主要是农业生态环境为主，无天然林及珍稀植被。</w:t>
            </w:r>
          </w:p>
          <w:p>
            <w:pPr>
              <w:adjustRightInd w:val="0"/>
              <w:snapToGrid w:val="0"/>
              <w:spacing w:line="480" w:lineRule="exact"/>
              <w:ind w:firstLine="480" w:firstLineChars="200"/>
              <w:rPr>
                <w:sz w:val="24"/>
              </w:rPr>
            </w:pPr>
            <w:r>
              <w:rPr>
                <w:rFonts w:hint="eastAsia"/>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p>
            <w:pPr>
              <w:adjustRightInd w:val="0"/>
              <w:snapToGrid w:val="0"/>
              <w:spacing w:line="480" w:lineRule="exact"/>
              <w:ind w:firstLine="482" w:firstLineChars="200"/>
              <w:rPr>
                <w:sz w:val="24"/>
              </w:rPr>
            </w:pPr>
            <w:r>
              <w:rPr>
                <w:b/>
                <w:bCs/>
                <w:sz w:val="24"/>
              </w:rPr>
              <w:t>6</w:t>
            </w:r>
            <w:r>
              <w:rPr>
                <w:rFonts w:hint="eastAsia"/>
                <w:b/>
                <w:bCs/>
                <w:sz w:val="24"/>
              </w:rPr>
              <w:t>、</w:t>
            </w:r>
            <w:r>
              <w:rPr>
                <w:b/>
                <w:bCs/>
                <w:sz w:val="24"/>
              </w:rPr>
              <w:t>环境风险</w:t>
            </w:r>
          </w:p>
          <w:p>
            <w:pPr>
              <w:spacing w:line="480" w:lineRule="exact"/>
              <w:ind w:firstLine="480" w:firstLineChars="200"/>
              <w:rPr>
                <w:sz w:val="24"/>
              </w:rPr>
            </w:pPr>
            <w:r>
              <w:rPr>
                <w:rFonts w:hint="eastAsia"/>
                <w:sz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本项目依据《建设项目环境风险评价技术导则》(HJ 169-2018)，对项目进行环境风险评价。</w:t>
            </w:r>
          </w:p>
          <w:p>
            <w:pPr>
              <w:spacing w:line="480" w:lineRule="exact"/>
              <w:ind w:firstLine="480" w:firstLineChars="200"/>
              <w:rPr>
                <w:bCs/>
                <w:sz w:val="24"/>
              </w:rPr>
            </w:pPr>
            <w:r>
              <w:rPr>
                <w:rFonts w:hint="eastAsia"/>
                <w:bCs/>
                <w:sz w:val="24"/>
              </w:rPr>
              <w:t>（1）</w:t>
            </w:r>
            <w:r>
              <w:rPr>
                <w:bCs/>
                <w:sz w:val="24"/>
              </w:rPr>
              <w:t>环境风险识别</w:t>
            </w:r>
          </w:p>
          <w:p>
            <w:pPr>
              <w:spacing w:line="480" w:lineRule="exact"/>
              <w:ind w:firstLine="480" w:firstLineChars="200"/>
              <w:rPr>
                <w:sz w:val="24"/>
              </w:rPr>
            </w:pPr>
            <w:r>
              <w:rPr>
                <w:sz w:val="24"/>
              </w:rPr>
              <w:t>本项目</w:t>
            </w:r>
            <w:r>
              <w:rPr>
                <w:rFonts w:hint="eastAsia"/>
                <w:sz w:val="24"/>
              </w:rPr>
              <w:t>遗体火化使用燃料为轻质柴油，此外备用发电机以及遗物祭品焚烧引燃、助燃消耗少量的柴油；本项目拟在靠近火化间的东侧空地修建柴油储罐区，配套一个地埋式柴油储罐，最大存储量为10t。柴油</w:t>
            </w:r>
            <w:r>
              <w:rPr>
                <w:sz w:val="24"/>
              </w:rPr>
              <w:t>运输由有资质的专业运输公司承担，因此本环评不考虑运输风险。</w:t>
            </w:r>
            <w:r>
              <w:rPr>
                <w:rFonts w:hint="eastAsia"/>
                <w:sz w:val="24"/>
              </w:rPr>
              <w:t>柴油</w:t>
            </w:r>
            <w:r>
              <w:rPr>
                <w:sz w:val="24"/>
              </w:rPr>
              <w:t>理化特性</w:t>
            </w:r>
            <w:r>
              <w:rPr>
                <w:rFonts w:hint="eastAsia"/>
                <w:sz w:val="24"/>
              </w:rPr>
              <w:t>见表</w:t>
            </w:r>
            <w:r>
              <w:rPr>
                <w:sz w:val="24"/>
              </w:rPr>
              <w:t>4-19</w:t>
            </w:r>
            <w:r>
              <w:rPr>
                <w:rFonts w:hint="eastAsia"/>
                <w:sz w:val="24"/>
              </w:rPr>
              <w:t>。</w:t>
            </w:r>
          </w:p>
          <w:p>
            <w:pPr>
              <w:pStyle w:val="55"/>
              <w:wordWrap w:val="0"/>
              <w:spacing w:line="480" w:lineRule="exact"/>
              <w:rPr>
                <w:rFonts w:ascii="黑体" w:hAnsi="黑体" w:eastAsia="黑体"/>
                <w:b w:val="0"/>
                <w:bCs/>
                <w:sz w:val="24"/>
                <w:szCs w:val="32"/>
              </w:rPr>
            </w:pPr>
            <w:r>
              <w:rPr>
                <w:rFonts w:ascii="黑体" w:hAnsi="黑体" w:eastAsia="黑体"/>
                <w:b w:val="0"/>
                <w:bCs/>
                <w:sz w:val="24"/>
                <w:szCs w:val="32"/>
              </w:rPr>
              <w:t>表4-19 柴油理化特性表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513"/>
              <w:gridCol w:w="991"/>
              <w:gridCol w:w="2312"/>
              <w:gridCol w:w="312"/>
              <w:gridCol w:w="1320"/>
              <w:gridCol w:w="324"/>
              <w:gridCol w:w="284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3" w:hRule="atLeast"/>
                <w:jc w:val="center"/>
              </w:trPr>
              <w:tc>
                <w:tcPr>
                  <w:tcW w:w="873" w:type="pct"/>
                  <w:gridSpan w:val="2"/>
                  <w:vAlign w:val="center"/>
                </w:tcPr>
                <w:p>
                  <w:pPr>
                    <w:pStyle w:val="43"/>
                    <w:wordWrap w:val="0"/>
                  </w:pPr>
                  <w:r>
                    <w:t>物料名称</w:t>
                  </w:r>
                </w:p>
              </w:tc>
              <w:tc>
                <w:tcPr>
                  <w:tcW w:w="1523" w:type="pct"/>
                  <w:gridSpan w:val="2"/>
                  <w:vAlign w:val="center"/>
                </w:tcPr>
                <w:p>
                  <w:pPr>
                    <w:pStyle w:val="43"/>
                    <w:wordWrap w:val="0"/>
                  </w:pPr>
                  <w:r>
                    <w:t>柴油</w:t>
                  </w:r>
                </w:p>
              </w:tc>
              <w:tc>
                <w:tcPr>
                  <w:tcW w:w="954" w:type="pct"/>
                  <w:gridSpan w:val="2"/>
                  <w:vAlign w:val="center"/>
                </w:tcPr>
                <w:p>
                  <w:pPr>
                    <w:pStyle w:val="43"/>
                    <w:wordWrap w:val="0"/>
                  </w:pPr>
                  <w:r>
                    <w:t>CAS号</w:t>
                  </w:r>
                </w:p>
              </w:tc>
              <w:tc>
                <w:tcPr>
                  <w:tcW w:w="1651" w:type="pct"/>
                  <w:vAlign w:val="center"/>
                </w:tcPr>
                <w:p>
                  <w:pPr>
                    <w:pStyle w:val="43"/>
                    <w:wordWrap w:val="0"/>
                  </w:pPr>
                  <w:r>
                    <w:t>68334-30-5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trHeight w:val="23" w:hRule="atLeast"/>
                <w:jc w:val="center"/>
              </w:trPr>
              <w:tc>
                <w:tcPr>
                  <w:tcW w:w="873" w:type="pct"/>
                  <w:gridSpan w:val="2"/>
                  <w:vAlign w:val="center"/>
                </w:tcPr>
                <w:p>
                  <w:pPr>
                    <w:pStyle w:val="43"/>
                    <w:wordWrap w:val="0"/>
                  </w:pPr>
                  <w:r>
                    <w:t>危险性类别</w:t>
                  </w:r>
                </w:p>
              </w:tc>
              <w:tc>
                <w:tcPr>
                  <w:tcW w:w="1523" w:type="pct"/>
                  <w:gridSpan w:val="2"/>
                  <w:vAlign w:val="center"/>
                </w:tcPr>
                <w:p>
                  <w:pPr>
                    <w:pStyle w:val="43"/>
                    <w:wordWrap w:val="0"/>
                  </w:pPr>
                  <w:r>
                    <w:t>易燃液体</w:t>
                  </w:r>
                </w:p>
              </w:tc>
              <w:tc>
                <w:tcPr>
                  <w:tcW w:w="954" w:type="pct"/>
                  <w:gridSpan w:val="2"/>
                  <w:vAlign w:val="center"/>
                </w:tcPr>
                <w:p>
                  <w:pPr>
                    <w:pStyle w:val="43"/>
                    <w:wordWrap w:val="0"/>
                  </w:pPr>
                  <w:r>
                    <w:t>火险类别</w:t>
                  </w:r>
                </w:p>
              </w:tc>
              <w:tc>
                <w:tcPr>
                  <w:tcW w:w="1651" w:type="pct"/>
                  <w:vAlign w:val="center"/>
                </w:tcPr>
                <w:p>
                  <w:pPr>
                    <w:pStyle w:val="43"/>
                    <w:wordWrap w:val="0"/>
                  </w:pPr>
                  <w:r>
                    <w:t>乙B或丙A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trHeight w:val="23" w:hRule="atLeast"/>
                <w:jc w:val="center"/>
              </w:trPr>
              <w:tc>
                <w:tcPr>
                  <w:tcW w:w="873" w:type="pct"/>
                  <w:gridSpan w:val="2"/>
                  <w:vAlign w:val="center"/>
                </w:tcPr>
                <w:p>
                  <w:pPr>
                    <w:pStyle w:val="43"/>
                    <w:wordWrap w:val="0"/>
                  </w:pPr>
                  <w:r>
                    <w:t>UN号</w:t>
                  </w:r>
                </w:p>
              </w:tc>
              <w:tc>
                <w:tcPr>
                  <w:tcW w:w="1523" w:type="pct"/>
                  <w:gridSpan w:val="2"/>
                </w:tcPr>
                <w:p>
                  <w:pPr>
                    <w:pStyle w:val="43"/>
                    <w:wordWrap w:val="0"/>
                  </w:pPr>
                  <w:r>
                    <w:t>1202</w:t>
                  </w:r>
                </w:p>
              </w:tc>
              <w:tc>
                <w:tcPr>
                  <w:tcW w:w="954" w:type="pct"/>
                  <w:gridSpan w:val="2"/>
                  <w:vAlign w:val="center"/>
                </w:tcPr>
                <w:p>
                  <w:pPr>
                    <w:pStyle w:val="43"/>
                    <w:wordWrap w:val="0"/>
                  </w:pPr>
                  <w:r>
                    <w:t>外观性状</w:t>
                  </w:r>
                </w:p>
              </w:tc>
              <w:tc>
                <w:tcPr>
                  <w:tcW w:w="1651" w:type="pct"/>
                </w:tcPr>
                <w:p>
                  <w:pPr>
                    <w:pStyle w:val="43"/>
                    <w:wordWrap w:val="0"/>
                  </w:pPr>
                  <w:r>
                    <w:t>稍有粘性的浅黄至棕色液体。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3" w:hRule="atLeast"/>
                <w:jc w:val="center"/>
              </w:trPr>
              <w:tc>
                <w:tcPr>
                  <w:tcW w:w="298" w:type="pct"/>
                  <w:vMerge w:val="restart"/>
                  <w:textDirection w:val="tbRlV"/>
                  <w:vAlign w:val="center"/>
                </w:tcPr>
                <w:p>
                  <w:pPr>
                    <w:pStyle w:val="43"/>
                    <w:wordWrap w:val="0"/>
                  </w:pPr>
                  <w:r>
                    <w:t>燃 烧 爆 炸 危 险</w:t>
                  </w:r>
                </w:p>
              </w:tc>
              <w:tc>
                <w:tcPr>
                  <w:tcW w:w="575" w:type="pct"/>
                  <w:vAlign w:val="center"/>
                </w:tcPr>
                <w:p>
                  <w:pPr>
                    <w:pStyle w:val="43"/>
                    <w:wordWrap w:val="0"/>
                  </w:pPr>
                  <w:r>
                    <w:t>闪点℃</w:t>
                  </w:r>
                </w:p>
              </w:tc>
              <w:tc>
                <w:tcPr>
                  <w:tcW w:w="1342" w:type="pct"/>
                  <w:vAlign w:val="center"/>
                </w:tcPr>
                <w:p>
                  <w:pPr>
                    <w:pStyle w:val="43"/>
                    <w:wordWrap w:val="0"/>
                  </w:pPr>
                  <w:r>
                    <w:t>＜65</w:t>
                  </w:r>
                </w:p>
              </w:tc>
              <w:tc>
                <w:tcPr>
                  <w:tcW w:w="947" w:type="pct"/>
                  <w:gridSpan w:val="2"/>
                  <w:vAlign w:val="center"/>
                </w:tcPr>
                <w:p>
                  <w:pPr>
                    <w:pStyle w:val="43"/>
                    <w:wordWrap w:val="0"/>
                  </w:pPr>
                  <w:r>
                    <w:t>自燃点℃</w:t>
                  </w:r>
                </w:p>
              </w:tc>
              <w:tc>
                <w:tcPr>
                  <w:tcW w:w="1838" w:type="pct"/>
                  <w:gridSpan w:val="2"/>
                  <w:vAlign w:val="center"/>
                </w:tcPr>
                <w:p>
                  <w:pPr>
                    <w:pStyle w:val="43"/>
                    <w:wordWrap w:val="0"/>
                  </w:pPr>
                  <w:r>
                    <w:t>350~380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稳定性</w:t>
                  </w:r>
                </w:p>
              </w:tc>
              <w:tc>
                <w:tcPr>
                  <w:tcW w:w="4127" w:type="pct"/>
                  <w:gridSpan w:val="5"/>
                  <w:vAlign w:val="center"/>
                </w:tcPr>
                <w:p>
                  <w:pPr>
                    <w:pStyle w:val="43"/>
                    <w:wordWrap w:val="0"/>
                  </w:pPr>
                  <w:r>
                    <w:t>稳定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危险</w:t>
                  </w:r>
                </w:p>
                <w:p>
                  <w:pPr>
                    <w:pStyle w:val="43"/>
                    <w:wordWrap w:val="0"/>
                  </w:pPr>
                  <w:r>
                    <w:t>特性</w:t>
                  </w:r>
                </w:p>
              </w:tc>
              <w:tc>
                <w:tcPr>
                  <w:tcW w:w="4127" w:type="pct"/>
                  <w:gridSpan w:val="5"/>
                </w:tcPr>
                <w:p>
                  <w:pPr>
                    <w:pStyle w:val="43"/>
                    <w:wordWrap w:val="0"/>
                  </w:pPr>
                  <w: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健康</w:t>
                  </w:r>
                </w:p>
                <w:p>
                  <w:pPr>
                    <w:pStyle w:val="43"/>
                    <w:wordWrap w:val="0"/>
                  </w:pPr>
                  <w:r>
                    <w:t>危害</w:t>
                  </w:r>
                </w:p>
              </w:tc>
              <w:tc>
                <w:tcPr>
                  <w:tcW w:w="4127" w:type="pct"/>
                  <w:gridSpan w:val="5"/>
                </w:tcPr>
                <w:p>
                  <w:pPr>
                    <w:pStyle w:val="43"/>
                    <w:wordWrap w:val="0"/>
                  </w:pPr>
                  <w:r>
                    <w:t>本品对皮肤粘膜有刺激作用。皮肤接触柴油可引起接触性皮炎、油性痤疮。吸入柴油雾滴可引起吸入性肺炎。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restart"/>
                  <w:vAlign w:val="center"/>
                </w:tcPr>
                <w:p>
                  <w:pPr>
                    <w:pStyle w:val="43"/>
                    <w:wordWrap w:val="0"/>
                  </w:pPr>
                  <w:r>
                    <w:t>急救措施</w:t>
                  </w:r>
                </w:p>
              </w:tc>
              <w:tc>
                <w:tcPr>
                  <w:tcW w:w="575" w:type="pct"/>
                  <w:vAlign w:val="center"/>
                </w:tcPr>
                <w:p>
                  <w:pPr>
                    <w:pStyle w:val="43"/>
                    <w:wordWrap w:val="0"/>
                  </w:pPr>
                  <w:r>
                    <w:t>皮肤接触</w:t>
                  </w:r>
                </w:p>
              </w:tc>
              <w:tc>
                <w:tcPr>
                  <w:tcW w:w="4127" w:type="pct"/>
                  <w:gridSpan w:val="5"/>
                </w:tcPr>
                <w:p>
                  <w:pPr>
                    <w:pStyle w:val="43"/>
                    <w:wordWrap w:val="0"/>
                  </w:pPr>
                  <w:r>
                    <w:t>脱去污染的衣着，用肥皂水及清水彻底冲洗。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眼睛接触</w:t>
                  </w:r>
                </w:p>
              </w:tc>
              <w:tc>
                <w:tcPr>
                  <w:tcW w:w="4127" w:type="pct"/>
                  <w:gridSpan w:val="5"/>
                </w:tcPr>
                <w:p>
                  <w:pPr>
                    <w:pStyle w:val="43"/>
                    <w:wordWrap w:val="0"/>
                  </w:pPr>
                  <w:r>
                    <w:t>立即翻开上下眼睑，用流动清水或生理盐水冲洗至少15min。就医。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吸入</w:t>
                  </w:r>
                </w:p>
              </w:tc>
              <w:tc>
                <w:tcPr>
                  <w:tcW w:w="4127" w:type="pct"/>
                  <w:gridSpan w:val="5"/>
                </w:tcPr>
                <w:p>
                  <w:pPr>
                    <w:pStyle w:val="43"/>
                    <w:wordWrap w:val="0"/>
                  </w:pPr>
                  <w:r>
                    <w:t>迅速脱离现场至空气新鲜处，保持呼吸通畅，保暖并休息。呼吸困难时给予输氧。呼吸停止时，立即进行人工呼吸。就医。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PrEx>
              <w:trPr>
                <w:cantSplit/>
                <w:trHeight w:val="23" w:hRule="atLeast"/>
                <w:jc w:val="center"/>
              </w:trPr>
              <w:tc>
                <w:tcPr>
                  <w:tcW w:w="298" w:type="pct"/>
                  <w:vMerge w:val="continue"/>
                  <w:vAlign w:val="center"/>
                </w:tcPr>
                <w:p>
                  <w:pPr>
                    <w:pStyle w:val="43"/>
                    <w:wordWrap w:val="0"/>
                  </w:pPr>
                </w:p>
              </w:tc>
              <w:tc>
                <w:tcPr>
                  <w:tcW w:w="575" w:type="pct"/>
                  <w:vAlign w:val="center"/>
                </w:tcPr>
                <w:p>
                  <w:pPr>
                    <w:pStyle w:val="43"/>
                    <w:wordWrap w:val="0"/>
                  </w:pPr>
                  <w:r>
                    <w:t>食入</w:t>
                  </w:r>
                </w:p>
              </w:tc>
              <w:tc>
                <w:tcPr>
                  <w:tcW w:w="4127" w:type="pct"/>
                  <w:gridSpan w:val="5"/>
                </w:tcPr>
                <w:p>
                  <w:pPr>
                    <w:pStyle w:val="43"/>
                    <w:wordWrap w:val="0"/>
                  </w:pPr>
                  <w:r>
                    <w:t>误食者立即漱口，饮足量温水，尽快洗胃。就医。</w:t>
                  </w:r>
                </w:p>
              </w:tc>
            </w:tr>
          </w:tbl>
          <w:p>
            <w:pPr>
              <w:pStyle w:val="18"/>
              <w:wordWrap w:val="0"/>
              <w:spacing w:after="0" w:line="480" w:lineRule="exact"/>
              <w:ind w:left="0" w:leftChars="0" w:firstLine="480"/>
              <w:rPr>
                <w:sz w:val="24"/>
                <w:szCs w:val="21"/>
              </w:rPr>
            </w:pPr>
            <w:r>
              <w:rPr>
                <w:rFonts w:hint="eastAsia"/>
                <w:sz w:val="24"/>
                <w:szCs w:val="21"/>
              </w:rPr>
              <w:t>根据《危险货物品名表》（GB12268-2012），本拟建工程物质危险性识别见表</w:t>
            </w:r>
            <w:r>
              <w:rPr>
                <w:sz w:val="24"/>
                <w:szCs w:val="21"/>
              </w:rPr>
              <w:t>4-20</w:t>
            </w:r>
            <w:r>
              <w:rPr>
                <w:rFonts w:hint="eastAsia"/>
                <w:sz w:val="24"/>
                <w:szCs w:val="21"/>
              </w:rPr>
              <w:t>。</w:t>
            </w:r>
          </w:p>
          <w:p>
            <w:pPr>
              <w:pStyle w:val="55"/>
              <w:wordWrap w:val="0"/>
              <w:spacing w:line="480" w:lineRule="exact"/>
              <w:rPr>
                <w:rFonts w:ascii="黑体" w:hAnsi="黑体" w:eastAsia="黑体"/>
                <w:b w:val="0"/>
                <w:bCs/>
                <w:sz w:val="24"/>
                <w:szCs w:val="32"/>
              </w:rPr>
            </w:pPr>
            <w:r>
              <w:rPr>
                <w:rFonts w:ascii="黑体" w:hAnsi="黑体" w:eastAsia="黑体"/>
                <w:b w:val="0"/>
                <w:bCs/>
                <w:sz w:val="24"/>
                <w:szCs w:val="32"/>
              </w:rPr>
              <w:t>表4-20  物质危险性识别</w:t>
            </w:r>
            <w:r>
              <w:rPr>
                <w:rFonts w:hint="eastAsia" w:ascii="黑体" w:hAnsi="黑体" w:eastAsia="黑体"/>
                <w:b w:val="0"/>
                <w:bCs/>
                <w:sz w:val="24"/>
                <w:szCs w:val="32"/>
              </w:rPr>
              <w:t>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2724"/>
              <w:gridCol w:w="3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trPr>
              <w:tc>
                <w:tcPr>
                  <w:tcW w:w="1322" w:type="pct"/>
                  <w:tcMar>
                    <w:top w:w="28" w:type="dxa"/>
                    <w:bottom w:w="28" w:type="dxa"/>
                  </w:tcMar>
                  <w:vAlign w:val="center"/>
                </w:tcPr>
                <w:p>
                  <w:pPr>
                    <w:pStyle w:val="43"/>
                    <w:wordWrap w:val="0"/>
                  </w:pPr>
                  <w:r>
                    <w:t>物质名称</w:t>
                  </w:r>
                </w:p>
              </w:tc>
              <w:tc>
                <w:tcPr>
                  <w:tcW w:w="1581" w:type="pct"/>
                  <w:tcMar>
                    <w:top w:w="28" w:type="dxa"/>
                    <w:bottom w:w="28" w:type="dxa"/>
                  </w:tcMar>
                  <w:vAlign w:val="center"/>
                </w:tcPr>
                <w:p>
                  <w:pPr>
                    <w:pStyle w:val="43"/>
                    <w:wordWrap w:val="0"/>
                  </w:pPr>
                  <w:r>
                    <w:t>识别结果</w:t>
                  </w:r>
                </w:p>
              </w:tc>
              <w:tc>
                <w:tcPr>
                  <w:tcW w:w="2097" w:type="pct"/>
                  <w:vAlign w:val="center"/>
                </w:tcPr>
                <w:p>
                  <w:pPr>
                    <w:pStyle w:val="43"/>
                    <w:wordWrap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322" w:type="pct"/>
                  <w:tcMar>
                    <w:top w:w="28" w:type="dxa"/>
                    <w:bottom w:w="28" w:type="dxa"/>
                  </w:tcMar>
                  <w:vAlign w:val="center"/>
                </w:tcPr>
                <w:p>
                  <w:pPr>
                    <w:pStyle w:val="43"/>
                    <w:wordWrap w:val="0"/>
                  </w:pPr>
                  <w:r>
                    <w:t>柴油</w:t>
                  </w:r>
                </w:p>
              </w:tc>
              <w:tc>
                <w:tcPr>
                  <w:tcW w:w="1581" w:type="pct"/>
                  <w:tcMar>
                    <w:top w:w="28" w:type="dxa"/>
                    <w:bottom w:w="28" w:type="dxa"/>
                  </w:tcMar>
                  <w:vAlign w:val="center"/>
                </w:tcPr>
                <w:p>
                  <w:pPr>
                    <w:pStyle w:val="43"/>
                    <w:wordWrap w:val="0"/>
                  </w:pPr>
                  <w:r>
                    <w:t>易燃液体</w:t>
                  </w:r>
                </w:p>
              </w:tc>
              <w:tc>
                <w:tcPr>
                  <w:tcW w:w="2097" w:type="pct"/>
                  <w:vAlign w:val="center"/>
                </w:tcPr>
                <w:p>
                  <w:pPr>
                    <w:pStyle w:val="43"/>
                    <w:wordWrap w:val="0"/>
                  </w:pPr>
                  <w:r>
                    <w:t>《危险货物品名表》GB12268-2012</w:t>
                  </w:r>
                </w:p>
              </w:tc>
            </w:tr>
          </w:tbl>
          <w:p>
            <w:pPr>
              <w:spacing w:line="480" w:lineRule="exact"/>
              <w:ind w:firstLine="480" w:firstLineChars="200"/>
              <w:rPr>
                <w:bCs/>
                <w:sz w:val="24"/>
              </w:rPr>
            </w:pPr>
            <w:r>
              <w:rPr>
                <w:rFonts w:hint="eastAsia"/>
                <w:bCs/>
                <w:sz w:val="24"/>
              </w:rPr>
              <w:t>（</w:t>
            </w:r>
            <w:r>
              <w:rPr>
                <w:bCs/>
                <w:sz w:val="24"/>
              </w:rPr>
              <w:t>2</w:t>
            </w:r>
            <w:r>
              <w:rPr>
                <w:rFonts w:hint="eastAsia"/>
                <w:bCs/>
                <w:sz w:val="24"/>
              </w:rPr>
              <w:t>）</w:t>
            </w:r>
            <w:r>
              <w:rPr>
                <w:bCs/>
                <w:sz w:val="24"/>
              </w:rPr>
              <w:t>评价工作等级</w:t>
            </w:r>
          </w:p>
          <w:p>
            <w:pPr>
              <w:spacing w:line="480" w:lineRule="exact"/>
              <w:ind w:firstLine="480" w:firstLineChars="200"/>
              <w:rPr>
                <w:sz w:val="24"/>
              </w:rPr>
            </w:pPr>
            <w:r>
              <w:rPr>
                <w:sz w:val="24"/>
              </w:rPr>
              <w:t>根据《建设项目环境风险评价技术导则》（HJ 169－2018）附录B表B.1突发环境事件风险物质及临界量，汽油、柴油输油类物质（矿物油类，如石油、汽油、柴油等；生物柴油等），其临界量为2500t；危险物质数量与临界量比值（Q）的大小判定见表4-21。</w:t>
            </w:r>
          </w:p>
          <w:p>
            <w:pPr>
              <w:pStyle w:val="55"/>
              <w:wordWrap w:val="0"/>
              <w:spacing w:line="480" w:lineRule="exact"/>
              <w:rPr>
                <w:rFonts w:ascii="黑体" w:hAnsi="黑体" w:eastAsia="黑体"/>
                <w:b w:val="0"/>
                <w:bCs/>
                <w:sz w:val="24"/>
                <w:szCs w:val="32"/>
              </w:rPr>
            </w:pPr>
          </w:p>
          <w:p>
            <w:pPr>
              <w:pStyle w:val="55"/>
              <w:wordWrap w:val="0"/>
              <w:spacing w:line="480" w:lineRule="exact"/>
              <w:rPr>
                <w:rFonts w:ascii="黑体" w:hAnsi="黑体" w:eastAsia="黑体"/>
                <w:b w:val="0"/>
                <w:bCs/>
                <w:sz w:val="24"/>
                <w:szCs w:val="32"/>
              </w:rPr>
            </w:pPr>
            <w:r>
              <w:rPr>
                <w:rFonts w:ascii="黑体" w:hAnsi="黑体" w:eastAsia="黑体"/>
                <w:b w:val="0"/>
                <w:bCs/>
                <w:sz w:val="24"/>
                <w:szCs w:val="32"/>
              </w:rPr>
              <w:t>表4-21  危险物质数量与临界量比值（Q）的大小判定</w:t>
            </w:r>
          </w:p>
          <w:tbl>
            <w:tblPr>
              <w:tblStyle w:val="1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51"/>
              <w:gridCol w:w="2881"/>
              <w:gridCol w:w="1784"/>
              <w:gridCol w:w="930"/>
              <w:gridCol w:w="896"/>
              <w:gridCol w:w="131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340" w:hRule="atLeast"/>
                <w:jc w:val="center"/>
              </w:trPr>
              <w:tc>
                <w:tcPr>
                  <w:tcW w:w="651" w:type="dxa"/>
                  <w:vAlign w:val="center"/>
                </w:tcPr>
                <w:p>
                  <w:pPr>
                    <w:jc w:val="center"/>
                    <w:rPr>
                      <w:szCs w:val="21"/>
                    </w:rPr>
                  </w:pPr>
                  <w:r>
                    <w:rPr>
                      <w:szCs w:val="21"/>
                    </w:rPr>
                    <w:t>序号</w:t>
                  </w:r>
                </w:p>
              </w:tc>
              <w:tc>
                <w:tcPr>
                  <w:tcW w:w="2881" w:type="dxa"/>
                  <w:vAlign w:val="center"/>
                </w:tcPr>
                <w:p>
                  <w:pPr>
                    <w:jc w:val="center"/>
                    <w:rPr>
                      <w:szCs w:val="21"/>
                    </w:rPr>
                  </w:pPr>
                  <w:r>
                    <w:rPr>
                      <w:szCs w:val="21"/>
                    </w:rPr>
                    <w:t>辨识依据</w:t>
                  </w:r>
                </w:p>
              </w:tc>
              <w:tc>
                <w:tcPr>
                  <w:tcW w:w="1784" w:type="dxa"/>
                  <w:vAlign w:val="center"/>
                </w:tcPr>
                <w:p>
                  <w:pPr>
                    <w:jc w:val="center"/>
                    <w:rPr>
                      <w:szCs w:val="21"/>
                    </w:rPr>
                  </w:pPr>
                  <w:r>
                    <w:rPr>
                      <w:szCs w:val="21"/>
                    </w:rPr>
                    <w:t>危险物质名称</w:t>
                  </w:r>
                </w:p>
              </w:tc>
              <w:tc>
                <w:tcPr>
                  <w:tcW w:w="930" w:type="dxa"/>
                  <w:vAlign w:val="center"/>
                </w:tcPr>
                <w:p>
                  <w:pPr>
                    <w:jc w:val="center"/>
                    <w:rPr>
                      <w:szCs w:val="21"/>
                    </w:rPr>
                  </w:pPr>
                  <w:r>
                    <w:rPr>
                      <w:szCs w:val="21"/>
                    </w:rPr>
                    <w:t>临界量</w:t>
                  </w:r>
                </w:p>
              </w:tc>
              <w:tc>
                <w:tcPr>
                  <w:tcW w:w="896" w:type="dxa"/>
                  <w:vAlign w:val="center"/>
                </w:tcPr>
                <w:p>
                  <w:pPr>
                    <w:jc w:val="center"/>
                    <w:rPr>
                      <w:szCs w:val="21"/>
                    </w:rPr>
                  </w:pPr>
                  <w:r>
                    <w:rPr>
                      <w:szCs w:val="21"/>
                    </w:rPr>
                    <w:t>实际量</w:t>
                  </w:r>
                </w:p>
              </w:tc>
              <w:tc>
                <w:tcPr>
                  <w:tcW w:w="1313" w:type="dxa"/>
                  <w:vAlign w:val="center"/>
                </w:tcPr>
                <w:p>
                  <w:pPr>
                    <w:jc w:val="center"/>
                    <w:rPr>
                      <w:szCs w:val="21"/>
                    </w:rPr>
                  </w:pPr>
                  <w:r>
                    <w:rPr>
                      <w:szCs w:val="21"/>
                    </w:rPr>
                    <w:t>判定结果</w:t>
                  </w:r>
                </w:p>
              </w:tc>
            </w:tr>
            <w:tr>
              <w:tblPrEx>
                <w:tblCellMar>
                  <w:top w:w="0" w:type="dxa"/>
                  <w:left w:w="108" w:type="dxa"/>
                  <w:bottom w:w="0" w:type="dxa"/>
                  <w:right w:w="108" w:type="dxa"/>
                </w:tblCellMar>
              </w:tblPrEx>
              <w:trPr>
                <w:cantSplit/>
                <w:trHeight w:val="340" w:hRule="atLeast"/>
                <w:jc w:val="center"/>
              </w:trPr>
              <w:tc>
                <w:tcPr>
                  <w:tcW w:w="651" w:type="dxa"/>
                  <w:vAlign w:val="center"/>
                </w:tcPr>
                <w:p>
                  <w:pPr>
                    <w:jc w:val="center"/>
                    <w:rPr>
                      <w:szCs w:val="21"/>
                    </w:rPr>
                  </w:pPr>
                  <w:r>
                    <w:rPr>
                      <w:szCs w:val="21"/>
                    </w:rPr>
                    <w:t>1</w:t>
                  </w:r>
                </w:p>
              </w:tc>
              <w:tc>
                <w:tcPr>
                  <w:tcW w:w="2881" w:type="dxa"/>
                  <w:vAlign w:val="center"/>
                </w:tcPr>
                <w:p>
                  <w:pPr>
                    <w:jc w:val="center"/>
                    <w:rPr>
                      <w:szCs w:val="21"/>
                    </w:rPr>
                  </w:pPr>
                  <w:r>
                    <w:rPr>
                      <w:szCs w:val="21"/>
                    </w:rPr>
                    <w:t>《建设项目环境风险评价技术导则》（HJ 169-2018）</w:t>
                  </w:r>
                </w:p>
              </w:tc>
              <w:tc>
                <w:tcPr>
                  <w:tcW w:w="1784" w:type="dxa"/>
                  <w:vAlign w:val="center"/>
                </w:tcPr>
                <w:p>
                  <w:pPr>
                    <w:jc w:val="center"/>
                    <w:rPr>
                      <w:szCs w:val="21"/>
                    </w:rPr>
                  </w:pPr>
                  <w:r>
                    <w:rPr>
                      <w:szCs w:val="21"/>
                    </w:rPr>
                    <w:t>柴油</w:t>
                  </w:r>
                </w:p>
              </w:tc>
              <w:tc>
                <w:tcPr>
                  <w:tcW w:w="930" w:type="dxa"/>
                  <w:vAlign w:val="center"/>
                </w:tcPr>
                <w:p>
                  <w:pPr>
                    <w:jc w:val="center"/>
                    <w:rPr>
                      <w:szCs w:val="21"/>
                    </w:rPr>
                  </w:pPr>
                  <w:r>
                    <w:rPr>
                      <w:szCs w:val="21"/>
                    </w:rPr>
                    <w:t>2500t</w:t>
                  </w:r>
                </w:p>
              </w:tc>
              <w:tc>
                <w:tcPr>
                  <w:tcW w:w="896" w:type="dxa"/>
                  <w:vAlign w:val="center"/>
                </w:tcPr>
                <w:p>
                  <w:pPr>
                    <w:jc w:val="center"/>
                    <w:rPr>
                      <w:szCs w:val="21"/>
                    </w:rPr>
                  </w:pPr>
                  <w:r>
                    <w:rPr>
                      <w:szCs w:val="21"/>
                    </w:rPr>
                    <w:t>10t</w:t>
                  </w:r>
                </w:p>
              </w:tc>
              <w:tc>
                <w:tcPr>
                  <w:tcW w:w="1313" w:type="dxa"/>
                  <w:vAlign w:val="center"/>
                </w:tcPr>
                <w:p>
                  <w:pPr>
                    <w:jc w:val="center"/>
                    <w:rPr>
                      <w:szCs w:val="21"/>
                    </w:rPr>
                  </w:pPr>
                  <w:r>
                    <w:rPr>
                      <w:szCs w:val="21"/>
                    </w:rPr>
                    <w:t>Q值小于1</w:t>
                  </w:r>
                </w:p>
              </w:tc>
            </w:tr>
          </w:tbl>
          <w:p>
            <w:pPr>
              <w:spacing w:line="480" w:lineRule="exact"/>
              <w:ind w:firstLine="480" w:firstLineChars="200"/>
              <w:rPr>
                <w:sz w:val="24"/>
              </w:rPr>
            </w:pPr>
            <w:r>
              <w:rPr>
                <w:sz w:val="24"/>
              </w:rPr>
              <w:t>据表4-21可知危险物质数量与临界量比值（Q）小于1，根据《建设项目环境风险评价技术导则》（HJ 169－2018）附录C的相关规定，当Q＜1时，该项目风险潜势为Ⅰ。综上，本项目环境风险评价工作等级为简单分析。</w:t>
            </w:r>
          </w:p>
          <w:p>
            <w:pPr>
              <w:spacing w:line="480" w:lineRule="exact"/>
              <w:ind w:firstLine="480" w:firstLineChars="200"/>
              <w:rPr>
                <w:sz w:val="24"/>
              </w:rPr>
            </w:pPr>
            <w:r>
              <w:rPr>
                <w:sz w:val="24"/>
              </w:rPr>
              <w:t>本项目环境风险简单分析内容见表4-22。</w:t>
            </w:r>
          </w:p>
          <w:p>
            <w:pPr>
              <w:pStyle w:val="55"/>
              <w:wordWrap w:val="0"/>
              <w:spacing w:line="480" w:lineRule="exact"/>
              <w:rPr>
                <w:rFonts w:ascii="黑体" w:hAnsi="黑体" w:eastAsia="黑体"/>
                <w:b w:val="0"/>
                <w:bCs/>
                <w:sz w:val="24"/>
                <w:szCs w:val="32"/>
              </w:rPr>
            </w:pPr>
            <w:r>
              <w:rPr>
                <w:rFonts w:ascii="黑体" w:hAnsi="黑体" w:eastAsia="黑体"/>
                <w:b w:val="0"/>
                <w:bCs/>
                <w:sz w:val="24"/>
                <w:szCs w:val="32"/>
              </w:rPr>
              <w:t>表4-22  建设项目环境风险简单分析内容表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1323"/>
              <w:gridCol w:w="2031"/>
              <w:gridCol w:w="999"/>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pStyle w:val="63"/>
                    <w:ind w:left="420" w:right="-147"/>
                    <w:rPr>
                      <w:rFonts w:eastAsia="宋体"/>
                      <w:color w:val="auto"/>
                    </w:rPr>
                  </w:pPr>
                  <w:r>
                    <w:rPr>
                      <w:rFonts w:eastAsia="宋体"/>
                      <w:color w:val="auto"/>
                    </w:rPr>
                    <w:t>建设项目名称</w:t>
                  </w:r>
                </w:p>
              </w:tc>
              <w:tc>
                <w:tcPr>
                  <w:tcW w:w="3617" w:type="pct"/>
                  <w:gridSpan w:val="4"/>
                  <w:vAlign w:val="center"/>
                </w:tcPr>
                <w:p>
                  <w:pPr>
                    <w:pStyle w:val="63"/>
                    <w:ind w:left="420" w:right="-147"/>
                    <w:rPr>
                      <w:rFonts w:ascii="宋体" w:eastAsia="宋体"/>
                      <w:color w:val="auto"/>
                    </w:rPr>
                  </w:pPr>
                  <w:r>
                    <w:rPr>
                      <w:rFonts w:hint="eastAsia" w:ascii="宋体" w:eastAsia="宋体"/>
                      <w:bCs/>
                      <w:color w:val="auto"/>
                    </w:rPr>
                    <w:t>五台县殡仪馆项目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spacing w:line="320" w:lineRule="exact"/>
                    <w:jc w:val="center"/>
                    <w:rPr>
                      <w:szCs w:val="21"/>
                    </w:rPr>
                  </w:pPr>
                  <w:r>
                    <w:rPr>
                      <w:szCs w:val="21"/>
                    </w:rPr>
                    <w:t>建设地点</w:t>
                  </w:r>
                </w:p>
              </w:tc>
              <w:tc>
                <w:tcPr>
                  <w:tcW w:w="3617" w:type="pct"/>
                  <w:gridSpan w:val="4"/>
                  <w:vAlign w:val="center"/>
                </w:tcPr>
                <w:p>
                  <w:pPr>
                    <w:spacing w:line="320" w:lineRule="exact"/>
                    <w:jc w:val="center"/>
                    <w:rPr>
                      <w:szCs w:val="21"/>
                    </w:rPr>
                  </w:pPr>
                  <w:r>
                    <w:rPr>
                      <w:bCs/>
                      <w:szCs w:val="21"/>
                    </w:rPr>
                    <w:t>山西省忻州市五台县茹村乡东茹村恶山坪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spacing w:line="320" w:lineRule="exact"/>
                    <w:jc w:val="center"/>
                    <w:rPr>
                      <w:szCs w:val="21"/>
                    </w:rPr>
                  </w:pPr>
                  <w:r>
                    <w:rPr>
                      <w:szCs w:val="21"/>
                    </w:rPr>
                    <w:t>地理坐标</w:t>
                  </w:r>
                </w:p>
              </w:tc>
              <w:tc>
                <w:tcPr>
                  <w:tcW w:w="768" w:type="pct"/>
                  <w:vAlign w:val="center"/>
                </w:tcPr>
                <w:p>
                  <w:pPr>
                    <w:spacing w:line="320" w:lineRule="exact"/>
                    <w:jc w:val="center"/>
                    <w:rPr>
                      <w:szCs w:val="21"/>
                    </w:rPr>
                  </w:pPr>
                  <w:r>
                    <w:rPr>
                      <w:szCs w:val="21"/>
                    </w:rPr>
                    <w:t>经度</w:t>
                  </w:r>
                </w:p>
              </w:tc>
              <w:tc>
                <w:tcPr>
                  <w:tcW w:w="1179" w:type="pct"/>
                  <w:vAlign w:val="center"/>
                </w:tcPr>
                <w:p>
                  <w:pPr>
                    <w:spacing w:line="320" w:lineRule="exact"/>
                    <w:jc w:val="center"/>
                    <w:rPr>
                      <w:szCs w:val="21"/>
                    </w:rPr>
                  </w:pPr>
                  <w:r>
                    <w:rPr>
                      <w:rFonts w:hint="eastAsia"/>
                      <w:szCs w:val="21"/>
                    </w:rPr>
                    <w:t>113 度 22 分 55.801 秒</w:t>
                  </w:r>
                </w:p>
              </w:tc>
              <w:tc>
                <w:tcPr>
                  <w:tcW w:w="580" w:type="pct"/>
                  <w:vAlign w:val="center"/>
                </w:tcPr>
                <w:p>
                  <w:pPr>
                    <w:spacing w:line="320" w:lineRule="exact"/>
                    <w:jc w:val="center"/>
                    <w:rPr>
                      <w:szCs w:val="21"/>
                    </w:rPr>
                  </w:pPr>
                  <w:r>
                    <w:rPr>
                      <w:szCs w:val="21"/>
                    </w:rPr>
                    <w:t>纬度</w:t>
                  </w:r>
                </w:p>
              </w:tc>
              <w:tc>
                <w:tcPr>
                  <w:tcW w:w="1090" w:type="pct"/>
                  <w:vAlign w:val="center"/>
                </w:tcPr>
                <w:p>
                  <w:pPr>
                    <w:spacing w:line="320" w:lineRule="exact"/>
                    <w:jc w:val="center"/>
                    <w:rPr>
                      <w:szCs w:val="21"/>
                    </w:rPr>
                  </w:pPr>
                  <w:r>
                    <w:rPr>
                      <w:szCs w:val="21"/>
                    </w:rPr>
                    <w:t>38 度 44 分 9.293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spacing w:line="320" w:lineRule="exact"/>
                    <w:jc w:val="center"/>
                    <w:rPr>
                      <w:szCs w:val="21"/>
                    </w:rPr>
                  </w:pPr>
                  <w:r>
                    <w:rPr>
                      <w:szCs w:val="21"/>
                    </w:rPr>
                    <w:t>主要危险物质及分布</w:t>
                  </w:r>
                </w:p>
              </w:tc>
              <w:tc>
                <w:tcPr>
                  <w:tcW w:w="3617" w:type="pct"/>
                  <w:gridSpan w:val="4"/>
                  <w:vAlign w:val="center"/>
                </w:tcPr>
                <w:p>
                  <w:pPr>
                    <w:spacing w:line="320" w:lineRule="exact"/>
                    <w:jc w:val="center"/>
                    <w:rPr>
                      <w:szCs w:val="21"/>
                    </w:rPr>
                  </w:pPr>
                  <w:r>
                    <w:rPr>
                      <w:szCs w:val="21"/>
                    </w:rPr>
                    <w:t>危险物质：柴油；位置：柴油储存区。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spacing w:line="320" w:lineRule="exact"/>
                    <w:jc w:val="center"/>
                    <w:rPr>
                      <w:szCs w:val="21"/>
                    </w:rPr>
                  </w:pPr>
                  <w:r>
                    <w:rPr>
                      <w:szCs w:val="21"/>
                    </w:rPr>
                    <w:t>环境影响途径及危害后果（大气、地表水、地下水等）</w:t>
                  </w:r>
                </w:p>
              </w:tc>
              <w:tc>
                <w:tcPr>
                  <w:tcW w:w="3617" w:type="pct"/>
                  <w:gridSpan w:val="4"/>
                  <w:vAlign w:val="center"/>
                </w:tcPr>
                <w:p>
                  <w:pPr>
                    <w:spacing w:line="320" w:lineRule="exact"/>
                    <w:rPr>
                      <w:szCs w:val="21"/>
                      <w:lang w:bidi="en-US"/>
                    </w:rPr>
                  </w:pPr>
                  <w:r>
                    <w:rPr>
                      <w:szCs w:val="21"/>
                      <w:lang w:bidi="en-US"/>
                    </w:rPr>
                    <w:t>本项目主要风险物质为柴油，在使用、储存过程中</w:t>
                  </w:r>
                  <w:r>
                    <w:rPr>
                      <w:rFonts w:hint="eastAsia"/>
                      <w:szCs w:val="21"/>
                      <w:lang w:bidi="en-US"/>
                    </w:rPr>
                    <w:t>存在</w:t>
                  </w:r>
                  <w:r>
                    <w:rPr>
                      <w:szCs w:val="21"/>
                      <w:lang w:bidi="en-US"/>
                    </w:rPr>
                    <w:t>泄露</w:t>
                  </w:r>
                  <w:r>
                    <w:rPr>
                      <w:rFonts w:hint="eastAsia"/>
                      <w:szCs w:val="21"/>
                      <w:lang w:bidi="en-US"/>
                    </w:rPr>
                    <w:t>、发生火灾爆炸的风险</w:t>
                  </w:r>
                  <w:r>
                    <w:rPr>
                      <w:szCs w:val="21"/>
                      <w:lang w:bidi="en-US"/>
                    </w:rPr>
                    <w:t>，可能对土壤、地下水</w:t>
                  </w:r>
                  <w:r>
                    <w:rPr>
                      <w:rFonts w:hint="eastAsia"/>
                      <w:szCs w:val="21"/>
                      <w:lang w:bidi="en-US"/>
                    </w:rPr>
                    <w:t>、地表水、大气环境</w:t>
                  </w:r>
                  <w:r>
                    <w:rPr>
                      <w:szCs w:val="21"/>
                      <w:lang w:bidi="en-US"/>
                    </w:rPr>
                    <w:t>造成污染。</w:t>
                  </w:r>
                </w:p>
                <w:p>
                  <w:pPr>
                    <w:spacing w:line="320" w:lineRule="exact"/>
                    <w:rPr>
                      <w:szCs w:val="21"/>
                    </w:rPr>
                  </w:pPr>
                  <w:r>
                    <w:rPr>
                      <w:szCs w:val="21"/>
                    </w:rPr>
                    <w:t>柴油泄露</w:t>
                  </w:r>
                  <w:r>
                    <w:rPr>
                      <w:rFonts w:hint="eastAsia"/>
                      <w:szCs w:val="21"/>
                    </w:rPr>
                    <w:t>造成地表水、地下水、土壤污染；</w:t>
                  </w:r>
                  <w:r>
                    <w:rPr>
                      <w:szCs w:val="21"/>
                    </w:rPr>
                    <w:t>火灾爆炸事故，产生次生污染物，如一氧化碳，对大气环境造成污染。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3" w:type="pct"/>
                  <w:vAlign w:val="center"/>
                </w:tcPr>
                <w:p>
                  <w:pPr>
                    <w:spacing w:line="320" w:lineRule="exact"/>
                    <w:jc w:val="center"/>
                    <w:rPr>
                      <w:szCs w:val="21"/>
                    </w:rPr>
                  </w:pPr>
                  <w:r>
                    <w:rPr>
                      <w:szCs w:val="21"/>
                    </w:rPr>
                    <w:t>风险防控措施要求</w:t>
                  </w:r>
                </w:p>
              </w:tc>
              <w:tc>
                <w:tcPr>
                  <w:tcW w:w="3617" w:type="pct"/>
                  <w:gridSpan w:val="4"/>
                  <w:vAlign w:val="center"/>
                </w:tcPr>
                <w:p>
                  <w:pPr>
                    <w:spacing w:line="320" w:lineRule="exact"/>
                    <w:rPr>
                      <w:szCs w:val="21"/>
                      <w:lang w:bidi="en-US"/>
                    </w:rPr>
                  </w:pPr>
                  <w:r>
                    <w:rPr>
                      <w:szCs w:val="21"/>
                      <w:lang w:bidi="en-US"/>
                    </w:rPr>
                    <w:t>a.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pPr>
                    <w:spacing w:line="320" w:lineRule="exact"/>
                    <w:rPr>
                      <w:szCs w:val="21"/>
                      <w:lang w:bidi="en-US"/>
                    </w:rPr>
                  </w:pPr>
                  <w:r>
                    <w:rPr>
                      <w:szCs w:val="21"/>
                      <w:lang w:bidi="en-US"/>
                    </w:rPr>
                    <w:t xml:space="preserve">b.火化间和柴油储存区内应配备灭火器、消防砂箱和防毒面具等消防应急设备，并定期检查设备有效性； </w:t>
                  </w:r>
                </w:p>
                <w:p>
                  <w:pPr>
                    <w:spacing w:line="320" w:lineRule="exact"/>
                    <w:rPr>
                      <w:szCs w:val="21"/>
                      <w:lang w:bidi="en-US"/>
                    </w:rPr>
                  </w:pPr>
                  <w:r>
                    <w:rPr>
                      <w:szCs w:val="21"/>
                      <w:lang w:bidi="en-US"/>
                    </w:rPr>
                    <w:t>c.事故处理完毕后将泄漏液转移至槽车或专用的收集容器内，再做进一步处置。</w:t>
                  </w:r>
                </w:p>
                <w:p>
                  <w:pPr>
                    <w:spacing w:line="320" w:lineRule="exact"/>
                    <w:rPr>
                      <w:szCs w:val="21"/>
                    </w:rPr>
                  </w:pPr>
                  <w:r>
                    <w:rPr>
                      <w:rFonts w:hint="eastAsia"/>
                      <w:szCs w:val="21"/>
                    </w:rPr>
                    <w:t>d.设置围堰。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5"/>
                  <w:vAlign w:val="center"/>
                </w:tcPr>
                <w:p>
                  <w:pPr>
                    <w:spacing w:line="320" w:lineRule="exact"/>
                    <w:jc w:val="center"/>
                    <w:rPr>
                      <w:szCs w:val="21"/>
                    </w:rPr>
                  </w:pPr>
                  <w:r>
                    <w:rPr>
                      <w:szCs w:val="21"/>
                    </w:rPr>
                    <w:t>填表说明（列出项目相关信息及评价说明）</w:t>
                  </w:r>
                </w:p>
              </w:tc>
            </w:tr>
          </w:tbl>
          <w:p>
            <w:pPr>
              <w:adjustRightInd w:val="0"/>
              <w:snapToGrid w:val="0"/>
              <w:spacing w:line="480" w:lineRule="exact"/>
              <w:ind w:firstLine="482" w:firstLineChars="200"/>
              <w:rPr>
                <w:sz w:val="24"/>
              </w:rPr>
            </w:pPr>
            <w:r>
              <w:rPr>
                <w:b/>
                <w:bCs/>
                <w:sz w:val="24"/>
              </w:rPr>
              <w:t>7</w:t>
            </w:r>
            <w:r>
              <w:rPr>
                <w:rFonts w:hint="eastAsia"/>
                <w:b/>
                <w:bCs/>
                <w:sz w:val="24"/>
              </w:rPr>
              <w:t>、</w:t>
            </w:r>
            <w:r>
              <w:rPr>
                <w:rFonts w:hAnsi="宋体"/>
                <w:b/>
                <w:sz w:val="24"/>
                <w:szCs w:val="20"/>
              </w:rPr>
              <w:t>环保设备投资估算</w:t>
            </w:r>
          </w:p>
          <w:p>
            <w:pPr>
              <w:adjustRightInd w:val="0"/>
              <w:snapToGrid w:val="0"/>
              <w:spacing w:line="480" w:lineRule="exact"/>
              <w:ind w:firstLine="480" w:firstLineChars="200"/>
              <w:rPr>
                <w:sz w:val="24"/>
              </w:rPr>
            </w:pPr>
            <w:r>
              <w:rPr>
                <w:sz w:val="24"/>
              </w:rPr>
              <w:t>本项目主要环保投资估算见</w:t>
            </w:r>
            <w:r>
              <w:rPr>
                <w:rFonts w:hint="eastAsia"/>
                <w:sz w:val="24"/>
              </w:rPr>
              <w:t>下</w:t>
            </w:r>
            <w:r>
              <w:rPr>
                <w:sz w:val="24"/>
              </w:rPr>
              <w:t>表</w:t>
            </w:r>
            <w:r>
              <w:rPr>
                <w:rFonts w:hint="eastAsia"/>
                <w:sz w:val="24"/>
              </w:rPr>
              <w:t>。</w:t>
            </w:r>
          </w:p>
          <w:p>
            <w:pPr>
              <w:pStyle w:val="66"/>
              <w:spacing w:line="480" w:lineRule="exact"/>
              <w:ind w:firstLine="480"/>
              <w:rPr>
                <w:rFonts w:ascii="黑体" w:hAnsi="黑体" w:eastAsia="黑体"/>
              </w:rPr>
            </w:pPr>
          </w:p>
          <w:p>
            <w:pPr>
              <w:pStyle w:val="66"/>
              <w:spacing w:line="480" w:lineRule="exact"/>
              <w:ind w:firstLine="480"/>
              <w:rPr>
                <w:rFonts w:ascii="黑体" w:hAnsi="黑体" w:eastAsia="黑体"/>
              </w:rPr>
            </w:pPr>
          </w:p>
          <w:p>
            <w:pPr>
              <w:pStyle w:val="66"/>
              <w:spacing w:line="480" w:lineRule="exact"/>
              <w:ind w:firstLine="480"/>
              <w:rPr>
                <w:rFonts w:ascii="黑体" w:hAnsi="黑体" w:eastAsia="黑体"/>
              </w:rPr>
            </w:pPr>
          </w:p>
          <w:p>
            <w:pPr>
              <w:pStyle w:val="66"/>
              <w:spacing w:line="480" w:lineRule="exact"/>
              <w:ind w:firstLine="480"/>
              <w:rPr>
                <w:rFonts w:ascii="黑体" w:hAnsi="黑体" w:eastAsia="黑体"/>
              </w:rPr>
            </w:pPr>
          </w:p>
          <w:p>
            <w:pPr>
              <w:pStyle w:val="66"/>
              <w:spacing w:line="480" w:lineRule="exact"/>
              <w:ind w:firstLine="480"/>
              <w:rPr>
                <w:rFonts w:ascii="黑体" w:hAnsi="黑体" w:eastAsia="黑体"/>
              </w:rPr>
            </w:pPr>
          </w:p>
          <w:p>
            <w:pPr>
              <w:pStyle w:val="66"/>
              <w:spacing w:line="480" w:lineRule="exact"/>
              <w:ind w:firstLine="480"/>
              <w:rPr>
                <w:rFonts w:ascii="黑体" w:hAnsi="黑体" w:eastAsia="黑体"/>
              </w:rPr>
            </w:pPr>
            <w:r>
              <w:rPr>
                <w:rFonts w:ascii="黑体" w:hAnsi="黑体" w:eastAsia="黑体"/>
              </w:rPr>
              <w:t xml:space="preserve">表4-23  </w:t>
            </w:r>
            <w:r>
              <w:rPr>
                <w:rFonts w:hint="eastAsia" w:ascii="黑体" w:hAnsi="黑体" w:eastAsia="黑体"/>
              </w:rPr>
              <w:t>本项目</w:t>
            </w:r>
            <w:r>
              <w:rPr>
                <w:rFonts w:ascii="黑体" w:hAnsi="黑体" w:eastAsia="黑体"/>
              </w:rPr>
              <w:t>环保设备投资估算表</w:t>
            </w:r>
            <w:r>
              <w:rPr>
                <w:rFonts w:hint="eastAsia" w:ascii="黑体" w:hAnsi="黑体" w:eastAsia="黑体"/>
              </w:rPr>
              <w:t xml:space="preserve"> </w:t>
            </w:r>
            <w:r>
              <w:rPr>
                <w:rFonts w:ascii="黑体" w:hAnsi="黑体" w:eastAsia="黑体"/>
              </w:rPr>
              <w:t>（万元）</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1651"/>
              <w:gridCol w:w="1423"/>
              <w:gridCol w:w="3947"/>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Align w:val="center"/>
                </w:tcPr>
                <w:p>
                  <w:pPr>
                    <w:jc w:val="center"/>
                    <w:rPr>
                      <w:bCs/>
                      <w:szCs w:val="21"/>
                    </w:rPr>
                  </w:pPr>
                  <w:r>
                    <w:rPr>
                      <w:rFonts w:hint="eastAsia"/>
                      <w:bCs/>
                      <w:szCs w:val="21"/>
                    </w:rPr>
                    <w:t>项目</w:t>
                  </w:r>
                </w:p>
              </w:tc>
              <w:tc>
                <w:tcPr>
                  <w:tcW w:w="958" w:type="pct"/>
                  <w:vAlign w:val="center"/>
                </w:tcPr>
                <w:p>
                  <w:pPr>
                    <w:jc w:val="center"/>
                    <w:rPr>
                      <w:bCs/>
                      <w:szCs w:val="21"/>
                    </w:rPr>
                  </w:pPr>
                  <w:r>
                    <w:rPr>
                      <w:rFonts w:hint="eastAsia"/>
                      <w:bCs/>
                      <w:szCs w:val="21"/>
                    </w:rPr>
                    <w:t>污染环节</w:t>
                  </w:r>
                </w:p>
              </w:tc>
              <w:tc>
                <w:tcPr>
                  <w:tcW w:w="826" w:type="pct"/>
                  <w:vAlign w:val="center"/>
                </w:tcPr>
                <w:p>
                  <w:pPr>
                    <w:jc w:val="center"/>
                    <w:rPr>
                      <w:bCs/>
                      <w:szCs w:val="21"/>
                    </w:rPr>
                  </w:pPr>
                  <w:r>
                    <w:rPr>
                      <w:rFonts w:hint="eastAsia"/>
                      <w:bCs/>
                      <w:szCs w:val="21"/>
                    </w:rPr>
                    <w:t>污染物</w:t>
                  </w:r>
                </w:p>
              </w:tc>
              <w:tc>
                <w:tcPr>
                  <w:tcW w:w="2291" w:type="pct"/>
                  <w:vAlign w:val="center"/>
                </w:tcPr>
                <w:p>
                  <w:pPr>
                    <w:jc w:val="center"/>
                    <w:rPr>
                      <w:bCs/>
                      <w:szCs w:val="21"/>
                    </w:rPr>
                  </w:pPr>
                  <w:r>
                    <w:rPr>
                      <w:rFonts w:hint="eastAsia"/>
                      <w:bCs/>
                      <w:szCs w:val="21"/>
                    </w:rPr>
                    <w:t>环保设施</w:t>
                  </w:r>
                </w:p>
              </w:tc>
              <w:tc>
                <w:tcPr>
                  <w:tcW w:w="529" w:type="pct"/>
                  <w:vAlign w:val="center"/>
                </w:tcPr>
                <w:p>
                  <w:pPr>
                    <w:jc w:val="center"/>
                    <w:rPr>
                      <w:bCs/>
                      <w:szCs w:val="21"/>
                    </w:rPr>
                  </w:pPr>
                  <w:r>
                    <w:rPr>
                      <w:rFonts w:hint="eastAsia"/>
                      <w:bCs/>
                      <w:szCs w:val="21"/>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vMerge w:val="restart"/>
                  <w:vAlign w:val="center"/>
                </w:tcPr>
                <w:p>
                  <w:pPr>
                    <w:jc w:val="center"/>
                    <w:rPr>
                      <w:bCs/>
                      <w:szCs w:val="21"/>
                    </w:rPr>
                  </w:pPr>
                  <w:r>
                    <w:rPr>
                      <w:rFonts w:hint="eastAsia"/>
                      <w:bCs/>
                      <w:szCs w:val="21"/>
                    </w:rPr>
                    <w:t>环境空气</w:t>
                  </w:r>
                </w:p>
              </w:tc>
              <w:tc>
                <w:tcPr>
                  <w:tcW w:w="958" w:type="pct"/>
                  <w:vAlign w:val="center"/>
                </w:tcPr>
                <w:p>
                  <w:pPr>
                    <w:pStyle w:val="68"/>
                    <w:widowControl w:val="0"/>
                    <w:snapToGrid/>
                    <w:rPr>
                      <w:szCs w:val="18"/>
                    </w:rPr>
                  </w:pPr>
                  <w:r>
                    <w:rPr>
                      <w:rFonts w:hint="eastAsia"/>
                    </w:rPr>
                    <w:t>火化机废气</w:t>
                  </w:r>
                </w:p>
              </w:tc>
              <w:tc>
                <w:tcPr>
                  <w:tcW w:w="826" w:type="pct"/>
                  <w:vAlign w:val="center"/>
                </w:tcPr>
                <w:p>
                  <w:pPr>
                    <w:jc w:val="center"/>
                    <w:rPr>
                      <w:bCs/>
                      <w:szCs w:val="21"/>
                    </w:rPr>
                  </w:pPr>
                  <w:r>
                    <w:rPr>
                      <w:rFonts w:hint="eastAsia"/>
                      <w:bCs/>
                      <w:szCs w:val="21"/>
                    </w:rPr>
                    <w:t>烟尘、S</w:t>
                  </w:r>
                  <w:r>
                    <w:rPr>
                      <w:bCs/>
                      <w:szCs w:val="21"/>
                    </w:rPr>
                    <w:t>O</w:t>
                  </w:r>
                  <w:r>
                    <w:rPr>
                      <w:bCs/>
                      <w:szCs w:val="21"/>
                      <w:vertAlign w:val="subscript"/>
                    </w:rPr>
                    <w:t>2</w:t>
                  </w:r>
                  <w:r>
                    <w:rPr>
                      <w:rFonts w:hint="eastAsia"/>
                      <w:bCs/>
                      <w:szCs w:val="21"/>
                    </w:rPr>
                    <w:t>、N</w:t>
                  </w:r>
                  <w:r>
                    <w:rPr>
                      <w:bCs/>
                      <w:szCs w:val="21"/>
                    </w:rPr>
                    <w:t>O</w:t>
                  </w:r>
                  <w:r>
                    <w:rPr>
                      <w:bCs/>
                      <w:szCs w:val="21"/>
                      <w:vertAlign w:val="subscript"/>
                    </w:rPr>
                    <w:t>x</w:t>
                  </w:r>
                  <w:r>
                    <w:rPr>
                      <w:rFonts w:hint="eastAsia"/>
                      <w:bCs/>
                      <w:szCs w:val="21"/>
                    </w:rPr>
                    <w:t>、C</w:t>
                  </w:r>
                  <w:r>
                    <w:rPr>
                      <w:bCs/>
                      <w:szCs w:val="21"/>
                    </w:rPr>
                    <w:t>O</w:t>
                  </w:r>
                  <w:r>
                    <w:rPr>
                      <w:rFonts w:hint="eastAsia"/>
                      <w:bCs/>
                      <w:szCs w:val="21"/>
                    </w:rPr>
                    <w:t>、H</w:t>
                  </w:r>
                  <w:r>
                    <w:rPr>
                      <w:bCs/>
                      <w:szCs w:val="21"/>
                    </w:rPr>
                    <w:t>C</w:t>
                  </w:r>
                  <w:r>
                    <w:rPr>
                      <w:rFonts w:hint="eastAsia"/>
                      <w:bCs/>
                      <w:szCs w:val="21"/>
                    </w:rPr>
                    <w:t>l、汞、二噁英类</w:t>
                  </w:r>
                </w:p>
              </w:tc>
              <w:tc>
                <w:tcPr>
                  <w:tcW w:w="2291" w:type="pct"/>
                  <w:vAlign w:val="center"/>
                </w:tcPr>
                <w:p>
                  <w:pPr>
                    <w:pStyle w:val="46"/>
                    <w:snapToGrid/>
                    <w:spacing w:before="0" w:after="0" w:line="240" w:lineRule="auto"/>
                    <w:ind w:firstLine="0" w:firstLineChars="0"/>
                    <w:jc w:val="left"/>
                    <w:rPr>
                      <w:sz w:val="21"/>
                      <w:szCs w:val="21"/>
                    </w:rPr>
                  </w:pPr>
                  <w:r>
                    <w:rPr>
                      <w:rFonts w:hint="eastAsia"/>
                      <w:sz w:val="21"/>
                      <w:szCs w:val="21"/>
                    </w:rPr>
                    <w:t>3台节能环保火化机分别单独配置一套废气处理设施+1根12m高排气筒；共3套废气处理设施，3根排气筒。</w:t>
                  </w:r>
                </w:p>
                <w:p>
                  <w:pPr>
                    <w:pStyle w:val="46"/>
                    <w:snapToGrid/>
                    <w:spacing w:before="0" w:after="0" w:line="240" w:lineRule="auto"/>
                    <w:ind w:firstLine="0" w:firstLineChars="0"/>
                    <w:jc w:val="left"/>
                    <w:rPr>
                      <w:sz w:val="21"/>
                      <w:szCs w:val="21"/>
                    </w:rPr>
                  </w:pPr>
                  <w:r>
                    <w:rPr>
                      <w:rFonts w:hint="eastAsia"/>
                      <w:sz w:val="21"/>
                      <w:szCs w:val="21"/>
                    </w:rPr>
                    <w:t>烟气净化采用急冷装置+半干法脱硫+旋风离心器+活性炭喷射+布袋除尘器组合方案。</w:t>
                  </w:r>
                </w:p>
              </w:tc>
              <w:tc>
                <w:tcPr>
                  <w:tcW w:w="529" w:type="pct"/>
                  <w:vAlign w:val="center"/>
                </w:tcPr>
                <w:p>
                  <w:pPr>
                    <w:jc w:val="center"/>
                    <w:rPr>
                      <w:bCs/>
                      <w:szCs w:val="21"/>
                    </w:rPr>
                  </w:pPr>
                  <w:r>
                    <w:rPr>
                      <w:bCs/>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widowControl/>
                    <w:jc w:val="center"/>
                    <w:rPr>
                      <w:bCs/>
                      <w:szCs w:val="21"/>
                    </w:rPr>
                  </w:pPr>
                </w:p>
              </w:tc>
              <w:tc>
                <w:tcPr>
                  <w:tcW w:w="958" w:type="pct"/>
                  <w:vAlign w:val="center"/>
                </w:tcPr>
                <w:p>
                  <w:pPr>
                    <w:pStyle w:val="68"/>
                    <w:widowControl w:val="0"/>
                    <w:snapToGrid/>
                    <w:rPr>
                      <w:szCs w:val="18"/>
                    </w:rPr>
                  </w:pPr>
                  <w:r>
                    <w:rPr>
                      <w:rFonts w:hint="eastAsia"/>
                      <w:szCs w:val="18"/>
                    </w:rPr>
                    <w:t>遗物祭品焚烧炉废气</w:t>
                  </w:r>
                </w:p>
              </w:tc>
              <w:tc>
                <w:tcPr>
                  <w:tcW w:w="826" w:type="pct"/>
                  <w:vAlign w:val="center"/>
                </w:tcPr>
                <w:p>
                  <w:pPr>
                    <w:widowControl/>
                    <w:jc w:val="center"/>
                    <w:rPr>
                      <w:bCs/>
                      <w:szCs w:val="21"/>
                    </w:rPr>
                  </w:pPr>
                  <w:r>
                    <w:rPr>
                      <w:rFonts w:hint="eastAsia"/>
                      <w:bCs/>
                      <w:szCs w:val="21"/>
                    </w:rPr>
                    <w:t>烟尘、S</w:t>
                  </w:r>
                  <w:r>
                    <w:rPr>
                      <w:bCs/>
                      <w:szCs w:val="21"/>
                    </w:rPr>
                    <w:t>O</w:t>
                  </w:r>
                  <w:r>
                    <w:rPr>
                      <w:bCs/>
                      <w:szCs w:val="21"/>
                      <w:vertAlign w:val="subscript"/>
                    </w:rPr>
                    <w:t>2</w:t>
                  </w:r>
                  <w:r>
                    <w:rPr>
                      <w:rFonts w:hint="eastAsia"/>
                      <w:bCs/>
                      <w:szCs w:val="21"/>
                    </w:rPr>
                    <w:t>、N</w:t>
                  </w:r>
                  <w:r>
                    <w:rPr>
                      <w:bCs/>
                      <w:szCs w:val="21"/>
                    </w:rPr>
                    <w:t>O</w:t>
                  </w:r>
                  <w:r>
                    <w:rPr>
                      <w:bCs/>
                      <w:szCs w:val="21"/>
                      <w:vertAlign w:val="subscript"/>
                    </w:rPr>
                    <w:t>x</w:t>
                  </w:r>
                  <w:r>
                    <w:rPr>
                      <w:rFonts w:hint="eastAsia"/>
                      <w:bCs/>
                      <w:szCs w:val="21"/>
                    </w:rPr>
                    <w:t>、C</w:t>
                  </w:r>
                  <w:r>
                    <w:rPr>
                      <w:bCs/>
                      <w:szCs w:val="21"/>
                    </w:rPr>
                    <w:t>O</w:t>
                  </w:r>
                  <w:r>
                    <w:rPr>
                      <w:rFonts w:hint="eastAsia"/>
                      <w:bCs/>
                      <w:szCs w:val="21"/>
                    </w:rPr>
                    <w:t>、H</w:t>
                  </w:r>
                  <w:r>
                    <w:rPr>
                      <w:bCs/>
                      <w:szCs w:val="21"/>
                    </w:rPr>
                    <w:t>C</w:t>
                  </w:r>
                  <w:r>
                    <w:rPr>
                      <w:rFonts w:hint="eastAsia"/>
                      <w:bCs/>
                      <w:szCs w:val="21"/>
                    </w:rPr>
                    <w:t>l、二噁英类</w:t>
                  </w:r>
                </w:p>
              </w:tc>
              <w:tc>
                <w:tcPr>
                  <w:tcW w:w="2291" w:type="pct"/>
                  <w:vAlign w:val="center"/>
                </w:tcPr>
                <w:p>
                  <w:pPr>
                    <w:pStyle w:val="46"/>
                    <w:snapToGrid/>
                    <w:spacing w:before="0" w:after="0" w:line="240" w:lineRule="auto"/>
                    <w:ind w:firstLine="0" w:firstLineChars="0"/>
                    <w:jc w:val="left"/>
                    <w:rPr>
                      <w:sz w:val="21"/>
                      <w:szCs w:val="21"/>
                    </w:rPr>
                  </w:pPr>
                  <w:r>
                    <w:rPr>
                      <w:rFonts w:hint="eastAsia"/>
                      <w:sz w:val="21"/>
                      <w:szCs w:val="21"/>
                    </w:rPr>
                    <w:t>遗物祭品焚烧炉单独配置一套废气处理设施+1根12m高排气筒。</w:t>
                  </w:r>
                </w:p>
                <w:p>
                  <w:pPr>
                    <w:pStyle w:val="46"/>
                    <w:snapToGrid/>
                    <w:spacing w:before="0" w:after="0" w:line="240" w:lineRule="auto"/>
                    <w:ind w:firstLine="0" w:firstLineChars="0"/>
                    <w:jc w:val="left"/>
                    <w:rPr>
                      <w:sz w:val="21"/>
                      <w:szCs w:val="21"/>
                    </w:rPr>
                  </w:pPr>
                  <w:r>
                    <w:rPr>
                      <w:rFonts w:hint="eastAsia"/>
                      <w:sz w:val="21"/>
                      <w:szCs w:val="21"/>
                    </w:rPr>
                    <w:t>烟气净化采用急冷装置+半干法脱硫+旋风离心器+活性炭喷射+布袋除尘器组合方案。</w:t>
                  </w:r>
                </w:p>
              </w:tc>
              <w:tc>
                <w:tcPr>
                  <w:tcW w:w="529" w:type="pct"/>
                  <w:vAlign w:val="center"/>
                </w:tcPr>
                <w:p>
                  <w:pPr>
                    <w:jc w:val="center"/>
                    <w:rPr>
                      <w:bCs/>
                      <w:szCs w:val="21"/>
                    </w:rPr>
                  </w:pPr>
                  <w:r>
                    <w:rPr>
                      <w:bCs/>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restart"/>
                  <w:vAlign w:val="center"/>
                </w:tcPr>
                <w:p>
                  <w:pPr>
                    <w:jc w:val="center"/>
                    <w:rPr>
                      <w:bCs/>
                      <w:szCs w:val="21"/>
                    </w:rPr>
                  </w:pPr>
                  <w:r>
                    <w:rPr>
                      <w:rFonts w:hint="eastAsia"/>
                      <w:bCs/>
                      <w:szCs w:val="21"/>
                    </w:rPr>
                    <w:t>水污染</w:t>
                  </w:r>
                </w:p>
              </w:tc>
              <w:tc>
                <w:tcPr>
                  <w:tcW w:w="958" w:type="pct"/>
                  <w:vAlign w:val="center"/>
                </w:tcPr>
                <w:p>
                  <w:pPr>
                    <w:pStyle w:val="46"/>
                    <w:snapToGrid/>
                    <w:spacing w:before="0" w:after="0" w:line="240" w:lineRule="auto"/>
                    <w:ind w:firstLine="0" w:firstLineChars="0"/>
                    <w:jc w:val="center"/>
                    <w:rPr>
                      <w:rFonts w:hAnsi="宋体"/>
                      <w:bCs/>
                      <w:sz w:val="21"/>
                      <w:szCs w:val="18"/>
                    </w:rPr>
                  </w:pPr>
                  <w:r>
                    <w:rPr>
                      <w:rFonts w:hint="eastAsia"/>
                      <w:sz w:val="21"/>
                      <w:szCs w:val="18"/>
                    </w:rPr>
                    <w:t>遗体处置清洗、消毒废水</w:t>
                  </w:r>
                </w:p>
              </w:tc>
              <w:tc>
                <w:tcPr>
                  <w:tcW w:w="826" w:type="pct"/>
                  <w:vMerge w:val="restart"/>
                  <w:vAlign w:val="center"/>
                </w:tcPr>
                <w:p>
                  <w:pPr>
                    <w:jc w:val="center"/>
                    <w:rPr>
                      <w:bCs/>
                      <w:szCs w:val="21"/>
                    </w:rPr>
                  </w:pPr>
                  <w:r>
                    <w:rPr>
                      <w:szCs w:val="21"/>
                    </w:rPr>
                    <w:t>COD、BOD、</w:t>
                  </w:r>
                  <w:r>
                    <w:rPr>
                      <w:rFonts w:hint="eastAsia"/>
                      <w:szCs w:val="21"/>
                    </w:rPr>
                    <w:t>氨氮、</w:t>
                  </w:r>
                  <w:r>
                    <w:rPr>
                      <w:szCs w:val="21"/>
                    </w:rPr>
                    <w:t>SS等</w:t>
                  </w:r>
                </w:p>
              </w:tc>
              <w:tc>
                <w:tcPr>
                  <w:tcW w:w="2291" w:type="pct"/>
                  <w:vMerge w:val="restart"/>
                  <w:vAlign w:val="center"/>
                </w:tcPr>
                <w:p>
                  <w:pPr>
                    <w:jc w:val="left"/>
                    <w:rPr>
                      <w:rFonts w:hAnsi="宋体"/>
                      <w:szCs w:val="21"/>
                    </w:rPr>
                  </w:pPr>
                  <w:r>
                    <w:rPr>
                      <w:rFonts w:hint="eastAsia" w:hAnsi="宋体"/>
                      <w:szCs w:val="21"/>
                    </w:rPr>
                    <w:t>遗体处置清洗、消毒废水，专用殡仪车辆清洗、消毒废水，经消毒池预处理后进入自建污水处理站处理，与其他生活污水一同进入自建污水处理站处理；废水经污水处理站处理后非采暖期（5月至1</w:t>
                  </w:r>
                  <w:r>
                    <w:rPr>
                      <w:rFonts w:hAnsi="宋体"/>
                      <w:szCs w:val="21"/>
                    </w:rPr>
                    <w:t>0</w:t>
                  </w:r>
                  <w:r>
                    <w:rPr>
                      <w:rFonts w:hint="eastAsia" w:hAnsi="宋体"/>
                      <w:szCs w:val="21"/>
                    </w:rPr>
                    <w:t>月）可用于道路浇洒及绿化浇灌，采暖期（1</w:t>
                  </w:r>
                  <w:r>
                    <w:rPr>
                      <w:rFonts w:hAnsi="宋体"/>
                      <w:szCs w:val="21"/>
                    </w:rPr>
                    <w:t>1</w:t>
                  </w:r>
                  <w:r>
                    <w:rPr>
                      <w:rFonts w:hint="eastAsia" w:hAnsi="宋体"/>
                      <w:szCs w:val="21"/>
                    </w:rPr>
                    <w:t>月-</w:t>
                  </w:r>
                  <w:r>
                    <w:rPr>
                      <w:rFonts w:hAnsi="宋体"/>
                      <w:szCs w:val="21"/>
                    </w:rPr>
                    <w:t>4</w:t>
                  </w:r>
                  <w:r>
                    <w:rPr>
                      <w:rFonts w:hint="eastAsia" w:hAnsi="宋体"/>
                      <w:szCs w:val="21"/>
                    </w:rPr>
                    <w:t>月）定期统一抽送至五台县生活污水处理厂。</w:t>
                  </w:r>
                </w:p>
              </w:tc>
              <w:tc>
                <w:tcPr>
                  <w:tcW w:w="529" w:type="pct"/>
                  <w:vMerge w:val="restart"/>
                  <w:vAlign w:val="center"/>
                </w:tcPr>
                <w:p>
                  <w:pPr>
                    <w:jc w:val="center"/>
                    <w:rPr>
                      <w:bCs/>
                      <w:szCs w:val="21"/>
                    </w:rPr>
                  </w:pPr>
                  <w:r>
                    <w:rPr>
                      <w:rFonts w:hint="eastAsia"/>
                      <w:bCs/>
                      <w:szCs w:val="21"/>
                    </w:rPr>
                    <w:t>2</w:t>
                  </w:r>
                  <w:r>
                    <w:rPr>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958" w:type="pct"/>
                  <w:vAlign w:val="center"/>
                </w:tcPr>
                <w:p>
                  <w:pPr>
                    <w:pStyle w:val="46"/>
                    <w:snapToGrid/>
                    <w:spacing w:before="0" w:after="0" w:line="240" w:lineRule="auto"/>
                    <w:ind w:firstLine="0" w:firstLineChars="0"/>
                    <w:jc w:val="center"/>
                    <w:rPr>
                      <w:sz w:val="21"/>
                      <w:szCs w:val="18"/>
                    </w:rPr>
                  </w:pPr>
                  <w:r>
                    <w:rPr>
                      <w:rFonts w:hint="eastAsia"/>
                      <w:sz w:val="21"/>
                      <w:szCs w:val="18"/>
                    </w:rPr>
                    <w:t>殡仪车辆清洗、消毒废水</w:t>
                  </w:r>
                </w:p>
              </w:tc>
              <w:tc>
                <w:tcPr>
                  <w:tcW w:w="826" w:type="pct"/>
                  <w:vMerge w:val="continue"/>
                  <w:vAlign w:val="center"/>
                </w:tcPr>
                <w:p>
                  <w:pPr>
                    <w:jc w:val="center"/>
                    <w:rPr>
                      <w:szCs w:val="21"/>
                    </w:rPr>
                  </w:pPr>
                </w:p>
              </w:tc>
              <w:tc>
                <w:tcPr>
                  <w:tcW w:w="2291" w:type="pct"/>
                  <w:vMerge w:val="continue"/>
                  <w:vAlign w:val="center"/>
                </w:tcPr>
                <w:p>
                  <w:pPr>
                    <w:jc w:val="left"/>
                    <w:rPr>
                      <w:szCs w:val="21"/>
                    </w:rPr>
                  </w:pPr>
                </w:p>
              </w:tc>
              <w:tc>
                <w:tcPr>
                  <w:tcW w:w="529"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958" w:type="pct"/>
                  <w:vAlign w:val="center"/>
                </w:tcPr>
                <w:p>
                  <w:pPr>
                    <w:pStyle w:val="46"/>
                    <w:snapToGrid/>
                    <w:spacing w:before="0" w:after="0" w:line="240" w:lineRule="auto"/>
                    <w:ind w:firstLine="0" w:firstLineChars="0"/>
                    <w:jc w:val="center"/>
                    <w:rPr>
                      <w:rFonts w:hAnsi="宋体"/>
                      <w:bCs/>
                      <w:sz w:val="21"/>
                      <w:szCs w:val="18"/>
                    </w:rPr>
                  </w:pPr>
                  <w:r>
                    <w:rPr>
                      <w:rFonts w:hint="eastAsia"/>
                      <w:sz w:val="21"/>
                      <w:szCs w:val="18"/>
                    </w:rPr>
                    <w:t>悼念、来访人员及工作人员生活污水</w:t>
                  </w:r>
                </w:p>
              </w:tc>
              <w:tc>
                <w:tcPr>
                  <w:tcW w:w="826" w:type="pct"/>
                  <w:vMerge w:val="continue"/>
                  <w:vAlign w:val="center"/>
                </w:tcPr>
                <w:p>
                  <w:pPr>
                    <w:jc w:val="center"/>
                    <w:rPr>
                      <w:bCs/>
                      <w:szCs w:val="21"/>
                    </w:rPr>
                  </w:pPr>
                </w:p>
              </w:tc>
              <w:tc>
                <w:tcPr>
                  <w:tcW w:w="2291" w:type="pct"/>
                  <w:vMerge w:val="continue"/>
                  <w:vAlign w:val="center"/>
                </w:tcPr>
                <w:p>
                  <w:pPr>
                    <w:jc w:val="left"/>
                    <w:rPr>
                      <w:rFonts w:hAnsi="宋体"/>
                      <w:szCs w:val="21"/>
                    </w:rPr>
                  </w:pPr>
                </w:p>
              </w:tc>
              <w:tc>
                <w:tcPr>
                  <w:tcW w:w="529"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restart"/>
                  <w:vAlign w:val="center"/>
                </w:tcPr>
                <w:p>
                  <w:pPr>
                    <w:jc w:val="center"/>
                    <w:rPr>
                      <w:bCs/>
                      <w:szCs w:val="21"/>
                    </w:rPr>
                  </w:pPr>
                  <w:r>
                    <w:rPr>
                      <w:rFonts w:hint="eastAsia"/>
                      <w:bCs/>
                      <w:szCs w:val="21"/>
                    </w:rPr>
                    <w:t>固废</w:t>
                  </w:r>
                </w:p>
              </w:tc>
              <w:tc>
                <w:tcPr>
                  <w:tcW w:w="1784" w:type="pct"/>
                  <w:gridSpan w:val="2"/>
                  <w:vAlign w:val="center"/>
                </w:tcPr>
                <w:p>
                  <w:pPr>
                    <w:jc w:val="center"/>
                    <w:rPr>
                      <w:bCs/>
                      <w:szCs w:val="21"/>
                    </w:rPr>
                  </w:pPr>
                  <w:r>
                    <w:rPr>
                      <w:rFonts w:hint="eastAsia" w:hAnsi="宋体"/>
                      <w:szCs w:val="21"/>
                    </w:rPr>
                    <w:t>遗体火化产生的骨灰</w:t>
                  </w:r>
                </w:p>
              </w:tc>
              <w:tc>
                <w:tcPr>
                  <w:tcW w:w="2291" w:type="pct"/>
                  <w:vAlign w:val="center"/>
                </w:tcPr>
                <w:p>
                  <w:pPr>
                    <w:autoSpaceDE w:val="0"/>
                    <w:autoSpaceDN w:val="0"/>
                    <w:jc w:val="left"/>
                    <w:rPr>
                      <w:rFonts w:hAnsi="宋体"/>
                      <w:szCs w:val="21"/>
                    </w:rPr>
                  </w:pPr>
                  <w:r>
                    <w:rPr>
                      <w:rFonts w:hint="eastAsia"/>
                      <w:bCs/>
                      <w:szCs w:val="21"/>
                    </w:rPr>
                    <w:t>骨灰在进行挑捡后由各逝者家属装进骨灰盒带走，葬入墓地或寄存于骨灰寄存楼。</w:t>
                  </w:r>
                </w:p>
              </w:tc>
              <w:tc>
                <w:tcPr>
                  <w:tcW w:w="529" w:type="pct"/>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hAnsi="宋体"/>
                      <w:szCs w:val="21"/>
                    </w:rPr>
                    <w:t>火化炉遗留的灰渣</w:t>
                  </w:r>
                </w:p>
              </w:tc>
              <w:tc>
                <w:tcPr>
                  <w:tcW w:w="2291" w:type="pct"/>
                  <w:vAlign w:val="center"/>
                </w:tcPr>
                <w:p>
                  <w:pPr>
                    <w:autoSpaceDE w:val="0"/>
                    <w:autoSpaceDN w:val="0"/>
                    <w:jc w:val="left"/>
                    <w:rPr>
                      <w:rFonts w:hAnsi="宋体"/>
                      <w:szCs w:val="21"/>
                    </w:rPr>
                  </w:pPr>
                  <w:r>
                    <w:rPr>
                      <w:rFonts w:hint="eastAsia" w:hAnsi="宋体"/>
                      <w:szCs w:val="21"/>
                    </w:rPr>
                    <w:t>火化炉遗留的灰渣</w:t>
                  </w:r>
                  <w:r>
                    <w:rPr>
                      <w:rFonts w:hint="eastAsia"/>
                      <w:szCs w:val="21"/>
                    </w:rPr>
                    <w:t>收集后与生活垃圾一起运至</w:t>
                  </w:r>
                  <w:r>
                    <w:rPr>
                      <w:rFonts w:hAnsi="宋体"/>
                      <w:szCs w:val="21"/>
                    </w:rPr>
                    <w:t>市政指定的地点外协处理</w:t>
                  </w:r>
                </w:p>
              </w:tc>
              <w:tc>
                <w:tcPr>
                  <w:tcW w:w="529" w:type="pct"/>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hAnsi="宋体"/>
                      <w:szCs w:val="21"/>
                    </w:rPr>
                    <w:t>遗物祭品焚烧灰渣</w:t>
                  </w:r>
                </w:p>
              </w:tc>
              <w:tc>
                <w:tcPr>
                  <w:tcW w:w="2291" w:type="pct"/>
                  <w:vAlign w:val="center"/>
                </w:tcPr>
                <w:p>
                  <w:pPr>
                    <w:autoSpaceDE w:val="0"/>
                    <w:autoSpaceDN w:val="0"/>
                    <w:jc w:val="left"/>
                    <w:rPr>
                      <w:rFonts w:hAnsi="宋体"/>
                      <w:szCs w:val="21"/>
                    </w:rPr>
                  </w:pPr>
                  <w:r>
                    <w:rPr>
                      <w:rFonts w:hint="eastAsia" w:hAnsi="宋体"/>
                      <w:szCs w:val="21"/>
                    </w:rPr>
                    <w:t>遗物祭品焚烧灰渣</w:t>
                  </w:r>
                  <w:r>
                    <w:rPr>
                      <w:rFonts w:hint="eastAsia"/>
                      <w:szCs w:val="21"/>
                    </w:rPr>
                    <w:t>收集后与生活垃圾一起运至</w:t>
                  </w:r>
                  <w:r>
                    <w:rPr>
                      <w:rFonts w:hAnsi="宋体"/>
                      <w:szCs w:val="21"/>
                    </w:rPr>
                    <w:t>市政指定的地点外协处理</w:t>
                  </w:r>
                </w:p>
              </w:tc>
              <w:tc>
                <w:tcPr>
                  <w:tcW w:w="529" w:type="pct"/>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hAnsi="宋体"/>
                      <w:szCs w:val="21"/>
                    </w:rPr>
                    <w:t>污水处理设施污泥</w:t>
                  </w:r>
                </w:p>
              </w:tc>
              <w:tc>
                <w:tcPr>
                  <w:tcW w:w="2291" w:type="pct"/>
                  <w:vAlign w:val="center"/>
                </w:tcPr>
                <w:p>
                  <w:pPr>
                    <w:autoSpaceDE w:val="0"/>
                    <w:autoSpaceDN w:val="0"/>
                    <w:jc w:val="left"/>
                    <w:rPr>
                      <w:rFonts w:hAnsi="宋体"/>
                      <w:szCs w:val="21"/>
                    </w:rPr>
                  </w:pPr>
                  <w:r>
                    <w:rPr>
                      <w:rFonts w:hint="eastAsia" w:hAnsi="宋体"/>
                      <w:szCs w:val="21"/>
                    </w:rPr>
                    <w:t>污水处理设施污泥采用消石灰干化后与</w:t>
                  </w:r>
                  <w:r>
                    <w:rPr>
                      <w:rFonts w:hint="eastAsia"/>
                      <w:szCs w:val="21"/>
                    </w:rPr>
                    <w:t>生活垃圾一起运至</w:t>
                  </w:r>
                  <w:r>
                    <w:rPr>
                      <w:rFonts w:hAnsi="宋体"/>
                      <w:szCs w:val="21"/>
                    </w:rPr>
                    <w:t>市政指定的地点外协处理</w:t>
                  </w:r>
                </w:p>
              </w:tc>
              <w:tc>
                <w:tcPr>
                  <w:tcW w:w="529" w:type="pct"/>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hAnsi="宋体"/>
                      <w:szCs w:val="21"/>
                    </w:rPr>
                    <w:t>焚烧飞灰（HW</w:t>
                  </w:r>
                  <w:r>
                    <w:rPr>
                      <w:rFonts w:hAnsi="宋体"/>
                      <w:szCs w:val="21"/>
                    </w:rPr>
                    <w:t>18</w:t>
                  </w:r>
                  <w:r>
                    <w:rPr>
                      <w:rFonts w:hint="eastAsia" w:hAnsi="宋体"/>
                      <w:szCs w:val="21"/>
                    </w:rPr>
                    <w:t>-</w:t>
                  </w:r>
                  <w:r>
                    <w:rPr>
                      <w:rFonts w:hAnsi="宋体"/>
                      <w:bCs/>
                      <w:szCs w:val="21"/>
                    </w:rPr>
                    <w:t>772-002-18</w:t>
                  </w:r>
                  <w:r>
                    <w:rPr>
                      <w:rFonts w:hint="eastAsia" w:hAnsi="宋体"/>
                      <w:szCs w:val="21"/>
                    </w:rPr>
                    <w:t>）</w:t>
                  </w:r>
                </w:p>
              </w:tc>
              <w:tc>
                <w:tcPr>
                  <w:tcW w:w="2291" w:type="pct"/>
                  <w:vMerge w:val="restart"/>
                  <w:vAlign w:val="center"/>
                </w:tcPr>
                <w:p>
                  <w:pPr>
                    <w:autoSpaceDE w:val="0"/>
                    <w:autoSpaceDN w:val="0"/>
                    <w:jc w:val="left"/>
                    <w:rPr>
                      <w:rFonts w:hAnsi="宋体"/>
                      <w:szCs w:val="21"/>
                    </w:rPr>
                  </w:pPr>
                  <w:r>
                    <w:rPr>
                      <w:rFonts w:hint="eastAsia" w:hAnsi="宋体"/>
                      <w:szCs w:val="21"/>
                    </w:rPr>
                    <w:t>储存于特定容器中，暂存于危废库内，委托有相关处理资质的单位定期外协处置</w:t>
                  </w:r>
                </w:p>
              </w:tc>
              <w:tc>
                <w:tcPr>
                  <w:tcW w:w="529" w:type="pct"/>
                  <w:vMerge w:val="restart"/>
                  <w:vAlign w:val="center"/>
                </w:tcPr>
                <w:p>
                  <w:pPr>
                    <w:jc w:val="center"/>
                    <w:rPr>
                      <w:bCs/>
                      <w:szCs w:val="21"/>
                    </w:rPr>
                  </w:pPr>
                  <w:r>
                    <w:rPr>
                      <w:rFonts w:hint="eastAsia"/>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rFonts w:hAnsi="宋体"/>
                      <w:szCs w:val="21"/>
                    </w:rPr>
                  </w:pPr>
                  <w:r>
                    <w:rPr>
                      <w:rFonts w:hint="eastAsia" w:hAnsi="宋体"/>
                      <w:szCs w:val="21"/>
                    </w:rPr>
                    <w:t>废脱硫粉（HW</w:t>
                  </w:r>
                  <w:r>
                    <w:rPr>
                      <w:rFonts w:hAnsi="宋体"/>
                      <w:szCs w:val="21"/>
                    </w:rPr>
                    <w:t>18</w:t>
                  </w:r>
                  <w:r>
                    <w:rPr>
                      <w:rFonts w:hint="eastAsia" w:hAnsi="宋体"/>
                      <w:szCs w:val="21"/>
                    </w:rPr>
                    <w:t>-772-005-18）</w:t>
                  </w:r>
                </w:p>
              </w:tc>
              <w:tc>
                <w:tcPr>
                  <w:tcW w:w="2291" w:type="pct"/>
                  <w:vMerge w:val="continue"/>
                  <w:vAlign w:val="center"/>
                </w:tcPr>
                <w:p>
                  <w:pPr>
                    <w:autoSpaceDE w:val="0"/>
                    <w:autoSpaceDN w:val="0"/>
                    <w:jc w:val="left"/>
                    <w:rPr>
                      <w:rFonts w:hAnsi="宋体"/>
                      <w:szCs w:val="21"/>
                    </w:rPr>
                  </w:pPr>
                </w:p>
              </w:tc>
              <w:tc>
                <w:tcPr>
                  <w:tcW w:w="529"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bCs/>
                      <w:szCs w:val="21"/>
                    </w:rPr>
                  </w:pPr>
                  <w:r>
                    <w:rPr>
                      <w:rFonts w:hint="eastAsia" w:hAnsi="宋体"/>
                      <w:szCs w:val="21"/>
                    </w:rPr>
                    <w:t>废活性炭（HW</w:t>
                  </w:r>
                  <w:r>
                    <w:rPr>
                      <w:rFonts w:hAnsi="宋体"/>
                      <w:szCs w:val="21"/>
                    </w:rPr>
                    <w:t>18</w:t>
                  </w:r>
                  <w:r>
                    <w:rPr>
                      <w:rFonts w:hint="eastAsia" w:hAnsi="宋体"/>
                      <w:szCs w:val="21"/>
                    </w:rPr>
                    <w:t>-772-005-18）</w:t>
                  </w:r>
                </w:p>
              </w:tc>
              <w:tc>
                <w:tcPr>
                  <w:tcW w:w="2291" w:type="pct"/>
                  <w:vMerge w:val="continue"/>
                  <w:vAlign w:val="center"/>
                </w:tcPr>
                <w:p>
                  <w:pPr>
                    <w:autoSpaceDE w:val="0"/>
                    <w:autoSpaceDN w:val="0"/>
                    <w:jc w:val="left"/>
                    <w:rPr>
                      <w:szCs w:val="21"/>
                    </w:rPr>
                  </w:pPr>
                </w:p>
              </w:tc>
              <w:tc>
                <w:tcPr>
                  <w:tcW w:w="529" w:type="pct"/>
                  <w:vMerge w:val="continue"/>
                  <w:vAlign w:val="center"/>
                </w:tcPr>
                <w:p>
                  <w:pPr>
                    <w:jc w:val="center"/>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Merge w:val="continue"/>
                  <w:vAlign w:val="center"/>
                </w:tcPr>
                <w:p>
                  <w:pPr>
                    <w:jc w:val="center"/>
                    <w:rPr>
                      <w:bCs/>
                      <w:szCs w:val="21"/>
                    </w:rPr>
                  </w:pPr>
                </w:p>
              </w:tc>
              <w:tc>
                <w:tcPr>
                  <w:tcW w:w="1784" w:type="pct"/>
                  <w:gridSpan w:val="2"/>
                  <w:vAlign w:val="center"/>
                </w:tcPr>
                <w:p>
                  <w:pPr>
                    <w:jc w:val="center"/>
                    <w:rPr>
                      <w:rFonts w:hAnsi="宋体"/>
                      <w:szCs w:val="21"/>
                    </w:rPr>
                  </w:pPr>
                  <w:r>
                    <w:rPr>
                      <w:rFonts w:hAnsi="宋体"/>
                      <w:szCs w:val="21"/>
                    </w:rPr>
                    <w:t>生活垃圾</w:t>
                  </w:r>
                </w:p>
              </w:tc>
              <w:tc>
                <w:tcPr>
                  <w:tcW w:w="2291" w:type="pct"/>
                  <w:vAlign w:val="center"/>
                </w:tcPr>
                <w:p>
                  <w:pPr>
                    <w:autoSpaceDE w:val="0"/>
                    <w:autoSpaceDN w:val="0"/>
                    <w:jc w:val="left"/>
                    <w:rPr>
                      <w:szCs w:val="21"/>
                    </w:rPr>
                  </w:pPr>
                  <w:r>
                    <w:rPr>
                      <w:rFonts w:hAnsi="宋体"/>
                      <w:szCs w:val="21"/>
                    </w:rPr>
                    <w:t>设置垃圾筒，垃圾经收集后运至市政指定的地点外协处理</w:t>
                  </w:r>
                  <w:r>
                    <w:rPr>
                      <w:rFonts w:hint="eastAsia" w:hAnsi="宋体"/>
                      <w:szCs w:val="21"/>
                    </w:rPr>
                    <w:t>.</w:t>
                  </w:r>
                </w:p>
              </w:tc>
              <w:tc>
                <w:tcPr>
                  <w:tcW w:w="529" w:type="pct"/>
                  <w:vAlign w:val="center"/>
                </w:tcPr>
                <w:p>
                  <w:pPr>
                    <w:jc w:val="center"/>
                    <w:rPr>
                      <w:bCs/>
                      <w:szCs w:val="21"/>
                    </w:rPr>
                  </w:pPr>
                  <w:r>
                    <w:rPr>
                      <w:rFonts w:hint="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Align w:val="center"/>
                </w:tcPr>
                <w:p>
                  <w:pPr>
                    <w:jc w:val="center"/>
                    <w:rPr>
                      <w:bCs/>
                      <w:szCs w:val="21"/>
                    </w:rPr>
                  </w:pPr>
                  <w:r>
                    <w:rPr>
                      <w:rFonts w:hint="eastAsia"/>
                      <w:bCs/>
                      <w:szCs w:val="21"/>
                    </w:rPr>
                    <w:t>生态</w:t>
                  </w:r>
                </w:p>
              </w:tc>
              <w:tc>
                <w:tcPr>
                  <w:tcW w:w="1784" w:type="pct"/>
                  <w:gridSpan w:val="2"/>
                  <w:vAlign w:val="center"/>
                </w:tcPr>
                <w:p>
                  <w:pPr>
                    <w:jc w:val="center"/>
                    <w:rPr>
                      <w:bCs/>
                      <w:szCs w:val="21"/>
                    </w:rPr>
                  </w:pPr>
                  <w:r>
                    <w:rPr>
                      <w:rFonts w:hint="eastAsia"/>
                      <w:bCs/>
                      <w:szCs w:val="21"/>
                    </w:rPr>
                    <w:t>绿化</w:t>
                  </w:r>
                </w:p>
              </w:tc>
              <w:tc>
                <w:tcPr>
                  <w:tcW w:w="2291" w:type="pct"/>
                  <w:vAlign w:val="center"/>
                </w:tcPr>
                <w:p>
                  <w:pPr>
                    <w:autoSpaceDE w:val="0"/>
                    <w:autoSpaceDN w:val="0"/>
                    <w:jc w:val="left"/>
                    <w:rPr>
                      <w:rFonts w:hAnsi="宋体"/>
                      <w:szCs w:val="21"/>
                    </w:rPr>
                  </w:pPr>
                  <w:r>
                    <w:rPr>
                      <w:rFonts w:hint="eastAsia" w:hAnsi="宋体"/>
                      <w:bCs/>
                      <w:szCs w:val="21"/>
                    </w:rPr>
                    <w:t>加强绿化，种植乡土植物，绿化面积</w:t>
                  </w:r>
                  <w:r>
                    <w:rPr>
                      <w:szCs w:val="21"/>
                    </w:rPr>
                    <w:t>6781.99</w:t>
                  </w:r>
                  <w:r>
                    <w:rPr>
                      <w:rFonts w:hAnsi="宋体"/>
                      <w:bCs/>
                      <w:szCs w:val="21"/>
                    </w:rPr>
                    <w:t>m</w:t>
                  </w:r>
                  <w:r>
                    <w:rPr>
                      <w:rFonts w:hAnsi="宋体"/>
                      <w:bCs/>
                      <w:szCs w:val="21"/>
                      <w:vertAlign w:val="superscript"/>
                    </w:rPr>
                    <w:t>2</w:t>
                  </w:r>
                </w:p>
              </w:tc>
              <w:tc>
                <w:tcPr>
                  <w:tcW w:w="529" w:type="pct"/>
                  <w:vAlign w:val="center"/>
                </w:tcPr>
                <w:p>
                  <w:pPr>
                    <w:jc w:val="center"/>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396" w:type="pct"/>
                  <w:vAlign w:val="center"/>
                </w:tcPr>
                <w:p>
                  <w:pPr>
                    <w:jc w:val="center"/>
                    <w:rPr>
                      <w:bCs/>
                      <w:szCs w:val="21"/>
                    </w:rPr>
                  </w:pPr>
                  <w:r>
                    <w:rPr>
                      <w:rFonts w:hint="eastAsia"/>
                      <w:bCs/>
                      <w:szCs w:val="21"/>
                    </w:rPr>
                    <w:t>噪声</w:t>
                  </w:r>
                </w:p>
              </w:tc>
              <w:tc>
                <w:tcPr>
                  <w:tcW w:w="1784" w:type="pct"/>
                  <w:gridSpan w:val="2"/>
                  <w:vAlign w:val="center"/>
                </w:tcPr>
                <w:p>
                  <w:pPr>
                    <w:jc w:val="center"/>
                    <w:rPr>
                      <w:szCs w:val="21"/>
                    </w:rPr>
                  </w:pPr>
                  <w:r>
                    <w:rPr>
                      <w:rFonts w:hint="eastAsia"/>
                      <w:szCs w:val="21"/>
                    </w:rPr>
                    <w:t>设备</w:t>
                  </w:r>
                  <w:r>
                    <w:rPr>
                      <w:rFonts w:hint="eastAsia"/>
                      <w:bCs/>
                      <w:szCs w:val="21"/>
                    </w:rPr>
                    <w:t>噪声，</w:t>
                  </w:r>
                  <w:r>
                    <w:rPr>
                      <w:rFonts w:hint="eastAsia"/>
                      <w:szCs w:val="21"/>
                      <w:lang w:bidi="ar"/>
                    </w:rPr>
                    <w:t>悼念活动噪声</w:t>
                  </w:r>
                </w:p>
              </w:tc>
              <w:tc>
                <w:tcPr>
                  <w:tcW w:w="2291" w:type="pct"/>
                  <w:vAlign w:val="center"/>
                </w:tcPr>
                <w:p>
                  <w:pPr>
                    <w:jc w:val="left"/>
                    <w:rPr>
                      <w:szCs w:val="21"/>
                    </w:rPr>
                  </w:pPr>
                  <w:r>
                    <w:rPr>
                      <w:rFonts w:hint="eastAsia"/>
                      <w:bCs/>
                      <w:spacing w:val="4"/>
                      <w:szCs w:val="21"/>
                    </w:rPr>
                    <w:t>选用低噪声设备，隔声、基础减振，定期维护；加强管理。</w:t>
                  </w:r>
                </w:p>
              </w:tc>
              <w:tc>
                <w:tcPr>
                  <w:tcW w:w="529" w:type="pct"/>
                  <w:vAlign w:val="center"/>
                </w:tcPr>
                <w:p>
                  <w:pPr>
                    <w:jc w:val="center"/>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71" w:type="pct"/>
                  <w:gridSpan w:val="4"/>
                  <w:vAlign w:val="center"/>
                </w:tcPr>
                <w:p>
                  <w:pPr>
                    <w:jc w:val="center"/>
                    <w:rPr>
                      <w:bCs/>
                      <w:szCs w:val="21"/>
                    </w:rPr>
                  </w:pPr>
                  <w:r>
                    <w:rPr>
                      <w:rFonts w:hint="eastAsia"/>
                      <w:bCs/>
                      <w:szCs w:val="21"/>
                    </w:rPr>
                    <w:t>合计</w:t>
                  </w:r>
                </w:p>
              </w:tc>
              <w:tc>
                <w:tcPr>
                  <w:tcW w:w="529" w:type="pct"/>
                  <w:vAlign w:val="center"/>
                </w:tcPr>
                <w:p>
                  <w:pPr>
                    <w:jc w:val="center"/>
                    <w:rPr>
                      <w:bCs/>
                      <w:szCs w:val="21"/>
                    </w:rPr>
                  </w:pPr>
                  <w:r>
                    <w:rPr>
                      <w:rFonts w:hint="eastAsia"/>
                      <w:bCs/>
                      <w:szCs w:val="21"/>
                    </w:rPr>
                    <w:t>7</w:t>
                  </w:r>
                  <w:r>
                    <w:rPr>
                      <w:bCs/>
                      <w:szCs w:val="21"/>
                    </w:rPr>
                    <w:t>5</w:t>
                  </w:r>
                </w:p>
              </w:tc>
            </w:tr>
          </w:tbl>
          <w:p>
            <w:pPr>
              <w:adjustRightInd w:val="0"/>
              <w:snapToGrid w:val="0"/>
              <w:spacing w:line="480" w:lineRule="exact"/>
              <w:ind w:firstLine="480" w:firstLineChars="200"/>
              <w:rPr>
                <w:sz w:val="24"/>
              </w:rPr>
            </w:pPr>
            <w:r>
              <w:rPr>
                <w:rFonts w:hint="eastAsia"/>
                <w:sz w:val="24"/>
              </w:rPr>
              <w:t>综上，本项目环保投资为</w:t>
            </w:r>
            <w:r>
              <w:rPr>
                <w:sz w:val="24"/>
              </w:rPr>
              <w:t>75</w:t>
            </w:r>
            <w:r>
              <w:rPr>
                <w:rFonts w:hint="eastAsia"/>
                <w:sz w:val="24"/>
              </w:rPr>
              <w:t>万元，占总投资的</w:t>
            </w:r>
            <w:r>
              <w:rPr>
                <w:sz w:val="24"/>
              </w:rPr>
              <w:t>1.93</w:t>
            </w:r>
            <w:r>
              <w:rPr>
                <w:rFonts w:hint="eastAsia"/>
                <w:sz w:val="24"/>
              </w:rPr>
              <w:t>%。</w:t>
            </w:r>
          </w:p>
          <w:p>
            <w:pPr>
              <w:adjustRightInd w:val="0"/>
              <w:snapToGrid w:val="0"/>
              <w:spacing w:line="480" w:lineRule="exact"/>
              <w:ind w:firstLine="480" w:firstLineChars="200"/>
              <w:rPr>
                <w:bCs/>
                <w:sz w:val="24"/>
              </w:rPr>
            </w:pPr>
          </w:p>
          <w:p>
            <w:pPr>
              <w:adjustRightInd w:val="0"/>
              <w:snapToGrid w:val="0"/>
              <w:spacing w:line="480" w:lineRule="exact"/>
              <w:ind w:firstLine="380" w:firstLineChars="200"/>
              <w:rPr>
                <w:rFonts w:ascii="宋体" w:hAnsi="宋体" w:cs="宋体"/>
                <w:bCs/>
                <w:spacing w:val="-10"/>
                <w:szCs w:val="21"/>
              </w:rPr>
            </w:pPr>
          </w:p>
        </w:tc>
      </w:tr>
    </w:tbl>
    <w:p>
      <w:pPr>
        <w:adjustRightInd w:val="0"/>
        <w:snapToGrid w:val="0"/>
        <w:spacing w:line="360" w:lineRule="auto"/>
        <w:rPr>
          <w:rFonts w:ascii="宋体" w:cs="宋体"/>
          <w:b/>
          <w:kern w:val="0"/>
          <w:sz w:val="28"/>
          <w:szCs w:val="28"/>
        </w:rPr>
        <w:sectPr>
          <w:pgSz w:w="11907" w:h="16840"/>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7" w:name="_Hlk54167917"/>
      <w:r>
        <w:rPr>
          <w:rFonts w:hint="eastAsia" w:ascii="黑体" w:hAnsi="黑体" w:eastAsia="黑体"/>
          <w:snapToGrid w:val="0"/>
          <w:sz w:val="30"/>
          <w:szCs w:val="30"/>
        </w:rPr>
        <w:t>环境保护措施监督检查清单</w:t>
      </w:r>
      <w:bookmarkEnd w:id="7"/>
    </w:p>
    <w:tbl>
      <w:tblPr>
        <w:tblStyle w:val="1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869"/>
        <w:gridCol w:w="2022"/>
        <w:gridCol w:w="1874"/>
        <w:gridCol w:w="4609"/>
        <w:gridCol w:w="28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tcBorders>
              <w:tl2br w:val="single" w:color="auto" w:sz="4" w:space="0"/>
            </w:tcBorders>
          </w:tcPr>
          <w:p>
            <w:pPr>
              <w:adjustRightInd w:val="0"/>
              <w:snapToGrid w:val="0"/>
              <w:spacing w:line="360" w:lineRule="exact"/>
              <w:ind w:firstLine="960" w:firstLineChars="400"/>
              <w:jc w:val="right"/>
              <w:rPr>
                <w:rFonts w:ascii="宋体" w:hAnsi="宋体" w:cs="宋体"/>
                <w:sz w:val="24"/>
              </w:rPr>
            </w:pPr>
            <w:r>
              <w:rPr>
                <w:rFonts w:hint="eastAsia" w:ascii="宋体" w:hAnsi="宋体" w:cs="宋体"/>
                <w:sz w:val="24"/>
              </w:rPr>
              <w:t>内容</w:t>
            </w:r>
          </w:p>
          <w:p>
            <w:pPr>
              <w:adjustRightInd w:val="0"/>
              <w:snapToGrid w:val="0"/>
              <w:spacing w:line="360" w:lineRule="exact"/>
              <w:rPr>
                <w:rFonts w:ascii="宋体" w:hAnsi="宋体" w:cs="宋体"/>
                <w:sz w:val="24"/>
              </w:rPr>
            </w:pPr>
            <w:r>
              <w:rPr>
                <w:rFonts w:hint="eastAsia" w:ascii="宋体" w:hAnsi="宋体" w:cs="宋体"/>
                <w:sz w:val="24"/>
              </w:rPr>
              <w:t>要素</w:t>
            </w:r>
          </w:p>
        </w:tc>
        <w:tc>
          <w:tcPr>
            <w:tcW w:w="711"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排放口(编号、</w:t>
            </w:r>
          </w:p>
          <w:p>
            <w:pPr>
              <w:adjustRightInd w:val="0"/>
              <w:snapToGrid w:val="0"/>
              <w:spacing w:line="360" w:lineRule="exact"/>
              <w:jc w:val="center"/>
              <w:rPr>
                <w:rFonts w:ascii="宋体" w:hAnsi="宋体" w:cs="宋体"/>
                <w:sz w:val="24"/>
              </w:rPr>
            </w:pPr>
            <w:r>
              <w:rPr>
                <w:rFonts w:hint="eastAsia" w:ascii="宋体" w:hAnsi="宋体" w:cs="宋体"/>
                <w:sz w:val="24"/>
              </w:rPr>
              <w:t>名称)/污染源</w:t>
            </w:r>
          </w:p>
        </w:tc>
        <w:tc>
          <w:tcPr>
            <w:tcW w:w="65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污染物项目</w:t>
            </w:r>
          </w:p>
        </w:tc>
        <w:tc>
          <w:tcPr>
            <w:tcW w:w="1621"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环境保护措施</w:t>
            </w:r>
          </w:p>
        </w:tc>
        <w:tc>
          <w:tcPr>
            <w:tcW w:w="1000"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restart"/>
            <w:vAlign w:val="center"/>
          </w:tcPr>
          <w:p>
            <w:pPr>
              <w:adjustRightInd w:val="0"/>
              <w:snapToGrid w:val="0"/>
              <w:spacing w:line="360" w:lineRule="exact"/>
              <w:jc w:val="center"/>
              <w:rPr>
                <w:rFonts w:ascii="宋体" w:hAnsi="宋体" w:cs="宋体"/>
                <w:sz w:val="24"/>
              </w:rPr>
            </w:pPr>
            <w:r>
              <w:rPr>
                <w:rFonts w:hint="eastAsia" w:ascii="宋体" w:hAnsi="宋体" w:cs="宋体"/>
                <w:sz w:val="24"/>
              </w:rPr>
              <w:t>大气环境</w:t>
            </w:r>
          </w:p>
        </w:tc>
        <w:tc>
          <w:tcPr>
            <w:tcW w:w="711" w:type="pct"/>
            <w:vAlign w:val="center"/>
          </w:tcPr>
          <w:p>
            <w:pPr>
              <w:adjustRightInd w:val="0"/>
              <w:snapToGrid w:val="0"/>
              <w:spacing w:line="360" w:lineRule="exact"/>
              <w:jc w:val="center"/>
              <w:rPr>
                <w:rFonts w:ascii="宋体" w:hAnsi="宋体" w:cs="宋体"/>
                <w:sz w:val="24"/>
              </w:rPr>
            </w:pPr>
            <w:r>
              <w:rPr>
                <w:rFonts w:hint="eastAsia"/>
                <w:sz w:val="24"/>
              </w:rPr>
              <w:t>火化机废气</w:t>
            </w:r>
          </w:p>
        </w:tc>
        <w:tc>
          <w:tcPr>
            <w:tcW w:w="659" w:type="pct"/>
            <w:vAlign w:val="center"/>
          </w:tcPr>
          <w:p>
            <w:pPr>
              <w:adjustRightInd w:val="0"/>
              <w:snapToGrid w:val="0"/>
              <w:spacing w:line="360" w:lineRule="exact"/>
              <w:jc w:val="center"/>
              <w:rPr>
                <w:rFonts w:ascii="宋体" w:hAnsi="宋体" w:cs="宋体"/>
                <w:sz w:val="24"/>
              </w:rPr>
            </w:pPr>
            <w:r>
              <w:rPr>
                <w:rFonts w:hint="eastAsia"/>
                <w:bCs/>
                <w:sz w:val="24"/>
              </w:rPr>
              <w:t>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l、汞、二噁英类</w:t>
            </w:r>
          </w:p>
        </w:tc>
        <w:tc>
          <w:tcPr>
            <w:tcW w:w="1621" w:type="pct"/>
            <w:vAlign w:val="center"/>
          </w:tcPr>
          <w:p>
            <w:pPr>
              <w:pStyle w:val="46"/>
              <w:snapToGrid/>
              <w:spacing w:before="0" w:after="0" w:line="360" w:lineRule="exact"/>
              <w:ind w:firstLine="0" w:firstLineChars="0"/>
              <w:jc w:val="center"/>
            </w:pPr>
            <w:r>
              <w:rPr>
                <w:rFonts w:hint="eastAsia"/>
              </w:rPr>
              <w:t>3台节能环保火化机分别单独配置一套废气处理设施+1根12m高排气筒；共3套废气处理设施，3根排气筒。</w:t>
            </w:r>
          </w:p>
          <w:p>
            <w:pPr>
              <w:adjustRightInd w:val="0"/>
              <w:snapToGrid w:val="0"/>
              <w:spacing w:line="360" w:lineRule="exact"/>
              <w:jc w:val="center"/>
              <w:rPr>
                <w:rFonts w:ascii="宋体" w:hAnsi="宋体" w:cs="宋体"/>
                <w:sz w:val="24"/>
              </w:rPr>
            </w:pPr>
            <w:r>
              <w:rPr>
                <w:rFonts w:hint="eastAsia"/>
                <w:sz w:val="24"/>
              </w:rPr>
              <w:t>烟气净化采用急冷装置+半干法脱硫+旋风离心器+活性炭喷射+布袋除尘器组合方案。</w:t>
            </w:r>
          </w:p>
        </w:tc>
        <w:tc>
          <w:tcPr>
            <w:tcW w:w="1000" w:type="pct"/>
            <w:vAlign w:val="center"/>
          </w:tcPr>
          <w:p>
            <w:pPr>
              <w:adjustRightInd w:val="0"/>
              <w:snapToGrid w:val="0"/>
              <w:spacing w:line="360" w:lineRule="exact"/>
              <w:jc w:val="center"/>
              <w:rPr>
                <w:rFonts w:ascii="宋体" w:hAnsi="宋体" w:cs="宋体"/>
                <w:sz w:val="24"/>
              </w:rPr>
            </w:pPr>
            <w:r>
              <w:rPr>
                <w:rFonts w:hint="eastAsia"/>
                <w:bCs/>
                <w:sz w:val="24"/>
              </w:rPr>
              <w:t>《火葬场大气污染物排放标准》（GB13801-2015）中表2新建单位遗体火化大气污染物排放限值要求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adjustRightInd w:val="0"/>
              <w:snapToGrid w:val="0"/>
              <w:spacing w:line="360" w:lineRule="exact"/>
              <w:jc w:val="center"/>
              <w:rPr>
                <w:rFonts w:ascii="宋体" w:hAnsi="宋体" w:cs="宋体"/>
                <w:sz w:val="24"/>
              </w:rPr>
            </w:pPr>
          </w:p>
        </w:tc>
        <w:tc>
          <w:tcPr>
            <w:tcW w:w="711" w:type="pct"/>
            <w:vAlign w:val="center"/>
          </w:tcPr>
          <w:p>
            <w:pPr>
              <w:adjustRightInd w:val="0"/>
              <w:snapToGrid w:val="0"/>
              <w:spacing w:line="360" w:lineRule="exact"/>
              <w:jc w:val="center"/>
              <w:rPr>
                <w:rFonts w:ascii="宋体" w:hAnsi="宋体" w:cs="宋体"/>
                <w:sz w:val="24"/>
              </w:rPr>
            </w:pPr>
            <w:r>
              <w:rPr>
                <w:rFonts w:hint="eastAsia"/>
                <w:sz w:val="24"/>
              </w:rPr>
              <w:t>遗物祭品焚烧炉废气</w:t>
            </w:r>
          </w:p>
        </w:tc>
        <w:tc>
          <w:tcPr>
            <w:tcW w:w="659" w:type="pct"/>
            <w:vAlign w:val="center"/>
          </w:tcPr>
          <w:p>
            <w:pPr>
              <w:adjustRightInd w:val="0"/>
              <w:snapToGrid w:val="0"/>
              <w:spacing w:line="360" w:lineRule="exact"/>
              <w:jc w:val="center"/>
              <w:rPr>
                <w:rFonts w:ascii="宋体" w:hAnsi="宋体" w:cs="宋体"/>
                <w:sz w:val="24"/>
              </w:rPr>
            </w:pPr>
            <w:r>
              <w:rPr>
                <w:rFonts w:hint="eastAsia"/>
                <w:bCs/>
                <w:sz w:val="24"/>
              </w:rPr>
              <w:t>烟尘、S</w:t>
            </w:r>
            <w:r>
              <w:rPr>
                <w:bCs/>
                <w:sz w:val="24"/>
              </w:rPr>
              <w:t>O</w:t>
            </w:r>
            <w:r>
              <w:rPr>
                <w:bCs/>
                <w:sz w:val="24"/>
                <w:vertAlign w:val="subscript"/>
              </w:rPr>
              <w:t>2</w:t>
            </w:r>
            <w:r>
              <w:rPr>
                <w:rFonts w:hint="eastAsia"/>
                <w:bCs/>
                <w:sz w:val="24"/>
              </w:rPr>
              <w:t>、N</w:t>
            </w:r>
            <w:r>
              <w:rPr>
                <w:bCs/>
                <w:sz w:val="24"/>
              </w:rPr>
              <w:t>O</w:t>
            </w:r>
            <w:r>
              <w:rPr>
                <w:bCs/>
                <w:sz w:val="24"/>
                <w:vertAlign w:val="subscript"/>
              </w:rPr>
              <w:t>x</w:t>
            </w:r>
            <w:r>
              <w:rPr>
                <w:rFonts w:hint="eastAsia"/>
                <w:bCs/>
                <w:sz w:val="24"/>
              </w:rPr>
              <w:t>、C</w:t>
            </w:r>
            <w:r>
              <w:rPr>
                <w:bCs/>
                <w:sz w:val="24"/>
              </w:rPr>
              <w:t>O</w:t>
            </w:r>
            <w:r>
              <w:rPr>
                <w:rFonts w:hint="eastAsia"/>
                <w:bCs/>
                <w:sz w:val="24"/>
              </w:rPr>
              <w:t>、H</w:t>
            </w:r>
            <w:r>
              <w:rPr>
                <w:bCs/>
                <w:sz w:val="24"/>
              </w:rPr>
              <w:t>C</w:t>
            </w:r>
            <w:r>
              <w:rPr>
                <w:rFonts w:hint="eastAsia"/>
                <w:bCs/>
                <w:sz w:val="24"/>
              </w:rPr>
              <w:t>l、二噁英类</w:t>
            </w:r>
          </w:p>
        </w:tc>
        <w:tc>
          <w:tcPr>
            <w:tcW w:w="1621" w:type="pct"/>
            <w:vAlign w:val="center"/>
          </w:tcPr>
          <w:p>
            <w:pPr>
              <w:pStyle w:val="46"/>
              <w:snapToGrid/>
              <w:spacing w:before="0" w:after="0" w:line="360" w:lineRule="exact"/>
              <w:ind w:firstLine="0" w:firstLineChars="0"/>
              <w:jc w:val="center"/>
            </w:pPr>
            <w:r>
              <w:rPr>
                <w:rFonts w:hint="eastAsia"/>
              </w:rPr>
              <w:t>遗物祭品焚烧炉单独配置一套废气处理设施+1根12m高排气筒。</w:t>
            </w:r>
          </w:p>
          <w:p>
            <w:pPr>
              <w:adjustRightInd w:val="0"/>
              <w:snapToGrid w:val="0"/>
              <w:spacing w:line="360" w:lineRule="exact"/>
              <w:jc w:val="center"/>
              <w:rPr>
                <w:rFonts w:ascii="宋体" w:hAnsi="宋体" w:cs="宋体"/>
                <w:sz w:val="24"/>
              </w:rPr>
            </w:pPr>
            <w:r>
              <w:rPr>
                <w:rFonts w:hint="eastAsia"/>
                <w:sz w:val="24"/>
              </w:rPr>
              <w:t>烟气净化采用急冷装置+半干法脱硫+旋风离心器+活性炭喷射+布袋除尘器组合方案。</w:t>
            </w:r>
          </w:p>
        </w:tc>
        <w:tc>
          <w:tcPr>
            <w:tcW w:w="1000" w:type="pct"/>
            <w:vAlign w:val="center"/>
          </w:tcPr>
          <w:p>
            <w:pPr>
              <w:adjustRightInd w:val="0"/>
              <w:snapToGrid w:val="0"/>
              <w:spacing w:line="360" w:lineRule="exact"/>
              <w:jc w:val="center"/>
              <w:rPr>
                <w:rFonts w:ascii="宋体" w:hAnsi="宋体" w:cs="宋体"/>
                <w:sz w:val="24"/>
              </w:rPr>
            </w:pPr>
            <w:r>
              <w:rPr>
                <w:rFonts w:hint="eastAsia"/>
                <w:sz w:val="24"/>
              </w:rPr>
              <w:t>《火葬场大气污染物排放标准》（GB13801-2015）中表3遗物祭品焚烧大气污染物排放限值要求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restart"/>
            <w:vAlign w:val="center"/>
          </w:tcPr>
          <w:p>
            <w:pPr>
              <w:adjustRightInd w:val="0"/>
              <w:snapToGrid w:val="0"/>
              <w:spacing w:line="360" w:lineRule="exact"/>
              <w:jc w:val="center"/>
              <w:rPr>
                <w:rFonts w:ascii="宋体" w:hAnsi="宋体" w:cs="宋体"/>
                <w:sz w:val="24"/>
              </w:rPr>
            </w:pPr>
            <w:r>
              <w:rPr>
                <w:rFonts w:hint="eastAsia" w:ascii="宋体" w:hAnsi="宋体" w:cs="宋体"/>
                <w:sz w:val="24"/>
              </w:rPr>
              <w:t>地表水环境</w:t>
            </w:r>
          </w:p>
        </w:tc>
        <w:tc>
          <w:tcPr>
            <w:tcW w:w="711" w:type="pct"/>
            <w:vAlign w:val="center"/>
          </w:tcPr>
          <w:p>
            <w:pPr>
              <w:adjustRightInd w:val="0"/>
              <w:snapToGrid w:val="0"/>
              <w:spacing w:line="360" w:lineRule="exact"/>
              <w:jc w:val="center"/>
              <w:rPr>
                <w:rFonts w:ascii="宋体" w:hAnsi="宋体" w:cs="宋体"/>
                <w:sz w:val="24"/>
              </w:rPr>
            </w:pPr>
            <w:r>
              <w:rPr>
                <w:rFonts w:hint="eastAsia"/>
                <w:sz w:val="24"/>
              </w:rPr>
              <w:t>遗体处置清洗、消毒废水</w:t>
            </w:r>
          </w:p>
        </w:tc>
        <w:tc>
          <w:tcPr>
            <w:tcW w:w="659" w:type="pct"/>
            <w:vMerge w:val="restart"/>
            <w:vAlign w:val="center"/>
          </w:tcPr>
          <w:p>
            <w:pPr>
              <w:adjustRightInd w:val="0"/>
              <w:snapToGrid w:val="0"/>
              <w:spacing w:line="360" w:lineRule="exact"/>
              <w:jc w:val="center"/>
              <w:rPr>
                <w:rFonts w:ascii="宋体" w:hAnsi="宋体" w:cs="宋体"/>
                <w:sz w:val="24"/>
              </w:rPr>
            </w:pPr>
            <w:r>
              <w:rPr>
                <w:sz w:val="24"/>
              </w:rPr>
              <w:t>COD、BOD、</w:t>
            </w:r>
            <w:r>
              <w:rPr>
                <w:rFonts w:hint="eastAsia"/>
                <w:sz w:val="24"/>
              </w:rPr>
              <w:t>氨氮、</w:t>
            </w:r>
            <w:r>
              <w:rPr>
                <w:sz w:val="24"/>
              </w:rPr>
              <w:t>SS等</w:t>
            </w:r>
          </w:p>
        </w:tc>
        <w:tc>
          <w:tcPr>
            <w:tcW w:w="1621" w:type="pct"/>
            <w:vMerge w:val="restart"/>
            <w:vAlign w:val="center"/>
          </w:tcPr>
          <w:p>
            <w:pPr>
              <w:adjustRightInd w:val="0"/>
              <w:snapToGrid w:val="0"/>
              <w:spacing w:line="360" w:lineRule="exact"/>
              <w:jc w:val="center"/>
              <w:rPr>
                <w:rFonts w:ascii="宋体" w:hAnsi="宋体" w:cs="宋体"/>
                <w:sz w:val="24"/>
              </w:rPr>
            </w:pPr>
            <w:r>
              <w:rPr>
                <w:rFonts w:hint="eastAsia" w:ascii="宋体" w:hAnsi="宋体" w:cs="宋体"/>
                <w:sz w:val="24"/>
              </w:rPr>
              <w:t>遗体处置清洗、消毒废水，专用殡仪车辆清洗、消毒废水，经消毒池预处理后进入自建污水处理站处理，与其他生活污水一同进入自建污水处理站处理；废水经污水处理站处理后非采暖期（5月至1</w:t>
            </w:r>
            <w:r>
              <w:rPr>
                <w:rFonts w:ascii="宋体" w:hAnsi="宋体" w:cs="宋体"/>
                <w:sz w:val="24"/>
              </w:rPr>
              <w:t>0</w:t>
            </w:r>
            <w:r>
              <w:rPr>
                <w:rFonts w:hint="eastAsia" w:ascii="宋体" w:hAnsi="宋体" w:cs="宋体"/>
                <w:sz w:val="24"/>
              </w:rPr>
              <w:t>月）可用于道路浇洒及绿化浇灌，采暖期（1</w:t>
            </w:r>
            <w:r>
              <w:rPr>
                <w:rFonts w:ascii="宋体" w:hAnsi="宋体" w:cs="宋体"/>
                <w:sz w:val="24"/>
              </w:rPr>
              <w:t>1</w:t>
            </w:r>
            <w:r>
              <w:rPr>
                <w:rFonts w:hint="eastAsia" w:ascii="宋体" w:hAnsi="宋体" w:cs="宋体"/>
                <w:sz w:val="24"/>
              </w:rPr>
              <w:t>月-</w:t>
            </w:r>
            <w:r>
              <w:rPr>
                <w:rFonts w:ascii="宋体" w:hAnsi="宋体" w:cs="宋体"/>
                <w:sz w:val="24"/>
              </w:rPr>
              <w:t>4</w:t>
            </w:r>
            <w:r>
              <w:rPr>
                <w:rFonts w:hint="eastAsia" w:ascii="宋体" w:hAnsi="宋体" w:cs="宋体"/>
                <w:sz w:val="24"/>
              </w:rPr>
              <w:t>月）定期统一抽送至五台县生活污水处理厂。</w:t>
            </w:r>
          </w:p>
        </w:tc>
        <w:tc>
          <w:tcPr>
            <w:tcW w:w="1000" w:type="pct"/>
            <w:vMerge w:val="restart"/>
            <w:vAlign w:val="center"/>
          </w:tcPr>
          <w:p>
            <w:pPr>
              <w:adjustRightInd w:val="0"/>
              <w:snapToGrid w:val="0"/>
              <w:spacing w:line="360" w:lineRule="exact"/>
              <w:jc w:val="center"/>
              <w:rPr>
                <w:rFonts w:ascii="宋体" w:hAnsi="宋体" w:cs="宋体"/>
                <w:sz w:val="24"/>
              </w:rPr>
            </w:pPr>
            <w:r>
              <w:rPr>
                <w:rFonts w:hint="eastAsia" w:ascii="宋体" w:hAnsi="宋体" w:cs="宋体"/>
                <w:bCs/>
                <w:sz w:val="24"/>
              </w:rPr>
              <w:t>《城市污水再生利用 城市杂用水水质》（G</w:t>
            </w:r>
            <w:r>
              <w:rPr>
                <w:rFonts w:ascii="宋体" w:hAnsi="宋体" w:cs="宋体"/>
                <w:bCs/>
                <w:sz w:val="24"/>
              </w:rPr>
              <w:t>B18920-2002</w:t>
            </w:r>
            <w:r>
              <w:rPr>
                <w:rFonts w:hint="eastAsia" w:ascii="宋体" w:hAnsi="宋体" w:cs="宋体"/>
                <w:bCs/>
                <w:sz w:val="24"/>
              </w:rPr>
              <w:t>）中城市绿化水质标准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adjustRightInd w:val="0"/>
              <w:snapToGrid w:val="0"/>
              <w:spacing w:line="360" w:lineRule="exact"/>
              <w:jc w:val="center"/>
              <w:rPr>
                <w:rFonts w:ascii="宋体" w:hAnsi="宋体" w:cs="宋体"/>
                <w:sz w:val="24"/>
              </w:rPr>
            </w:pPr>
          </w:p>
        </w:tc>
        <w:tc>
          <w:tcPr>
            <w:tcW w:w="711" w:type="pct"/>
            <w:vAlign w:val="center"/>
          </w:tcPr>
          <w:p>
            <w:pPr>
              <w:adjustRightInd w:val="0"/>
              <w:snapToGrid w:val="0"/>
              <w:spacing w:line="360" w:lineRule="exact"/>
              <w:jc w:val="center"/>
              <w:rPr>
                <w:rFonts w:ascii="宋体" w:hAnsi="宋体" w:cs="宋体"/>
                <w:sz w:val="24"/>
              </w:rPr>
            </w:pPr>
            <w:r>
              <w:rPr>
                <w:rFonts w:hint="eastAsia"/>
                <w:sz w:val="24"/>
              </w:rPr>
              <w:t>专用殡仪车辆清洗、消毒废水</w:t>
            </w:r>
          </w:p>
        </w:tc>
        <w:tc>
          <w:tcPr>
            <w:tcW w:w="659" w:type="pct"/>
            <w:vMerge w:val="continue"/>
            <w:vAlign w:val="center"/>
          </w:tcPr>
          <w:p>
            <w:pPr>
              <w:adjustRightInd w:val="0"/>
              <w:snapToGrid w:val="0"/>
              <w:spacing w:line="360" w:lineRule="exact"/>
              <w:jc w:val="center"/>
              <w:rPr>
                <w:rFonts w:ascii="宋体" w:hAnsi="宋体" w:cs="宋体"/>
                <w:sz w:val="24"/>
              </w:rPr>
            </w:pPr>
          </w:p>
        </w:tc>
        <w:tc>
          <w:tcPr>
            <w:tcW w:w="1621" w:type="pct"/>
            <w:vMerge w:val="continue"/>
            <w:vAlign w:val="center"/>
          </w:tcPr>
          <w:p>
            <w:pPr>
              <w:adjustRightInd w:val="0"/>
              <w:snapToGrid w:val="0"/>
              <w:spacing w:line="360" w:lineRule="exact"/>
              <w:jc w:val="center"/>
              <w:rPr>
                <w:rFonts w:ascii="宋体" w:hAnsi="宋体" w:cs="宋体"/>
                <w:sz w:val="24"/>
              </w:rPr>
            </w:pPr>
          </w:p>
        </w:tc>
        <w:tc>
          <w:tcPr>
            <w:tcW w:w="1000" w:type="pct"/>
            <w:vMerge w:val="continue"/>
            <w:vAlign w:val="center"/>
          </w:tcPr>
          <w:p>
            <w:pPr>
              <w:adjustRightInd w:val="0"/>
              <w:snapToGrid w:val="0"/>
              <w:spacing w:line="360" w:lineRule="exact"/>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Merge w:val="continue"/>
            <w:vAlign w:val="center"/>
          </w:tcPr>
          <w:p>
            <w:pPr>
              <w:adjustRightInd w:val="0"/>
              <w:snapToGrid w:val="0"/>
              <w:spacing w:line="360" w:lineRule="exact"/>
              <w:jc w:val="center"/>
              <w:rPr>
                <w:rFonts w:ascii="宋体" w:hAnsi="宋体" w:cs="宋体"/>
                <w:sz w:val="24"/>
              </w:rPr>
            </w:pPr>
          </w:p>
        </w:tc>
        <w:tc>
          <w:tcPr>
            <w:tcW w:w="711" w:type="pct"/>
            <w:vAlign w:val="center"/>
          </w:tcPr>
          <w:p>
            <w:pPr>
              <w:adjustRightInd w:val="0"/>
              <w:snapToGrid w:val="0"/>
              <w:spacing w:line="360" w:lineRule="exact"/>
              <w:jc w:val="center"/>
              <w:rPr>
                <w:rFonts w:ascii="宋体" w:hAnsi="宋体" w:cs="宋体"/>
                <w:sz w:val="24"/>
              </w:rPr>
            </w:pPr>
            <w:r>
              <w:rPr>
                <w:rFonts w:hint="eastAsia"/>
                <w:sz w:val="24"/>
              </w:rPr>
              <w:t>来访人员及工作人员生活污水</w:t>
            </w:r>
          </w:p>
        </w:tc>
        <w:tc>
          <w:tcPr>
            <w:tcW w:w="659" w:type="pct"/>
            <w:vMerge w:val="continue"/>
            <w:vAlign w:val="center"/>
          </w:tcPr>
          <w:p>
            <w:pPr>
              <w:adjustRightInd w:val="0"/>
              <w:snapToGrid w:val="0"/>
              <w:spacing w:line="360" w:lineRule="exact"/>
              <w:jc w:val="center"/>
              <w:rPr>
                <w:rFonts w:ascii="宋体" w:hAnsi="宋体" w:cs="宋体"/>
                <w:sz w:val="24"/>
              </w:rPr>
            </w:pPr>
          </w:p>
        </w:tc>
        <w:tc>
          <w:tcPr>
            <w:tcW w:w="1621" w:type="pct"/>
            <w:vMerge w:val="continue"/>
            <w:vAlign w:val="center"/>
          </w:tcPr>
          <w:p>
            <w:pPr>
              <w:adjustRightInd w:val="0"/>
              <w:snapToGrid w:val="0"/>
              <w:spacing w:line="360" w:lineRule="exact"/>
              <w:jc w:val="center"/>
              <w:rPr>
                <w:rFonts w:ascii="宋体" w:hAnsi="宋体" w:cs="宋体"/>
                <w:sz w:val="24"/>
              </w:rPr>
            </w:pPr>
          </w:p>
        </w:tc>
        <w:tc>
          <w:tcPr>
            <w:tcW w:w="1000" w:type="pct"/>
            <w:vMerge w:val="continue"/>
            <w:vAlign w:val="center"/>
          </w:tcPr>
          <w:p>
            <w:pPr>
              <w:adjustRightInd w:val="0"/>
              <w:snapToGrid w:val="0"/>
              <w:spacing w:line="360" w:lineRule="exact"/>
              <w:jc w:val="center"/>
              <w:rPr>
                <w:rFonts w:ascii="宋体" w:hAnsi="宋体" w:cs="宋体"/>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声环境</w:t>
            </w:r>
          </w:p>
        </w:tc>
        <w:tc>
          <w:tcPr>
            <w:tcW w:w="711" w:type="pct"/>
            <w:vAlign w:val="center"/>
          </w:tcPr>
          <w:p>
            <w:pPr>
              <w:adjustRightInd w:val="0"/>
              <w:snapToGrid w:val="0"/>
              <w:spacing w:line="360" w:lineRule="exact"/>
              <w:jc w:val="center"/>
              <w:rPr>
                <w:rFonts w:ascii="宋体" w:hAnsi="宋体" w:cs="宋体"/>
                <w:sz w:val="24"/>
              </w:rPr>
            </w:pPr>
            <w:r>
              <w:rPr>
                <w:rFonts w:hint="eastAsia"/>
                <w:sz w:val="24"/>
              </w:rPr>
              <w:t>设备</w:t>
            </w:r>
            <w:r>
              <w:rPr>
                <w:rFonts w:hint="eastAsia"/>
                <w:bCs/>
                <w:sz w:val="24"/>
              </w:rPr>
              <w:t>噪声，</w:t>
            </w:r>
            <w:r>
              <w:rPr>
                <w:rFonts w:hint="eastAsia"/>
                <w:sz w:val="24"/>
                <w:lang w:bidi="ar"/>
              </w:rPr>
              <w:t>悼念活动噪声</w:t>
            </w:r>
          </w:p>
        </w:tc>
        <w:tc>
          <w:tcPr>
            <w:tcW w:w="65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噪声</w:t>
            </w:r>
          </w:p>
        </w:tc>
        <w:tc>
          <w:tcPr>
            <w:tcW w:w="1621" w:type="pct"/>
            <w:vAlign w:val="center"/>
          </w:tcPr>
          <w:p>
            <w:pPr>
              <w:adjustRightInd w:val="0"/>
              <w:snapToGrid w:val="0"/>
              <w:spacing w:line="360" w:lineRule="exact"/>
              <w:jc w:val="center"/>
              <w:rPr>
                <w:rFonts w:ascii="宋体" w:hAnsi="宋体" w:cs="宋体"/>
                <w:sz w:val="24"/>
              </w:rPr>
            </w:pPr>
            <w:r>
              <w:rPr>
                <w:rFonts w:hint="eastAsia"/>
                <w:bCs/>
                <w:spacing w:val="4"/>
                <w:sz w:val="24"/>
              </w:rPr>
              <w:t>选用低噪声设备，隔声、基础减振，定期维护；加强管理。</w:t>
            </w:r>
          </w:p>
        </w:tc>
        <w:tc>
          <w:tcPr>
            <w:tcW w:w="1000" w:type="pct"/>
            <w:vAlign w:val="center"/>
          </w:tcPr>
          <w:p>
            <w:pPr>
              <w:adjustRightInd w:val="0"/>
              <w:snapToGrid w:val="0"/>
              <w:spacing w:line="360" w:lineRule="exact"/>
              <w:jc w:val="center"/>
              <w:rPr>
                <w:rFonts w:ascii="宋体" w:hAnsi="宋体" w:cs="宋体"/>
                <w:sz w:val="24"/>
              </w:rPr>
            </w:pPr>
            <w:r>
              <w:rPr>
                <w:rFonts w:hint="eastAsia"/>
                <w:sz w:val="24"/>
              </w:rPr>
              <w:t>《工业企业厂界环境噪声排放标准》（</w:t>
            </w:r>
            <w:r>
              <w:rPr>
                <w:sz w:val="24"/>
              </w:rPr>
              <w:t>GB12348-2008</w:t>
            </w:r>
            <w:r>
              <w:rPr>
                <w:rFonts w:hint="eastAsia"/>
                <w:sz w:val="24"/>
              </w:rPr>
              <w:t>）中</w:t>
            </w:r>
            <w:r>
              <w:rPr>
                <w:sz w:val="24"/>
              </w:rPr>
              <w:t>2</w:t>
            </w:r>
            <w:r>
              <w:rPr>
                <w:rFonts w:hint="eastAsia"/>
                <w:sz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电磁辐射</w:t>
            </w:r>
          </w:p>
        </w:tc>
        <w:tc>
          <w:tcPr>
            <w:tcW w:w="711"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65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1621"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c>
          <w:tcPr>
            <w:tcW w:w="1000"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固体废物</w:t>
            </w:r>
          </w:p>
        </w:tc>
        <w:tc>
          <w:tcPr>
            <w:tcW w:w="3991" w:type="pct"/>
            <w:gridSpan w:val="4"/>
            <w:vAlign w:val="center"/>
          </w:tcPr>
          <w:p>
            <w:pPr>
              <w:adjustRightInd w:val="0"/>
              <w:snapToGrid w:val="0"/>
              <w:spacing w:line="380" w:lineRule="exact"/>
              <w:rPr>
                <w:rFonts w:ascii="宋体" w:hAnsi="宋体" w:cs="宋体"/>
                <w:bCs/>
                <w:sz w:val="24"/>
              </w:rPr>
            </w:pPr>
            <w:r>
              <w:rPr>
                <w:rFonts w:hint="eastAsia" w:ascii="宋体" w:hAnsi="宋体" w:cs="宋体"/>
                <w:sz w:val="24"/>
              </w:rPr>
              <w:t>①一般固废：遗体火化产生的骨灰</w:t>
            </w:r>
            <w:r>
              <w:rPr>
                <w:rFonts w:hint="eastAsia" w:ascii="宋体" w:hAnsi="宋体" w:cs="宋体"/>
                <w:bCs/>
                <w:sz w:val="24"/>
              </w:rPr>
              <w:t>在进行挑捡后由各逝者家属装进骨灰盒带走，葬入墓地或寄存于骨灰寄存楼；火化炉遗留的灰渣、遗物祭品焚烧灰渣、采用消石灰干化后生活污水处理站污泥收集后与生活垃圾一起运至市政指定的地点统一处理；</w:t>
            </w:r>
          </w:p>
          <w:p>
            <w:pPr>
              <w:adjustRightInd w:val="0"/>
              <w:snapToGrid w:val="0"/>
              <w:spacing w:line="380" w:lineRule="exact"/>
              <w:rPr>
                <w:rFonts w:ascii="宋体" w:hAnsi="宋体" w:cs="宋体"/>
                <w:bCs/>
                <w:sz w:val="24"/>
              </w:rPr>
            </w:pPr>
            <w:r>
              <w:rPr>
                <w:rFonts w:hint="eastAsia" w:ascii="宋体" w:hAnsi="宋体" w:cs="宋体"/>
                <w:bCs/>
                <w:sz w:val="24"/>
              </w:rPr>
              <w:t>②危险废物：</w:t>
            </w:r>
            <w:r>
              <w:rPr>
                <w:rFonts w:hint="eastAsia"/>
                <w:sz w:val="24"/>
              </w:rPr>
              <w:t>焚烧飞灰、废脱硫粉、废活性炭为危险废物，储存于特定容器中，暂存于危废暂存间内，委托有相关处理资质的单位定期外协处置；</w:t>
            </w:r>
          </w:p>
          <w:p>
            <w:pPr>
              <w:adjustRightInd w:val="0"/>
              <w:snapToGrid w:val="0"/>
              <w:spacing w:line="380" w:lineRule="exact"/>
              <w:rPr>
                <w:rFonts w:ascii="宋体" w:hAnsi="宋体" w:cs="宋体"/>
                <w:sz w:val="24"/>
              </w:rPr>
            </w:pPr>
            <w:r>
              <w:rPr>
                <w:rFonts w:hint="eastAsia" w:ascii="宋体" w:hAnsi="宋体" w:cs="宋体"/>
                <w:bCs/>
                <w:sz w:val="24"/>
              </w:rPr>
              <w:t>③生活垃圾：</w:t>
            </w:r>
            <w:r>
              <w:rPr>
                <w:rFonts w:ascii="宋体" w:hAnsi="宋体" w:cs="宋体"/>
                <w:bCs/>
                <w:sz w:val="24"/>
              </w:rPr>
              <w:t>设置垃圾筒，垃圾经收集后运至市政指定的地点</w:t>
            </w:r>
            <w:r>
              <w:rPr>
                <w:rFonts w:hint="eastAsia" w:ascii="宋体" w:hAnsi="宋体" w:cs="宋体"/>
                <w:bCs/>
                <w:sz w:val="24"/>
              </w:rPr>
              <w:t>统一</w:t>
            </w:r>
            <w:r>
              <w:rPr>
                <w:rFonts w:ascii="宋体" w:hAnsi="宋体" w:cs="宋体"/>
                <w:bCs/>
                <w:sz w:val="24"/>
              </w:rPr>
              <w:t>处理</w:t>
            </w:r>
            <w:r>
              <w:rPr>
                <w:rFonts w:hint="eastAsia" w:ascii="宋体" w:hAnsi="宋体" w:cs="宋体"/>
                <w:bCs/>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土壤及地下水</w:t>
            </w:r>
          </w:p>
          <w:p>
            <w:pPr>
              <w:adjustRightInd w:val="0"/>
              <w:snapToGrid w:val="0"/>
              <w:spacing w:line="360" w:lineRule="exact"/>
              <w:jc w:val="center"/>
              <w:rPr>
                <w:rFonts w:ascii="宋体" w:hAnsi="宋体" w:cs="宋体"/>
                <w:sz w:val="24"/>
              </w:rPr>
            </w:pPr>
            <w:r>
              <w:rPr>
                <w:rFonts w:hint="eastAsia" w:ascii="宋体" w:hAnsi="宋体" w:cs="宋体"/>
                <w:sz w:val="24"/>
              </w:rPr>
              <w:t>污染防治措施</w:t>
            </w:r>
          </w:p>
        </w:tc>
        <w:tc>
          <w:tcPr>
            <w:tcW w:w="3991" w:type="pct"/>
            <w:gridSpan w:val="4"/>
            <w:vAlign w:val="center"/>
          </w:tcPr>
          <w:p>
            <w:pPr>
              <w:adjustRightInd w:val="0"/>
              <w:snapToGrid w:val="0"/>
              <w:spacing w:line="380" w:lineRule="exact"/>
              <w:rPr>
                <w:sz w:val="24"/>
              </w:rPr>
            </w:pPr>
            <w:r>
              <w:rPr>
                <w:rFonts w:hint="eastAsia"/>
                <w:sz w:val="24"/>
              </w:rPr>
              <w:t>①</w:t>
            </w:r>
            <w:r>
              <w:rPr>
                <w:sz w:val="24"/>
              </w:rPr>
              <w:t>厂区进行硬化</w:t>
            </w:r>
            <w:r>
              <w:rPr>
                <w:rFonts w:hint="eastAsia"/>
                <w:sz w:val="24"/>
              </w:rPr>
              <w:t>；</w:t>
            </w:r>
            <w:r>
              <w:rPr>
                <w:sz w:val="24"/>
              </w:rPr>
              <w:t>建成具有防水、防渗、防流失的专用危险废物贮存设施贮存危险废物</w:t>
            </w:r>
            <w:r>
              <w:rPr>
                <w:rFonts w:hint="eastAsia"/>
                <w:sz w:val="24"/>
              </w:rPr>
              <w:t>；危险废物贮存设施</w:t>
            </w:r>
            <w:r>
              <w:rPr>
                <w:sz w:val="24"/>
              </w:rPr>
              <w:t>基础必须防渗，防渗层为至少1米厚粘土层（渗透系数≤10</w:t>
            </w:r>
            <w:r>
              <w:rPr>
                <w:sz w:val="24"/>
                <w:vertAlign w:val="superscript"/>
              </w:rPr>
              <w:t>-7</w:t>
            </w:r>
            <w:r>
              <w:rPr>
                <w:sz w:val="24"/>
              </w:rPr>
              <w:t>厘米/秒），或2毫米厚高密度聚乙烯，或至少2毫米厚的其它人工材料，渗透系数≤10</w:t>
            </w:r>
            <w:r>
              <w:rPr>
                <w:sz w:val="24"/>
                <w:vertAlign w:val="superscript"/>
              </w:rPr>
              <w:t>-10</w:t>
            </w:r>
            <w:r>
              <w:rPr>
                <w:sz w:val="24"/>
              </w:rPr>
              <w:t>厘米/秒</w:t>
            </w:r>
            <w:r>
              <w:rPr>
                <w:rFonts w:hint="eastAsia"/>
                <w:sz w:val="24"/>
              </w:rPr>
              <w:t>；</w:t>
            </w:r>
          </w:p>
          <w:p>
            <w:pPr>
              <w:adjustRightInd w:val="0"/>
              <w:snapToGrid w:val="0"/>
              <w:spacing w:line="380" w:lineRule="exact"/>
              <w:rPr>
                <w:rFonts w:ascii="宋体" w:hAnsi="宋体" w:cs="宋体"/>
                <w:sz w:val="24"/>
              </w:rPr>
            </w:pPr>
            <w:r>
              <w:rPr>
                <w:rFonts w:hint="eastAsia"/>
                <w:sz w:val="24"/>
              </w:rPr>
              <w:t>②加强火化机、遗物祭品焚烧炉烟气处理系统维护，确保H</w:t>
            </w:r>
            <w:r>
              <w:rPr>
                <w:sz w:val="24"/>
              </w:rPr>
              <w:t>Cl</w:t>
            </w:r>
            <w:r>
              <w:rPr>
                <w:rFonts w:hint="eastAsia"/>
                <w:sz w:val="24"/>
              </w:rPr>
              <w:t>、汞、二噁英类等污染物达标排放。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adjustRightInd w:val="0"/>
              <w:snapToGrid w:val="0"/>
              <w:spacing w:line="360" w:lineRule="exact"/>
              <w:jc w:val="center"/>
              <w:rPr>
                <w:rFonts w:ascii="宋体" w:hAnsi="宋体" w:cs="宋体"/>
                <w:sz w:val="24"/>
              </w:rPr>
            </w:pPr>
            <w:r>
              <w:rPr>
                <w:rFonts w:hint="eastAsia" w:ascii="宋体" w:hAnsi="宋体" w:cs="宋体"/>
                <w:sz w:val="24"/>
              </w:rPr>
              <w:t>生态保护措施</w:t>
            </w:r>
          </w:p>
        </w:tc>
        <w:tc>
          <w:tcPr>
            <w:tcW w:w="3991" w:type="pct"/>
            <w:gridSpan w:val="4"/>
            <w:vAlign w:val="center"/>
          </w:tcPr>
          <w:p>
            <w:pPr>
              <w:adjustRightInd w:val="0"/>
              <w:snapToGrid w:val="0"/>
              <w:spacing w:line="380" w:lineRule="exact"/>
              <w:rPr>
                <w:rFonts w:ascii="宋体" w:hAnsi="宋体" w:cs="宋体"/>
                <w:sz w:val="24"/>
              </w:rPr>
            </w:pPr>
            <w:r>
              <w:rPr>
                <w:rFonts w:hint="eastAsia"/>
                <w:sz w:val="24"/>
              </w:rPr>
              <w:t>本项目在进行总平面布置设计的同时，考虑了院内绿化美化用地。该工程绿化美化设计采用重点绿化和一般绿化相结合的方式,拟在基地前区、基地大门附近采取重点绿化。可布置花坛、花池、种植供人们观赏的优良花卉和树种，并适当进行垂直绿化。在殡殓区、业务区及其它闲散地带可栽植绿篱和草坪、片植、孤植乔木、灌木进行适当，点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009" w:type="pct"/>
            <w:vAlign w:val="center"/>
          </w:tcPr>
          <w:p>
            <w:pPr>
              <w:adjustRightInd w:val="0"/>
              <w:snapToGrid w:val="0"/>
              <w:spacing w:line="360" w:lineRule="exact"/>
              <w:jc w:val="center"/>
              <w:rPr>
                <w:rFonts w:ascii="宋体" w:hAnsi="宋体" w:cs="宋体"/>
                <w:spacing w:val="-8"/>
                <w:sz w:val="24"/>
              </w:rPr>
            </w:pPr>
            <w:r>
              <w:rPr>
                <w:rFonts w:hint="eastAsia" w:ascii="宋体" w:hAnsi="宋体" w:cs="宋体"/>
                <w:spacing w:val="-8"/>
                <w:sz w:val="24"/>
              </w:rPr>
              <w:t>环境风险</w:t>
            </w:r>
          </w:p>
          <w:p>
            <w:pPr>
              <w:adjustRightInd w:val="0"/>
              <w:snapToGrid w:val="0"/>
              <w:spacing w:line="360" w:lineRule="exact"/>
              <w:jc w:val="center"/>
              <w:rPr>
                <w:rFonts w:ascii="宋体" w:hAnsi="宋体" w:cs="宋体"/>
                <w:spacing w:val="-8"/>
                <w:sz w:val="24"/>
              </w:rPr>
            </w:pPr>
            <w:r>
              <w:rPr>
                <w:rFonts w:hint="eastAsia" w:ascii="宋体" w:hAnsi="宋体" w:cs="宋体"/>
                <w:spacing w:val="-8"/>
                <w:sz w:val="24"/>
              </w:rPr>
              <w:t>防范措施</w:t>
            </w:r>
          </w:p>
        </w:tc>
        <w:tc>
          <w:tcPr>
            <w:tcW w:w="3991" w:type="pct"/>
            <w:gridSpan w:val="4"/>
            <w:vAlign w:val="center"/>
          </w:tcPr>
          <w:p>
            <w:pPr>
              <w:adjustRightInd w:val="0"/>
              <w:snapToGrid w:val="0"/>
              <w:spacing w:line="380" w:lineRule="exact"/>
              <w:rPr>
                <w:rFonts w:ascii="宋体" w:hAnsi="宋体" w:cs="宋体"/>
                <w:sz w:val="24"/>
                <w:lang w:bidi="en-US"/>
              </w:rPr>
            </w:pPr>
            <w:r>
              <w:rPr>
                <w:rFonts w:hint="eastAsia" w:ascii="宋体" w:hAnsi="宋体" w:cs="宋体"/>
                <w:sz w:val="24"/>
                <w:lang w:bidi="en-US"/>
              </w:rPr>
              <w:t>①</w:t>
            </w:r>
            <w:r>
              <w:rPr>
                <w:rFonts w:ascii="宋体" w:hAnsi="宋体" w:cs="宋体"/>
                <w:sz w:val="24"/>
                <w:lang w:bidi="en-US"/>
              </w:rPr>
              <w:t>建立事故应急预案，成立事故应急处理小组，由车间安全负责人担任事故应急小组组长，一旦发生泄漏、火灾等事故，应立即启动事故应急预案，并向有关环境管理部门汇报情况，协助环境管理部门进行应急监测等工作；</w:t>
            </w:r>
          </w:p>
          <w:p>
            <w:pPr>
              <w:adjustRightInd w:val="0"/>
              <w:snapToGrid w:val="0"/>
              <w:spacing w:line="380" w:lineRule="exact"/>
              <w:rPr>
                <w:rFonts w:ascii="宋体" w:hAnsi="宋体" w:cs="宋体"/>
                <w:sz w:val="24"/>
                <w:lang w:bidi="en-US"/>
              </w:rPr>
            </w:pPr>
            <w:r>
              <w:rPr>
                <w:rFonts w:hint="eastAsia" w:ascii="宋体" w:hAnsi="宋体" w:cs="宋体"/>
                <w:sz w:val="24"/>
                <w:lang w:bidi="en-US"/>
              </w:rPr>
              <w:t>②</w:t>
            </w:r>
            <w:r>
              <w:rPr>
                <w:rFonts w:ascii="宋体" w:hAnsi="宋体" w:cs="宋体"/>
                <w:sz w:val="24"/>
                <w:lang w:bidi="en-US"/>
              </w:rPr>
              <w:t xml:space="preserve">火化间和柴油储存区内应配备灭火器、消防砂箱和防毒面具等消防应急设备，并定期检查设备有效性； </w:t>
            </w:r>
          </w:p>
          <w:p>
            <w:pPr>
              <w:adjustRightInd w:val="0"/>
              <w:snapToGrid w:val="0"/>
              <w:spacing w:line="380" w:lineRule="exact"/>
              <w:rPr>
                <w:rFonts w:ascii="宋体" w:hAnsi="宋体" w:cs="宋体"/>
                <w:sz w:val="24"/>
                <w:lang w:bidi="en-US"/>
              </w:rPr>
            </w:pPr>
            <w:r>
              <w:rPr>
                <w:rFonts w:hint="eastAsia" w:ascii="宋体" w:hAnsi="宋体" w:cs="宋体"/>
                <w:sz w:val="24"/>
                <w:lang w:bidi="en-US"/>
              </w:rPr>
              <w:t>③</w:t>
            </w:r>
            <w:r>
              <w:rPr>
                <w:rFonts w:ascii="宋体" w:hAnsi="宋体" w:cs="宋体"/>
                <w:sz w:val="24"/>
                <w:lang w:bidi="en-US"/>
              </w:rPr>
              <w:t>事故处理完毕后将泄漏液转移至槽车或专用的收集容器内，再做进一步处置。</w:t>
            </w:r>
          </w:p>
          <w:p>
            <w:pPr>
              <w:adjustRightInd w:val="0"/>
              <w:snapToGrid w:val="0"/>
              <w:spacing w:line="380" w:lineRule="exact"/>
              <w:rPr>
                <w:rFonts w:ascii="宋体" w:hAnsi="宋体" w:cs="宋体"/>
                <w:sz w:val="24"/>
              </w:rPr>
            </w:pPr>
            <w:r>
              <w:rPr>
                <w:rFonts w:hint="eastAsia" w:ascii="宋体" w:hAnsi="宋体" w:cs="宋体"/>
                <w:sz w:val="24"/>
              </w:rPr>
              <w:t>④设置围堰。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009" w:type="pct"/>
            <w:vAlign w:val="center"/>
          </w:tcPr>
          <w:p>
            <w:pPr>
              <w:adjustRightInd w:val="0"/>
              <w:snapToGrid w:val="0"/>
              <w:spacing w:line="360" w:lineRule="exact"/>
              <w:jc w:val="center"/>
              <w:rPr>
                <w:rFonts w:ascii="宋体" w:hAnsi="宋体" w:cs="宋体"/>
                <w:spacing w:val="-8"/>
                <w:szCs w:val="21"/>
              </w:rPr>
            </w:pPr>
            <w:r>
              <w:rPr>
                <w:rFonts w:hint="eastAsia" w:ascii="宋体" w:hAnsi="宋体" w:cs="宋体"/>
                <w:spacing w:val="-8"/>
                <w:szCs w:val="21"/>
              </w:rPr>
              <w:t>其他环境</w:t>
            </w:r>
          </w:p>
          <w:p>
            <w:pPr>
              <w:adjustRightInd w:val="0"/>
              <w:snapToGrid w:val="0"/>
              <w:spacing w:line="360" w:lineRule="exact"/>
              <w:jc w:val="center"/>
              <w:rPr>
                <w:rFonts w:ascii="宋体" w:hAnsi="宋体" w:cs="宋体"/>
                <w:spacing w:val="-8"/>
                <w:szCs w:val="21"/>
              </w:rPr>
            </w:pPr>
            <w:r>
              <w:rPr>
                <w:rFonts w:hint="eastAsia" w:ascii="宋体" w:hAnsi="宋体" w:cs="宋体"/>
                <w:spacing w:val="-8"/>
                <w:szCs w:val="21"/>
              </w:rPr>
              <w:t>管理要求</w:t>
            </w:r>
          </w:p>
        </w:tc>
        <w:tc>
          <w:tcPr>
            <w:tcW w:w="3991" w:type="pct"/>
            <w:gridSpan w:val="4"/>
            <w:vAlign w:val="center"/>
          </w:tcPr>
          <w:p>
            <w:pPr>
              <w:adjustRightInd w:val="0"/>
              <w:snapToGrid w:val="0"/>
              <w:spacing w:line="480" w:lineRule="exact"/>
              <w:ind w:firstLine="480" w:firstLineChars="200"/>
              <w:rPr>
                <w:b/>
                <w:sz w:val="24"/>
              </w:rPr>
            </w:pPr>
            <w:r>
              <w:rPr>
                <w:rFonts w:hint="eastAsia"/>
                <w:sz w:val="24"/>
              </w:rPr>
              <w:t>1、</w:t>
            </w:r>
            <w:r>
              <w:rPr>
                <w:b/>
                <w:sz w:val="24"/>
              </w:rPr>
              <w:t>环境管理计划</w:t>
            </w:r>
          </w:p>
          <w:p>
            <w:pPr>
              <w:adjustRightInd w:val="0"/>
              <w:snapToGrid w:val="0"/>
              <w:spacing w:line="480" w:lineRule="exact"/>
              <w:ind w:firstLine="480" w:firstLineChars="200"/>
              <w:rPr>
                <w:b/>
                <w:sz w:val="24"/>
              </w:rPr>
            </w:pPr>
            <w:r>
              <w:rPr>
                <w:bCs/>
                <w:sz w:val="24"/>
              </w:rPr>
              <w:t>本工程环境管理工作计划见表5-1。</w:t>
            </w:r>
          </w:p>
          <w:p>
            <w:pPr>
              <w:autoSpaceDE w:val="0"/>
              <w:autoSpaceDN w:val="0"/>
              <w:adjustRightInd w:val="0"/>
              <w:snapToGrid w:val="0"/>
              <w:spacing w:line="480" w:lineRule="exact"/>
              <w:jc w:val="center"/>
              <w:rPr>
                <w:rFonts w:ascii="黑体" w:hAnsi="黑体" w:eastAsia="黑体"/>
                <w:bCs/>
                <w:sz w:val="24"/>
              </w:rPr>
            </w:pPr>
            <w:r>
              <w:rPr>
                <w:rFonts w:ascii="黑体" w:hAnsi="黑体" w:eastAsia="黑体"/>
                <w:bCs/>
                <w:sz w:val="24"/>
              </w:rPr>
              <w:t>表5-1  环境管理工作计划表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8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阶段</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环境管理工作主要内容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环境管理</w:t>
                  </w:r>
                </w:p>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机构的职能</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根据国家建设目环境管理规定，认真落实各项环保手续，完成各级环保主管部门对企业提出的环境要求，对企业内部各项管理计划的执行及完成情况进行监督，确保环境管理工作真正发挥作用。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建设期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1、合理选址，减少用地。</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2、施工便道定期洒水。</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3、临时建筑拆除、临时用地恢复绿化。</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4、路基防护与加固</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5、在居民住宅附近，夜间严禁进行打桩等噪声大的施工作业。</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6、施工营地加强环境管理，提供合适的生活场所。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试运行期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w:t>
                  </w:r>
                  <w:r>
                    <w:rPr>
                      <w:rFonts w:hint="eastAsia" w:ascii="Times New Roman" w:hAnsi="Times New Roman" w:cs="Times New Roman"/>
                      <w:bCs/>
                    </w:rPr>
                    <w:t>申领排污许可证</w:t>
                  </w:r>
                  <w:r>
                    <w:rPr>
                      <w:rFonts w:ascii="Times New Roman" w:hAnsi="Times New Roman" w:cs="Times New Roman"/>
                      <w:bCs/>
                    </w:rPr>
                    <w:t>。</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2、对噪声防治效果进行检测。</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3、对各设施不定期进行检查。</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4、记录各项环保设施的试运行状况，针对出现问题提出完善意见。</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5、总结试运行期的生产经验，健全前期制定各项管理制度。</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6、生产装置生产三个月内，进行环保设施的竣工验收。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54" w:type="pct"/>
                  <w:vAlign w:val="center"/>
                </w:tcPr>
                <w:p>
                  <w:pPr>
                    <w:pStyle w:val="11"/>
                    <w:spacing w:line="360" w:lineRule="exact"/>
                    <w:ind w:firstLine="0" w:firstLineChars="0"/>
                    <w:jc w:val="center"/>
                    <w:rPr>
                      <w:rFonts w:ascii="Times New Roman" w:hAnsi="Times New Roman" w:cs="Times New Roman"/>
                      <w:bCs/>
                    </w:rPr>
                  </w:pPr>
                  <w:r>
                    <w:rPr>
                      <w:rFonts w:ascii="Times New Roman" w:hAnsi="Times New Roman" w:cs="Times New Roman"/>
                      <w:bCs/>
                    </w:rPr>
                    <w:t>生产运行期</w:t>
                  </w:r>
                </w:p>
              </w:tc>
              <w:tc>
                <w:tcPr>
                  <w:tcW w:w="3946" w:type="pct"/>
                  <w:vAlign w:val="center"/>
                </w:tcPr>
                <w:p>
                  <w:pPr>
                    <w:pStyle w:val="11"/>
                    <w:spacing w:line="360" w:lineRule="exact"/>
                    <w:ind w:firstLine="0" w:firstLineChars="0"/>
                    <w:rPr>
                      <w:rFonts w:ascii="Times New Roman" w:hAnsi="Times New Roman" w:cs="Times New Roman"/>
                      <w:bCs/>
                    </w:rPr>
                  </w:pPr>
                  <w:r>
                    <w:rPr>
                      <w:rFonts w:ascii="Times New Roman" w:hAnsi="Times New Roman" w:cs="Times New Roman"/>
                      <w:bCs/>
                    </w:rPr>
                    <w:t>1、严格执行各项生产及环境管理制度，保证生产的正常进行。</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2、设立环保设施运行卡，对环保设施定期进行检查维护，做到勤查、勤记、勤养护。</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3、按照监测计划组织厂内的污染源监测，对不达标装置立即寻找原因，及时处理。</w:t>
                  </w:r>
                </w:p>
                <w:p>
                  <w:pPr>
                    <w:pStyle w:val="11"/>
                    <w:spacing w:line="360" w:lineRule="exact"/>
                    <w:ind w:firstLine="0" w:firstLineChars="0"/>
                    <w:rPr>
                      <w:rFonts w:ascii="Times New Roman" w:hAnsi="Times New Roman" w:cs="Times New Roman"/>
                      <w:bCs/>
                    </w:rPr>
                  </w:pPr>
                  <w:r>
                    <w:rPr>
                      <w:rFonts w:ascii="Times New Roman" w:hAnsi="Times New Roman" w:cs="Times New Roman"/>
                      <w:bCs/>
                    </w:rPr>
                    <w:t>4、不断加强技术培训，组织企业技术交流，提高操作水平，保持操作工人队伍稳定。</w:t>
                  </w:r>
                </w:p>
              </w:tc>
            </w:tr>
          </w:tbl>
          <w:p>
            <w:pPr>
              <w:adjustRightInd w:val="0"/>
              <w:snapToGrid w:val="0"/>
              <w:spacing w:line="480" w:lineRule="exact"/>
              <w:ind w:firstLine="482" w:firstLineChars="200"/>
              <w:rPr>
                <w:b/>
                <w:bCs/>
                <w:sz w:val="24"/>
              </w:rPr>
            </w:pPr>
            <w:bookmarkStart w:id="8" w:name="_Toc15842"/>
            <w:r>
              <w:rPr>
                <w:b/>
                <w:bCs/>
                <w:sz w:val="24"/>
              </w:rPr>
              <w:t>2、排污口规范化设置</w:t>
            </w:r>
            <w:bookmarkEnd w:id="8"/>
          </w:p>
          <w:p>
            <w:pPr>
              <w:adjustRightInd w:val="0"/>
              <w:snapToGrid w:val="0"/>
              <w:spacing w:line="480" w:lineRule="exact"/>
              <w:ind w:firstLine="480" w:firstLineChars="200"/>
              <w:rPr>
                <w:bCs/>
                <w:sz w:val="24"/>
              </w:rPr>
            </w:pPr>
            <w:r>
              <w:rPr>
                <w:bCs/>
                <w:sz w:val="24"/>
              </w:rPr>
              <w:t>项目需要按照要求设立排污口。废气、废水排放口应进行规范化设计，具备采样、监测条件，排放口附近树立环保图形标志牌。排污口应符合</w:t>
            </w:r>
            <w:r>
              <w:rPr>
                <w:rFonts w:hint="eastAsia"/>
                <w:bCs/>
                <w:sz w:val="24"/>
              </w:rPr>
              <w:t>“</w:t>
            </w:r>
            <w:r>
              <w:rPr>
                <w:bCs/>
                <w:sz w:val="24"/>
              </w:rPr>
              <w:t>一明显、二合理、三便于</w:t>
            </w:r>
            <w:r>
              <w:rPr>
                <w:rFonts w:hint="eastAsia"/>
                <w:bCs/>
                <w:sz w:val="24"/>
              </w:rPr>
              <w:t>”</w:t>
            </w:r>
            <w:r>
              <w:rPr>
                <w:bCs/>
                <w:sz w:val="24"/>
              </w:rPr>
              <w:t>的要求，即环保标志明显，排污口设置合理，排污去向合理，便于采集样品，便于监测计量，便于公众监督管理。</w:t>
            </w:r>
          </w:p>
          <w:p>
            <w:pPr>
              <w:adjustRightInd w:val="0"/>
              <w:snapToGrid w:val="0"/>
              <w:spacing w:line="480" w:lineRule="exact"/>
              <w:ind w:firstLine="480" w:firstLineChars="200"/>
              <w:rPr>
                <w:bCs/>
                <w:sz w:val="24"/>
              </w:rPr>
            </w:pPr>
            <w:r>
              <w:rPr>
                <w:bCs/>
                <w:sz w:val="24"/>
              </w:rPr>
              <w:t>按照国家环境保护总局制定的《（环境保护图形标志）实施细则（试行）》（环监[1996]463号）的规定，在各排污口树立响应的环境保护图形标志牌，具体要求见表5-2。</w:t>
            </w:r>
          </w:p>
          <w:p>
            <w:pPr>
              <w:autoSpaceDE w:val="0"/>
              <w:autoSpaceDN w:val="0"/>
              <w:adjustRightInd w:val="0"/>
              <w:snapToGrid w:val="0"/>
              <w:spacing w:line="480" w:lineRule="exact"/>
              <w:jc w:val="center"/>
              <w:rPr>
                <w:rFonts w:ascii="黑体" w:hAnsi="黑体" w:eastAsia="黑体"/>
                <w:bCs/>
                <w:sz w:val="24"/>
              </w:rPr>
            </w:pPr>
            <w:r>
              <w:rPr>
                <w:rFonts w:ascii="黑体" w:hAnsi="黑体" w:eastAsia="黑体"/>
                <w:bCs/>
                <w:sz w:val="24"/>
              </w:rPr>
              <w:t>表5-2  环境保护图形标志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2773"/>
              <w:gridCol w:w="1906"/>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1828" w:type="dxa"/>
                  <w:vAlign w:val="center"/>
                </w:tcPr>
                <w:p>
                  <w:pPr>
                    <w:rPr>
                      <w:szCs w:val="21"/>
                    </w:rPr>
                  </w:pPr>
                  <w:r>
                    <w:fldChar w:fldCharType="begin"/>
                  </w:r>
                  <w:r>
                    <w:instrText xml:space="preserve"> HYPERLINK "http://www.biaozhi.net/eNews/news/200602/0029_0000000905.shtml" \t "_blank" </w:instrText>
                  </w:r>
                  <w: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fldChar w:fldCharType="begin"/>
                  </w:r>
                  <w:r>
                    <w:rPr>
                      <w:szCs w:val="21"/>
                    </w:rPr>
                    <w:instrText xml:space="preserve"> INCLUDEPICTURE  "http://www.biaozhi.net/enews/UploadFiles/smallImg/781.gif" \* MERGEFORMATINET </w:instrText>
                  </w:r>
                  <w:r>
                    <w:rPr>
                      <w:szCs w:val="21"/>
                    </w:rPr>
                    <w:fldChar w:fldCharType="separate"/>
                  </w:r>
                  <w:r>
                    <w:rPr>
                      <w:szCs w:val="21"/>
                    </w:rPr>
                    <w:pict>
                      <v:shape id="_x0000_i1029" o:spt="75" alt="点击看大图及详细资料" type="#_x0000_t75" style="height:75pt;width:75pt;" filled="f" o:preferrelative="t" stroked="f" coordsize="21600,21600">
                        <v:path/>
                        <v:fill on="f" focussize="0,0"/>
                        <v:stroke on="f" joinstyle="miter"/>
                        <v:imagedata r:id="rId27" r:href="rId28"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773" w:type="dxa"/>
                  <w:vAlign w:val="center"/>
                </w:tcPr>
                <w:p>
                  <w:pPr>
                    <w:rPr>
                      <w:szCs w:val="21"/>
                    </w:rPr>
                  </w:pPr>
                  <w:r>
                    <w:rPr>
                      <w:szCs w:val="21"/>
                    </w:rPr>
                    <w:t>简介：污水排放口</w:t>
                  </w:r>
                </w:p>
                <w:p>
                  <w:pPr>
                    <w:rPr>
                      <w:szCs w:val="21"/>
                    </w:rPr>
                  </w:pPr>
                  <w:r>
                    <w:rPr>
                      <w:szCs w:val="21"/>
                    </w:rPr>
                    <w:t>污水排放口提示图形符号</w:t>
                  </w:r>
                  <w:r>
                    <w:rPr>
                      <w:szCs w:val="21"/>
                    </w:rPr>
                    <w:br w:type="textWrapping"/>
                  </w:r>
                  <w:r>
                    <w:rPr>
                      <w:szCs w:val="21"/>
                    </w:rPr>
                    <w:t>污水排放口</w:t>
                  </w:r>
                  <w:r>
                    <w:rPr>
                      <w:szCs w:val="21"/>
                    </w:rPr>
                    <w:br w:type="textWrapping"/>
                  </w:r>
                  <w:r>
                    <w:rPr>
                      <w:szCs w:val="21"/>
                    </w:rPr>
                    <w:t>表示污水向水体排放</w:t>
                  </w:r>
                </w:p>
              </w:tc>
              <w:tc>
                <w:tcPr>
                  <w:tcW w:w="1906" w:type="dxa"/>
                  <w:vAlign w:val="center"/>
                </w:tcPr>
                <w:p>
                  <w:pPr>
                    <w:rPr>
                      <w:szCs w:val="21"/>
                    </w:rPr>
                  </w:pPr>
                  <w:r>
                    <w:fldChar w:fldCharType="begin"/>
                  </w:r>
                  <w:r>
                    <w:instrText xml:space="preserve"> HYPERLINK "http://www.biaozhi.net/eNews/news/200602/0029_0000000909.shtml" \t "_blank" </w:instrText>
                  </w:r>
                  <w: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fldChar w:fldCharType="begin"/>
                  </w:r>
                  <w:r>
                    <w:rPr>
                      <w:szCs w:val="21"/>
                    </w:rPr>
                    <w:instrText xml:space="preserve"> INCLUDEPICTURE  "http://www.biaozhi.net/enews/UploadFiles/smallImg/785.gif" \* MERGEFORMATINET </w:instrText>
                  </w:r>
                  <w:r>
                    <w:rPr>
                      <w:szCs w:val="21"/>
                    </w:rPr>
                    <w:fldChar w:fldCharType="separate"/>
                  </w:r>
                  <w:r>
                    <w:rPr>
                      <w:szCs w:val="21"/>
                    </w:rPr>
                    <w:pict>
                      <v:shape id="_x0000_i1030" o:spt="75" alt="点击看大图及详细资料" type="#_x0000_t75" style="height:75pt;width:75pt;" filled="f" o:preferrelative="t" stroked="f" coordsize="21600,21600">
                        <v:path/>
                        <v:fill on="f" focussize="0,0"/>
                        <v:stroke on="f" joinstyle="miter"/>
                        <v:imagedata r:id="rId29" r:href="rId30"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470" w:type="dxa"/>
                  <w:vAlign w:val="center"/>
                </w:tcPr>
                <w:p>
                  <w:pPr>
                    <w:rPr>
                      <w:szCs w:val="21"/>
                    </w:rPr>
                  </w:pPr>
                  <w:r>
                    <w:rPr>
                      <w:szCs w:val="21"/>
                    </w:rPr>
                    <w:t>简介：噪声排放源</w:t>
                  </w:r>
                </w:p>
                <w:p>
                  <w:pPr>
                    <w:rPr>
                      <w:szCs w:val="21"/>
                    </w:rPr>
                  </w:pPr>
                  <w:r>
                    <w:rPr>
                      <w:szCs w:val="21"/>
                    </w:rPr>
                    <w:t>提示图形符号</w:t>
                  </w:r>
                  <w:r>
                    <w:rPr>
                      <w:szCs w:val="21"/>
                    </w:rPr>
                    <w:br w:type="textWrapping"/>
                  </w:r>
                  <w:r>
                    <w:rPr>
                      <w:szCs w:val="21"/>
                    </w:rPr>
                    <w:t>噪声排放源</w:t>
                  </w:r>
                  <w:r>
                    <w:rPr>
                      <w:szCs w:val="21"/>
                    </w:rPr>
                    <w:br w:type="textWrapping"/>
                  </w:r>
                  <w:r>
                    <w:rPr>
                      <w:szCs w:val="21"/>
                    </w:rPr>
                    <w:t>表示噪声向外环境排放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1828" w:type="dxa"/>
                  <w:vAlign w:val="center"/>
                </w:tcPr>
                <w:p>
                  <w:pPr>
                    <w:rPr>
                      <w:szCs w:val="21"/>
                    </w:rPr>
                  </w:pPr>
                  <w:r>
                    <w:fldChar w:fldCharType="begin"/>
                  </w:r>
                  <w:r>
                    <w:instrText xml:space="preserve"> HYPERLINK "http://www.biaozhi.net/eNews/news/200602/0029_0000000907.shtml" \t "_blank" </w:instrText>
                  </w:r>
                  <w: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fldChar w:fldCharType="begin"/>
                  </w:r>
                  <w:r>
                    <w:rPr>
                      <w:szCs w:val="21"/>
                    </w:rPr>
                    <w:instrText xml:space="preserve"> INCLUDEPICTURE  "http://www.biaozhi.net/enews/UploadFiles/smallImg/783.gif" \* MERGEFORMATINET </w:instrText>
                  </w:r>
                  <w:r>
                    <w:rPr>
                      <w:szCs w:val="21"/>
                    </w:rPr>
                    <w:fldChar w:fldCharType="separate"/>
                  </w:r>
                  <w:r>
                    <w:rPr>
                      <w:szCs w:val="21"/>
                    </w:rPr>
                    <w:pict>
                      <v:shape id="_x0000_i1031" o:spt="75" alt="点击看大图及详细资料" type="#_x0000_t75" style="height:73.5pt;width:73.5pt;" filled="f" o:preferrelative="t" stroked="f" coordsize="21600,21600">
                        <v:path/>
                        <v:fill on="f" focussize="0,0"/>
                        <v:stroke on="f" joinstyle="miter"/>
                        <v:imagedata r:id="rId31" r:href="rId32"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773" w:type="dxa"/>
                  <w:vAlign w:val="center"/>
                </w:tcPr>
                <w:p>
                  <w:pPr>
                    <w:rPr>
                      <w:szCs w:val="21"/>
                    </w:rPr>
                  </w:pPr>
                  <w:r>
                    <w:rPr>
                      <w:szCs w:val="21"/>
                    </w:rPr>
                    <w:t>简介：废气排放口</w:t>
                  </w:r>
                </w:p>
                <w:p>
                  <w:pPr>
                    <w:rPr>
                      <w:szCs w:val="21"/>
                    </w:rPr>
                  </w:pPr>
                  <w:r>
                    <w:rPr>
                      <w:szCs w:val="21"/>
                    </w:rPr>
                    <w:t>提示图形符号</w:t>
                  </w:r>
                  <w:r>
                    <w:rPr>
                      <w:szCs w:val="21"/>
                    </w:rPr>
                    <w:br w:type="textWrapping"/>
                  </w:r>
                  <w:r>
                    <w:rPr>
                      <w:szCs w:val="21"/>
                    </w:rPr>
                    <w:t>废气排放口</w:t>
                  </w:r>
                  <w:r>
                    <w:rPr>
                      <w:szCs w:val="21"/>
                    </w:rPr>
                    <w:br w:type="textWrapping"/>
                  </w:r>
                  <w:r>
                    <w:rPr>
                      <w:szCs w:val="21"/>
                    </w:rPr>
                    <w:t>表示废气向大气环境排放</w:t>
                  </w:r>
                </w:p>
              </w:tc>
              <w:tc>
                <w:tcPr>
                  <w:tcW w:w="1906" w:type="dxa"/>
                  <w:vAlign w:val="center"/>
                </w:tcPr>
                <w:p>
                  <w:pPr>
                    <w:rPr>
                      <w:szCs w:val="21"/>
                    </w:rPr>
                  </w:pP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fldChar w:fldCharType="begin"/>
                  </w:r>
                  <w:r>
                    <w:rPr>
                      <w:szCs w:val="21"/>
                    </w:rPr>
                    <w:instrText xml:space="preserve"> INCLUDEPICTURE  "C:\\Users\\Administrator\\AppData\\Roaming\\Tencent\\Users\\1049960459\\TIM\\WinTemp\\RichOle\\[2OM$Q~9VA`3U0OK~8X)9(6.png" \* MERGEFORMATINET </w:instrText>
                  </w:r>
                  <w:r>
                    <w:rPr>
                      <w:szCs w:val="21"/>
                    </w:rPr>
                    <w:fldChar w:fldCharType="separate"/>
                  </w:r>
                  <w:r>
                    <w:rPr>
                      <w:szCs w:val="21"/>
                    </w:rPr>
                    <w:pict>
                      <v:shape id="_x0000_i1032" o:spt="75" alt="[2OM$Q~9VA`3U0OK~8X)9(6" type="#_x0000_t75" style="height:75pt;width:74.25pt;" filled="f" o:preferrelative="t" stroked="f" coordsize="21600,21600">
                        <v:path/>
                        <v:fill on="f" focussize="0,0"/>
                        <v:stroke on="f" joinstyle="miter"/>
                        <v:imagedata r:id="rId33" r:href="rId34" o:title=""/>
                        <o:lock v:ext="edit" aspectratio="t"/>
                        <w10:wrap type="none"/>
                        <w10:anchorlock/>
                      </v:shape>
                    </w:pict>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r>
                    <w:rPr>
                      <w:szCs w:val="21"/>
                    </w:rPr>
                    <w:fldChar w:fldCharType="end"/>
                  </w:r>
                </w:p>
              </w:tc>
              <w:tc>
                <w:tcPr>
                  <w:tcW w:w="2470" w:type="dxa"/>
                  <w:vAlign w:val="center"/>
                </w:tcPr>
                <w:p>
                  <w:pPr>
                    <w:rPr>
                      <w:szCs w:val="21"/>
                    </w:rPr>
                  </w:pPr>
                  <w:r>
                    <w:rPr>
                      <w:szCs w:val="21"/>
                    </w:rPr>
                    <w:t>简介：一般固体废弃物</w:t>
                  </w:r>
                </w:p>
                <w:p>
                  <w:pPr>
                    <w:rPr>
                      <w:szCs w:val="21"/>
                    </w:rPr>
                  </w:pPr>
                  <w:r>
                    <w:rPr>
                      <w:szCs w:val="21"/>
                    </w:rPr>
                    <w:t>提示图形符号</w:t>
                  </w:r>
                </w:p>
                <w:p>
                  <w:pPr>
                    <w:rPr>
                      <w:szCs w:val="21"/>
                    </w:rPr>
                  </w:pPr>
                  <w:r>
                    <w:rPr>
                      <w:szCs w:val="21"/>
                    </w:rPr>
                    <w:t>表示一般固体废弃物贮存、处置场</w:t>
                  </w:r>
                </w:p>
              </w:tc>
            </w:tr>
          </w:tbl>
          <w:p>
            <w:pPr>
              <w:pStyle w:val="70"/>
              <w:numPr>
                <w:ilvl w:val="0"/>
                <w:numId w:val="0"/>
              </w:numPr>
              <w:spacing w:line="480" w:lineRule="exact"/>
              <w:ind w:firstLine="482" w:firstLineChars="200"/>
              <w:rPr>
                <w:rFonts w:ascii="Times New Roman" w:hAnsi="Times New Roman" w:eastAsia="宋体"/>
                <w:color w:val="auto"/>
                <w:sz w:val="24"/>
                <w:szCs w:val="24"/>
              </w:rPr>
            </w:pPr>
            <w:r>
              <w:rPr>
                <w:rFonts w:ascii="Times New Roman" w:hAnsi="Times New Roman" w:eastAsia="宋体"/>
                <w:color w:val="auto"/>
                <w:sz w:val="24"/>
                <w:szCs w:val="24"/>
              </w:rPr>
              <w:t>3、管理监测信息公开</w:t>
            </w:r>
          </w:p>
          <w:p>
            <w:pPr>
              <w:spacing w:line="480" w:lineRule="exact"/>
              <w:ind w:firstLine="480" w:firstLineChars="200"/>
              <w:rPr>
                <w:sz w:val="24"/>
              </w:rPr>
            </w:pPr>
            <w:r>
              <w:rPr>
                <w:sz w:val="24"/>
              </w:rPr>
              <w:t>根据《企业事业单位环境信息公开办法》，企业事业单位应当建立健全本单位环境信息公开制度，指定机构负责本单位环境信息公开日常工作，通过其网站、企业事业单位环境信息公开平台或者当地报刊等便于公众知晓的方式公开环境信息，主要公开内容如下：</w:t>
            </w:r>
          </w:p>
          <w:p>
            <w:pPr>
              <w:spacing w:line="480" w:lineRule="exact"/>
              <w:ind w:firstLine="480" w:firstLineChars="200"/>
              <w:rPr>
                <w:sz w:val="24"/>
              </w:rPr>
            </w:pPr>
            <w:r>
              <w:rPr>
                <w:sz w:val="24"/>
              </w:rPr>
              <w:t>1）基础信息，包括单位名称、组织机构代码、法定代表人、生产地址、联系方式，以及生产经营和管理服务的主要内容、产品及规模；</w:t>
            </w:r>
          </w:p>
          <w:p>
            <w:pPr>
              <w:spacing w:line="480" w:lineRule="exact"/>
              <w:ind w:firstLine="480" w:firstLineChars="200"/>
              <w:rPr>
                <w:sz w:val="24"/>
              </w:rPr>
            </w:pPr>
            <w:r>
              <w:rPr>
                <w:sz w:val="24"/>
              </w:rPr>
              <w:t>2）排污信息，包括主要污染物及特征污染物的名称、排放方式、排放口数量和分布情况、排放浓度和总量、超标情况以及执行的污染物排放标准、核定的排放总量；</w:t>
            </w:r>
          </w:p>
          <w:p>
            <w:pPr>
              <w:spacing w:line="480" w:lineRule="exact"/>
              <w:ind w:firstLine="480" w:firstLineChars="200"/>
              <w:rPr>
                <w:sz w:val="24"/>
              </w:rPr>
            </w:pPr>
            <w:r>
              <w:rPr>
                <w:sz w:val="24"/>
              </w:rPr>
              <w:t>3）防治污染设施的建设和运行情况；</w:t>
            </w:r>
          </w:p>
          <w:p>
            <w:pPr>
              <w:spacing w:line="480" w:lineRule="exact"/>
              <w:ind w:firstLine="480" w:firstLineChars="200"/>
              <w:rPr>
                <w:sz w:val="24"/>
              </w:rPr>
            </w:pPr>
            <w:r>
              <w:rPr>
                <w:sz w:val="24"/>
              </w:rPr>
              <w:t>4）建设项目环境影响评价及其他环境保护行政许可情况；</w:t>
            </w:r>
          </w:p>
          <w:p>
            <w:pPr>
              <w:spacing w:line="480" w:lineRule="exact"/>
              <w:ind w:firstLine="480" w:firstLineChars="200"/>
              <w:rPr>
                <w:sz w:val="24"/>
              </w:rPr>
            </w:pPr>
            <w:r>
              <w:rPr>
                <w:sz w:val="24"/>
              </w:rPr>
              <w:t>5）其他应当公开的环境信息。如竣工环境保护验收备案、自行监测工作开展情况及监测结果。</w:t>
            </w:r>
          </w:p>
          <w:p>
            <w:pPr>
              <w:spacing w:line="480" w:lineRule="exact"/>
              <w:ind w:firstLine="482" w:firstLineChars="200"/>
              <w:rPr>
                <w:b/>
                <w:bCs/>
                <w:sz w:val="24"/>
              </w:rPr>
            </w:pPr>
            <w:r>
              <w:rPr>
                <w:rFonts w:hint="eastAsia"/>
                <w:b/>
                <w:bCs/>
                <w:sz w:val="24"/>
              </w:rPr>
              <w:t>4、其他管理要求</w:t>
            </w:r>
          </w:p>
          <w:p>
            <w:pPr>
              <w:spacing w:line="480" w:lineRule="exact"/>
              <w:ind w:firstLine="480" w:firstLineChars="200"/>
              <w:rPr>
                <w:sz w:val="24"/>
              </w:rPr>
            </w:pPr>
            <w:r>
              <w:rPr>
                <w:rFonts w:hint="eastAsia"/>
                <w:sz w:val="24"/>
              </w:rPr>
              <w:t>项目建设完成以后，及时办理排污许可证，并进行竣工环境保护验收。</w:t>
            </w: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spacing w:line="480" w:lineRule="exact"/>
              <w:ind w:firstLine="480" w:firstLineChars="200"/>
              <w:rPr>
                <w:sz w:val="24"/>
              </w:rPr>
            </w:pPr>
          </w:p>
          <w:p>
            <w:pPr>
              <w:adjustRightInd w:val="0"/>
              <w:snapToGrid w:val="0"/>
              <w:spacing w:line="360" w:lineRule="exact"/>
              <w:ind w:firstLine="480" w:firstLineChars="200"/>
              <w:rPr>
                <w:bCs/>
                <w:sz w:val="24"/>
              </w:rPr>
            </w:pPr>
          </w:p>
          <w:p>
            <w:pPr>
              <w:adjustRightInd w:val="0"/>
              <w:snapToGrid w:val="0"/>
              <w:spacing w:line="360" w:lineRule="exact"/>
              <w:rPr>
                <w:rFonts w:ascii="宋体" w:hAnsi="宋体" w:cs="宋体"/>
                <w:szCs w:val="21"/>
              </w:rPr>
            </w:pPr>
          </w:p>
        </w:tc>
      </w:tr>
    </w:tbl>
    <w:p>
      <w:pPr>
        <w:pStyle w:val="16"/>
        <w:jc w:val="center"/>
        <w:rPr>
          <w:rFonts w:ascii="黑体" w:hAnsi="黑体" w:eastAsia="黑体"/>
          <w:snapToGrid w:val="0"/>
          <w:sz w:val="30"/>
          <w:szCs w:val="30"/>
        </w:rPr>
        <w:sectPr>
          <w:pgSz w:w="16838" w:h="11906" w:orient="landscape"/>
          <w:pgMar w:top="1418" w:right="1418" w:bottom="1418" w:left="1418" w:header="851" w:footer="851" w:gutter="0"/>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26" w:hRule="atLeast"/>
          <w:jc w:val="center"/>
        </w:trPr>
        <w:tc>
          <w:tcPr>
            <w:tcW w:w="8865" w:type="dxa"/>
            <w:vAlign w:val="center"/>
          </w:tcPr>
          <w:p>
            <w:pPr>
              <w:spacing w:line="360" w:lineRule="auto"/>
              <w:ind w:firstLine="482" w:firstLineChars="200"/>
              <w:rPr>
                <w:rFonts w:ascii="宋体" w:cs="宋体"/>
                <w:sz w:val="24"/>
              </w:rPr>
            </w:pPr>
            <w:r>
              <w:rPr>
                <w:rFonts w:hint="eastAsia" w:hAnsi="宋体"/>
                <w:b/>
                <w:sz w:val="24"/>
              </w:rPr>
              <w:t>本项目</w:t>
            </w:r>
            <w:r>
              <w:rPr>
                <w:b/>
                <w:sz w:val="24"/>
              </w:rPr>
              <w:t>的建设符合国家产业政策以及</w:t>
            </w:r>
            <w:r>
              <w:rPr>
                <w:rFonts w:hint="eastAsia"/>
                <w:b/>
                <w:sz w:val="24"/>
              </w:rPr>
              <w:t>相关规划要求，项目选址可行。</w:t>
            </w:r>
            <w:r>
              <w:rPr>
                <w:b/>
                <w:sz w:val="24"/>
              </w:rPr>
              <w:t>在严格落实环评规定的各项环保措施，保证所排污染物达标排放的前提下，综合考虑各种因素，从环保角度考虑，本项目的建设是可行的。</w:t>
            </w:r>
          </w:p>
        </w:tc>
      </w:tr>
    </w:tbl>
    <w:p>
      <w:pPr>
        <w:rPr>
          <w:rFonts w:ascii="宋体"/>
        </w:rPr>
        <w:sectPr>
          <w:pgSz w:w="11906" w:h="16838"/>
          <w:pgMar w:top="1418" w:right="1418" w:bottom="1418" w:left="1418" w:header="851" w:footer="851" w:gutter="0"/>
          <w:cols w:space="720" w:num="1"/>
          <w:docGrid w:linePitch="312" w:charSpace="0"/>
        </w:sectPr>
      </w:pPr>
    </w:p>
    <w:p>
      <w:pPr>
        <w:pStyle w:val="16"/>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6"/>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2"/>
              <w:spacing w:beforeLines="0" w:afterLines="0" w:line="240" w:lineRule="auto"/>
              <w:jc w:val="righ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项目</w:t>
            </w:r>
          </w:p>
          <w:p>
            <w:pPr>
              <w:pStyle w:val="32"/>
              <w:spacing w:beforeLines="0" w:afterLines="0" w:line="240" w:lineRule="auto"/>
              <w:jc w:val="left"/>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分类</w:t>
            </w:r>
          </w:p>
        </w:tc>
        <w:tc>
          <w:tcPr>
            <w:tcW w:w="1417" w:type="dxa"/>
            <w:tcMar>
              <w:left w:w="28" w:type="dxa"/>
              <w:right w:w="28" w:type="dxa"/>
            </w:tcMar>
            <w:vAlign w:val="center"/>
          </w:tcPr>
          <w:p>
            <w:pPr>
              <w:pStyle w:val="32"/>
              <w:spacing w:beforeLines="0" w:afterLines="0" w:line="240" w:lineRule="auto"/>
              <w:rPr>
                <w:rFonts w:ascii="黑体" w:hAnsi="黑体" w:eastAsia="黑体" w:cs="宋体"/>
                <w:snapToGrid w:val="0"/>
                <w:spacing w:val="-6"/>
                <w:kern w:val="21"/>
                <w:szCs w:val="21"/>
              </w:rPr>
            </w:pPr>
            <w:r>
              <w:rPr>
                <w:rFonts w:hint="eastAsia" w:ascii="黑体" w:hAnsi="黑体" w:eastAsia="黑体" w:cs="宋体"/>
                <w:snapToGrid w:val="0"/>
                <w:spacing w:val="-6"/>
                <w:kern w:val="21"/>
                <w:szCs w:val="21"/>
              </w:rPr>
              <w:t>污染物名称</w:t>
            </w:r>
          </w:p>
        </w:tc>
        <w:tc>
          <w:tcPr>
            <w:tcW w:w="1701"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1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spacing w:val="-6"/>
                <w:kern w:val="21"/>
                <w:szCs w:val="21"/>
              </w:rPr>
              <w:fldChar w:fldCharType="end"/>
            </w:r>
          </w:p>
        </w:tc>
        <w:tc>
          <w:tcPr>
            <w:tcW w:w="1276"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现有工程</w:t>
            </w:r>
          </w:p>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许可排放量</w:t>
            </w:r>
          </w:p>
          <w:p>
            <w:pPr>
              <w:pStyle w:val="32"/>
              <w:spacing w:beforeLines="0" w:afterLines="0"/>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2 \* GB3 \* MERGEFORMAT </w:instrText>
            </w:r>
            <w:r>
              <w:rPr>
                <w:rFonts w:ascii="黑体" w:hAnsi="黑体" w:eastAsia="黑体"/>
                <w:snapToGrid w:val="0"/>
                <w:spacing w:val="-6"/>
                <w:kern w:val="21"/>
                <w:szCs w:val="21"/>
              </w:rPr>
              <w:fldChar w:fldCharType="separate"/>
            </w:r>
            <w:r>
              <w:rPr>
                <w:rFonts w:hint="eastAsia" w:ascii="黑体" w:hAnsi="黑体" w:eastAsia="黑体" w:cs="宋体"/>
                <w:snapToGrid w:val="0"/>
                <w:spacing w:val="-6"/>
                <w:kern w:val="21"/>
                <w:szCs w:val="21"/>
              </w:rPr>
              <w:t>②</w:t>
            </w:r>
            <w:r>
              <w:rPr>
                <w:rFonts w:ascii="黑体" w:hAnsi="黑体" w:eastAsia="黑体"/>
                <w:snapToGrid w:val="0"/>
                <w:spacing w:val="-6"/>
                <w:kern w:val="21"/>
                <w:szCs w:val="21"/>
              </w:rPr>
              <w:fldChar w:fldCharType="end"/>
            </w:r>
          </w:p>
        </w:tc>
        <w:tc>
          <w:tcPr>
            <w:tcW w:w="1701"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在建工程</w:t>
            </w:r>
          </w:p>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3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spacing w:val="-6"/>
                <w:kern w:val="21"/>
                <w:szCs w:val="21"/>
              </w:rPr>
              <w:fldChar w:fldCharType="end"/>
            </w:r>
          </w:p>
        </w:tc>
        <w:tc>
          <w:tcPr>
            <w:tcW w:w="1559"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本项目</w:t>
            </w:r>
          </w:p>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排放量（固</w:t>
            </w:r>
            <w:r>
              <w:rPr>
                <w:rFonts w:hint="eastAsia" w:ascii="黑体" w:hAnsi="黑体" w:eastAsia="黑体"/>
                <w:snapToGrid w:val="0"/>
                <w:spacing w:val="-6"/>
                <w:kern w:val="21"/>
                <w:szCs w:val="21"/>
              </w:rPr>
              <w:t>体</w:t>
            </w:r>
            <w:r>
              <w:rPr>
                <w:rFonts w:ascii="黑体" w:hAnsi="黑体" w:eastAsia="黑体"/>
                <w:snapToGrid w:val="0"/>
                <w:spacing w:val="-6"/>
                <w:kern w:val="21"/>
                <w:szCs w:val="21"/>
              </w:rPr>
              <w:t>废</w:t>
            </w:r>
            <w:r>
              <w:rPr>
                <w:rFonts w:hint="eastAsia" w:ascii="黑体" w:hAnsi="黑体" w:eastAsia="黑体"/>
                <w:snapToGrid w:val="0"/>
                <w:spacing w:val="-6"/>
                <w:kern w:val="21"/>
                <w:szCs w:val="21"/>
              </w:rPr>
              <w:t>物</w:t>
            </w:r>
            <w:r>
              <w:rPr>
                <w:rFonts w:ascii="黑体" w:hAnsi="黑体" w:eastAsia="黑体"/>
                <w:snapToGrid w:val="0"/>
                <w:spacing w:val="-6"/>
                <w:kern w:val="21"/>
                <w:szCs w:val="21"/>
              </w:rPr>
              <w:t>产生量）</w:t>
            </w: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4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spacing w:val="-6"/>
                <w:kern w:val="21"/>
                <w:szCs w:val="21"/>
              </w:rPr>
              <w:fldChar w:fldCharType="end"/>
            </w:r>
          </w:p>
        </w:tc>
        <w:tc>
          <w:tcPr>
            <w:tcW w:w="1761" w:type="dxa"/>
            <w:tcMar>
              <w:left w:w="28" w:type="dxa"/>
              <w:right w:w="28" w:type="dxa"/>
            </w:tcMar>
            <w:vAlign w:val="center"/>
          </w:tcPr>
          <w:p>
            <w:pPr>
              <w:pStyle w:val="3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以新带老削减量</w:t>
            </w:r>
          </w:p>
          <w:p>
            <w:pPr>
              <w:pStyle w:val="3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（新建项目不填）</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5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spacing w:val="-16"/>
                <w:kern w:val="21"/>
                <w:szCs w:val="21"/>
              </w:rPr>
              <w:fldChar w:fldCharType="end"/>
            </w:r>
          </w:p>
        </w:tc>
        <w:tc>
          <w:tcPr>
            <w:tcW w:w="1959" w:type="dxa"/>
            <w:tcMar>
              <w:left w:w="28" w:type="dxa"/>
              <w:right w:w="28" w:type="dxa"/>
            </w:tcMar>
            <w:vAlign w:val="center"/>
          </w:tcPr>
          <w:p>
            <w:pPr>
              <w:pStyle w:val="32"/>
              <w:spacing w:beforeLines="0" w:afterLines="0" w:line="240" w:lineRule="auto"/>
              <w:rPr>
                <w:rFonts w:ascii="黑体" w:hAnsi="黑体" w:eastAsia="黑体"/>
                <w:snapToGrid w:val="0"/>
                <w:spacing w:val="-16"/>
                <w:kern w:val="21"/>
                <w:szCs w:val="21"/>
              </w:rPr>
            </w:pPr>
            <w:r>
              <w:rPr>
                <w:rFonts w:ascii="黑体" w:hAnsi="黑体" w:eastAsia="黑体"/>
                <w:snapToGrid w:val="0"/>
                <w:spacing w:val="-16"/>
                <w:kern w:val="21"/>
                <w:szCs w:val="21"/>
              </w:rPr>
              <w:t>本项目建成后</w:t>
            </w:r>
          </w:p>
          <w:p>
            <w:pPr>
              <w:pStyle w:val="32"/>
              <w:spacing w:beforeLines="0" w:afterLines="0" w:line="240" w:lineRule="auto"/>
              <w:rPr>
                <w:rFonts w:ascii="黑体" w:hAnsi="黑体" w:eastAsia="黑体"/>
                <w:snapToGrid w:val="0"/>
                <w:spacing w:val="-16"/>
                <w:kern w:val="21"/>
                <w:szCs w:val="21"/>
              </w:rPr>
            </w:pPr>
            <w:r>
              <w:rPr>
                <w:rFonts w:hint="eastAsia" w:ascii="黑体" w:hAnsi="黑体" w:eastAsia="黑体"/>
                <w:snapToGrid w:val="0"/>
                <w:spacing w:val="-16"/>
                <w:kern w:val="21"/>
                <w:szCs w:val="21"/>
              </w:rPr>
              <w:t>全厂</w:t>
            </w:r>
            <w:r>
              <w:rPr>
                <w:rFonts w:ascii="黑体" w:hAnsi="黑体" w:eastAsia="黑体"/>
                <w:snapToGrid w:val="0"/>
                <w:spacing w:val="-16"/>
                <w:kern w:val="21"/>
                <w:szCs w:val="21"/>
              </w:rPr>
              <w:t>排放量（固</w:t>
            </w:r>
            <w:r>
              <w:rPr>
                <w:rFonts w:hint="eastAsia" w:ascii="黑体" w:hAnsi="黑体" w:eastAsia="黑体"/>
                <w:snapToGrid w:val="0"/>
                <w:spacing w:val="-16"/>
                <w:kern w:val="21"/>
                <w:szCs w:val="21"/>
              </w:rPr>
              <w:t>体</w:t>
            </w:r>
            <w:r>
              <w:rPr>
                <w:rFonts w:ascii="黑体" w:hAnsi="黑体" w:eastAsia="黑体"/>
                <w:snapToGrid w:val="0"/>
                <w:spacing w:val="-16"/>
                <w:kern w:val="21"/>
                <w:szCs w:val="21"/>
              </w:rPr>
              <w:t>废</w:t>
            </w:r>
            <w:r>
              <w:rPr>
                <w:rFonts w:hint="eastAsia" w:ascii="黑体" w:hAnsi="黑体" w:eastAsia="黑体"/>
                <w:snapToGrid w:val="0"/>
                <w:spacing w:val="-16"/>
                <w:kern w:val="21"/>
                <w:szCs w:val="21"/>
              </w:rPr>
              <w:t>物</w:t>
            </w:r>
            <w:r>
              <w:rPr>
                <w:rFonts w:ascii="黑体" w:hAnsi="黑体" w:eastAsia="黑体"/>
                <w:snapToGrid w:val="0"/>
                <w:spacing w:val="-16"/>
                <w:kern w:val="21"/>
                <w:szCs w:val="21"/>
              </w:rPr>
              <w:t>产生量）</w:t>
            </w:r>
            <w:r>
              <w:rPr>
                <w:rFonts w:ascii="黑体" w:hAnsi="黑体" w:eastAsia="黑体"/>
                <w:snapToGrid w:val="0"/>
                <w:spacing w:val="-16"/>
                <w:kern w:val="21"/>
                <w:szCs w:val="21"/>
              </w:rPr>
              <w:fldChar w:fldCharType="begin"/>
            </w:r>
            <w:r>
              <w:rPr>
                <w:rFonts w:ascii="黑体" w:hAnsi="黑体" w:eastAsia="黑体"/>
                <w:snapToGrid w:val="0"/>
                <w:spacing w:val="-16"/>
                <w:kern w:val="21"/>
                <w:szCs w:val="21"/>
              </w:rPr>
              <w:instrText xml:space="preserve"> = 6 \* GB3 \* MERGEFORMAT </w:instrText>
            </w:r>
            <w:r>
              <w:rPr>
                <w:rFonts w:ascii="黑体" w:hAnsi="黑体" w:eastAsia="黑体"/>
                <w:snapToGrid w:val="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spacing w:val="-16"/>
                <w:kern w:val="21"/>
                <w:szCs w:val="21"/>
              </w:rPr>
              <w:fldChar w:fldCharType="end"/>
            </w:r>
          </w:p>
        </w:tc>
        <w:tc>
          <w:tcPr>
            <w:tcW w:w="826" w:type="dxa"/>
            <w:tcMar>
              <w:left w:w="28" w:type="dxa"/>
              <w:right w:w="28" w:type="dxa"/>
            </w:tcMar>
            <w:vAlign w:val="center"/>
          </w:tcPr>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t>变化量</w:t>
            </w:r>
          </w:p>
          <w:p>
            <w:pPr>
              <w:pStyle w:val="32"/>
              <w:spacing w:beforeLines="0" w:afterLines="0" w:line="240" w:lineRule="auto"/>
              <w:rPr>
                <w:rFonts w:ascii="黑体" w:hAnsi="黑体" w:eastAsia="黑体"/>
                <w:snapToGrid w:val="0"/>
                <w:spacing w:val="-6"/>
                <w:kern w:val="21"/>
                <w:szCs w:val="21"/>
              </w:rPr>
            </w:pPr>
            <w:r>
              <w:rPr>
                <w:rFonts w:ascii="黑体" w:hAnsi="黑体" w:eastAsia="黑体"/>
                <w:snapToGrid w:val="0"/>
                <w:spacing w:val="-6"/>
                <w:kern w:val="21"/>
                <w:szCs w:val="21"/>
              </w:rPr>
              <w:fldChar w:fldCharType="begin"/>
            </w:r>
            <w:r>
              <w:rPr>
                <w:rFonts w:ascii="黑体" w:hAnsi="黑体" w:eastAsia="黑体"/>
                <w:snapToGrid w:val="0"/>
                <w:spacing w:val="-6"/>
                <w:kern w:val="21"/>
                <w:szCs w:val="21"/>
              </w:rPr>
              <w:instrText xml:space="preserve"> = 7 \* GB3 \* MERGEFORMAT </w:instrText>
            </w:r>
            <w:r>
              <w:rPr>
                <w:rFonts w:ascii="黑体" w:hAnsi="黑体" w:eastAsia="黑体"/>
                <w:snapToGrid w:val="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废气</w:t>
            </w: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烟尘</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.489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.489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SO</w:t>
            </w:r>
            <w:r>
              <w:rPr>
                <w:rFonts w:hint="eastAsia"/>
                <w:bCs/>
                <w:szCs w:val="21"/>
                <w:vertAlign w:val="subscript"/>
              </w:rPr>
              <w:t>2</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.659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.659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NO</w:t>
            </w:r>
            <w:r>
              <w:rPr>
                <w:rFonts w:hint="eastAsia"/>
                <w:bCs/>
                <w:szCs w:val="21"/>
                <w:vertAlign w:val="subscript"/>
              </w:rPr>
              <w:t>X</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3</w:t>
            </w:r>
            <w:r>
              <w:rPr>
                <w:rFonts w:hAnsi="宋体" w:cs="宋体"/>
                <w:snapToGrid w:val="0"/>
                <w:kern w:val="21"/>
                <w:szCs w:val="21"/>
              </w:rPr>
              <w:t>.084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3</w:t>
            </w:r>
            <w:r>
              <w:rPr>
                <w:rFonts w:hAnsi="宋体" w:cs="宋体"/>
                <w:snapToGrid w:val="0"/>
                <w:kern w:val="21"/>
                <w:szCs w:val="21"/>
              </w:rPr>
              <w:t>.084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CO</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2</w:t>
            </w:r>
            <w:r>
              <w:rPr>
                <w:rFonts w:hAnsi="宋体" w:cs="宋体"/>
                <w:snapToGrid w:val="0"/>
                <w:kern w:val="21"/>
                <w:szCs w:val="21"/>
              </w:rPr>
              <w:t>.278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2</w:t>
            </w:r>
            <w:r>
              <w:rPr>
                <w:rFonts w:hAnsi="宋体" w:cs="宋体"/>
                <w:snapToGrid w:val="0"/>
                <w:kern w:val="21"/>
                <w:szCs w:val="21"/>
              </w:rPr>
              <w:t>.278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HCl</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.172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.172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汞</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.000788 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0</w:t>
            </w:r>
            <w:r>
              <w:rPr>
                <w:rFonts w:hAnsi="宋体" w:cs="宋体"/>
                <w:snapToGrid w:val="0"/>
                <w:kern w:val="21"/>
                <w:szCs w:val="21"/>
              </w:rPr>
              <w:t>.000788 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bCs/>
                <w:szCs w:val="21"/>
              </w:rPr>
              <w:t>二噁英类</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vertAlign w:val="superscript"/>
              </w:rPr>
            </w:pPr>
            <w:r>
              <w:rPr>
                <w:rFonts w:hint="eastAsia" w:hAnsi="宋体" w:cs="宋体"/>
                <w:snapToGrid w:val="0"/>
                <w:kern w:val="21"/>
                <w:szCs w:val="21"/>
              </w:rPr>
              <w:t>7</w:t>
            </w:r>
            <w:r>
              <w:rPr>
                <w:rFonts w:hAnsi="宋体" w:cs="宋体"/>
                <w:snapToGrid w:val="0"/>
                <w:kern w:val="21"/>
                <w:szCs w:val="21"/>
              </w:rPr>
              <w:t>.69</w:t>
            </w:r>
            <w:r>
              <w:rPr>
                <w:rFonts w:hint="eastAsia" w:hAnsi="宋体" w:cs="宋体"/>
                <w:snapToGrid w:val="0"/>
                <w:kern w:val="21"/>
                <w:szCs w:val="21"/>
              </w:rPr>
              <w:t>mg</w:t>
            </w:r>
            <w:r>
              <w:rPr>
                <w:rFonts w:hAnsi="宋体" w:cs="宋体"/>
                <w:snapToGrid w:val="0"/>
                <w:kern w:val="21"/>
                <w:szCs w:val="21"/>
              </w:rPr>
              <w:t>TEQ</w:t>
            </w:r>
            <w:r>
              <w:rPr>
                <w:rFonts w:hint="eastAsia" w:hAnsi="宋体" w:cs="宋体"/>
                <w:snapToGrid w:val="0"/>
                <w:kern w:val="21"/>
                <w:szCs w:val="21"/>
              </w:rPr>
              <w:t>/</w:t>
            </w:r>
            <w:r>
              <w:rPr>
                <w:rFonts w:hAnsi="宋体" w:cs="宋体"/>
                <w:snapToGrid w:val="0"/>
                <w:kern w:val="21"/>
                <w:szCs w:val="21"/>
              </w:rPr>
              <w: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7</w:t>
            </w:r>
            <w:r>
              <w:rPr>
                <w:rFonts w:hAnsi="宋体" w:cs="宋体"/>
                <w:snapToGrid w:val="0"/>
                <w:kern w:val="21"/>
                <w:szCs w:val="21"/>
              </w:rPr>
              <w:t>.69</w:t>
            </w:r>
            <w:r>
              <w:rPr>
                <w:rFonts w:hint="eastAsia" w:hAnsi="宋体" w:cs="宋体"/>
                <w:snapToGrid w:val="0"/>
                <w:kern w:val="21"/>
                <w:szCs w:val="21"/>
              </w:rPr>
              <w:t>mg</w:t>
            </w:r>
            <w:r>
              <w:rPr>
                <w:rFonts w:hAnsi="宋体" w:cs="宋体"/>
                <w:snapToGrid w:val="0"/>
                <w:kern w:val="21"/>
                <w:szCs w:val="21"/>
              </w:rPr>
              <w:t>TEQ</w:t>
            </w:r>
            <w:r>
              <w:rPr>
                <w:rFonts w:hint="eastAsia" w:hAnsi="宋体" w:cs="宋体"/>
                <w:snapToGrid w:val="0"/>
                <w:kern w:val="21"/>
                <w:szCs w:val="21"/>
              </w:rPr>
              <w:t>/</w:t>
            </w:r>
            <w:r>
              <w:rPr>
                <w:rFonts w:hAnsi="宋体" w:cs="宋体"/>
                <w:snapToGrid w:val="0"/>
                <w:kern w:val="21"/>
                <w:szCs w:val="21"/>
              </w:rPr>
              <w: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废水</w:t>
            </w:r>
          </w:p>
        </w:tc>
        <w:tc>
          <w:tcPr>
            <w:tcW w:w="1417"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一般工业</w:t>
            </w:r>
          </w:p>
          <w:p>
            <w:pPr>
              <w:pStyle w:val="32"/>
              <w:spacing w:beforeLines="0" w:afterLines="0" w:line="240" w:lineRule="auto"/>
              <w:rPr>
                <w:rFonts w:hAnsi="宋体" w:cs="宋体"/>
                <w:snapToGrid w:val="0"/>
                <w:kern w:val="21"/>
                <w:szCs w:val="21"/>
              </w:rPr>
            </w:pPr>
            <w:r>
              <w:rPr>
                <w:rFonts w:hint="eastAsia" w:hAnsi="宋体" w:cs="宋体"/>
                <w:snapToGrid w:val="0"/>
                <w:kern w:val="21"/>
                <w:szCs w:val="21"/>
              </w:rPr>
              <w:t>固体废物</w:t>
            </w: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遗体火化产生的骨灰</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bCs/>
                <w:sz w:val="24"/>
              </w:rPr>
              <w:t>5.256</w:t>
            </w:r>
            <w:r>
              <w:rPr>
                <w:rFonts w:hint="eastAsia"/>
                <w:bCs/>
                <w:sz w:val="24"/>
              </w:rPr>
              <w:t>t/</w:t>
            </w:r>
            <w:r>
              <w:rPr>
                <w:bCs/>
                <w:sz w:val="24"/>
              </w:rPr>
              <w: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bCs/>
                <w:sz w:val="24"/>
              </w:rPr>
              <w:t>5.256</w:t>
            </w:r>
            <w:r>
              <w:rPr>
                <w:rFonts w:hint="eastAsia"/>
                <w:bCs/>
                <w:sz w:val="24"/>
              </w:rPr>
              <w:t>t/</w:t>
            </w:r>
            <w:r>
              <w:rPr>
                <w:bCs/>
                <w:sz w:val="24"/>
              </w:rPr>
              <w: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火化炉遗留的灰渣</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rFonts w:hint="eastAsia"/>
                <w:bCs/>
                <w:sz w:val="24"/>
              </w:rPr>
              <w:t>0.</w:t>
            </w:r>
            <w:r>
              <w:rPr>
                <w:bCs/>
                <w:sz w:val="24"/>
              </w:rPr>
              <w:t>219</w:t>
            </w:r>
            <w:r>
              <w:rPr>
                <w:rFonts w:hint="eastAsia"/>
                <w:bCs/>
                <w:sz w:val="24"/>
              </w:rPr>
              <w:t>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rFonts w:hint="eastAsia"/>
                <w:bCs/>
                <w:sz w:val="24"/>
              </w:rPr>
              <w:t>0.</w:t>
            </w:r>
            <w:r>
              <w:rPr>
                <w:bCs/>
                <w:sz w:val="24"/>
              </w:rPr>
              <w:t>219</w:t>
            </w:r>
            <w:r>
              <w:rPr>
                <w:rFonts w:hint="eastAsia"/>
                <w:bCs/>
                <w:sz w:val="24"/>
              </w:rPr>
              <w:t>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遗物祭品焚烧灰渣</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bCs/>
                <w:sz w:val="24"/>
              </w:rPr>
              <w:t>9.636</w:t>
            </w:r>
            <w:r>
              <w:rPr>
                <w:rFonts w:hint="eastAsia"/>
                <w:bCs/>
                <w:sz w:val="24"/>
              </w:rPr>
              <w:t>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bCs/>
                <w:sz w:val="24"/>
              </w:rPr>
              <w:t>9.636</w:t>
            </w:r>
            <w:r>
              <w:rPr>
                <w:rFonts w:hint="eastAsia"/>
                <w:bCs/>
                <w:sz w:val="24"/>
              </w:rPr>
              <w:t>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污水处理设施污泥</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bCs/>
                <w:sz w:val="24"/>
              </w:rPr>
              <w:t>1.5t/a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bCs/>
                <w:sz w:val="24"/>
              </w:rPr>
              <w:t>1.5t/a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危险废物</w:t>
            </w: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焚烧飞灰</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bCs/>
                <w:sz w:val="24"/>
              </w:rPr>
              <w:t>5.256t/a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bCs/>
                <w:sz w:val="24"/>
              </w:rPr>
              <w:t>5.256t/a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废脱硫粉</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sz w:val="24"/>
              </w:rPr>
              <w:t>1.752</w:t>
            </w:r>
            <w:r>
              <w:rPr>
                <w:rFonts w:hint="eastAsia"/>
                <w:sz w:val="24"/>
              </w:rPr>
              <w:t>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sz w:val="24"/>
              </w:rPr>
              <w:t>1.752</w:t>
            </w:r>
            <w:r>
              <w:rPr>
                <w:rFonts w:hint="eastAsia"/>
                <w:sz w:val="24"/>
              </w:rPr>
              <w:t>t/a</w:t>
            </w:r>
          </w:p>
        </w:tc>
        <w:tc>
          <w:tcPr>
            <w:tcW w:w="826" w:type="dxa"/>
            <w:vAlign w:val="center"/>
          </w:tcPr>
          <w:p>
            <w:pPr>
              <w:pStyle w:val="32"/>
              <w:spacing w:beforeLines="0" w:afterLines="0" w:line="240" w:lineRule="auto"/>
              <w:rPr>
                <w:rFonts w:hAnsi="宋体"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2"/>
              <w:spacing w:beforeLines="0" w:afterLines="0" w:line="240" w:lineRule="auto"/>
              <w:rPr>
                <w:rFonts w:hAnsi="宋体" w:cs="宋体"/>
                <w:snapToGrid w:val="0"/>
                <w:kern w:val="21"/>
                <w:szCs w:val="21"/>
              </w:rPr>
            </w:pPr>
          </w:p>
        </w:tc>
        <w:tc>
          <w:tcPr>
            <w:tcW w:w="1417" w:type="dxa"/>
            <w:vAlign w:val="center"/>
          </w:tcPr>
          <w:p>
            <w:pPr>
              <w:pStyle w:val="32"/>
              <w:spacing w:beforeLines="0" w:afterLines="0" w:line="240" w:lineRule="auto"/>
              <w:rPr>
                <w:rFonts w:hAnsi="宋体" w:cs="宋体"/>
                <w:snapToGrid w:val="0"/>
                <w:kern w:val="21"/>
                <w:szCs w:val="21"/>
              </w:rPr>
            </w:pPr>
            <w:r>
              <w:rPr>
                <w:rFonts w:hint="eastAsia" w:hAnsi="宋体" w:cs="宋体"/>
                <w:snapToGrid w:val="0"/>
                <w:kern w:val="21"/>
                <w:szCs w:val="21"/>
              </w:rPr>
              <w:t>废活性炭</w:t>
            </w:r>
          </w:p>
        </w:tc>
        <w:tc>
          <w:tcPr>
            <w:tcW w:w="1701" w:type="dxa"/>
            <w:vAlign w:val="center"/>
          </w:tcPr>
          <w:p>
            <w:pPr>
              <w:pStyle w:val="32"/>
              <w:spacing w:beforeLines="0" w:afterLines="0" w:line="240" w:lineRule="auto"/>
              <w:rPr>
                <w:rFonts w:hAnsi="宋体" w:cs="宋体"/>
                <w:snapToGrid w:val="0"/>
                <w:kern w:val="21"/>
                <w:szCs w:val="21"/>
              </w:rPr>
            </w:pPr>
          </w:p>
        </w:tc>
        <w:tc>
          <w:tcPr>
            <w:tcW w:w="1276" w:type="dxa"/>
            <w:vAlign w:val="center"/>
          </w:tcPr>
          <w:p>
            <w:pPr>
              <w:pStyle w:val="32"/>
              <w:spacing w:beforeLines="0" w:afterLines="0" w:line="240" w:lineRule="auto"/>
              <w:rPr>
                <w:rFonts w:hAnsi="宋体" w:cs="宋体"/>
                <w:snapToGrid w:val="0"/>
                <w:kern w:val="21"/>
                <w:szCs w:val="21"/>
              </w:rPr>
            </w:pPr>
          </w:p>
        </w:tc>
        <w:tc>
          <w:tcPr>
            <w:tcW w:w="1701" w:type="dxa"/>
            <w:vAlign w:val="center"/>
          </w:tcPr>
          <w:p>
            <w:pPr>
              <w:pStyle w:val="32"/>
              <w:spacing w:beforeLines="0" w:afterLines="0" w:line="240" w:lineRule="auto"/>
              <w:rPr>
                <w:rFonts w:hAnsi="宋体" w:cs="宋体"/>
                <w:snapToGrid w:val="0"/>
                <w:kern w:val="21"/>
                <w:szCs w:val="21"/>
              </w:rPr>
            </w:pPr>
          </w:p>
        </w:tc>
        <w:tc>
          <w:tcPr>
            <w:tcW w:w="1559" w:type="dxa"/>
            <w:vAlign w:val="center"/>
          </w:tcPr>
          <w:p>
            <w:pPr>
              <w:pStyle w:val="32"/>
              <w:spacing w:beforeLines="0" w:afterLines="0" w:line="240" w:lineRule="auto"/>
              <w:rPr>
                <w:rFonts w:hAnsi="宋体" w:cs="宋体"/>
                <w:snapToGrid w:val="0"/>
                <w:kern w:val="21"/>
                <w:szCs w:val="21"/>
              </w:rPr>
            </w:pPr>
            <w:r>
              <w:rPr>
                <w:sz w:val="24"/>
              </w:rPr>
              <w:t>2.64</w:t>
            </w:r>
            <w:r>
              <w:rPr>
                <w:rFonts w:hint="eastAsia"/>
                <w:sz w:val="24"/>
              </w:rPr>
              <w:t>t</w:t>
            </w:r>
            <w:r>
              <w:rPr>
                <w:sz w:val="24"/>
              </w:rPr>
              <w:t>/a</w:t>
            </w:r>
          </w:p>
        </w:tc>
        <w:tc>
          <w:tcPr>
            <w:tcW w:w="1761" w:type="dxa"/>
            <w:vAlign w:val="center"/>
          </w:tcPr>
          <w:p>
            <w:pPr>
              <w:pStyle w:val="32"/>
              <w:spacing w:beforeLines="0" w:afterLines="0" w:line="240" w:lineRule="auto"/>
              <w:rPr>
                <w:rFonts w:hAnsi="宋体" w:cs="宋体"/>
                <w:snapToGrid w:val="0"/>
                <w:kern w:val="21"/>
                <w:szCs w:val="21"/>
              </w:rPr>
            </w:pPr>
          </w:p>
        </w:tc>
        <w:tc>
          <w:tcPr>
            <w:tcW w:w="1959" w:type="dxa"/>
            <w:vAlign w:val="center"/>
          </w:tcPr>
          <w:p>
            <w:pPr>
              <w:pStyle w:val="32"/>
              <w:spacing w:beforeLines="0" w:afterLines="0" w:line="240" w:lineRule="auto"/>
              <w:rPr>
                <w:rFonts w:hAnsi="宋体" w:cs="宋体"/>
                <w:snapToGrid w:val="0"/>
                <w:kern w:val="21"/>
                <w:szCs w:val="21"/>
              </w:rPr>
            </w:pPr>
            <w:r>
              <w:rPr>
                <w:sz w:val="24"/>
              </w:rPr>
              <w:t>2.64</w:t>
            </w:r>
            <w:r>
              <w:rPr>
                <w:rFonts w:hint="eastAsia"/>
                <w:sz w:val="24"/>
              </w:rPr>
              <w:t>t</w:t>
            </w:r>
            <w:r>
              <w:rPr>
                <w:sz w:val="24"/>
              </w:rPr>
              <w:t>/a</w:t>
            </w:r>
          </w:p>
        </w:tc>
        <w:tc>
          <w:tcPr>
            <w:tcW w:w="826" w:type="dxa"/>
            <w:vAlign w:val="center"/>
          </w:tcPr>
          <w:p>
            <w:pPr>
              <w:pStyle w:val="32"/>
              <w:spacing w:beforeLines="0" w:afterLines="0" w:line="240" w:lineRule="auto"/>
              <w:rPr>
                <w:rFonts w:hAnsi="宋体" w:cs="宋体"/>
                <w:snapToGrid w:val="0"/>
                <w:kern w:val="21"/>
                <w:szCs w:val="21"/>
              </w:rPr>
            </w:pPr>
          </w:p>
        </w:tc>
      </w:tr>
    </w:tbl>
    <w:p>
      <w:pPr>
        <w:pStyle w:val="32"/>
        <w:spacing w:before="192" w:beforeLines="80" w:after="24"/>
        <w:jc w:val="left"/>
        <w:rPr>
          <w:rFonts w:hAnsi="宋体"/>
          <w:snapToGrid w:val="0"/>
          <w:spacing w:val="-6"/>
          <w:kern w:val="21"/>
          <w:szCs w:val="21"/>
        </w:r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int="eastAsia" w:hAnsi="宋体"/>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int="eastAsia" w:hAnsi="宋体"/>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int="eastAsia" w:hAnsi="宋体"/>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int="eastAsia" w:hAnsi="宋体"/>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int="eastAsia" w:hAnsi="宋体"/>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int="eastAsia" w:hAnsi="宋体"/>
          <w:szCs w:val="21"/>
        </w:rPr>
        <w:t>①</w:t>
      </w:r>
      <w:r>
        <w:rPr>
          <w:rFonts w:hAnsi="宋体"/>
          <w:snapToGrid w:val="0"/>
          <w:spacing w:val="-6"/>
          <w:kern w:val="21"/>
          <w:szCs w:val="21"/>
        </w:rPr>
        <w:fldChar w:fldCharType="end"/>
      </w:r>
    </w:p>
    <w:p/>
    <w:p>
      <w:pPr>
        <w:sectPr>
          <w:footerReference r:id="rId6" w:type="default"/>
          <w:pgSz w:w="16838" w:h="11906" w:orient="landscape"/>
          <w:pgMar w:top="1701" w:right="1531" w:bottom="1701" w:left="1531" w:header="851" w:footer="851" w:gutter="0"/>
          <w:pgNumType w:fmt="numberInDash"/>
          <w:cols w:space="720" w:num="1"/>
          <w:docGrid w:linePitch="312" w:charSpace="0"/>
        </w:sectPr>
      </w:pPr>
    </w:p>
    <w:p>
      <w:pPr>
        <w:jc w:val="center"/>
        <w:rPr>
          <w:rFonts w:ascii="宋体" w:hAnsi="宋体" w:eastAsia="黑体"/>
        </w:rPr>
      </w:pPr>
    </w:p>
    <w:sectPr>
      <w:footerReference r:id="rId7" w:type="default"/>
      <w:pgSz w:w="16838" w:h="11906" w:orient="landscape"/>
      <w:pgMar w:top="1361" w:right="1418" w:bottom="1361"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2785332"/>
      <w:docPartObj>
        <w:docPartGallery w:val="AutoText"/>
      </w:docPartObj>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2077663"/>
      <w:docPartObj>
        <w:docPartGallery w:val="AutoText"/>
      </w:docPartObj>
    </w:sdtPr>
    <w:sdtEndPr>
      <w:rPr>
        <w:sz w:val="24"/>
        <w:szCs w:val="28"/>
      </w:rPr>
    </w:sdtEndPr>
    <w:sdtContent>
      <w:p>
        <w:pPr>
          <w:pStyle w:val="14"/>
          <w:jc w:val="center"/>
          <w:rPr>
            <w:sz w:val="24"/>
            <w:szCs w:val="28"/>
          </w:rPr>
        </w:pPr>
        <w:r>
          <w:rPr>
            <w:sz w:val="24"/>
            <w:szCs w:val="28"/>
          </w:rPr>
          <w:fldChar w:fldCharType="begin"/>
        </w:r>
        <w:r>
          <w:rPr>
            <w:sz w:val="24"/>
            <w:szCs w:val="28"/>
          </w:rPr>
          <w:instrText xml:space="preserve">PAGE   \* MERGEFORMAT</w:instrText>
        </w:r>
        <w:r>
          <w:rPr>
            <w:sz w:val="24"/>
            <w:szCs w:val="28"/>
          </w:rPr>
          <w:fldChar w:fldCharType="separate"/>
        </w:r>
        <w:r>
          <w:rPr>
            <w:sz w:val="24"/>
            <w:szCs w:val="28"/>
            <w:lang w:val="zh-CN"/>
          </w:rPr>
          <w:t>2</w:t>
        </w:r>
        <w:r>
          <w:rPr>
            <w:sz w:val="24"/>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2"/>
        <w:rFonts w:ascii="宋体" w:hAnsi="宋体"/>
        <w:sz w:val="28"/>
        <w:szCs w:val="28"/>
      </w:rPr>
    </w:pPr>
    <w:r>
      <w:rPr>
        <w:rStyle w:val="22"/>
        <w:rFonts w:hint="eastAsia" w:ascii="宋体" w:hAnsi="宋体"/>
        <w:sz w:val="28"/>
        <w:szCs w:val="28"/>
      </w:rPr>
      <w:t>—</w:t>
    </w:r>
    <w:r>
      <w:rPr>
        <w:rStyle w:val="22"/>
        <w:rFonts w:hint="eastAsia" w:ascii="宋体" w:hAnsi="宋体"/>
        <w:sz w:val="20"/>
      </w:rPr>
      <w:t xml:space="preserve">  </w:t>
    </w:r>
    <w:r>
      <w:rPr>
        <w:rStyle w:val="22"/>
        <w:rFonts w:ascii="宋体" w:hAnsi="宋体"/>
        <w:sz w:val="26"/>
        <w:szCs w:val="26"/>
      </w:rPr>
      <w:fldChar w:fldCharType="begin"/>
    </w:r>
    <w:r>
      <w:rPr>
        <w:rStyle w:val="22"/>
        <w:rFonts w:ascii="宋体" w:hAnsi="宋体"/>
        <w:sz w:val="26"/>
        <w:szCs w:val="26"/>
      </w:rPr>
      <w:instrText xml:space="preserve">PAGE  </w:instrText>
    </w:r>
    <w:r>
      <w:rPr>
        <w:rStyle w:val="22"/>
        <w:rFonts w:ascii="宋体" w:hAnsi="宋体"/>
        <w:sz w:val="26"/>
        <w:szCs w:val="26"/>
      </w:rPr>
      <w:fldChar w:fldCharType="separate"/>
    </w:r>
    <w:r>
      <w:rPr>
        <w:rStyle w:val="22"/>
        <w:rFonts w:ascii="宋体" w:hAnsi="宋体"/>
        <w:sz w:val="26"/>
        <w:szCs w:val="26"/>
      </w:rPr>
      <w:t>11</w:t>
    </w:r>
    <w:r>
      <w:rPr>
        <w:rStyle w:val="22"/>
        <w:rFonts w:ascii="宋体" w:hAnsi="宋体"/>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407EF"/>
    <w:multiLevelType w:val="singleLevel"/>
    <w:tmpl w:val="362407EF"/>
    <w:lvl w:ilvl="0" w:tentative="0">
      <w:start w:val="1"/>
      <w:numFmt w:val="decimal"/>
      <w:pStyle w:val="70"/>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4904"/>
    <w:rsid w:val="000060B3"/>
    <w:rsid w:val="0003481D"/>
    <w:rsid w:val="000369C7"/>
    <w:rsid w:val="00037F1A"/>
    <w:rsid w:val="0004364B"/>
    <w:rsid w:val="0005251A"/>
    <w:rsid w:val="00055C76"/>
    <w:rsid w:val="00061B1F"/>
    <w:rsid w:val="000733C4"/>
    <w:rsid w:val="00074783"/>
    <w:rsid w:val="0008070B"/>
    <w:rsid w:val="000810AC"/>
    <w:rsid w:val="00081A02"/>
    <w:rsid w:val="00082231"/>
    <w:rsid w:val="000851B2"/>
    <w:rsid w:val="00092D38"/>
    <w:rsid w:val="0009377B"/>
    <w:rsid w:val="000A20C9"/>
    <w:rsid w:val="000A24BF"/>
    <w:rsid w:val="000A54D8"/>
    <w:rsid w:val="000B058F"/>
    <w:rsid w:val="000B4467"/>
    <w:rsid w:val="000B4DB9"/>
    <w:rsid w:val="000B66F9"/>
    <w:rsid w:val="000C09AC"/>
    <w:rsid w:val="000C2989"/>
    <w:rsid w:val="000C5218"/>
    <w:rsid w:val="000C767F"/>
    <w:rsid w:val="000D5A44"/>
    <w:rsid w:val="000E3ED2"/>
    <w:rsid w:val="00113E1D"/>
    <w:rsid w:val="00122C07"/>
    <w:rsid w:val="00124E6A"/>
    <w:rsid w:val="00131F42"/>
    <w:rsid w:val="00133D85"/>
    <w:rsid w:val="001357F1"/>
    <w:rsid w:val="00140FA8"/>
    <w:rsid w:val="00142FEB"/>
    <w:rsid w:val="00143A2D"/>
    <w:rsid w:val="00145A41"/>
    <w:rsid w:val="0014740A"/>
    <w:rsid w:val="00151675"/>
    <w:rsid w:val="00157435"/>
    <w:rsid w:val="0016010F"/>
    <w:rsid w:val="0016378A"/>
    <w:rsid w:val="0017504D"/>
    <w:rsid w:val="0017671A"/>
    <w:rsid w:val="00177422"/>
    <w:rsid w:val="00184590"/>
    <w:rsid w:val="001862D7"/>
    <w:rsid w:val="00186ECD"/>
    <w:rsid w:val="001870D1"/>
    <w:rsid w:val="0018781E"/>
    <w:rsid w:val="0019262D"/>
    <w:rsid w:val="00193056"/>
    <w:rsid w:val="001A1B35"/>
    <w:rsid w:val="001A48A2"/>
    <w:rsid w:val="001A6F61"/>
    <w:rsid w:val="001B2C27"/>
    <w:rsid w:val="001B72B8"/>
    <w:rsid w:val="001C69B3"/>
    <w:rsid w:val="001D3325"/>
    <w:rsid w:val="001D5595"/>
    <w:rsid w:val="001D7874"/>
    <w:rsid w:val="001D7F22"/>
    <w:rsid w:val="001E7FAA"/>
    <w:rsid w:val="001F0F17"/>
    <w:rsid w:val="001F2052"/>
    <w:rsid w:val="001F3347"/>
    <w:rsid w:val="001F69E4"/>
    <w:rsid w:val="002125B4"/>
    <w:rsid w:val="002155B8"/>
    <w:rsid w:val="0022456D"/>
    <w:rsid w:val="00224839"/>
    <w:rsid w:val="002249B2"/>
    <w:rsid w:val="00226574"/>
    <w:rsid w:val="002277BE"/>
    <w:rsid w:val="002278EC"/>
    <w:rsid w:val="0023280E"/>
    <w:rsid w:val="002377D1"/>
    <w:rsid w:val="00244017"/>
    <w:rsid w:val="002506BC"/>
    <w:rsid w:val="00254345"/>
    <w:rsid w:val="00264557"/>
    <w:rsid w:val="002805AB"/>
    <w:rsid w:val="002822A5"/>
    <w:rsid w:val="00284204"/>
    <w:rsid w:val="002859C9"/>
    <w:rsid w:val="00286481"/>
    <w:rsid w:val="00291773"/>
    <w:rsid w:val="00291A47"/>
    <w:rsid w:val="002A168C"/>
    <w:rsid w:val="002A3DC7"/>
    <w:rsid w:val="002B49E2"/>
    <w:rsid w:val="002B7094"/>
    <w:rsid w:val="002B7B00"/>
    <w:rsid w:val="002B7C44"/>
    <w:rsid w:val="002C2397"/>
    <w:rsid w:val="002C2A0C"/>
    <w:rsid w:val="002C2B17"/>
    <w:rsid w:val="002C690C"/>
    <w:rsid w:val="002D3DD0"/>
    <w:rsid w:val="002E1F3A"/>
    <w:rsid w:val="002E298A"/>
    <w:rsid w:val="002E6E3C"/>
    <w:rsid w:val="002F1D05"/>
    <w:rsid w:val="00301978"/>
    <w:rsid w:val="0030332C"/>
    <w:rsid w:val="00304C61"/>
    <w:rsid w:val="003051C2"/>
    <w:rsid w:val="00312296"/>
    <w:rsid w:val="00314BB3"/>
    <w:rsid w:val="00314F0E"/>
    <w:rsid w:val="00321D8E"/>
    <w:rsid w:val="00325928"/>
    <w:rsid w:val="00332863"/>
    <w:rsid w:val="00333388"/>
    <w:rsid w:val="0033684D"/>
    <w:rsid w:val="00337B42"/>
    <w:rsid w:val="00341B42"/>
    <w:rsid w:val="0034348F"/>
    <w:rsid w:val="00356653"/>
    <w:rsid w:val="00357402"/>
    <w:rsid w:val="0035743F"/>
    <w:rsid w:val="00357BE2"/>
    <w:rsid w:val="0036170C"/>
    <w:rsid w:val="0036614E"/>
    <w:rsid w:val="00366E0F"/>
    <w:rsid w:val="00373149"/>
    <w:rsid w:val="00381A72"/>
    <w:rsid w:val="00384676"/>
    <w:rsid w:val="00390857"/>
    <w:rsid w:val="00397ABF"/>
    <w:rsid w:val="003A4BF3"/>
    <w:rsid w:val="003A7D29"/>
    <w:rsid w:val="003B420D"/>
    <w:rsid w:val="003C2EA2"/>
    <w:rsid w:val="003C6C16"/>
    <w:rsid w:val="003D1112"/>
    <w:rsid w:val="003D794D"/>
    <w:rsid w:val="003E3058"/>
    <w:rsid w:val="003E76A9"/>
    <w:rsid w:val="003F0809"/>
    <w:rsid w:val="003F6A8C"/>
    <w:rsid w:val="003F755C"/>
    <w:rsid w:val="00406F01"/>
    <w:rsid w:val="00414826"/>
    <w:rsid w:val="00416D50"/>
    <w:rsid w:val="00416FD5"/>
    <w:rsid w:val="00417772"/>
    <w:rsid w:val="00420E6A"/>
    <w:rsid w:val="00425A9E"/>
    <w:rsid w:val="00426D6B"/>
    <w:rsid w:val="00431E6C"/>
    <w:rsid w:val="004321A5"/>
    <w:rsid w:val="00432E42"/>
    <w:rsid w:val="00433CE7"/>
    <w:rsid w:val="00443956"/>
    <w:rsid w:val="00452738"/>
    <w:rsid w:val="00452E97"/>
    <w:rsid w:val="004547DE"/>
    <w:rsid w:val="00456091"/>
    <w:rsid w:val="00461004"/>
    <w:rsid w:val="004659F6"/>
    <w:rsid w:val="00466321"/>
    <w:rsid w:val="00472E7C"/>
    <w:rsid w:val="00484B9B"/>
    <w:rsid w:val="004855F6"/>
    <w:rsid w:val="0048661E"/>
    <w:rsid w:val="00486CBA"/>
    <w:rsid w:val="00494670"/>
    <w:rsid w:val="004A3823"/>
    <w:rsid w:val="004C35F3"/>
    <w:rsid w:val="004D2843"/>
    <w:rsid w:val="004E004C"/>
    <w:rsid w:val="004E6946"/>
    <w:rsid w:val="004F169B"/>
    <w:rsid w:val="004F1AD8"/>
    <w:rsid w:val="005039CB"/>
    <w:rsid w:val="0050558F"/>
    <w:rsid w:val="00506286"/>
    <w:rsid w:val="00510813"/>
    <w:rsid w:val="00510925"/>
    <w:rsid w:val="00510BC9"/>
    <w:rsid w:val="00511990"/>
    <w:rsid w:val="00511DE0"/>
    <w:rsid w:val="00514870"/>
    <w:rsid w:val="00514B9B"/>
    <w:rsid w:val="00515884"/>
    <w:rsid w:val="00517F02"/>
    <w:rsid w:val="00524303"/>
    <w:rsid w:val="005258A2"/>
    <w:rsid w:val="005353AC"/>
    <w:rsid w:val="005401AE"/>
    <w:rsid w:val="00542E07"/>
    <w:rsid w:val="00545424"/>
    <w:rsid w:val="00554A7B"/>
    <w:rsid w:val="0055572C"/>
    <w:rsid w:val="00560170"/>
    <w:rsid w:val="0056106A"/>
    <w:rsid w:val="005720AE"/>
    <w:rsid w:val="005858C8"/>
    <w:rsid w:val="0059093F"/>
    <w:rsid w:val="00594D77"/>
    <w:rsid w:val="005969E4"/>
    <w:rsid w:val="005A06B7"/>
    <w:rsid w:val="005A1759"/>
    <w:rsid w:val="005A68A7"/>
    <w:rsid w:val="005C5EEE"/>
    <w:rsid w:val="005C7402"/>
    <w:rsid w:val="005D36AB"/>
    <w:rsid w:val="005D6B31"/>
    <w:rsid w:val="005E6C95"/>
    <w:rsid w:val="005F4150"/>
    <w:rsid w:val="00610B06"/>
    <w:rsid w:val="00617CC3"/>
    <w:rsid w:val="006354C6"/>
    <w:rsid w:val="00635D0F"/>
    <w:rsid w:val="006377A6"/>
    <w:rsid w:val="00637A3D"/>
    <w:rsid w:val="006411EF"/>
    <w:rsid w:val="006468AB"/>
    <w:rsid w:val="006748B8"/>
    <w:rsid w:val="006775C3"/>
    <w:rsid w:val="00684807"/>
    <w:rsid w:val="006907FF"/>
    <w:rsid w:val="0069290A"/>
    <w:rsid w:val="006946D9"/>
    <w:rsid w:val="006948D4"/>
    <w:rsid w:val="0069775A"/>
    <w:rsid w:val="00697813"/>
    <w:rsid w:val="006A1186"/>
    <w:rsid w:val="006A1831"/>
    <w:rsid w:val="006A3EE8"/>
    <w:rsid w:val="006A66BC"/>
    <w:rsid w:val="006A72BF"/>
    <w:rsid w:val="006B03F2"/>
    <w:rsid w:val="006B37DC"/>
    <w:rsid w:val="006B4F68"/>
    <w:rsid w:val="006C0592"/>
    <w:rsid w:val="006C272E"/>
    <w:rsid w:val="006C5479"/>
    <w:rsid w:val="006D13B5"/>
    <w:rsid w:val="006E12FF"/>
    <w:rsid w:val="006E607E"/>
    <w:rsid w:val="00706C5D"/>
    <w:rsid w:val="00715B76"/>
    <w:rsid w:val="00717305"/>
    <w:rsid w:val="007219D1"/>
    <w:rsid w:val="00732922"/>
    <w:rsid w:val="0075162E"/>
    <w:rsid w:val="00754034"/>
    <w:rsid w:val="00756556"/>
    <w:rsid w:val="007618C4"/>
    <w:rsid w:val="00764285"/>
    <w:rsid w:val="00765001"/>
    <w:rsid w:val="00767980"/>
    <w:rsid w:val="00770B19"/>
    <w:rsid w:val="0077463F"/>
    <w:rsid w:val="007836EA"/>
    <w:rsid w:val="00784CDA"/>
    <w:rsid w:val="007906C4"/>
    <w:rsid w:val="00792933"/>
    <w:rsid w:val="007940EA"/>
    <w:rsid w:val="007967E8"/>
    <w:rsid w:val="007A2170"/>
    <w:rsid w:val="007A22BF"/>
    <w:rsid w:val="007A3323"/>
    <w:rsid w:val="007B447E"/>
    <w:rsid w:val="007B46E2"/>
    <w:rsid w:val="007B693D"/>
    <w:rsid w:val="007B72B8"/>
    <w:rsid w:val="007B7A58"/>
    <w:rsid w:val="007C21B5"/>
    <w:rsid w:val="007C3CB4"/>
    <w:rsid w:val="007D2E28"/>
    <w:rsid w:val="007E4BD2"/>
    <w:rsid w:val="00801393"/>
    <w:rsid w:val="008014F4"/>
    <w:rsid w:val="00802F88"/>
    <w:rsid w:val="0081293E"/>
    <w:rsid w:val="00815465"/>
    <w:rsid w:val="00817E9A"/>
    <w:rsid w:val="00822E1B"/>
    <w:rsid w:val="008306BD"/>
    <w:rsid w:val="00831A80"/>
    <w:rsid w:val="00833743"/>
    <w:rsid w:val="008340A4"/>
    <w:rsid w:val="00835831"/>
    <w:rsid w:val="00836B47"/>
    <w:rsid w:val="00837728"/>
    <w:rsid w:val="00843585"/>
    <w:rsid w:val="00866AF0"/>
    <w:rsid w:val="0087135F"/>
    <w:rsid w:val="00872D94"/>
    <w:rsid w:val="008731FF"/>
    <w:rsid w:val="00880364"/>
    <w:rsid w:val="00881279"/>
    <w:rsid w:val="00891592"/>
    <w:rsid w:val="00891E9E"/>
    <w:rsid w:val="00895664"/>
    <w:rsid w:val="008A2F68"/>
    <w:rsid w:val="008B1E49"/>
    <w:rsid w:val="008B4FA6"/>
    <w:rsid w:val="008B5282"/>
    <w:rsid w:val="008B5D13"/>
    <w:rsid w:val="008B7C17"/>
    <w:rsid w:val="008C2C82"/>
    <w:rsid w:val="008C2D01"/>
    <w:rsid w:val="008C40E6"/>
    <w:rsid w:val="008D0F7A"/>
    <w:rsid w:val="008D1226"/>
    <w:rsid w:val="008D68E4"/>
    <w:rsid w:val="008E0506"/>
    <w:rsid w:val="008E0CFF"/>
    <w:rsid w:val="008E16A0"/>
    <w:rsid w:val="008E4A6D"/>
    <w:rsid w:val="008E5D6B"/>
    <w:rsid w:val="008E76F0"/>
    <w:rsid w:val="008F15FE"/>
    <w:rsid w:val="008F2D29"/>
    <w:rsid w:val="008F5187"/>
    <w:rsid w:val="008F60D8"/>
    <w:rsid w:val="008F7F56"/>
    <w:rsid w:val="00902727"/>
    <w:rsid w:val="0090312B"/>
    <w:rsid w:val="00913FF3"/>
    <w:rsid w:val="0091736D"/>
    <w:rsid w:val="0093037A"/>
    <w:rsid w:val="0093744E"/>
    <w:rsid w:val="00940497"/>
    <w:rsid w:val="0094154D"/>
    <w:rsid w:val="009449A7"/>
    <w:rsid w:val="0095155F"/>
    <w:rsid w:val="00954429"/>
    <w:rsid w:val="009563CE"/>
    <w:rsid w:val="00976328"/>
    <w:rsid w:val="0097680D"/>
    <w:rsid w:val="009775B5"/>
    <w:rsid w:val="00982438"/>
    <w:rsid w:val="0098404C"/>
    <w:rsid w:val="00985283"/>
    <w:rsid w:val="00995992"/>
    <w:rsid w:val="009A03E5"/>
    <w:rsid w:val="009A0F3B"/>
    <w:rsid w:val="009A1BB4"/>
    <w:rsid w:val="009A2628"/>
    <w:rsid w:val="009A3200"/>
    <w:rsid w:val="009A5FC1"/>
    <w:rsid w:val="009B0897"/>
    <w:rsid w:val="009B263D"/>
    <w:rsid w:val="009B7BD9"/>
    <w:rsid w:val="009C2616"/>
    <w:rsid w:val="009C404F"/>
    <w:rsid w:val="009C7DD5"/>
    <w:rsid w:val="009D26D9"/>
    <w:rsid w:val="009E0A52"/>
    <w:rsid w:val="009E227D"/>
    <w:rsid w:val="009E4B99"/>
    <w:rsid w:val="009E5019"/>
    <w:rsid w:val="009F2A60"/>
    <w:rsid w:val="00A02BDE"/>
    <w:rsid w:val="00A04F1B"/>
    <w:rsid w:val="00A0501B"/>
    <w:rsid w:val="00A14947"/>
    <w:rsid w:val="00A21A6E"/>
    <w:rsid w:val="00A25405"/>
    <w:rsid w:val="00A32A83"/>
    <w:rsid w:val="00A368DB"/>
    <w:rsid w:val="00A37371"/>
    <w:rsid w:val="00A423AA"/>
    <w:rsid w:val="00A457D1"/>
    <w:rsid w:val="00A50845"/>
    <w:rsid w:val="00A53EC6"/>
    <w:rsid w:val="00A55C0F"/>
    <w:rsid w:val="00A55DFD"/>
    <w:rsid w:val="00A66096"/>
    <w:rsid w:val="00A70E39"/>
    <w:rsid w:val="00A84906"/>
    <w:rsid w:val="00A8713F"/>
    <w:rsid w:val="00A87622"/>
    <w:rsid w:val="00A87BEB"/>
    <w:rsid w:val="00A90BA1"/>
    <w:rsid w:val="00A93A79"/>
    <w:rsid w:val="00A97A9A"/>
    <w:rsid w:val="00AA0671"/>
    <w:rsid w:val="00AA2531"/>
    <w:rsid w:val="00AA4F75"/>
    <w:rsid w:val="00AB1E09"/>
    <w:rsid w:val="00AB437D"/>
    <w:rsid w:val="00AB5330"/>
    <w:rsid w:val="00AB7747"/>
    <w:rsid w:val="00AC14CE"/>
    <w:rsid w:val="00AC2A56"/>
    <w:rsid w:val="00AD055E"/>
    <w:rsid w:val="00AD47A7"/>
    <w:rsid w:val="00AE0649"/>
    <w:rsid w:val="00AE1E37"/>
    <w:rsid w:val="00AE1FE8"/>
    <w:rsid w:val="00AE6AFA"/>
    <w:rsid w:val="00AF0CBF"/>
    <w:rsid w:val="00AF257F"/>
    <w:rsid w:val="00AF33CF"/>
    <w:rsid w:val="00AF4D50"/>
    <w:rsid w:val="00AF6179"/>
    <w:rsid w:val="00B0636C"/>
    <w:rsid w:val="00B11596"/>
    <w:rsid w:val="00B1295A"/>
    <w:rsid w:val="00B20A45"/>
    <w:rsid w:val="00B22C5C"/>
    <w:rsid w:val="00B24A9A"/>
    <w:rsid w:val="00B24F30"/>
    <w:rsid w:val="00B31ABF"/>
    <w:rsid w:val="00B33BE3"/>
    <w:rsid w:val="00B34C2F"/>
    <w:rsid w:val="00B4778B"/>
    <w:rsid w:val="00B53B5D"/>
    <w:rsid w:val="00B6055E"/>
    <w:rsid w:val="00B616C5"/>
    <w:rsid w:val="00B62D21"/>
    <w:rsid w:val="00B6317D"/>
    <w:rsid w:val="00B64F3D"/>
    <w:rsid w:val="00B6588C"/>
    <w:rsid w:val="00B7220E"/>
    <w:rsid w:val="00B7723F"/>
    <w:rsid w:val="00B77907"/>
    <w:rsid w:val="00B80534"/>
    <w:rsid w:val="00B8433C"/>
    <w:rsid w:val="00B86EF3"/>
    <w:rsid w:val="00B87491"/>
    <w:rsid w:val="00B909E0"/>
    <w:rsid w:val="00B93B27"/>
    <w:rsid w:val="00BA29E9"/>
    <w:rsid w:val="00BA7142"/>
    <w:rsid w:val="00BB237C"/>
    <w:rsid w:val="00BB41A3"/>
    <w:rsid w:val="00BC32DC"/>
    <w:rsid w:val="00BC35B6"/>
    <w:rsid w:val="00BD1B51"/>
    <w:rsid w:val="00BD4596"/>
    <w:rsid w:val="00BD6B17"/>
    <w:rsid w:val="00BE1405"/>
    <w:rsid w:val="00BE312D"/>
    <w:rsid w:val="00BE7F68"/>
    <w:rsid w:val="00BF1C20"/>
    <w:rsid w:val="00BF35A3"/>
    <w:rsid w:val="00C10578"/>
    <w:rsid w:val="00C135BC"/>
    <w:rsid w:val="00C15C95"/>
    <w:rsid w:val="00C1756D"/>
    <w:rsid w:val="00C17C04"/>
    <w:rsid w:val="00C2596A"/>
    <w:rsid w:val="00C27296"/>
    <w:rsid w:val="00C27537"/>
    <w:rsid w:val="00C31D49"/>
    <w:rsid w:val="00C328FE"/>
    <w:rsid w:val="00C33507"/>
    <w:rsid w:val="00C4409D"/>
    <w:rsid w:val="00C44E72"/>
    <w:rsid w:val="00C45A06"/>
    <w:rsid w:val="00C47E5B"/>
    <w:rsid w:val="00C5726F"/>
    <w:rsid w:val="00C61E4B"/>
    <w:rsid w:val="00C64BFF"/>
    <w:rsid w:val="00C704E9"/>
    <w:rsid w:val="00C74EAD"/>
    <w:rsid w:val="00C763C9"/>
    <w:rsid w:val="00C76C45"/>
    <w:rsid w:val="00C80057"/>
    <w:rsid w:val="00C8183F"/>
    <w:rsid w:val="00C82232"/>
    <w:rsid w:val="00C82913"/>
    <w:rsid w:val="00C958B9"/>
    <w:rsid w:val="00C972B1"/>
    <w:rsid w:val="00CA1D6C"/>
    <w:rsid w:val="00CA2CCE"/>
    <w:rsid w:val="00CA3186"/>
    <w:rsid w:val="00CA43FD"/>
    <w:rsid w:val="00CA7EF8"/>
    <w:rsid w:val="00CC2A73"/>
    <w:rsid w:val="00CC489B"/>
    <w:rsid w:val="00CD2BCD"/>
    <w:rsid w:val="00CD39F7"/>
    <w:rsid w:val="00CD3A4C"/>
    <w:rsid w:val="00CD4101"/>
    <w:rsid w:val="00CE10E9"/>
    <w:rsid w:val="00CE2910"/>
    <w:rsid w:val="00CE5393"/>
    <w:rsid w:val="00CF2795"/>
    <w:rsid w:val="00CF36BE"/>
    <w:rsid w:val="00CF6000"/>
    <w:rsid w:val="00D003F3"/>
    <w:rsid w:val="00D0364F"/>
    <w:rsid w:val="00D06834"/>
    <w:rsid w:val="00D07F7A"/>
    <w:rsid w:val="00D279A1"/>
    <w:rsid w:val="00D308ED"/>
    <w:rsid w:val="00D34628"/>
    <w:rsid w:val="00D36D86"/>
    <w:rsid w:val="00D428AA"/>
    <w:rsid w:val="00D435F4"/>
    <w:rsid w:val="00D50A34"/>
    <w:rsid w:val="00D53EFA"/>
    <w:rsid w:val="00D622ED"/>
    <w:rsid w:val="00D6629E"/>
    <w:rsid w:val="00D77F8D"/>
    <w:rsid w:val="00D94A7C"/>
    <w:rsid w:val="00D95896"/>
    <w:rsid w:val="00DA6B0A"/>
    <w:rsid w:val="00DA7E72"/>
    <w:rsid w:val="00DB2983"/>
    <w:rsid w:val="00DC1257"/>
    <w:rsid w:val="00DC3DC0"/>
    <w:rsid w:val="00DC4D37"/>
    <w:rsid w:val="00DC5B2B"/>
    <w:rsid w:val="00DC615B"/>
    <w:rsid w:val="00DD318D"/>
    <w:rsid w:val="00DF2E12"/>
    <w:rsid w:val="00DF419C"/>
    <w:rsid w:val="00DF514A"/>
    <w:rsid w:val="00DF6690"/>
    <w:rsid w:val="00DF6804"/>
    <w:rsid w:val="00E0108F"/>
    <w:rsid w:val="00E0358D"/>
    <w:rsid w:val="00E04323"/>
    <w:rsid w:val="00E070A2"/>
    <w:rsid w:val="00E1212B"/>
    <w:rsid w:val="00E16F82"/>
    <w:rsid w:val="00E171F5"/>
    <w:rsid w:val="00E22FCE"/>
    <w:rsid w:val="00E2611A"/>
    <w:rsid w:val="00E2656A"/>
    <w:rsid w:val="00E30915"/>
    <w:rsid w:val="00E37292"/>
    <w:rsid w:val="00E412D0"/>
    <w:rsid w:val="00E43F1F"/>
    <w:rsid w:val="00E52BA3"/>
    <w:rsid w:val="00E56322"/>
    <w:rsid w:val="00E60935"/>
    <w:rsid w:val="00E60982"/>
    <w:rsid w:val="00E618AD"/>
    <w:rsid w:val="00E62C62"/>
    <w:rsid w:val="00E631E1"/>
    <w:rsid w:val="00E654C1"/>
    <w:rsid w:val="00E65D97"/>
    <w:rsid w:val="00E72A5A"/>
    <w:rsid w:val="00E73354"/>
    <w:rsid w:val="00E9242D"/>
    <w:rsid w:val="00E97583"/>
    <w:rsid w:val="00EA1534"/>
    <w:rsid w:val="00EA219C"/>
    <w:rsid w:val="00EA5C4C"/>
    <w:rsid w:val="00EB5255"/>
    <w:rsid w:val="00EB5C47"/>
    <w:rsid w:val="00EB643E"/>
    <w:rsid w:val="00EC0FAC"/>
    <w:rsid w:val="00ED0639"/>
    <w:rsid w:val="00ED0F7C"/>
    <w:rsid w:val="00ED57A4"/>
    <w:rsid w:val="00EE6642"/>
    <w:rsid w:val="00EF4755"/>
    <w:rsid w:val="00EF4C44"/>
    <w:rsid w:val="00EF5588"/>
    <w:rsid w:val="00EF7135"/>
    <w:rsid w:val="00F027DB"/>
    <w:rsid w:val="00F076FA"/>
    <w:rsid w:val="00F14A7A"/>
    <w:rsid w:val="00F22201"/>
    <w:rsid w:val="00F22985"/>
    <w:rsid w:val="00F330C5"/>
    <w:rsid w:val="00F3383E"/>
    <w:rsid w:val="00F447EC"/>
    <w:rsid w:val="00F465A7"/>
    <w:rsid w:val="00F50B7C"/>
    <w:rsid w:val="00F550E6"/>
    <w:rsid w:val="00F7290F"/>
    <w:rsid w:val="00F74345"/>
    <w:rsid w:val="00F80A0A"/>
    <w:rsid w:val="00F82B19"/>
    <w:rsid w:val="00F8753A"/>
    <w:rsid w:val="00F9212D"/>
    <w:rsid w:val="00F964FF"/>
    <w:rsid w:val="00F965DA"/>
    <w:rsid w:val="00FA14DD"/>
    <w:rsid w:val="00FA3990"/>
    <w:rsid w:val="00FA406A"/>
    <w:rsid w:val="00FA731E"/>
    <w:rsid w:val="00FB503A"/>
    <w:rsid w:val="00FB516C"/>
    <w:rsid w:val="00FB701F"/>
    <w:rsid w:val="00FC0260"/>
    <w:rsid w:val="00FC4827"/>
    <w:rsid w:val="00FD0236"/>
    <w:rsid w:val="00FD18F4"/>
    <w:rsid w:val="00FD54DB"/>
    <w:rsid w:val="00FD619F"/>
    <w:rsid w:val="00FD69F7"/>
    <w:rsid w:val="00FE44B4"/>
    <w:rsid w:val="00FE7087"/>
    <w:rsid w:val="00FF0512"/>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B641F6C"/>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unhideWhenUsed="0" w:uiPriority="0" w:name="annotation text"/>
    <w:lsdException w:unhideWhenUsed="0" w:uiPriority="0" w:semiHidden="0" w:name="header"/>
    <w:lsdException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name="annotation reference"/>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uiPriority="99" w:name="Normal Table"/>
    <w:lsdException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56"/>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1"/>
    <w:semiHidden/>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53"/>
    <w:semiHidden/>
    <w:unhideWhenUsed/>
    <w:qFormat/>
    <w:locked/>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6">
    <w:name w:val="Normal Indent"/>
    <w:basedOn w:val="1"/>
    <w:link w:val="50"/>
    <w:qFormat/>
    <w:locked/>
    <w:uiPriority w:val="99"/>
    <w:pPr>
      <w:ind w:firstLine="420"/>
    </w:pPr>
    <w:rPr>
      <w:sz w:val="32"/>
      <w:szCs w:val="20"/>
    </w:rPr>
  </w:style>
  <w:style w:type="paragraph" w:styleId="7">
    <w:name w:val="annotation text"/>
    <w:basedOn w:val="1"/>
    <w:link w:val="30"/>
    <w:semiHidden/>
    <w:uiPriority w:val="0"/>
    <w:pPr>
      <w:jc w:val="left"/>
    </w:pPr>
    <w:rPr>
      <w:kern w:val="0"/>
      <w:sz w:val="24"/>
      <w:szCs w:val="20"/>
    </w:rPr>
  </w:style>
  <w:style w:type="paragraph" w:styleId="8">
    <w:name w:val="Body Text"/>
    <w:basedOn w:val="1"/>
    <w:link w:val="29"/>
    <w:uiPriority w:val="0"/>
    <w:pPr>
      <w:widowControl/>
      <w:snapToGrid w:val="0"/>
      <w:spacing w:before="60" w:after="160" w:line="259" w:lineRule="auto"/>
      <w:ind w:right="113"/>
    </w:pPr>
    <w:rPr>
      <w:kern w:val="0"/>
      <w:sz w:val="18"/>
      <w:szCs w:val="20"/>
    </w:rPr>
  </w:style>
  <w:style w:type="paragraph" w:styleId="9">
    <w:name w:val="Body Text Indent"/>
    <w:basedOn w:val="1"/>
    <w:link w:val="38"/>
    <w:uiPriority w:val="0"/>
    <w:pPr>
      <w:spacing w:after="120"/>
      <w:ind w:left="420" w:leftChars="200"/>
    </w:pPr>
    <w:rPr>
      <w:kern w:val="0"/>
      <w:sz w:val="24"/>
      <w:szCs w:val="20"/>
    </w:rPr>
  </w:style>
  <w:style w:type="paragraph" w:styleId="10">
    <w:name w:val="Block Text"/>
    <w:basedOn w:val="1"/>
    <w:locked/>
    <w:uiPriority w:val="0"/>
    <w:pPr>
      <w:spacing w:after="120"/>
      <w:ind w:left="1440" w:leftChars="700" w:right="1440" w:rightChars="700"/>
    </w:pPr>
  </w:style>
  <w:style w:type="paragraph" w:styleId="11">
    <w:name w:val="Plain Text"/>
    <w:basedOn w:val="1"/>
    <w:link w:val="69"/>
    <w:qFormat/>
    <w:locked/>
    <w:uiPriority w:val="0"/>
    <w:pPr>
      <w:spacing w:line="420" w:lineRule="exact"/>
      <w:ind w:firstLine="200" w:firstLineChars="200"/>
    </w:pPr>
    <w:rPr>
      <w:rFonts w:ascii="宋体" w:hAnsi="Courier New" w:cs="Courier New"/>
      <w:szCs w:val="21"/>
    </w:rPr>
  </w:style>
  <w:style w:type="paragraph" w:styleId="12">
    <w:name w:val="Date"/>
    <w:basedOn w:val="1"/>
    <w:next w:val="1"/>
    <w:link w:val="25"/>
    <w:uiPriority w:val="0"/>
    <w:pPr>
      <w:ind w:left="100" w:leftChars="2500"/>
    </w:pPr>
    <w:rPr>
      <w:kern w:val="0"/>
      <w:sz w:val="24"/>
      <w:szCs w:val="20"/>
    </w:rPr>
  </w:style>
  <w:style w:type="paragraph" w:styleId="13">
    <w:name w:val="Balloon Text"/>
    <w:basedOn w:val="1"/>
    <w:link w:val="34"/>
    <w:semiHidden/>
    <w:uiPriority w:val="0"/>
    <w:rPr>
      <w:kern w:val="0"/>
      <w:sz w:val="18"/>
      <w:szCs w:val="20"/>
    </w:rPr>
  </w:style>
  <w:style w:type="paragraph" w:styleId="14">
    <w:name w:val="footer"/>
    <w:basedOn w:val="1"/>
    <w:link w:val="24"/>
    <w:uiPriority w:val="99"/>
    <w:pPr>
      <w:tabs>
        <w:tab w:val="center" w:pos="4153"/>
        <w:tab w:val="right" w:pos="8306"/>
      </w:tabs>
      <w:snapToGrid w:val="0"/>
      <w:jc w:val="left"/>
    </w:pPr>
    <w:rPr>
      <w:kern w:val="0"/>
      <w:sz w:val="18"/>
      <w:szCs w:val="20"/>
    </w:rPr>
  </w:style>
  <w:style w:type="paragraph" w:styleId="15">
    <w:name w:val="header"/>
    <w:basedOn w:val="1"/>
    <w:link w:val="36"/>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27"/>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7"/>
    <w:next w:val="7"/>
    <w:link w:val="35"/>
    <w:semiHidden/>
    <w:uiPriority w:val="0"/>
    <w:rPr>
      <w:b/>
    </w:rPr>
  </w:style>
  <w:style w:type="paragraph" w:styleId="18">
    <w:name w:val="Body Text First Indent 2"/>
    <w:basedOn w:val="9"/>
    <w:link w:val="72"/>
    <w:locked/>
    <w:uiPriority w:val="0"/>
    <w:pPr>
      <w:ind w:firstLine="420" w:firstLineChars="200"/>
    </w:pPr>
    <w:rPr>
      <w:kern w:val="2"/>
      <w:sz w:val="21"/>
      <w:szCs w:val="24"/>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locked/>
    <w:uiPriority w:val="0"/>
  </w:style>
  <w:style w:type="character" w:styleId="23">
    <w:name w:val="annotation reference"/>
    <w:semiHidden/>
    <w:uiPriority w:val="0"/>
    <w:rPr>
      <w:sz w:val="21"/>
    </w:rPr>
  </w:style>
  <w:style w:type="character" w:customStyle="1" w:styleId="24">
    <w:name w:val="页脚 字符1"/>
    <w:link w:val="14"/>
    <w:qFormat/>
    <w:locked/>
    <w:uiPriority w:val="99"/>
    <w:rPr>
      <w:sz w:val="18"/>
    </w:rPr>
  </w:style>
  <w:style w:type="character" w:customStyle="1" w:styleId="25">
    <w:name w:val="日期 字符1"/>
    <w:link w:val="12"/>
    <w:qFormat/>
    <w:locked/>
    <w:uiPriority w:val="0"/>
    <w:rPr>
      <w:rFonts w:ascii="Times New Roman" w:hAnsi="Times New Roman" w:eastAsia="宋体"/>
      <w:sz w:val="24"/>
    </w:rPr>
  </w:style>
  <w:style w:type="character" w:customStyle="1" w:styleId="26">
    <w:name w:val="页脚 字符"/>
    <w:basedOn w:val="21"/>
    <w:qFormat/>
    <w:uiPriority w:val="99"/>
  </w:style>
  <w:style w:type="character" w:customStyle="1" w:styleId="27">
    <w:name w:val="普通(网站) 字符"/>
    <w:link w:val="16"/>
    <w:qFormat/>
    <w:locked/>
    <w:uiPriority w:val="0"/>
    <w:rPr>
      <w:rFonts w:ascii="宋体" w:hAnsi="宋体" w:eastAsia="宋体"/>
      <w:sz w:val="24"/>
    </w:rPr>
  </w:style>
  <w:style w:type="character" w:customStyle="1" w:styleId="28">
    <w:name w:val="正文文本 字符1"/>
    <w:semiHidden/>
    <w:qFormat/>
    <w:uiPriority w:val="0"/>
    <w:rPr>
      <w:rFonts w:ascii="Times New Roman" w:hAnsi="Times New Roman" w:eastAsia="宋体"/>
      <w:sz w:val="24"/>
    </w:rPr>
  </w:style>
  <w:style w:type="character" w:customStyle="1" w:styleId="29">
    <w:name w:val="正文文本 字符"/>
    <w:link w:val="8"/>
    <w:qFormat/>
    <w:locked/>
    <w:uiPriority w:val="0"/>
    <w:rPr>
      <w:sz w:val="18"/>
    </w:rPr>
  </w:style>
  <w:style w:type="character" w:customStyle="1" w:styleId="30">
    <w:name w:val="批注文字 字符"/>
    <w:link w:val="7"/>
    <w:qFormat/>
    <w:locked/>
    <w:uiPriority w:val="0"/>
    <w:rPr>
      <w:rFonts w:ascii="Times New Roman" w:hAnsi="Times New Roman" w:eastAsia="宋体"/>
      <w:sz w:val="24"/>
    </w:rPr>
  </w:style>
  <w:style w:type="character" w:customStyle="1" w:styleId="31">
    <w:name w:val="表格 Char"/>
    <w:link w:val="32"/>
    <w:qFormat/>
    <w:locked/>
    <w:uiPriority w:val="0"/>
    <w:rPr>
      <w:rFonts w:ascii="宋体"/>
      <w:sz w:val="21"/>
    </w:rPr>
  </w:style>
  <w:style w:type="paragraph" w:customStyle="1" w:styleId="32">
    <w:name w:val="表格"/>
    <w:basedOn w:val="1"/>
    <w:next w:val="1"/>
    <w:link w:val="31"/>
    <w:qFormat/>
    <w:uiPriority w:val="0"/>
    <w:pPr>
      <w:adjustRightInd w:val="0"/>
      <w:snapToGrid w:val="0"/>
      <w:spacing w:beforeLines="10" w:afterLines="10" w:line="259" w:lineRule="auto"/>
      <w:jc w:val="center"/>
    </w:pPr>
    <w:rPr>
      <w:rFonts w:ascii="宋体"/>
      <w:kern w:val="0"/>
      <w:szCs w:val="20"/>
    </w:rPr>
  </w:style>
  <w:style w:type="character" w:customStyle="1" w:styleId="33">
    <w:name w:val="日期 字符"/>
    <w:semiHidden/>
    <w:qFormat/>
    <w:uiPriority w:val="0"/>
    <w:rPr>
      <w:rFonts w:ascii="Times New Roman" w:hAnsi="Times New Roman" w:eastAsia="宋体"/>
      <w:sz w:val="24"/>
    </w:rPr>
  </w:style>
  <w:style w:type="character" w:customStyle="1" w:styleId="34">
    <w:name w:val="批注框文本 字符"/>
    <w:link w:val="13"/>
    <w:semiHidden/>
    <w:qFormat/>
    <w:locked/>
    <w:uiPriority w:val="0"/>
    <w:rPr>
      <w:rFonts w:ascii="Times New Roman" w:hAnsi="Times New Roman" w:eastAsia="宋体"/>
      <w:sz w:val="18"/>
    </w:rPr>
  </w:style>
  <w:style w:type="character" w:customStyle="1" w:styleId="35">
    <w:name w:val="批注主题 字符"/>
    <w:link w:val="17"/>
    <w:semiHidden/>
    <w:qFormat/>
    <w:locked/>
    <w:uiPriority w:val="0"/>
    <w:rPr>
      <w:rFonts w:ascii="Times New Roman" w:hAnsi="Times New Roman" w:eastAsia="宋体"/>
      <w:b/>
      <w:kern w:val="2"/>
      <w:sz w:val="24"/>
    </w:rPr>
  </w:style>
  <w:style w:type="character" w:customStyle="1" w:styleId="36">
    <w:name w:val="页眉 字符"/>
    <w:link w:val="15"/>
    <w:qFormat/>
    <w:locked/>
    <w:uiPriority w:val="0"/>
    <w:rPr>
      <w:sz w:val="18"/>
    </w:rPr>
  </w:style>
  <w:style w:type="character" w:customStyle="1" w:styleId="37">
    <w:name w:val="批注文字 字符1"/>
    <w:semiHidden/>
    <w:qFormat/>
    <w:uiPriority w:val="0"/>
    <w:rPr>
      <w:rFonts w:ascii="Times New Roman" w:hAnsi="Times New Roman" w:eastAsia="宋体"/>
      <w:sz w:val="24"/>
    </w:rPr>
  </w:style>
  <w:style w:type="character" w:customStyle="1" w:styleId="38">
    <w:name w:val="正文文本缩进 字符"/>
    <w:link w:val="9"/>
    <w:semiHidden/>
    <w:qFormat/>
    <w:locked/>
    <w:uiPriority w:val="0"/>
    <w:rPr>
      <w:rFonts w:ascii="Times New Roman" w:hAnsi="Times New Roman" w:eastAsia="宋体"/>
      <w:sz w:val="24"/>
    </w:rPr>
  </w:style>
  <w:style w:type="paragraph" w:customStyle="1" w:styleId="39">
    <w:name w:val="正文_10"/>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普通(网站)2"/>
    <w:basedOn w:val="1"/>
    <w:uiPriority w:val="0"/>
    <w:pPr>
      <w:widowControl/>
      <w:spacing w:before="100" w:beforeAutospacing="1" w:after="100" w:afterAutospacing="1"/>
      <w:jc w:val="left"/>
    </w:pPr>
    <w:rPr>
      <w:rFonts w:ascii="宋体" w:hAnsi="宋体"/>
      <w:sz w:val="24"/>
      <w:szCs w:val="20"/>
    </w:rPr>
  </w:style>
  <w:style w:type="paragraph" w:customStyle="1" w:styleId="41">
    <w:name w:val="1 Char"/>
    <w:basedOn w:val="1"/>
    <w:qFormat/>
    <w:uiPriority w:val="0"/>
    <w:pPr>
      <w:spacing w:line="360" w:lineRule="auto"/>
      <w:ind w:firstLine="1446" w:firstLineChars="200"/>
    </w:pPr>
    <w:rPr>
      <w:sz w:val="24"/>
      <w:szCs w:val="22"/>
    </w:rPr>
  </w:style>
  <w:style w:type="paragraph" w:customStyle="1" w:styleId="42">
    <w:name w:val="标准正文"/>
    <w:basedOn w:val="1"/>
    <w:qFormat/>
    <w:uiPriority w:val="0"/>
    <w:pPr>
      <w:spacing w:line="480" w:lineRule="auto"/>
      <w:ind w:firstLine="560" w:firstLineChars="200"/>
    </w:pPr>
    <w:rPr>
      <w:sz w:val="28"/>
      <w:szCs w:val="20"/>
    </w:rPr>
  </w:style>
  <w:style w:type="paragraph" w:customStyle="1" w:styleId="43">
    <w:name w:val="表格内容样式"/>
    <w:next w:val="1"/>
    <w:qFormat/>
    <w:uiPriority w:val="0"/>
    <w:pPr>
      <w:jc w:val="center"/>
    </w:pPr>
    <w:rPr>
      <w:rFonts w:ascii="Times New Roman" w:hAnsi="Times New Roman" w:eastAsia="宋体" w:cs="Times New Roman"/>
      <w:sz w:val="21"/>
      <w:szCs w:val="22"/>
      <w:lang w:val="en-US" w:eastAsia="zh-CN" w:bidi="ar-SA"/>
    </w:rPr>
  </w:style>
  <w:style w:type="paragraph" w:customStyle="1" w:styleId="44">
    <w:name w:val="表文字"/>
    <w:basedOn w:val="1"/>
    <w:qFormat/>
    <w:uiPriority w:val="0"/>
    <w:pPr>
      <w:overflowPunct w:val="0"/>
      <w:autoSpaceDE w:val="0"/>
      <w:autoSpaceDN w:val="0"/>
      <w:adjustRightInd w:val="0"/>
      <w:jc w:val="center"/>
      <w:textAlignment w:val="baseline"/>
    </w:pPr>
    <w:rPr>
      <w:kern w:val="0"/>
      <w:szCs w:val="20"/>
    </w:rPr>
  </w:style>
  <w:style w:type="character" w:customStyle="1" w:styleId="45">
    <w:name w:val="正文内容 Char"/>
    <w:link w:val="46"/>
    <w:qFormat/>
    <w:uiPriority w:val="0"/>
    <w:rPr>
      <w:kern w:val="2"/>
      <w:sz w:val="24"/>
      <w:szCs w:val="24"/>
    </w:rPr>
  </w:style>
  <w:style w:type="paragraph" w:customStyle="1" w:styleId="46">
    <w:name w:val="正文内容"/>
    <w:link w:val="45"/>
    <w:qFormat/>
    <w:uiPriority w:val="0"/>
    <w:pPr>
      <w:widowControl w:val="0"/>
      <w:snapToGrid w:val="0"/>
      <w:spacing w:before="60" w:after="60"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47">
    <w:name w:val="表格内容5号 Char"/>
    <w:basedOn w:val="21"/>
    <w:link w:val="48"/>
    <w:uiPriority w:val="0"/>
    <w:rPr>
      <w:kern w:val="2"/>
      <w:sz w:val="21"/>
      <w:szCs w:val="24"/>
    </w:rPr>
  </w:style>
  <w:style w:type="paragraph" w:customStyle="1" w:styleId="48">
    <w:name w:val="表格内容5号"/>
    <w:link w:val="47"/>
    <w:uiPriority w:val="0"/>
    <w:pPr>
      <w:snapToGrid w:val="0"/>
      <w:spacing w:line="240" w:lineRule="atLeast"/>
      <w:jc w:val="center"/>
    </w:pPr>
    <w:rPr>
      <w:rFonts w:ascii="Times New Roman" w:hAnsi="Times New Roman" w:eastAsia="宋体" w:cs="Times New Roman"/>
      <w:kern w:val="2"/>
      <w:sz w:val="21"/>
      <w:szCs w:val="24"/>
      <w:lang w:val="en-US" w:eastAsia="zh-CN" w:bidi="ar-SA"/>
    </w:rPr>
  </w:style>
  <w:style w:type="paragraph" w:customStyle="1" w:styleId="49">
    <w:name w:val="zwb_无格式"/>
    <w:basedOn w:val="1"/>
    <w:qFormat/>
    <w:uiPriority w:val="0"/>
    <w:pPr>
      <w:widowControl/>
    </w:pPr>
  </w:style>
  <w:style w:type="character" w:customStyle="1" w:styleId="50">
    <w:name w:val="正文缩进 字符"/>
    <w:basedOn w:val="21"/>
    <w:link w:val="6"/>
    <w:qFormat/>
    <w:uiPriority w:val="99"/>
    <w:rPr>
      <w:kern w:val="2"/>
      <w:sz w:val="32"/>
    </w:rPr>
  </w:style>
  <w:style w:type="paragraph" w:customStyle="1" w:styleId="51">
    <w:name w:val="表格文字"/>
    <w:basedOn w:val="1"/>
    <w:next w:val="1"/>
    <w:link w:val="52"/>
    <w:qFormat/>
    <w:uiPriority w:val="0"/>
    <w:pPr>
      <w:snapToGrid w:val="0"/>
      <w:jc w:val="center"/>
    </w:pPr>
    <w:rPr>
      <w:szCs w:val="21"/>
    </w:rPr>
  </w:style>
  <w:style w:type="character" w:customStyle="1" w:styleId="52">
    <w:name w:val="表格文字 Char Char"/>
    <w:link w:val="51"/>
    <w:uiPriority w:val="0"/>
    <w:rPr>
      <w:kern w:val="2"/>
      <w:sz w:val="21"/>
      <w:szCs w:val="21"/>
    </w:rPr>
  </w:style>
  <w:style w:type="character" w:customStyle="1" w:styleId="53">
    <w:name w:val="标题 4 字符"/>
    <w:basedOn w:val="21"/>
    <w:link w:val="5"/>
    <w:semiHidden/>
    <w:uiPriority w:val="0"/>
    <w:rPr>
      <w:rFonts w:asciiTheme="majorHAnsi" w:hAnsiTheme="majorHAnsi" w:eastAsiaTheme="majorEastAsia" w:cstheme="majorBidi"/>
      <w:b/>
      <w:bCs/>
      <w:kern w:val="2"/>
      <w:sz w:val="28"/>
      <w:szCs w:val="28"/>
    </w:rPr>
  </w:style>
  <w:style w:type="paragraph" w:customStyle="1" w:styleId="54">
    <w:name w:val="表格ST"/>
    <w:uiPriority w:val="0"/>
    <w:pPr>
      <w:spacing w:line="300" w:lineRule="exact"/>
      <w:jc w:val="center"/>
    </w:pPr>
    <w:rPr>
      <w:rFonts w:ascii="Times New Roman" w:hAnsi="Times New Roman" w:eastAsia="宋体" w:cs="Times New Roman"/>
      <w:bCs/>
      <w:kern w:val="2"/>
      <w:sz w:val="24"/>
      <w:szCs w:val="24"/>
      <w:lang w:val="en-US" w:eastAsia="zh-CN" w:bidi="ar-SA"/>
    </w:rPr>
  </w:style>
  <w:style w:type="paragraph" w:customStyle="1" w:styleId="55">
    <w:name w:val="表格表头"/>
    <w:basedOn w:val="1"/>
    <w:qFormat/>
    <w:uiPriority w:val="0"/>
    <w:pPr>
      <w:spacing w:line="360" w:lineRule="auto"/>
      <w:jc w:val="center"/>
    </w:pPr>
    <w:rPr>
      <w:b/>
      <w:szCs w:val="22"/>
    </w:rPr>
  </w:style>
  <w:style w:type="character" w:customStyle="1" w:styleId="56">
    <w:name w:val="标题 2 字符"/>
    <w:basedOn w:val="21"/>
    <w:link w:val="3"/>
    <w:semiHidden/>
    <w:uiPriority w:val="0"/>
    <w:rPr>
      <w:rFonts w:asciiTheme="majorHAnsi" w:hAnsiTheme="majorHAnsi" w:eastAsiaTheme="majorEastAsia" w:cstheme="majorBidi"/>
      <w:b/>
      <w:bCs/>
      <w:kern w:val="2"/>
      <w:sz w:val="32"/>
      <w:szCs w:val="32"/>
    </w:rPr>
  </w:style>
  <w:style w:type="character" w:customStyle="1" w:styleId="57">
    <w:name w:val="表格内容 Char"/>
    <w:link w:val="58"/>
    <w:qFormat/>
    <w:locked/>
    <w:uiPriority w:val="0"/>
    <w:rPr>
      <w:rFonts w:eastAsia="仿宋_GB2312"/>
      <w:kern w:val="2"/>
      <w:sz w:val="24"/>
      <w:szCs w:val="24"/>
    </w:rPr>
  </w:style>
  <w:style w:type="paragraph" w:customStyle="1" w:styleId="58">
    <w:name w:val="表格内容"/>
    <w:link w:val="57"/>
    <w:qFormat/>
    <w:uiPriority w:val="99"/>
    <w:pPr>
      <w:widowControl w:val="0"/>
      <w:snapToGrid w:val="0"/>
      <w:spacing w:line="240" w:lineRule="atLeast"/>
      <w:jc w:val="center"/>
    </w:pPr>
    <w:rPr>
      <w:rFonts w:ascii="Times New Roman" w:hAnsi="Times New Roman" w:eastAsia="仿宋_GB2312" w:cs="Times New Roman"/>
      <w:kern w:val="2"/>
      <w:sz w:val="24"/>
      <w:szCs w:val="24"/>
      <w:lang w:val="en-US" w:eastAsia="zh-CN" w:bidi="ar-SA"/>
    </w:rPr>
  </w:style>
  <w:style w:type="character" w:customStyle="1" w:styleId="59">
    <w:name w:val="标题HT Char Char"/>
    <w:link w:val="60"/>
    <w:uiPriority w:val="0"/>
    <w:rPr>
      <w:rFonts w:ascii="Arial" w:hAnsi="Arial" w:eastAsia="黑体"/>
      <w:kern w:val="2"/>
      <w:sz w:val="24"/>
      <w:szCs w:val="24"/>
    </w:rPr>
  </w:style>
  <w:style w:type="paragraph" w:customStyle="1" w:styleId="60">
    <w:name w:val="标题HT"/>
    <w:link w:val="59"/>
    <w:qFormat/>
    <w:uiPriority w:val="0"/>
    <w:pPr>
      <w:snapToGrid w:val="0"/>
      <w:spacing w:line="480" w:lineRule="exact"/>
      <w:ind w:firstLine="482"/>
    </w:pPr>
    <w:rPr>
      <w:rFonts w:ascii="Arial" w:hAnsi="Arial" w:eastAsia="黑体" w:cs="Times New Roman"/>
      <w:kern w:val="2"/>
      <w:sz w:val="24"/>
      <w:szCs w:val="24"/>
      <w:lang w:val="en-US" w:eastAsia="zh-CN" w:bidi="ar-SA"/>
    </w:rPr>
  </w:style>
  <w:style w:type="paragraph" w:customStyle="1" w:styleId="61">
    <w:name w:val="表格文字L16"/>
    <w:basedOn w:val="1"/>
    <w:uiPriority w:val="0"/>
    <w:pPr>
      <w:adjustRightInd w:val="0"/>
      <w:snapToGrid w:val="0"/>
      <w:spacing w:line="320" w:lineRule="exact"/>
      <w:ind w:firstLine="200" w:firstLineChars="200"/>
      <w:jc w:val="center"/>
    </w:pPr>
    <w:rPr>
      <w:color w:val="000000"/>
      <w:kern w:val="32"/>
      <w:sz w:val="24"/>
      <w:szCs w:val="20"/>
    </w:rPr>
  </w:style>
  <w:style w:type="character" w:customStyle="1" w:styleId="62">
    <w:name w:val="李表头常用格式 字符"/>
    <w:link w:val="63"/>
    <w:uiPriority w:val="0"/>
    <w:rPr>
      <w:rFonts w:ascii="黑体" w:hAnsi="宋体" w:eastAsia="黑体" w:cs="黑体"/>
      <w:color w:val="000000"/>
      <w:kern w:val="2"/>
      <w:sz w:val="21"/>
      <w:szCs w:val="21"/>
    </w:rPr>
  </w:style>
  <w:style w:type="paragraph" w:customStyle="1" w:styleId="63">
    <w:name w:val="李表头常用格式"/>
    <w:basedOn w:val="10"/>
    <w:link w:val="62"/>
    <w:qFormat/>
    <w:uiPriority w:val="0"/>
    <w:pPr>
      <w:snapToGrid w:val="0"/>
      <w:spacing w:after="0" w:line="320" w:lineRule="exact"/>
      <w:ind w:left="0" w:leftChars="0" w:right="0" w:rightChars="-70" w:hanging="420" w:hangingChars="200"/>
      <w:jc w:val="center"/>
    </w:pPr>
    <w:rPr>
      <w:rFonts w:ascii="黑体" w:hAnsi="宋体" w:eastAsia="黑体" w:cs="黑体"/>
      <w:color w:val="000000"/>
      <w:szCs w:val="21"/>
    </w:rPr>
  </w:style>
  <w:style w:type="paragraph" w:customStyle="1" w:styleId="64">
    <w:name w:val="表中"/>
    <w:basedOn w:val="1"/>
    <w:qFormat/>
    <w:uiPriority w:val="0"/>
    <w:pPr>
      <w:spacing w:line="360" w:lineRule="exact"/>
      <w:jc w:val="center"/>
    </w:pPr>
    <w:rPr>
      <w:rFonts w:ascii="Calibri" w:hAnsi="Calibri"/>
      <w:szCs w:val="21"/>
    </w:rPr>
  </w:style>
  <w:style w:type="character" w:customStyle="1" w:styleId="65">
    <w:name w:val="图表标题 Char"/>
    <w:link w:val="66"/>
    <w:uiPriority w:val="0"/>
    <w:rPr>
      <w:kern w:val="2"/>
      <w:sz w:val="24"/>
      <w:szCs w:val="24"/>
    </w:rPr>
  </w:style>
  <w:style w:type="paragraph" w:customStyle="1" w:styleId="66">
    <w:name w:val="图表标题"/>
    <w:link w:val="65"/>
    <w:uiPriority w:val="0"/>
    <w:pPr>
      <w:snapToGrid w:val="0"/>
      <w:spacing w:line="360" w:lineRule="exact"/>
      <w:jc w:val="center"/>
    </w:pPr>
    <w:rPr>
      <w:rFonts w:ascii="Times New Roman" w:hAnsi="Times New Roman" w:eastAsia="宋体" w:cs="Times New Roman"/>
      <w:kern w:val="2"/>
      <w:sz w:val="24"/>
      <w:szCs w:val="24"/>
      <w:lang w:val="en-US" w:eastAsia="zh-CN" w:bidi="ar-SA"/>
    </w:rPr>
  </w:style>
  <w:style w:type="character" w:customStyle="1" w:styleId="67">
    <w:name w:val="5号表格 Char"/>
    <w:link w:val="68"/>
    <w:qFormat/>
    <w:uiPriority w:val="0"/>
    <w:rPr>
      <w:bCs/>
      <w:kern w:val="2"/>
      <w:sz w:val="21"/>
      <w:szCs w:val="21"/>
    </w:rPr>
  </w:style>
  <w:style w:type="paragraph" w:customStyle="1" w:styleId="68">
    <w:name w:val="5号表格"/>
    <w:link w:val="67"/>
    <w:qFormat/>
    <w:uiPriority w:val="0"/>
    <w:pPr>
      <w:snapToGrid w:val="0"/>
      <w:jc w:val="center"/>
    </w:pPr>
    <w:rPr>
      <w:rFonts w:ascii="Times New Roman" w:hAnsi="Times New Roman" w:eastAsia="宋体" w:cs="Times New Roman"/>
      <w:bCs/>
      <w:kern w:val="2"/>
      <w:sz w:val="21"/>
      <w:szCs w:val="21"/>
      <w:lang w:val="en-US" w:eastAsia="zh-CN" w:bidi="ar-SA"/>
    </w:rPr>
  </w:style>
  <w:style w:type="character" w:customStyle="1" w:styleId="69">
    <w:name w:val="纯文本 字符"/>
    <w:basedOn w:val="21"/>
    <w:link w:val="11"/>
    <w:uiPriority w:val="0"/>
    <w:rPr>
      <w:rFonts w:ascii="宋体" w:hAnsi="Courier New" w:cs="Courier New"/>
      <w:kern w:val="2"/>
      <w:sz w:val="21"/>
      <w:szCs w:val="21"/>
    </w:rPr>
  </w:style>
  <w:style w:type="paragraph" w:customStyle="1" w:styleId="70">
    <w:name w:val="样式 标题 4 + 段前: 5 磅 段后: 3 磅 行距: 固定值 26 磅"/>
    <w:basedOn w:val="5"/>
    <w:qFormat/>
    <w:uiPriority w:val="0"/>
    <w:pPr>
      <w:numPr>
        <w:ilvl w:val="0"/>
        <w:numId w:val="1"/>
      </w:numPr>
      <w:tabs>
        <w:tab w:val="left" w:pos="0"/>
      </w:tabs>
      <w:spacing w:before="0" w:after="0" w:line="500" w:lineRule="exact"/>
    </w:pPr>
    <w:rPr>
      <w:rFonts w:ascii="楷体_GB2312" w:hAnsi="宋体" w:eastAsia="楷体_GB2312" w:cs="Times New Roman"/>
      <w:bCs w:val="0"/>
      <w:color w:val="000000"/>
      <w:sz w:val="21"/>
      <w:szCs w:val="20"/>
    </w:rPr>
  </w:style>
  <w:style w:type="character" w:customStyle="1" w:styleId="71">
    <w:name w:val="标题 3 字符"/>
    <w:basedOn w:val="21"/>
    <w:link w:val="4"/>
    <w:semiHidden/>
    <w:uiPriority w:val="0"/>
    <w:rPr>
      <w:b/>
      <w:bCs/>
      <w:kern w:val="2"/>
      <w:sz w:val="32"/>
      <w:szCs w:val="32"/>
    </w:rPr>
  </w:style>
  <w:style w:type="character" w:customStyle="1" w:styleId="72">
    <w:name w:val="正文文本首行缩进 2 字符"/>
    <w:basedOn w:val="38"/>
    <w:link w:val="18"/>
    <w:uiPriority w:val="0"/>
    <w:rPr>
      <w:rFonts w:ascii="Times New Roman" w:hAnsi="Times New Roman" w:eastAsia="宋体"/>
      <w:kern w:val="2"/>
      <w:sz w:val="21"/>
      <w:szCs w:val="24"/>
    </w:rPr>
  </w:style>
  <w:style w:type="paragraph" w:styleId="73">
    <w:name w:val="List Paragraph"/>
    <w:basedOn w:val="1"/>
    <w:qFormat/>
    <w:uiPriority w:val="34"/>
    <w:pPr>
      <w:ind w:firstLine="420" w:firstLineChars="200"/>
    </w:pPr>
    <w:rPr>
      <w:rFonts w:ascii="Calibri" w:hAnsi="Calibri"/>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file:///C:\Users\Administrator\AppData\Roaming\Tencent\Users\1049960459\TIM\WinTemp\RichOle\%255b2OM$Q~9VA%25603U0OK~8X)9(6.png" TargetMode="External"/><Relationship Id="rId33" Type="http://schemas.openxmlformats.org/officeDocument/2006/relationships/image" Target="media/image18.png"/><Relationship Id="rId32" Type="http://schemas.openxmlformats.org/officeDocument/2006/relationships/image" Target="http://www.biaozhi.net/enews/UploadFiles/smallImg/783.gif" TargetMode="External"/><Relationship Id="rId31" Type="http://schemas.openxmlformats.org/officeDocument/2006/relationships/image" Target="media/image17.png"/><Relationship Id="rId30" Type="http://schemas.openxmlformats.org/officeDocument/2006/relationships/image" Target="http://www.biaozhi.net/enews/UploadFiles/smallImg/785.gif" TargetMode="Externa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http://www.biaozhi.net/enews/UploadFiles/smallImg/781.gif" TargetMode="Externa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emf"/><Relationship Id="rId24" Type="http://schemas.openxmlformats.org/officeDocument/2006/relationships/package" Target="embeddings/Microsoft_Visio___4.vsdx"/><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package" Target="embeddings/Microsoft_Visio___3.vsdx"/><Relationship Id="rId17" Type="http://schemas.openxmlformats.org/officeDocument/2006/relationships/image" Target="media/image7.emf"/><Relationship Id="rId16" Type="http://schemas.openxmlformats.org/officeDocument/2006/relationships/image" Target="media/image6.emf"/><Relationship Id="rId15" Type="http://schemas.openxmlformats.org/officeDocument/2006/relationships/package" Target="embeddings/Microsoft_Visio___2.vsdx"/><Relationship Id="rId14" Type="http://schemas.openxmlformats.org/officeDocument/2006/relationships/image" Target="media/image5.emf"/><Relationship Id="rId13" Type="http://schemas.openxmlformats.org/officeDocument/2006/relationships/package" Target="embeddings/Microsoft_Visio___1.vsdx"/><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B0F0"/>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CF802E-EF88-48BF-9D8B-CE86E279C96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Pages>
  <Words>8168</Words>
  <Characters>46560</Characters>
  <Lines>388</Lines>
  <Paragraphs>109</Paragraphs>
  <TotalTime>3</TotalTime>
  <ScaleCrop>false</ScaleCrop>
  <LinksUpToDate>false</LinksUpToDate>
  <CharactersWithSpaces>54619</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2021-07-05T01:08:00Z</dcterms:created>
  <dc:creator>lhj</dc:creator>
  <cp:lastModifiedBy>横折弯钩</cp:lastModifiedBy>
  <cp:lastPrinted>2020-12-29T02:43:00Z</cp:lastPrinted>
  <dcterms:modified xsi:type="dcterms:W3CDTF">2021-07-19T08:26:41Z</dcterms:modified>
  <dc:title>附件2</dc:title>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632EFDC38E9F4809AFC0F4279E1E638F</vt:lpwstr>
  </property>
</Properties>
</file>