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72"/>
          <w:szCs w:val="72"/>
          <w:lang w:val="en-US" w:eastAsia="zh-CN"/>
        </w:rPr>
      </w:pPr>
      <w:r>
        <w:rPr>
          <w:rFonts w:hint="eastAsia" w:ascii="华文中宋" w:hAnsi="华文中宋" w:eastAsia="华文中宋"/>
          <w:spacing w:val="20"/>
          <w:sz w:val="72"/>
          <w:szCs w:val="72"/>
          <w:lang w:val="en-US" w:eastAsia="zh-CN"/>
        </w:rPr>
        <w:t>五台县</w:t>
      </w: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spacing w:line="1520" w:lineRule="exact"/>
        <w:rPr>
          <w:rFonts w:hint="eastAsia" w:ascii="华文中宋" w:hAnsi="华文中宋" w:eastAsia="华文中宋"/>
          <w:spacing w:val="20"/>
          <w:sz w:val="52"/>
          <w:szCs w:val="52"/>
        </w:rPr>
      </w:pPr>
    </w:p>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48"/>
          <w:szCs w:val="48"/>
        </w:rPr>
      </w:pPr>
    </w:p>
    <w:p>
      <w:pPr>
        <w:jc w:val="center"/>
        <w:rPr>
          <w:rFonts w:ascii="Times New Roman" w:hAnsi="华文中宋"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lang w:val="en-US" w:eastAsia="zh-CN"/>
        </w:rPr>
        <w:t>20</w:t>
      </w:r>
      <w:r>
        <w:rPr>
          <w:rFonts w:ascii="Times New Roman" w:hAnsi="华文中宋" w:eastAsia="华文中宋"/>
          <w:sz w:val="48"/>
          <w:szCs w:val="48"/>
        </w:rPr>
        <w:t>年</w:t>
      </w:r>
      <w:r>
        <w:rPr>
          <w:rFonts w:hint="eastAsia" w:ascii="Times New Roman" w:hAnsi="Times New Roman" w:eastAsia="华文中宋"/>
          <w:sz w:val="48"/>
          <w:szCs w:val="48"/>
          <w:lang w:val="en-US" w:eastAsia="zh-CN"/>
        </w:rPr>
        <w:t>11</w:t>
      </w:r>
      <w:r>
        <w:rPr>
          <w:rFonts w:ascii="Times New Roman" w:hAnsi="华文中宋" w:eastAsia="华文中宋"/>
          <w:sz w:val="48"/>
          <w:szCs w:val="48"/>
        </w:rPr>
        <w:t>月</w:t>
      </w:r>
    </w:p>
    <w:p>
      <w:pPr>
        <w:jc w:val="center"/>
        <w:rPr>
          <w:rFonts w:ascii="Times New Roman" w:hAnsi="华文中宋" w:eastAsia="华文中宋"/>
          <w:sz w:val="48"/>
          <w:szCs w:val="48"/>
        </w:rPr>
      </w:pPr>
    </w:p>
    <w:p>
      <w:pPr>
        <w:pStyle w:val="5"/>
        <w:tabs>
          <w:tab w:val="right" w:leader="dot" w:pos="13958"/>
          <w:tab w:val="clear" w:pos="14760"/>
        </w:tabs>
        <w:rPr>
          <w:rStyle w:val="10"/>
          <w:rFonts w:hint="eastAsia" w:ascii="黑体" w:hAnsi="方正小标宋_GBK" w:eastAsia="黑体"/>
          <w:sz w:val="30"/>
          <w:szCs w:val="30"/>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p>
    <w:p>
      <w:pPr>
        <w:pStyle w:val="5"/>
        <w:tabs>
          <w:tab w:val="right" w:leader="dot" w:pos="13958"/>
          <w:tab w:val="clear" w:pos="14760"/>
        </w:tabs>
        <w:rPr>
          <w:rFonts w:eastAsia="黑体"/>
          <w:sz w:val="30"/>
        </w:rPr>
      </w:pPr>
      <w:r>
        <w:rPr>
          <w:rStyle w:val="10"/>
          <w:rFonts w:hint="eastAsia" w:ascii="黑体" w:hAnsi="方正小标宋_GBK" w:eastAsia="黑体"/>
          <w:sz w:val="30"/>
          <w:szCs w:val="30"/>
        </w:rPr>
        <w:fldChar w:fldCharType="begin"/>
      </w:r>
      <w:r>
        <w:rPr>
          <w:rStyle w:val="10"/>
          <w:rFonts w:hint="eastAsia" w:ascii="黑体" w:hAnsi="方正小标宋_GBK" w:eastAsia="黑体"/>
          <w:sz w:val="30"/>
          <w:szCs w:val="30"/>
        </w:rPr>
        <w:instrText xml:space="preserve"> TOC \o "1-3" \h \z \u </w:instrText>
      </w:r>
      <w:r>
        <w:rPr>
          <w:rStyle w:val="10"/>
          <w:rFonts w:hint="eastAsia" w:ascii="黑体" w:hAnsi="方正小标宋_GBK" w:eastAsia="黑体"/>
          <w:sz w:val="30"/>
          <w:szCs w:val="30"/>
        </w:rPr>
        <w:fldChar w:fldCharType="separate"/>
      </w: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_Toc18006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（一）</w:t>
      </w:r>
      <w:r>
        <w:rPr>
          <w:rFonts w:ascii="方正小标宋_GBK" w:hAnsi="方正小标宋_GBK" w:eastAsia="黑体"/>
          <w:bCs w:val="0"/>
          <w:sz w:val="30"/>
        </w:rPr>
        <w:t>重大建设项目</w:t>
      </w:r>
      <w:r>
        <w:rPr>
          <w:rFonts w:hint="eastAsia" w:ascii="方正小标宋_GBK" w:hAns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_Toc18006 </w:instrText>
      </w:r>
      <w:r>
        <w:rPr>
          <w:rFonts w:eastAsia="黑体"/>
          <w:sz w:val="30"/>
        </w:rPr>
        <w:fldChar w:fldCharType="separate"/>
      </w:r>
      <w:r>
        <w:rPr>
          <w:rFonts w:eastAsia="黑体"/>
          <w:sz w:val="30"/>
        </w:rPr>
        <w:t>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_Toc12158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（二）公共资源交易领域基层政务公开标准目录</w:t>
      </w:r>
      <w:r>
        <w:rPr>
          <w:rFonts w:eastAsia="黑体"/>
          <w:sz w:val="30"/>
        </w:rPr>
        <w:tab/>
      </w:r>
      <w:r>
        <w:rPr>
          <w:rFonts w:eastAsia="黑体"/>
          <w:sz w:val="30"/>
        </w:rPr>
        <w:fldChar w:fldCharType="begin"/>
      </w:r>
      <w:r>
        <w:rPr>
          <w:rFonts w:eastAsia="黑体"/>
          <w:sz w:val="30"/>
        </w:rPr>
        <w:instrText xml:space="preserve"> PAGEREF _Toc12158 </w:instrText>
      </w:r>
      <w:r>
        <w:rPr>
          <w:rFonts w:eastAsia="黑体"/>
          <w:sz w:val="30"/>
        </w:rPr>
        <w:fldChar w:fldCharType="separate"/>
      </w:r>
      <w:r>
        <w:rPr>
          <w:rFonts w:eastAsia="黑体"/>
          <w:sz w:val="30"/>
        </w:rPr>
        <w:t>6</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_Toc2194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szCs w:val="28"/>
        </w:rPr>
        <w:t>（四）</w:t>
      </w:r>
      <w:r>
        <w:rPr>
          <w:rFonts w:hint="eastAsia" w:ascii="方正小标宋_GBK" w:hAnsi="方正小标宋_GBK" w:eastAsia="黑体"/>
          <w:bCs w:val="0"/>
          <w:sz w:val="30"/>
        </w:rPr>
        <w:t>户籍管理领域基层政务公开标准目录</w:t>
      </w:r>
      <w:r>
        <w:rPr>
          <w:rFonts w:eastAsia="黑体"/>
          <w:sz w:val="30"/>
        </w:rPr>
        <w:tab/>
      </w:r>
      <w:r>
        <w:rPr>
          <w:rFonts w:eastAsia="黑体"/>
          <w:sz w:val="30"/>
        </w:rPr>
        <w:fldChar w:fldCharType="begin"/>
      </w:r>
      <w:r>
        <w:rPr>
          <w:rFonts w:eastAsia="黑体"/>
          <w:sz w:val="30"/>
        </w:rPr>
        <w:instrText xml:space="preserve"> PAGEREF _Toc2194 </w:instrText>
      </w:r>
      <w:r>
        <w:rPr>
          <w:rFonts w:eastAsia="黑体"/>
          <w:sz w:val="30"/>
        </w:rPr>
        <w:fldChar w:fldCharType="separate"/>
      </w:r>
      <w:r>
        <w:rPr>
          <w:rFonts w:eastAsia="黑体"/>
          <w:sz w:val="30"/>
        </w:rPr>
        <w:t>42</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_Toc11229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五</w:t>
      </w:r>
      <w:r>
        <w:rPr>
          <w:rFonts w:hint="eastAsia" w:ascii="方正小标宋_GBK" w:hAnsi="方正小标宋_GBK" w:eastAsia="黑体"/>
          <w:bCs w:val="0"/>
          <w:sz w:val="30"/>
        </w:rPr>
        <w:t>）社会救助领域基层政务公开标准目录</w:t>
      </w:r>
      <w:r>
        <w:rPr>
          <w:rFonts w:eastAsia="黑体"/>
          <w:sz w:val="30"/>
        </w:rPr>
        <w:tab/>
      </w:r>
      <w:r>
        <w:rPr>
          <w:rFonts w:eastAsia="黑体"/>
          <w:sz w:val="30"/>
        </w:rPr>
        <w:fldChar w:fldCharType="begin"/>
      </w:r>
      <w:r>
        <w:rPr>
          <w:rFonts w:eastAsia="黑体"/>
          <w:sz w:val="30"/>
        </w:rPr>
        <w:instrText xml:space="preserve"> PAGEREF _Toc11229 </w:instrText>
      </w:r>
      <w:r>
        <w:rPr>
          <w:rFonts w:eastAsia="黑体"/>
          <w:sz w:val="30"/>
        </w:rPr>
        <w:fldChar w:fldCharType="separate"/>
      </w:r>
      <w:r>
        <w:rPr>
          <w:rFonts w:eastAsia="黑体"/>
          <w:sz w:val="30"/>
        </w:rPr>
        <w:t>44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_Toc12756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六</w:t>
      </w:r>
      <w:r>
        <w:rPr>
          <w:rFonts w:hint="eastAsia" w:ascii="方正小标宋_GBK" w:hAnsi="方正小标宋_GBK" w:eastAsia="黑体"/>
          <w:bCs w:val="0"/>
          <w:sz w:val="30"/>
        </w:rPr>
        <w:t>）养老服务领域基层政务公开标准目录</w:t>
      </w:r>
      <w:r>
        <w:rPr>
          <w:rFonts w:eastAsia="黑体"/>
          <w:sz w:val="30"/>
        </w:rPr>
        <w:tab/>
      </w:r>
      <w:r>
        <w:rPr>
          <w:rFonts w:eastAsia="黑体"/>
          <w:sz w:val="30"/>
        </w:rPr>
        <w:fldChar w:fldCharType="begin"/>
      </w:r>
      <w:r>
        <w:rPr>
          <w:rFonts w:eastAsia="黑体"/>
          <w:sz w:val="30"/>
        </w:rPr>
        <w:instrText xml:space="preserve"> PAGEREF _Toc12756 </w:instrText>
      </w:r>
      <w:r>
        <w:rPr>
          <w:rFonts w:eastAsia="黑体"/>
          <w:sz w:val="30"/>
        </w:rPr>
        <w:fldChar w:fldCharType="separate"/>
      </w:r>
      <w:r>
        <w:rPr>
          <w:rFonts w:eastAsia="黑体"/>
          <w:sz w:val="30"/>
        </w:rPr>
        <w:t>47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_Toc7704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（九）就业领域基层政务公开标准目录</w:t>
      </w:r>
      <w:r>
        <w:rPr>
          <w:rFonts w:eastAsia="黑体"/>
          <w:sz w:val="30"/>
        </w:rPr>
        <w:tab/>
      </w:r>
      <w:r>
        <w:rPr>
          <w:rFonts w:eastAsia="黑体"/>
          <w:sz w:val="30"/>
        </w:rPr>
        <w:fldChar w:fldCharType="begin"/>
      </w:r>
      <w:r>
        <w:rPr>
          <w:rFonts w:eastAsia="黑体"/>
          <w:sz w:val="30"/>
        </w:rPr>
        <w:instrText xml:space="preserve"> PAGEREF _Toc7704 </w:instrText>
      </w:r>
      <w:r>
        <w:rPr>
          <w:rFonts w:eastAsia="黑体"/>
          <w:sz w:val="30"/>
        </w:rPr>
        <w:fldChar w:fldCharType="separate"/>
      </w:r>
      <w:r>
        <w:rPr>
          <w:rFonts w:eastAsia="黑体"/>
          <w:sz w:val="30"/>
        </w:rPr>
        <w:t>67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_Toc13762 </w:instrText>
      </w:r>
      <w:r>
        <w:rPr>
          <w:rFonts w:hint="eastAsia" w:ascii="黑体" w:hAnsi="方正小标宋_GBK" w:eastAsia="黑体"/>
          <w:sz w:val="30"/>
          <w:szCs w:val="30"/>
        </w:rPr>
        <w:fldChar w:fldCharType="separate"/>
      </w:r>
      <w:r>
        <w:rPr>
          <w:rFonts w:hint="eastAsia" w:ascii="方正小标宋_GBK" w:eastAsia="黑体"/>
          <w:sz w:val="30"/>
          <w:szCs w:val="30"/>
        </w:rPr>
        <w:t>（十）社会保险领域基层政务公开标准目录</w:t>
      </w:r>
      <w:r>
        <w:rPr>
          <w:rFonts w:eastAsia="黑体"/>
          <w:sz w:val="30"/>
        </w:rPr>
        <w:tab/>
      </w:r>
      <w:r>
        <w:rPr>
          <w:rFonts w:eastAsia="黑体"/>
          <w:sz w:val="30"/>
        </w:rPr>
        <w:fldChar w:fldCharType="begin"/>
      </w:r>
      <w:r>
        <w:rPr>
          <w:rFonts w:eastAsia="黑体"/>
          <w:sz w:val="30"/>
        </w:rPr>
        <w:instrText xml:space="preserve"> PAGEREF _Toc13762 </w:instrText>
      </w:r>
      <w:r>
        <w:rPr>
          <w:rFonts w:eastAsia="黑体"/>
          <w:sz w:val="30"/>
        </w:rPr>
        <w:fldChar w:fldCharType="separate"/>
      </w:r>
      <w:r>
        <w:rPr>
          <w:rFonts w:eastAsia="黑体"/>
          <w:sz w:val="30"/>
        </w:rPr>
        <w:t>73</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_Toc5268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（十一）</w:t>
      </w:r>
      <w:r>
        <w:rPr>
          <w:rFonts w:ascii="方正小标宋_GBK" w:hAnsi="方正小标宋_GBK" w:eastAsia="黑体"/>
          <w:bCs w:val="0"/>
          <w:sz w:val="30"/>
        </w:rPr>
        <w:t>城乡规划</w:t>
      </w:r>
      <w:r>
        <w:rPr>
          <w:rFonts w:hint="eastAsia" w:ascii="方正小标宋_GBK" w:hAns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_Toc5268 </w:instrText>
      </w:r>
      <w:r>
        <w:rPr>
          <w:rFonts w:eastAsia="黑体"/>
          <w:sz w:val="30"/>
        </w:rPr>
        <w:fldChar w:fldCharType="separate"/>
      </w:r>
      <w:r>
        <w:rPr>
          <w:rFonts w:eastAsia="黑体"/>
          <w:sz w:val="30"/>
        </w:rPr>
        <w:t>91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_Toc5403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（十二）征</w:t>
      </w:r>
      <w:r>
        <w:rPr>
          <w:rFonts w:hint="eastAsia" w:ascii="方正小标宋_GBK" w:hAnsi="方正小标宋_GBK" w:eastAsia="黑体"/>
          <w:bCs w:val="0"/>
          <w:sz w:val="30"/>
          <w:lang w:eastAsia="zh-CN"/>
        </w:rPr>
        <w:t>地补偿领域</w:t>
      </w:r>
      <w:r>
        <w:rPr>
          <w:rFonts w:hint="eastAsia" w:ascii="方正小标宋_GBK" w:hAnsi="方正小标宋_GBK" w:eastAsia="黑体"/>
          <w:bCs w:val="0"/>
          <w:sz w:val="30"/>
        </w:rPr>
        <w:t>基层政务公开标准目录</w:t>
      </w:r>
      <w:r>
        <w:rPr>
          <w:rFonts w:eastAsia="黑体"/>
          <w:sz w:val="30"/>
        </w:rPr>
        <w:tab/>
      </w:r>
      <w:r>
        <w:rPr>
          <w:rFonts w:eastAsia="黑体"/>
          <w:sz w:val="30"/>
        </w:rPr>
        <w:fldChar w:fldCharType="begin"/>
      </w:r>
      <w:r>
        <w:rPr>
          <w:rFonts w:eastAsia="黑体"/>
          <w:sz w:val="30"/>
        </w:rPr>
        <w:instrText xml:space="preserve"> PAGEREF _Toc5403 </w:instrText>
      </w:r>
      <w:r>
        <w:rPr>
          <w:rFonts w:eastAsia="黑体"/>
          <w:sz w:val="30"/>
        </w:rPr>
        <w:fldChar w:fldCharType="separate"/>
      </w:r>
      <w:r>
        <w:rPr>
          <w:rFonts w:eastAsia="黑体"/>
          <w:sz w:val="30"/>
        </w:rPr>
        <w:t>94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_Toc20800 </w:instrText>
      </w:r>
      <w:r>
        <w:rPr>
          <w:rFonts w:hint="eastAsia" w:ascii="黑体" w:hAnsi="方正小标宋_GBK" w:eastAsia="黑体"/>
          <w:sz w:val="30"/>
          <w:szCs w:val="30"/>
        </w:rPr>
        <w:fldChar w:fldCharType="separate"/>
      </w:r>
      <w:r>
        <w:rPr>
          <w:rFonts w:hint="eastAsia" w:ascii="方正小标宋_GBK" w:eastAsia="黑体"/>
          <w:bCs w:val="0"/>
          <w:sz w:val="30"/>
        </w:rPr>
        <w:t>（十三）环境</w:t>
      </w:r>
      <w:r>
        <w:rPr>
          <w:rFonts w:hint="eastAsia" w:ascii="方正小标宋_GBK" w:eastAsia="黑体"/>
          <w:bCs w:val="0"/>
          <w:sz w:val="30"/>
          <w:lang w:eastAsia="zh-CN"/>
        </w:rPr>
        <w:t>保护</w:t>
      </w:r>
      <w:r>
        <w:rPr>
          <w:rFonts w:hint="eastAsia" w:asci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_Toc20800 </w:instrText>
      </w:r>
      <w:r>
        <w:rPr>
          <w:rFonts w:eastAsia="黑体"/>
          <w:sz w:val="30"/>
        </w:rPr>
        <w:fldChar w:fldCharType="separate"/>
      </w:r>
      <w:r>
        <w:rPr>
          <w:rFonts w:eastAsia="黑体"/>
          <w:sz w:val="30"/>
        </w:rPr>
        <w:t>100</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_Toc26009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（十四）保障性住房领域基层政务公开标准目录</w:t>
      </w:r>
      <w:r>
        <w:rPr>
          <w:rFonts w:eastAsia="黑体"/>
          <w:sz w:val="30"/>
        </w:rPr>
        <w:tab/>
      </w:r>
      <w:r>
        <w:rPr>
          <w:rFonts w:eastAsia="黑体"/>
          <w:sz w:val="30"/>
        </w:rPr>
        <w:fldChar w:fldCharType="begin"/>
      </w:r>
      <w:r>
        <w:rPr>
          <w:rFonts w:eastAsia="黑体"/>
          <w:sz w:val="30"/>
        </w:rPr>
        <w:instrText xml:space="preserve"> PAGEREF _Toc26009 </w:instrText>
      </w:r>
      <w:r>
        <w:rPr>
          <w:rFonts w:eastAsia="黑体"/>
          <w:sz w:val="30"/>
        </w:rPr>
        <w:fldChar w:fldCharType="separate"/>
      </w:r>
      <w:r>
        <w:rPr>
          <w:rFonts w:eastAsia="黑体"/>
          <w:sz w:val="30"/>
        </w:rPr>
        <w:t>105</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hint="eastAsia" w:ascii="黑体" w:hAnsi="方正小标宋_GBK" w:eastAsia="黑体"/>
          <w:sz w:val="30"/>
          <w:szCs w:val="30"/>
        </w:rPr>
        <w:sectPr>
          <w:footerReference r:id="rId4" w:type="default"/>
          <w:pgSz w:w="16838" w:h="11906" w:orient="landscape"/>
          <w:pgMar w:top="1800" w:right="1440" w:bottom="1800" w:left="1440" w:header="851" w:footer="992" w:gutter="0"/>
          <w:pgNumType w:fmt="decimal" w:start="1"/>
          <w:cols w:space="425" w:num="1"/>
          <w:docGrid w:type="lines" w:linePitch="312" w:charSpace="0"/>
        </w:sectPr>
      </w:pP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_Toc2147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（十五）国有土地上房屋征收领域基层政务公开标准目录</w:t>
      </w:r>
      <w:r>
        <w:rPr>
          <w:rFonts w:eastAsia="黑体"/>
          <w:sz w:val="30"/>
        </w:rPr>
        <w:tab/>
      </w:r>
      <w:r>
        <w:rPr>
          <w:rFonts w:eastAsia="黑体"/>
          <w:sz w:val="30"/>
        </w:rPr>
        <w:fldChar w:fldCharType="begin"/>
      </w:r>
      <w:r>
        <w:rPr>
          <w:rFonts w:eastAsia="黑体"/>
          <w:sz w:val="30"/>
        </w:rPr>
        <w:instrText xml:space="preserve"> PAGEREF _Toc2147 </w:instrText>
      </w:r>
      <w:r>
        <w:rPr>
          <w:rFonts w:eastAsia="黑体"/>
          <w:sz w:val="30"/>
        </w:rPr>
        <w:fldChar w:fldCharType="separate"/>
      </w:r>
      <w:r>
        <w:rPr>
          <w:rFonts w:eastAsia="黑体"/>
          <w:sz w:val="30"/>
        </w:rPr>
        <w:t>114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_Toc4597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（十七）市政服务领域基层政务公开标准目录</w:t>
      </w:r>
      <w:r>
        <w:rPr>
          <w:rFonts w:eastAsia="黑体"/>
          <w:sz w:val="30"/>
        </w:rPr>
        <w:tab/>
      </w:r>
      <w:r>
        <w:rPr>
          <w:rFonts w:eastAsia="黑体"/>
          <w:sz w:val="30"/>
        </w:rPr>
        <w:fldChar w:fldCharType="begin"/>
      </w:r>
      <w:r>
        <w:rPr>
          <w:rFonts w:eastAsia="黑体"/>
          <w:sz w:val="30"/>
        </w:rPr>
        <w:instrText xml:space="preserve"> PAGEREF _Toc4597 </w:instrText>
      </w:r>
      <w:r>
        <w:rPr>
          <w:rFonts w:eastAsia="黑体"/>
          <w:sz w:val="30"/>
        </w:rPr>
        <w:fldChar w:fldCharType="separate"/>
      </w:r>
      <w:r>
        <w:rPr>
          <w:rFonts w:eastAsia="黑体"/>
          <w:sz w:val="30"/>
        </w:rPr>
        <w:t>124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_Toc11040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（十八）城市综合执法领域基层政务公开标准目录</w:t>
      </w:r>
      <w:r>
        <w:rPr>
          <w:rFonts w:eastAsia="黑体"/>
          <w:sz w:val="30"/>
        </w:rPr>
        <w:tab/>
      </w:r>
      <w:r>
        <w:rPr>
          <w:rFonts w:eastAsia="黑体"/>
          <w:sz w:val="30"/>
        </w:rPr>
        <w:fldChar w:fldCharType="begin"/>
      </w:r>
      <w:r>
        <w:rPr>
          <w:rFonts w:eastAsia="黑体"/>
          <w:sz w:val="30"/>
        </w:rPr>
        <w:instrText xml:space="preserve"> PAGEREF _Toc11040 </w:instrText>
      </w:r>
      <w:r>
        <w:rPr>
          <w:rFonts w:eastAsia="黑体"/>
          <w:sz w:val="30"/>
        </w:rPr>
        <w:fldChar w:fldCharType="separate"/>
      </w:r>
      <w:r>
        <w:rPr>
          <w:rFonts w:eastAsia="黑体"/>
          <w:sz w:val="30"/>
        </w:rPr>
        <w:t>127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_Toc23273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（十九）涉农补贴领域基层政务公开标准目录</w:t>
      </w:r>
      <w:r>
        <w:rPr>
          <w:rFonts w:eastAsia="黑体"/>
          <w:sz w:val="30"/>
        </w:rPr>
        <w:tab/>
      </w:r>
      <w:r>
        <w:rPr>
          <w:rFonts w:eastAsia="黑体"/>
          <w:sz w:val="30"/>
        </w:rPr>
        <w:fldChar w:fldCharType="begin"/>
      </w:r>
      <w:r>
        <w:rPr>
          <w:rFonts w:eastAsia="黑体"/>
          <w:sz w:val="30"/>
        </w:rPr>
        <w:instrText xml:space="preserve"> PAGEREF _Toc23273 </w:instrText>
      </w:r>
      <w:r>
        <w:rPr>
          <w:rFonts w:eastAsia="黑体"/>
          <w:sz w:val="30"/>
        </w:rPr>
        <w:fldChar w:fldCharType="separate"/>
      </w:r>
      <w:r>
        <w:rPr>
          <w:rFonts w:eastAsia="黑体"/>
          <w:sz w:val="30"/>
        </w:rPr>
        <w:t>132</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_Toc17122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（二十）公共文化服务领域基层政务公开标准目录</w:t>
      </w:r>
      <w:r>
        <w:rPr>
          <w:rFonts w:eastAsia="黑体"/>
          <w:sz w:val="30"/>
        </w:rPr>
        <w:tab/>
      </w:r>
      <w:r>
        <w:rPr>
          <w:rFonts w:eastAsia="黑体"/>
          <w:sz w:val="30"/>
        </w:rPr>
        <w:fldChar w:fldCharType="begin"/>
      </w:r>
      <w:r>
        <w:rPr>
          <w:rFonts w:eastAsia="黑体"/>
          <w:sz w:val="30"/>
        </w:rPr>
        <w:instrText xml:space="preserve"> PAGEREF _Toc17122 </w:instrText>
      </w:r>
      <w:r>
        <w:rPr>
          <w:rFonts w:eastAsia="黑体"/>
          <w:sz w:val="30"/>
        </w:rPr>
        <w:fldChar w:fldCharType="separate"/>
      </w:r>
      <w:r>
        <w:rPr>
          <w:rFonts w:eastAsia="黑体"/>
          <w:sz w:val="30"/>
        </w:rPr>
        <w:t>134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_Toc10596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（二十二</w:t>
      </w:r>
      <w:r>
        <w:rPr>
          <w:rFonts w:hint="eastAsia" w:ascii="方正小标宋_GBK" w:hAnsi="方正小标宋_GBK" w:eastAsia="黑体"/>
          <w:bCs w:val="0"/>
          <w:sz w:val="30"/>
          <w:lang w:val="en-US" w:eastAsia="zh-CN"/>
        </w:rPr>
        <w:t>)</w:t>
      </w:r>
      <w:r>
        <w:rPr>
          <w:rFonts w:hint="eastAsia" w:ascii="方正小标宋_GBK" w:hAnsi="方正小标宋_GBK" w:eastAsia="黑体"/>
          <w:bCs w:val="0"/>
          <w:sz w:val="30"/>
        </w:rPr>
        <w:t>安全生产领域政务公开</w:t>
      </w:r>
      <w:r>
        <w:rPr>
          <w:rFonts w:hint="eastAsia" w:ascii="方正小标宋_GBK" w:hAnsi="方正小标宋_GBK" w:eastAsia="黑体"/>
          <w:bCs w:val="0"/>
          <w:sz w:val="30"/>
          <w:lang w:eastAsia="zh-CN"/>
        </w:rPr>
        <w:t>事项</w:t>
      </w:r>
      <w:r>
        <w:rPr>
          <w:rFonts w:hint="eastAsia" w:ascii="方正小标宋_GBK" w:hAnsi="方正小标宋_GBK" w:eastAsia="黑体"/>
          <w:bCs w:val="0"/>
          <w:sz w:val="30"/>
        </w:rPr>
        <w:t>标准目录</w:t>
      </w:r>
      <w:r>
        <w:rPr>
          <w:rFonts w:eastAsia="黑体"/>
          <w:sz w:val="30"/>
        </w:rPr>
        <w:tab/>
      </w:r>
      <w:r>
        <w:rPr>
          <w:rFonts w:eastAsia="黑体"/>
          <w:sz w:val="30"/>
        </w:rPr>
        <w:fldChar w:fldCharType="begin"/>
      </w:r>
      <w:r>
        <w:rPr>
          <w:rFonts w:eastAsia="黑体"/>
          <w:sz w:val="30"/>
        </w:rPr>
        <w:instrText xml:space="preserve"> PAGEREF _Toc10596 </w:instrText>
      </w:r>
      <w:r>
        <w:rPr>
          <w:rFonts w:eastAsia="黑体"/>
          <w:sz w:val="30"/>
        </w:rPr>
        <w:fldChar w:fldCharType="separate"/>
      </w:r>
      <w:r>
        <w:rPr>
          <w:rFonts w:eastAsia="黑体"/>
          <w:sz w:val="30"/>
        </w:rPr>
        <w:t>251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_Toc19784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二十三</w:t>
      </w:r>
      <w:r>
        <w:rPr>
          <w:rFonts w:hint="eastAsia" w:ascii="方正小标宋_GBK" w:hAnsi="方正小标宋_GBK" w:eastAsia="黑体"/>
          <w:bCs w:val="0"/>
          <w:sz w:val="30"/>
        </w:rPr>
        <w:t>）</w:t>
      </w:r>
      <w:r>
        <w:rPr>
          <w:rFonts w:hint="eastAsia" w:ascii="方正小标宋_GBK" w:hAnsi="方正小标宋_GBK" w:eastAsia="黑体" w:cs="Times New Roman"/>
          <w:bCs w:val="0"/>
          <w:sz w:val="30"/>
          <w:lang w:eastAsia="zh-CN"/>
        </w:rPr>
        <w:t>救灾</w:t>
      </w:r>
      <w:r>
        <w:rPr>
          <w:rFonts w:hint="eastAsia" w:ascii="方正小标宋_GBK" w:hAnsi="方正小标宋_GBK" w:eastAsia="黑体"/>
          <w:bCs w:val="0"/>
          <w:sz w:val="30"/>
        </w:rPr>
        <w:t>领域政务公开</w:t>
      </w:r>
      <w:r>
        <w:rPr>
          <w:rFonts w:hint="eastAsia" w:ascii="方正小标宋_GBK" w:hAnsi="方正小标宋_GBK" w:eastAsia="黑体"/>
          <w:bCs w:val="0"/>
          <w:sz w:val="30"/>
          <w:lang w:eastAsia="zh-CN"/>
        </w:rPr>
        <w:t>事项</w:t>
      </w:r>
      <w:r>
        <w:rPr>
          <w:rFonts w:hint="eastAsia" w:ascii="方正小标宋_GBK" w:hAnsi="方正小标宋_GBK" w:eastAsia="黑体"/>
          <w:bCs w:val="0"/>
          <w:sz w:val="30"/>
        </w:rPr>
        <w:t>标准目录</w:t>
      </w:r>
      <w:r>
        <w:rPr>
          <w:rFonts w:eastAsia="黑体"/>
          <w:sz w:val="30"/>
        </w:rPr>
        <w:tab/>
      </w:r>
      <w:r>
        <w:rPr>
          <w:rFonts w:eastAsia="黑体"/>
          <w:sz w:val="30"/>
        </w:rPr>
        <w:fldChar w:fldCharType="begin"/>
      </w:r>
      <w:r>
        <w:rPr>
          <w:rFonts w:eastAsia="黑体"/>
          <w:sz w:val="30"/>
        </w:rPr>
        <w:instrText xml:space="preserve"> PAGEREF _Toc19784 </w:instrText>
      </w:r>
      <w:r>
        <w:rPr>
          <w:rFonts w:eastAsia="黑体"/>
          <w:sz w:val="30"/>
        </w:rPr>
        <w:fldChar w:fldCharType="separate"/>
      </w:r>
      <w:r>
        <w:rPr>
          <w:rFonts w:eastAsia="黑体"/>
          <w:sz w:val="30"/>
        </w:rPr>
        <w:t>255</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_Toc850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（二十四）食品药品监管领域基层政务公开标准目录</w:t>
      </w:r>
      <w:r>
        <w:rPr>
          <w:rFonts w:eastAsia="黑体"/>
          <w:sz w:val="30"/>
        </w:rPr>
        <w:tab/>
      </w:r>
      <w:r>
        <w:rPr>
          <w:rFonts w:eastAsia="黑体"/>
          <w:sz w:val="30"/>
        </w:rPr>
        <w:fldChar w:fldCharType="begin"/>
      </w:r>
      <w:r>
        <w:rPr>
          <w:rFonts w:eastAsia="黑体"/>
          <w:sz w:val="30"/>
        </w:rPr>
        <w:instrText xml:space="preserve"> PAGEREF _Toc850 </w:instrText>
      </w:r>
      <w:r>
        <w:rPr>
          <w:rFonts w:eastAsia="黑体"/>
          <w:sz w:val="30"/>
        </w:rPr>
        <w:fldChar w:fldCharType="separate"/>
      </w:r>
      <w:r>
        <w:rPr>
          <w:rFonts w:eastAsia="黑体"/>
          <w:sz w:val="30"/>
        </w:rPr>
        <w:t>258</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_Toc17479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（二十五）</w:t>
      </w:r>
      <w:r>
        <w:rPr>
          <w:rFonts w:hint="eastAsia" w:ascii="方正小标宋_GBK" w:hAnsi="方正小标宋_GBK" w:eastAsia="黑体"/>
          <w:bCs w:val="0"/>
          <w:sz w:val="30"/>
        </w:rPr>
        <w:t>税收管理领域基层政务公开标准目录</w:t>
      </w:r>
      <w:r>
        <w:rPr>
          <w:rFonts w:eastAsia="黑体"/>
          <w:sz w:val="30"/>
        </w:rPr>
        <w:tab/>
      </w:r>
      <w:r>
        <w:rPr>
          <w:rFonts w:eastAsia="黑体"/>
          <w:sz w:val="30"/>
        </w:rPr>
        <w:fldChar w:fldCharType="begin"/>
      </w:r>
      <w:r>
        <w:rPr>
          <w:rFonts w:eastAsia="黑体"/>
          <w:sz w:val="30"/>
        </w:rPr>
        <w:instrText xml:space="preserve"> PAGEREF _Toc17479 </w:instrText>
      </w:r>
      <w:r>
        <w:rPr>
          <w:rFonts w:eastAsia="黑体"/>
          <w:sz w:val="30"/>
        </w:rPr>
        <w:fldChar w:fldCharType="separate"/>
      </w:r>
      <w:r>
        <w:rPr>
          <w:rFonts w:eastAsia="黑体"/>
          <w:sz w:val="30"/>
        </w:rPr>
        <w:t>263</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_Toc16287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（二十六）扶贫领域基层政务公开标准目录</w:t>
      </w:r>
      <w:r>
        <w:rPr>
          <w:rFonts w:eastAsia="黑体"/>
          <w:sz w:val="30"/>
        </w:rPr>
        <w:tab/>
      </w:r>
      <w:r>
        <w:rPr>
          <w:rFonts w:eastAsia="黑体"/>
          <w:sz w:val="30"/>
        </w:rPr>
        <w:fldChar w:fldCharType="begin"/>
      </w:r>
      <w:r>
        <w:rPr>
          <w:rFonts w:eastAsia="黑体"/>
          <w:sz w:val="30"/>
        </w:rPr>
        <w:instrText xml:space="preserve"> PAGEREF _Toc16287 </w:instrText>
      </w:r>
      <w:r>
        <w:rPr>
          <w:rFonts w:eastAsia="黑体"/>
          <w:sz w:val="30"/>
        </w:rPr>
        <w:fldChar w:fldCharType="separate"/>
      </w:r>
      <w:r>
        <w:rPr>
          <w:rFonts w:eastAsia="黑体"/>
          <w:sz w:val="30"/>
        </w:rPr>
        <w:t>267</w:t>
      </w:r>
      <w:r>
        <w:rPr>
          <w:rFonts w:eastAsia="黑体"/>
          <w:sz w:val="30"/>
        </w:rPr>
        <w:fldChar w:fldCharType="end"/>
      </w:r>
      <w:r>
        <w:rPr>
          <w:rFonts w:hint="eastAsia" w:ascii="黑体" w:hAnsi="方正小标宋_GBK" w:eastAsia="黑体"/>
          <w:sz w:val="30"/>
          <w:szCs w:val="30"/>
        </w:rPr>
        <w:fldChar w:fldCharType="end"/>
      </w:r>
    </w:p>
    <w:p>
      <w:pPr>
        <w:jc w:val="left"/>
        <w:rPr>
          <w:rFonts w:ascii="Times New Roman" w:hAnsi="华文中宋" w:eastAsia="华文中宋"/>
          <w:sz w:val="48"/>
          <w:szCs w:val="48"/>
        </w:rPr>
      </w:pPr>
      <w:r>
        <w:rPr>
          <w:rFonts w:hint="eastAsia" w:ascii="黑体" w:hAnsi="方正小标宋_GBK" w:eastAsia="黑体"/>
          <w:sz w:val="30"/>
          <w:szCs w:val="30"/>
        </w:rPr>
        <w:fldChar w:fldCharType="end"/>
      </w:r>
    </w:p>
    <w:p>
      <w:pPr>
        <w:jc w:val="left"/>
        <w:rPr>
          <w:rFonts w:ascii="Times New Roman" w:hAnsi="华文中宋" w:eastAsia="华文中宋"/>
          <w:sz w:val="48"/>
          <w:szCs w:val="48"/>
        </w:rPr>
      </w:pPr>
    </w:p>
    <w:p>
      <w:pPr>
        <w:pStyle w:val="2"/>
        <w:jc w:val="center"/>
        <w:rPr>
          <w:rFonts w:hint="eastAsia" w:ascii="方正小标宋_GBK" w:hAnsi="方正小标宋_GBK" w:eastAsia="方正小标宋_GBK"/>
          <w:b w:val="0"/>
          <w:bCs w:val="0"/>
          <w:sz w:val="30"/>
          <w:lang w:eastAsia="zh-CN"/>
        </w:rPr>
        <w:sectPr>
          <w:footerReference r:id="rId5" w:type="default"/>
          <w:pgSz w:w="16838" w:h="11906" w:orient="landscape"/>
          <w:pgMar w:top="1800" w:right="1440" w:bottom="1800" w:left="1440" w:header="851" w:footer="992" w:gutter="0"/>
          <w:pgNumType w:fmt="decimal" w:start="1"/>
          <w:cols w:space="425" w:num="1"/>
          <w:docGrid w:type="lines" w:linePitch="312" w:charSpace="0"/>
        </w:sectPr>
      </w:pPr>
      <w:bookmarkStart w:id="0" w:name="_Toc18006"/>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7"/>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rPr>
                <w:rFonts w:hint="eastAsia" w:ascii="仿宋_GB2312" w:hAnsi="Times New Roman" w:eastAsia="仿宋_GB2312"/>
                <w:sz w:val="18"/>
                <w:szCs w:val="18"/>
              </w:rPr>
            </w:pP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■社区/企事业单位/村公示栏■投资项目在线审批监管平台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■发布会听证会</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相关核准机关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相关备案机关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生态环境部门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辖区政府和相关审批部门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相关主管部门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Pr>
        <w:jc w:val="left"/>
        <w:rPr>
          <w:rFonts w:ascii="Times New Roman" w:hAnsi="华文中宋" w:eastAsia="华文中宋"/>
          <w:sz w:val="48"/>
          <w:szCs w:val="48"/>
        </w:rPr>
      </w:pPr>
    </w:p>
    <w:p>
      <w:pPr>
        <w:pStyle w:val="2"/>
        <w:jc w:val="center"/>
        <w:rPr>
          <w:rFonts w:ascii="方正小标宋_GBK" w:hAnsi="方正小标宋_GBK" w:eastAsia="方正小标宋_GBK"/>
          <w:b w:val="0"/>
          <w:bCs w:val="0"/>
          <w:sz w:val="30"/>
        </w:rPr>
      </w:pPr>
      <w:bookmarkStart w:id="1" w:name="_Toc12158"/>
      <w:r>
        <w:rPr>
          <w:rFonts w:hint="eastAsia" w:ascii="方正小标宋_GBK" w:hAnsi="方正小标宋_GBK" w:eastAsia="方正小标宋_GBK"/>
          <w:b w:val="0"/>
          <w:bCs w:val="0"/>
          <w:sz w:val="30"/>
        </w:rPr>
        <w:t>（二）公共资源交易领域基层政务公开标准目录</w:t>
      </w:r>
      <w:bookmarkEnd w:id="1"/>
    </w:p>
    <w:tbl>
      <w:tblPr>
        <w:tblStyle w:val="7"/>
        <w:tblW w:w="0" w:type="auto"/>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r>
              <w:rPr>
                <w:rFonts w:ascii="仿宋_GB2312" w:hAnsi="宋体" w:eastAsia="仿宋_GB2312"/>
                <w:sz w:val="18"/>
                <w:szCs w:val="18"/>
              </w:rPr>
              <w:br w:type="textWrapping"/>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eastAsia="仿宋_GB2312"/>
                <w:sz w:val="18"/>
                <w:szCs w:val="18"/>
                <w:lang w:eastAsia="zh-CN"/>
              </w:rPr>
              <w:t>（山西）</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w:t>
            </w:r>
            <w:r>
              <w:rPr>
                <w:rFonts w:hint="eastAsia" w:ascii="仿宋_GB2312" w:hAnsi="宋体" w:eastAsia="仿宋_GB2312"/>
                <w:sz w:val="18"/>
                <w:szCs w:val="18"/>
                <w:lang w:eastAsia="zh-CN"/>
              </w:rPr>
              <w:t>（山西）</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市、县人民政府自然资源行政主管部门（简称出让人）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自然资源行政主管部门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每年一季度集中公告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38</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p/>
    <w:tbl>
      <w:tblPr>
        <w:tblStyle w:val="7"/>
        <w:tblW w:w="14760" w:type="dxa"/>
        <w:tblInd w:w="0" w:type="dxa"/>
        <w:shd w:val="clear" w:color="auto" w:fill="auto"/>
        <w:tblLayout w:type="autofit"/>
        <w:tblCellMar>
          <w:top w:w="0" w:type="dxa"/>
          <w:left w:w="0" w:type="dxa"/>
          <w:bottom w:w="0" w:type="dxa"/>
          <w:right w:w="0" w:type="dxa"/>
        </w:tblCellMar>
      </w:tblPr>
      <w:tblGrid>
        <w:gridCol w:w="510"/>
        <w:gridCol w:w="960"/>
        <w:gridCol w:w="1080"/>
        <w:gridCol w:w="2250"/>
        <w:gridCol w:w="1636"/>
        <w:gridCol w:w="813"/>
        <w:gridCol w:w="887"/>
        <w:gridCol w:w="1575"/>
        <w:gridCol w:w="706"/>
        <w:gridCol w:w="706"/>
        <w:gridCol w:w="706"/>
        <w:gridCol w:w="706"/>
        <w:gridCol w:w="706"/>
        <w:gridCol w:w="758"/>
        <w:gridCol w:w="765"/>
      </w:tblGrid>
      <w:tr>
        <w:tblPrEx>
          <w:shd w:val="clear" w:color="auto" w:fill="auto"/>
          <w:tblCellMar>
            <w:top w:w="0" w:type="dxa"/>
            <w:left w:w="0" w:type="dxa"/>
            <w:bottom w:w="0" w:type="dxa"/>
            <w:right w:w="0" w:type="dxa"/>
          </w:tblCellMar>
        </w:tblPrEx>
        <w:trPr>
          <w:trHeight w:val="465" w:hRule="atLeast"/>
        </w:trPr>
        <w:tc>
          <w:tcPr>
            <w:tcW w:w="147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636"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8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157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10" w:hRule="atLeast"/>
        </w:trPr>
        <w:tc>
          <w:tcPr>
            <w:tcW w:w="0" w:type="auto"/>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_GBK" w:hAnsi="方正小标宋_GBK" w:eastAsia="方正小标宋_GBK" w:cs="Times New Roman"/>
                <w:b/>
                <w:bCs/>
                <w:kern w:val="44"/>
                <w:sz w:val="30"/>
                <w:szCs w:val="44"/>
                <w:lang w:val="en-US" w:eastAsia="zh-CN" w:bidi="ar-SA"/>
              </w:rPr>
              <w:t>（三）</w:t>
            </w:r>
            <w:r>
              <w:rPr>
                <w:rFonts w:hint="default" w:ascii="方正小标宋_GBK" w:hAnsi="方正小标宋_GBK" w:eastAsia="方正小标宋_GBK" w:cs="Times New Roman"/>
                <w:b/>
                <w:bCs/>
                <w:kern w:val="44"/>
                <w:sz w:val="30"/>
                <w:szCs w:val="44"/>
                <w:lang w:val="en-US" w:eastAsia="zh-CN" w:bidi="ar-SA"/>
              </w:rPr>
              <w:t>义务教育领域基层政务公开标准目录</w:t>
            </w:r>
          </w:p>
        </w:tc>
      </w:tr>
      <w:tr>
        <w:tblPrEx>
          <w:shd w:val="clear" w:color="auto" w:fill="auto"/>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责任股室</w:t>
            </w:r>
          </w:p>
        </w:tc>
      </w:tr>
      <w:tr>
        <w:tblPrEx>
          <w:shd w:val="clear" w:color="auto" w:fill="auto"/>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1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文件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教育法律</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《中华人民共和国教育法》（2015）</w:t>
            </w:r>
            <w:r>
              <w:rPr>
                <w:rStyle w:val="12"/>
                <w:lang w:val="en-US" w:eastAsia="zh-CN" w:bidi="ar"/>
              </w:rPr>
              <w:br w:type="textWrapping"/>
            </w:r>
            <w:r>
              <w:rPr>
                <w:rStyle w:val="11"/>
                <w:lang w:val="en-US" w:eastAsia="zh-CN" w:bidi="ar"/>
              </w:rPr>
              <w:t>●</w:t>
            </w:r>
            <w:r>
              <w:rPr>
                <w:rStyle w:val="12"/>
                <w:lang w:val="en-US" w:eastAsia="zh-CN" w:bidi="ar"/>
              </w:rPr>
              <w:t>《中华人民共和国义务教育法》（2018）</w:t>
            </w:r>
            <w:r>
              <w:rPr>
                <w:rStyle w:val="12"/>
                <w:lang w:val="en-US" w:eastAsia="zh-CN" w:bidi="ar"/>
              </w:rPr>
              <w:br w:type="textWrapping"/>
            </w:r>
            <w:r>
              <w:rPr>
                <w:rStyle w:val="11"/>
                <w:lang w:val="en-US" w:eastAsia="zh-CN" w:bidi="ar"/>
              </w:rPr>
              <w:t>●</w:t>
            </w:r>
            <w:r>
              <w:rPr>
                <w:rStyle w:val="12"/>
                <w:lang w:val="en-US" w:eastAsia="zh-CN" w:bidi="ar"/>
              </w:rPr>
              <w:t>《中华人民共和国民办教育促进法》（2018）</w:t>
            </w:r>
            <w:r>
              <w:rPr>
                <w:rStyle w:val="12"/>
                <w:lang w:val="en-US" w:eastAsia="zh-CN" w:bidi="ar"/>
              </w:rPr>
              <w:br w:type="textWrapping"/>
            </w:r>
            <w:r>
              <w:rPr>
                <w:rStyle w:val="11"/>
                <w:lang w:val="en-US" w:eastAsia="zh-CN" w:bidi="ar"/>
              </w:rPr>
              <w:t>●</w:t>
            </w:r>
            <w:r>
              <w:rPr>
                <w:rStyle w:val="12"/>
                <w:lang w:val="en-US" w:eastAsia="zh-CN" w:bidi="ar"/>
              </w:rPr>
              <w:t>《中华人民共和国教师法》（2009）</w:t>
            </w:r>
            <w:r>
              <w:rPr>
                <w:rStyle w:val="12"/>
                <w:lang w:val="en-US" w:eastAsia="zh-CN" w:bidi="ar"/>
              </w:rPr>
              <w:br w:type="textWrapping"/>
            </w:r>
            <w:r>
              <w:rPr>
                <w:rStyle w:val="11"/>
                <w:lang w:val="en-US" w:eastAsia="zh-CN" w:bidi="ar"/>
              </w:rPr>
              <w:t>●</w:t>
            </w:r>
            <w:r>
              <w:rPr>
                <w:rStyle w:val="12"/>
                <w:lang w:val="en-US" w:eastAsia="zh-CN" w:bidi="ar"/>
              </w:rPr>
              <w:t>《中华人民共和国国家通用语言文字法》（2000）</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党委办</w:t>
            </w:r>
          </w:p>
        </w:tc>
      </w:tr>
      <w:tr>
        <w:tblPrEx>
          <w:shd w:val="clear" w:color="auto" w:fill="auto"/>
          <w:tblCellMar>
            <w:top w:w="0" w:type="dxa"/>
            <w:left w:w="0" w:type="dxa"/>
            <w:bottom w:w="0" w:type="dxa"/>
            <w:right w:w="0" w:type="dxa"/>
          </w:tblCellMar>
        </w:tblPrEx>
        <w:trPr>
          <w:trHeight w:val="3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规范性文件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部门和地方政府规章</w:t>
            </w:r>
            <w:r>
              <w:rPr>
                <w:rStyle w:val="12"/>
                <w:lang w:val="en-US" w:eastAsia="zh-CN" w:bidi="ar"/>
              </w:rPr>
              <w:br w:type="textWrapping"/>
            </w:r>
            <w:r>
              <w:rPr>
                <w:rStyle w:val="11"/>
                <w:lang w:val="en-US" w:eastAsia="zh-CN" w:bidi="ar"/>
              </w:rPr>
              <w:t>●</w:t>
            </w:r>
            <w:r>
              <w:rPr>
                <w:rStyle w:val="12"/>
                <w:lang w:val="en-US" w:eastAsia="zh-CN" w:bidi="ar"/>
              </w:rPr>
              <w:t>各类教育政策文件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办公室</w:t>
            </w:r>
          </w:p>
        </w:tc>
      </w:tr>
      <w:tr>
        <w:tblPrEx>
          <w:shd w:val="clear" w:color="auto" w:fill="auto"/>
          <w:tblCellMar>
            <w:top w:w="0" w:type="dxa"/>
            <w:left w:w="0" w:type="dxa"/>
            <w:bottom w:w="0" w:type="dxa"/>
            <w:right w:w="0" w:type="dxa"/>
          </w:tblCellMar>
        </w:tblPrEx>
        <w:trPr>
          <w:trHeight w:val="27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教育概况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教育事业发展主要情况</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教育事业发展主要情况</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《中华人民共和国统计法》《中华人民共和国政府信息公开条例》《教育统计管理规定》</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教育统计数据</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学校数据</w:t>
            </w:r>
            <w:r>
              <w:rPr>
                <w:rStyle w:val="12"/>
                <w:lang w:val="en-US" w:eastAsia="zh-CN" w:bidi="ar"/>
              </w:rPr>
              <w:br w:type="textWrapping"/>
            </w:r>
            <w:r>
              <w:rPr>
                <w:rStyle w:val="11"/>
                <w:lang w:val="en-US" w:eastAsia="zh-CN" w:bidi="ar"/>
              </w:rPr>
              <w:t>●</w:t>
            </w:r>
            <w:r>
              <w:rPr>
                <w:rStyle w:val="12"/>
                <w:lang w:val="en-US" w:eastAsia="zh-CN" w:bidi="ar"/>
              </w:rPr>
              <w:t>在校生数据</w:t>
            </w:r>
            <w:r>
              <w:rPr>
                <w:rStyle w:val="12"/>
                <w:lang w:val="en-US" w:eastAsia="zh-CN" w:bidi="ar"/>
              </w:rPr>
              <w:br w:type="textWrapping"/>
            </w:r>
            <w:r>
              <w:rPr>
                <w:rStyle w:val="11"/>
                <w:lang w:val="en-US" w:eastAsia="zh-CN" w:bidi="ar"/>
              </w:rPr>
              <w:t>●</w:t>
            </w:r>
            <w:r>
              <w:rPr>
                <w:rStyle w:val="12"/>
                <w:lang w:val="en-US" w:eastAsia="zh-CN" w:bidi="ar"/>
              </w:rPr>
              <w:t>教师数据</w:t>
            </w:r>
            <w:r>
              <w:rPr>
                <w:rStyle w:val="12"/>
                <w:lang w:val="en-US" w:eastAsia="zh-CN" w:bidi="ar"/>
              </w:rPr>
              <w:br w:type="textWrapping"/>
            </w:r>
            <w:r>
              <w:rPr>
                <w:rStyle w:val="11"/>
                <w:lang w:val="en-US" w:eastAsia="zh-CN" w:bidi="ar"/>
              </w:rPr>
              <w:t>●</w:t>
            </w:r>
            <w:r>
              <w:rPr>
                <w:rStyle w:val="12"/>
                <w:lang w:val="en-US" w:eastAsia="zh-CN" w:bidi="ar"/>
              </w:rPr>
              <w:t>办学条件数据</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财务股</w:t>
            </w: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义务教育学校名录</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学校名称</w:t>
            </w:r>
            <w:r>
              <w:rPr>
                <w:rStyle w:val="12"/>
                <w:lang w:val="en-US" w:eastAsia="zh-CN" w:bidi="ar"/>
              </w:rPr>
              <w:br w:type="textWrapping"/>
            </w:r>
            <w:r>
              <w:rPr>
                <w:rStyle w:val="11"/>
                <w:lang w:val="en-US" w:eastAsia="zh-CN" w:bidi="ar"/>
              </w:rPr>
              <w:t>●</w:t>
            </w:r>
            <w:r>
              <w:rPr>
                <w:rStyle w:val="12"/>
                <w:lang w:val="en-US" w:eastAsia="zh-CN" w:bidi="ar"/>
              </w:rPr>
              <w:t>学校地址</w:t>
            </w:r>
            <w:r>
              <w:rPr>
                <w:rStyle w:val="12"/>
                <w:lang w:val="en-US" w:eastAsia="zh-CN" w:bidi="ar"/>
              </w:rPr>
              <w:br w:type="textWrapping"/>
            </w:r>
            <w:r>
              <w:rPr>
                <w:rStyle w:val="11"/>
                <w:lang w:val="en-US" w:eastAsia="zh-CN" w:bidi="ar"/>
              </w:rPr>
              <w:t>●</w:t>
            </w:r>
            <w:r>
              <w:rPr>
                <w:rStyle w:val="12"/>
                <w:lang w:val="en-US" w:eastAsia="zh-CN" w:bidi="ar"/>
              </w:rPr>
              <w:t>办学层次</w:t>
            </w:r>
            <w:r>
              <w:rPr>
                <w:rStyle w:val="12"/>
                <w:lang w:val="en-US" w:eastAsia="zh-CN" w:bidi="ar"/>
              </w:rPr>
              <w:br w:type="textWrapping"/>
            </w:r>
            <w:r>
              <w:rPr>
                <w:rStyle w:val="11"/>
                <w:lang w:val="en-US" w:eastAsia="zh-CN" w:bidi="ar"/>
              </w:rPr>
              <w:t>●</w:t>
            </w:r>
            <w:r>
              <w:rPr>
                <w:rStyle w:val="12"/>
                <w:lang w:val="en-US" w:eastAsia="zh-CN" w:bidi="ar"/>
              </w:rPr>
              <w:t>办学类型</w:t>
            </w:r>
            <w:r>
              <w:rPr>
                <w:rStyle w:val="12"/>
                <w:lang w:val="en-US" w:eastAsia="zh-CN" w:bidi="ar"/>
              </w:rPr>
              <w:br w:type="textWrapping"/>
            </w:r>
            <w:r>
              <w:rPr>
                <w:rStyle w:val="11"/>
                <w:lang w:val="en-US" w:eastAsia="zh-CN" w:bidi="ar"/>
              </w:rPr>
              <w:t>●</w:t>
            </w:r>
            <w:r>
              <w:rPr>
                <w:rStyle w:val="12"/>
                <w:lang w:val="en-US" w:eastAsia="zh-CN" w:bidi="ar"/>
              </w:rPr>
              <w:t>办公电话</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年度经费预决算信息</w:t>
            </w:r>
            <w:r>
              <w:rPr>
                <w:rStyle w:val="12"/>
                <w:lang w:val="en-US" w:eastAsia="zh-CN" w:bidi="ar"/>
              </w:rPr>
              <w:br w:type="textWrapping"/>
            </w:r>
            <w:r>
              <w:rPr>
                <w:rStyle w:val="11"/>
                <w:lang w:val="en-US" w:eastAsia="zh-CN" w:bidi="ar"/>
              </w:rPr>
              <w:t>●</w:t>
            </w:r>
            <w:r>
              <w:rPr>
                <w:rStyle w:val="12"/>
                <w:lang w:val="en-US" w:eastAsia="zh-CN" w:bidi="ar"/>
              </w:rPr>
              <w:t>收费项目及收费标准</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财务股</w:t>
            </w:r>
          </w:p>
        </w:tc>
      </w:tr>
      <w:tr>
        <w:tblPrEx>
          <w:shd w:val="clear" w:color="auto" w:fill="auto"/>
          <w:tblCellMar>
            <w:top w:w="0" w:type="dxa"/>
            <w:left w:w="0" w:type="dxa"/>
            <w:bottom w:w="0" w:type="dxa"/>
            <w:right w:w="0" w:type="dxa"/>
          </w:tblCellMar>
        </w:tblPrEx>
        <w:trPr>
          <w:trHeight w:val="31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办学性质</w:t>
            </w:r>
            <w:r>
              <w:rPr>
                <w:rStyle w:val="14"/>
                <w:lang w:val="en-US" w:eastAsia="zh-CN" w:bidi="ar"/>
              </w:rPr>
              <w:br w:type="textWrapping"/>
            </w:r>
            <w:r>
              <w:rPr>
                <w:rStyle w:val="13"/>
                <w:lang w:val="en-US" w:eastAsia="zh-CN" w:bidi="ar"/>
              </w:rPr>
              <w:t>●</w:t>
            </w:r>
            <w:r>
              <w:rPr>
                <w:rStyle w:val="14"/>
                <w:lang w:val="en-US" w:eastAsia="zh-CN" w:bidi="ar"/>
              </w:rPr>
              <w:t>办学地点</w:t>
            </w:r>
            <w:r>
              <w:rPr>
                <w:rStyle w:val="14"/>
                <w:lang w:val="en-US" w:eastAsia="zh-CN" w:bidi="ar"/>
              </w:rPr>
              <w:br w:type="textWrapping"/>
            </w:r>
            <w:r>
              <w:rPr>
                <w:rStyle w:val="13"/>
                <w:lang w:val="en-US" w:eastAsia="zh-CN" w:bidi="ar"/>
              </w:rPr>
              <w:t>●</w:t>
            </w:r>
            <w:r>
              <w:rPr>
                <w:rStyle w:val="14"/>
                <w:lang w:val="en-US" w:eastAsia="zh-CN" w:bidi="ar"/>
              </w:rPr>
              <w:t>办学规模</w:t>
            </w:r>
            <w:r>
              <w:rPr>
                <w:rStyle w:val="14"/>
                <w:lang w:val="en-US" w:eastAsia="zh-CN" w:bidi="ar"/>
              </w:rPr>
              <w:br w:type="textWrapping"/>
            </w:r>
            <w:r>
              <w:rPr>
                <w:rStyle w:val="13"/>
                <w:lang w:val="en-US" w:eastAsia="zh-CN" w:bidi="ar"/>
              </w:rPr>
              <w:t>●</w:t>
            </w:r>
            <w:r>
              <w:rPr>
                <w:rStyle w:val="14"/>
                <w:lang w:val="en-US" w:eastAsia="zh-CN" w:bidi="ar"/>
              </w:rPr>
              <w:t>办学基本条件</w:t>
            </w:r>
            <w:r>
              <w:rPr>
                <w:rStyle w:val="14"/>
                <w:lang w:val="en-US" w:eastAsia="zh-CN" w:bidi="ar"/>
              </w:rPr>
              <w:br w:type="textWrapping"/>
            </w:r>
            <w:r>
              <w:rPr>
                <w:rStyle w:val="13"/>
                <w:lang w:val="en-US" w:eastAsia="zh-CN" w:bidi="ar"/>
              </w:rPr>
              <w:t>●</w:t>
            </w:r>
            <w:r>
              <w:rPr>
                <w:rStyle w:val="14"/>
                <w:lang w:val="en-US" w:eastAsia="zh-CN" w:bidi="ar"/>
              </w:rPr>
              <w:t>联系方式等</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3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3"/>
                <w:lang w:val="en-US" w:eastAsia="zh-CN" w:bidi="ar"/>
              </w:rPr>
              <w:t>●</w:t>
            </w:r>
            <w:r>
              <w:rPr>
                <w:rStyle w:val="14"/>
                <w:lang w:val="en-US" w:eastAsia="zh-CN" w:bidi="ar"/>
              </w:rPr>
              <w:t>各校招生工作实施方案</w:t>
            </w:r>
            <w:r>
              <w:rPr>
                <w:rStyle w:val="14"/>
                <w:lang w:val="en-US" w:eastAsia="zh-CN" w:bidi="ar"/>
              </w:rPr>
              <w:br w:type="textWrapping"/>
            </w:r>
            <w:r>
              <w:rPr>
                <w:rStyle w:val="13"/>
                <w:lang w:val="en-US" w:eastAsia="zh-CN" w:bidi="ar"/>
              </w:rPr>
              <w:t>●</w:t>
            </w:r>
            <w:r>
              <w:rPr>
                <w:rStyle w:val="14"/>
                <w:lang w:val="en-US" w:eastAsia="zh-CN" w:bidi="ar"/>
              </w:rPr>
              <w:t>随迁子女入学办法</w:t>
            </w:r>
            <w:r>
              <w:rPr>
                <w:rStyle w:val="14"/>
                <w:lang w:val="en-US" w:eastAsia="zh-CN" w:bidi="ar"/>
              </w:rPr>
              <w:br w:type="textWrapping"/>
            </w:r>
            <w:r>
              <w:rPr>
                <w:rStyle w:val="13"/>
                <w:lang w:val="en-US" w:eastAsia="zh-CN" w:bidi="ar"/>
              </w:rPr>
              <w:t>●</w:t>
            </w:r>
            <w:r>
              <w:rPr>
                <w:rStyle w:val="14"/>
                <w:lang w:val="en-US" w:eastAsia="zh-CN" w:bidi="ar"/>
              </w:rPr>
              <w:t>部分适龄儿童或少年延缓入学、休学等特殊需求的政策解读等</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各校本年度招生计划</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招生范围</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招生范围</w:t>
            </w:r>
            <w:r>
              <w:rPr>
                <w:rStyle w:val="14"/>
                <w:lang w:val="en-US" w:eastAsia="zh-CN" w:bidi="ar"/>
              </w:rPr>
              <w:br w:type="textWrapping"/>
            </w:r>
            <w:r>
              <w:rPr>
                <w:rStyle w:val="13"/>
                <w:lang w:val="en-US" w:eastAsia="zh-CN" w:bidi="ar"/>
              </w:rPr>
              <w:t>●</w:t>
            </w:r>
            <w:r>
              <w:rPr>
                <w:rStyle w:val="14"/>
                <w:lang w:val="en-US" w:eastAsia="zh-CN" w:bidi="ar"/>
              </w:rPr>
              <w:t>学区划分详细情况</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招生结果</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各校本年度招生结果</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44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学籍管理</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 xml:space="preserve">区域内义务教育阶段学生休学、复学、转学相关政策及所需材料和办理流程         </w:t>
            </w:r>
            <w:r>
              <w:rPr>
                <w:rStyle w:val="13"/>
                <w:lang w:val="en-US" w:eastAsia="zh-CN" w:bidi="ar"/>
              </w:rPr>
              <w:t>●</w:t>
            </w:r>
            <w:r>
              <w:rPr>
                <w:rStyle w:val="14"/>
                <w:lang w:val="en-US" w:eastAsia="zh-CN" w:bidi="ar"/>
              </w:rPr>
              <w:t>适龄儿童延缓入学所需材料及办理流程</w:t>
            </w:r>
            <w:r>
              <w:rPr>
                <w:rStyle w:val="14"/>
                <w:lang w:val="en-US" w:eastAsia="zh-CN" w:bidi="ar"/>
              </w:rPr>
              <w:br w:type="textWrapping"/>
            </w:r>
            <w:r>
              <w:rPr>
                <w:rStyle w:val="13"/>
                <w:lang w:val="en-US" w:eastAsia="zh-CN" w:bidi="ar"/>
              </w:rPr>
              <w:t>●</w:t>
            </w:r>
            <w:r>
              <w:rPr>
                <w:rStyle w:val="14"/>
                <w:lang w:val="en-US" w:eastAsia="zh-CN" w:bidi="ar"/>
              </w:rPr>
              <w:t>学籍证明、毕（结）业证书遗失办理学历证明确认</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《中华人民共和国义务教育法》《中华人民共和国政府信息公开条例》《中小学生学籍管理办法》</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■其他：中小学生学籍管理系统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396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统一城乡义务教育“两免一补”政策</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资助办</w:t>
            </w:r>
          </w:p>
        </w:tc>
      </w:tr>
      <w:tr>
        <w:tblPrEx>
          <w:shd w:val="clear" w:color="auto" w:fill="auto"/>
          <w:tblCellMar>
            <w:top w:w="0" w:type="dxa"/>
            <w:left w:w="0" w:type="dxa"/>
            <w:bottom w:w="0" w:type="dxa"/>
            <w:right w:w="0" w:type="dxa"/>
          </w:tblCellMar>
        </w:tblPrEx>
        <w:trPr>
          <w:trHeight w:val="81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优待政策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●军人子女参加中考优待确认办理的材料、流程和政策要求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●少数民族考生中考加分确认办理的材料、流程和政策要求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●归侨学生、归侨子女、华侨子女和港澳台籍考生中考加分确认</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招生办</w:t>
            </w:r>
          </w:p>
        </w:tc>
      </w:tr>
      <w:tr>
        <w:tblPrEx>
          <w:shd w:val="clear" w:color="auto" w:fill="auto"/>
          <w:tblCellMar>
            <w:top w:w="0" w:type="dxa"/>
            <w:left w:w="0" w:type="dxa"/>
            <w:bottom w:w="0" w:type="dxa"/>
            <w:right w:w="0" w:type="dxa"/>
          </w:tblCellMar>
        </w:tblPrEx>
        <w:trPr>
          <w:trHeight w:val="26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教师培训</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教师培训政策文件</w:t>
            </w:r>
            <w:r>
              <w:rPr>
                <w:rStyle w:val="12"/>
                <w:lang w:val="en-US" w:eastAsia="zh-CN" w:bidi="ar"/>
              </w:rPr>
              <w:br w:type="textWrapping"/>
            </w:r>
            <w:r>
              <w:rPr>
                <w:rStyle w:val="11"/>
                <w:lang w:val="en-US" w:eastAsia="zh-CN" w:bidi="ar"/>
              </w:rPr>
              <w:t>●</w:t>
            </w:r>
            <w:r>
              <w:rPr>
                <w:rStyle w:val="12"/>
                <w:lang w:val="en-US" w:eastAsia="zh-CN" w:bidi="ar"/>
              </w:rPr>
              <w:t>培训项目组织实施通知</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《中华人民共和国教育法》《中华人民共和国教师法》《中小学教师继续教育规定》</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教师资格认定</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教师资格认定申请材料</w:t>
            </w:r>
            <w:r>
              <w:rPr>
                <w:rStyle w:val="12"/>
                <w:lang w:val="en-US" w:eastAsia="zh-CN" w:bidi="ar"/>
              </w:rPr>
              <w:br w:type="textWrapping"/>
            </w:r>
            <w:r>
              <w:rPr>
                <w:rStyle w:val="11"/>
                <w:lang w:val="en-US" w:eastAsia="zh-CN" w:bidi="ar"/>
              </w:rPr>
              <w:t>●</w:t>
            </w:r>
            <w:r>
              <w:rPr>
                <w:rStyle w:val="12"/>
                <w:lang w:val="en-US" w:eastAsia="zh-CN" w:bidi="ar"/>
              </w:rPr>
              <w:t>参加体检时间、医疗机构名单、体检合格标准</w:t>
            </w:r>
            <w:r>
              <w:rPr>
                <w:rStyle w:val="12"/>
                <w:lang w:val="en-US" w:eastAsia="zh-CN" w:bidi="ar"/>
              </w:rPr>
              <w:br w:type="textWrapping"/>
            </w:r>
            <w:r>
              <w:rPr>
                <w:rStyle w:val="11"/>
                <w:lang w:val="en-US" w:eastAsia="zh-CN" w:bidi="ar"/>
              </w:rPr>
              <w:t>●</w:t>
            </w:r>
            <w:r>
              <w:rPr>
                <w:rStyle w:val="12"/>
                <w:lang w:val="en-US" w:eastAsia="zh-CN" w:bidi="ar"/>
              </w:rPr>
              <w:t>认定结果</w:t>
            </w:r>
            <w:r>
              <w:rPr>
                <w:rStyle w:val="12"/>
                <w:lang w:val="en-US" w:eastAsia="zh-CN" w:bidi="ar"/>
              </w:rPr>
              <w:br w:type="textWrapping"/>
            </w:r>
            <w:r>
              <w:rPr>
                <w:rStyle w:val="11"/>
                <w:lang w:val="en-US" w:eastAsia="zh-CN" w:bidi="ar"/>
              </w:rPr>
              <w:t>●</w:t>
            </w:r>
            <w:r>
              <w:rPr>
                <w:rStyle w:val="12"/>
                <w:lang w:val="en-US" w:eastAsia="zh-CN" w:bidi="ar"/>
              </w:rPr>
              <w:t>咨询方式、监督举报方式、常见问题等</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3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中小学、幼儿园教师资格证书补发、换发政策及流程</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8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教师公开招聘</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教师招聘计划和公告</w:t>
            </w:r>
            <w:r>
              <w:rPr>
                <w:rStyle w:val="12"/>
                <w:lang w:val="en-US" w:eastAsia="zh-CN" w:bidi="ar"/>
              </w:rPr>
              <w:br w:type="textWrapping"/>
            </w:r>
            <w:r>
              <w:rPr>
                <w:rStyle w:val="11"/>
                <w:lang w:val="en-US" w:eastAsia="zh-CN" w:bidi="ar"/>
              </w:rPr>
              <w:t>●</w:t>
            </w:r>
            <w:r>
              <w:rPr>
                <w:rStyle w:val="12"/>
                <w:lang w:val="en-US" w:eastAsia="zh-CN" w:bidi="ar"/>
              </w:rPr>
              <w:t>拟聘用人员名单公示</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■广播电视  ■纸质媒体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0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行为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规范</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教师职业行为准则及违规处理办法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新时代中小学教师职业行为十项准则》《新时代幼儿园教师职业行为十项准则》《中小学教师违反职业道德行为处理办法（2018年修订）》《幼儿园教师违反职业道德行为处理办法》等</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6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对教师有严重违反教师职业行为准则的行政处罚信息</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 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教师评优评先</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优秀教师的表彰、奖励等行政奖励信息公示</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《中华人民共和国教师法》《中共中央 国务院关于全面深化新时代教师队伍建设改革的意见》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任教30年乡村教师以上教师申请荣誉证书相关政策</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《中华人民共和国政府信息公开条例》《关于做好乡村学校从教30年教师荣誉证书颁发工作的通知》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3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br w:type="textWrapping"/>
            </w:r>
            <w:r>
              <w:rPr>
                <w:rStyle w:val="11"/>
                <w:lang w:val="en-US" w:eastAsia="zh-CN" w:bidi="ar"/>
              </w:rPr>
              <w:t>●</w:t>
            </w:r>
            <w:r>
              <w:rPr>
                <w:rStyle w:val="12"/>
                <w:lang w:val="en-US" w:eastAsia="zh-CN" w:bidi="ar"/>
              </w:rPr>
              <w:t>评审通知</w:t>
            </w:r>
            <w:r>
              <w:rPr>
                <w:rStyle w:val="12"/>
                <w:lang w:val="en-US" w:eastAsia="zh-CN" w:bidi="ar"/>
              </w:rPr>
              <w:br w:type="textWrapping"/>
            </w:r>
            <w:r>
              <w:rPr>
                <w:rStyle w:val="11"/>
                <w:lang w:val="en-US" w:eastAsia="zh-CN" w:bidi="ar"/>
              </w:rPr>
              <w:t>●</w:t>
            </w:r>
            <w:r>
              <w:rPr>
                <w:rStyle w:val="12"/>
                <w:lang w:val="en-US" w:eastAsia="zh-CN" w:bidi="ar"/>
              </w:rPr>
              <w:t>拟推荐人选名单</w:t>
            </w:r>
            <w:r>
              <w:rPr>
                <w:rStyle w:val="12"/>
                <w:lang w:val="en-US" w:eastAsia="zh-CN" w:bidi="ar"/>
              </w:rPr>
              <w:br w:type="textWrapping"/>
            </w:r>
            <w:r>
              <w:rPr>
                <w:rStyle w:val="11"/>
                <w:lang w:val="en-US" w:eastAsia="zh-CN" w:bidi="ar"/>
              </w:rPr>
              <w:t>●</w:t>
            </w:r>
            <w:r>
              <w:rPr>
                <w:rStyle w:val="12"/>
                <w:lang w:val="en-US" w:eastAsia="zh-CN" w:bidi="ar"/>
              </w:rPr>
              <w:t>评审结果</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7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乡村教师生活补助</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管理制度</w:t>
            </w:r>
            <w:r>
              <w:rPr>
                <w:rStyle w:val="12"/>
                <w:lang w:val="en-US" w:eastAsia="zh-CN" w:bidi="ar"/>
              </w:rPr>
              <w:br w:type="textWrapping"/>
            </w:r>
            <w:r>
              <w:rPr>
                <w:rStyle w:val="11"/>
                <w:lang w:val="en-US" w:eastAsia="zh-CN" w:bidi="ar"/>
              </w:rPr>
              <w:t>●</w:t>
            </w:r>
            <w:r>
              <w:rPr>
                <w:rStyle w:val="12"/>
                <w:lang w:val="en-US" w:eastAsia="zh-CN" w:bidi="ar"/>
              </w:rPr>
              <w:t>实施方案</w:t>
            </w:r>
            <w:r>
              <w:rPr>
                <w:rStyle w:val="12"/>
                <w:lang w:val="en-US" w:eastAsia="zh-CN" w:bidi="ar"/>
              </w:rPr>
              <w:br w:type="textWrapping"/>
            </w:r>
            <w:r>
              <w:rPr>
                <w:rStyle w:val="11"/>
                <w:lang w:val="en-US" w:eastAsia="zh-CN" w:bidi="ar"/>
              </w:rPr>
              <w:t>●</w:t>
            </w:r>
            <w:r>
              <w:rPr>
                <w:rStyle w:val="12"/>
                <w:lang w:val="en-US" w:eastAsia="zh-CN" w:bidi="ar"/>
              </w:rPr>
              <w:t>实施时间</w:t>
            </w:r>
            <w:r>
              <w:rPr>
                <w:rStyle w:val="12"/>
                <w:lang w:val="en-US" w:eastAsia="zh-CN" w:bidi="ar"/>
              </w:rPr>
              <w:br w:type="textWrapping"/>
            </w:r>
            <w:r>
              <w:rPr>
                <w:rStyle w:val="11"/>
                <w:lang w:val="en-US" w:eastAsia="zh-CN" w:bidi="ar"/>
              </w:rPr>
              <w:t>●</w:t>
            </w:r>
            <w:r>
              <w:rPr>
                <w:rStyle w:val="12"/>
                <w:lang w:val="en-US" w:eastAsia="zh-CN" w:bidi="ar"/>
              </w:rPr>
              <w:t>补助范围</w:t>
            </w:r>
            <w:r>
              <w:rPr>
                <w:rStyle w:val="12"/>
                <w:lang w:val="en-US" w:eastAsia="zh-CN" w:bidi="ar"/>
              </w:rPr>
              <w:br w:type="textWrapping"/>
            </w:r>
            <w:r>
              <w:rPr>
                <w:rStyle w:val="11"/>
                <w:lang w:val="en-US" w:eastAsia="zh-CN" w:bidi="ar"/>
              </w:rPr>
              <w:t>●</w:t>
            </w:r>
            <w:r>
              <w:rPr>
                <w:rStyle w:val="12"/>
                <w:lang w:val="en-US" w:eastAsia="zh-CN" w:bidi="ar"/>
              </w:rPr>
              <w:t>发放对象</w:t>
            </w:r>
            <w:r>
              <w:rPr>
                <w:rStyle w:val="12"/>
                <w:lang w:val="en-US" w:eastAsia="zh-CN" w:bidi="ar"/>
              </w:rPr>
              <w:br w:type="textWrapping"/>
            </w:r>
            <w:r>
              <w:rPr>
                <w:rStyle w:val="11"/>
                <w:lang w:val="en-US" w:eastAsia="zh-CN" w:bidi="ar"/>
              </w:rPr>
              <w:t>●</w:t>
            </w:r>
            <w:r>
              <w:rPr>
                <w:rStyle w:val="12"/>
                <w:lang w:val="en-US" w:eastAsia="zh-CN" w:bidi="ar"/>
              </w:rPr>
              <w:t>补助档次标准</w:t>
            </w:r>
            <w:r>
              <w:rPr>
                <w:rStyle w:val="12"/>
                <w:lang w:val="en-US" w:eastAsia="zh-CN" w:bidi="ar"/>
              </w:rPr>
              <w:br w:type="textWrapping"/>
            </w:r>
            <w:r>
              <w:rPr>
                <w:rStyle w:val="11"/>
                <w:lang w:val="en-US" w:eastAsia="zh-CN" w:bidi="ar"/>
              </w:rPr>
              <w:t>●</w:t>
            </w:r>
            <w:r>
              <w:rPr>
                <w:rStyle w:val="12"/>
                <w:lang w:val="en-US" w:eastAsia="zh-CN" w:bidi="ar"/>
              </w:rPr>
              <w:t>发放情况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信息形成（变更）3个工作日内；教师申领情况进行常年公示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普通话培训及测试</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开展普通话培训、测试的通知</w:t>
            </w:r>
            <w:r>
              <w:rPr>
                <w:rStyle w:val="12"/>
                <w:lang w:val="en-US" w:eastAsia="zh-CN" w:bidi="ar"/>
              </w:rPr>
              <w:br w:type="textWrapping"/>
            </w:r>
            <w:r>
              <w:rPr>
                <w:rStyle w:val="11"/>
                <w:lang w:val="en-US" w:eastAsia="zh-CN" w:bidi="ar"/>
              </w:rPr>
              <w:t>●</w:t>
            </w:r>
            <w:r>
              <w:rPr>
                <w:rStyle w:val="12"/>
                <w:lang w:val="en-US" w:eastAsia="zh-CN" w:bidi="ar"/>
              </w:rPr>
              <w:t>测试结果查询</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《中华人民共和国政府信息公开条例》《普通话水平测试管理规定》（教育部令第16号）</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教学研究服务中心</w:t>
            </w:r>
          </w:p>
        </w:tc>
      </w:tr>
      <w:tr>
        <w:tblPrEx>
          <w:shd w:val="clear" w:color="auto" w:fill="auto"/>
          <w:tblCellMar>
            <w:top w:w="0" w:type="dxa"/>
            <w:left w:w="0" w:type="dxa"/>
            <w:bottom w:w="0" w:type="dxa"/>
            <w:right w:w="0" w:type="dxa"/>
          </w:tblCellMar>
        </w:tblPrEx>
        <w:trPr>
          <w:trHeight w:val="8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控辍保学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3"/>
                <w:lang w:val="en-US" w:eastAsia="zh-CN" w:bidi="ar"/>
              </w:rPr>
              <w:t>●</w:t>
            </w:r>
            <w:r>
              <w:rPr>
                <w:rStyle w:val="14"/>
                <w:lang w:val="en-US" w:eastAsia="zh-CN" w:bidi="ar"/>
              </w:rPr>
              <w:t>“一县一策”控辍保学工作方案</w:t>
            </w:r>
            <w:r>
              <w:rPr>
                <w:rStyle w:val="14"/>
                <w:lang w:val="en-US" w:eastAsia="zh-CN" w:bidi="ar"/>
              </w:rPr>
              <w:br w:type="textWrapping"/>
            </w:r>
            <w:r>
              <w:rPr>
                <w:rStyle w:val="13"/>
                <w:lang w:val="en-US" w:eastAsia="zh-CN" w:bidi="ar"/>
              </w:rPr>
              <w:t>●</w:t>
            </w:r>
            <w:r>
              <w:rPr>
                <w:rStyle w:val="14"/>
                <w:lang w:val="en-US" w:eastAsia="zh-CN" w:bidi="ar"/>
              </w:rPr>
              <w:t>督导检查结果公告</w:t>
            </w:r>
            <w:r>
              <w:rPr>
                <w:rStyle w:val="14"/>
                <w:lang w:val="en-US" w:eastAsia="zh-CN" w:bidi="ar"/>
              </w:rPr>
              <w:br w:type="textWrapping"/>
            </w:r>
            <w:r>
              <w:rPr>
                <w:rStyle w:val="13"/>
                <w:lang w:val="en-US" w:eastAsia="zh-CN" w:bidi="ar"/>
              </w:rPr>
              <w:t>●</w:t>
            </w:r>
            <w:r>
              <w:rPr>
                <w:rStyle w:val="14"/>
                <w:lang w:val="en-US" w:eastAsia="zh-CN" w:bidi="ar"/>
              </w:rPr>
              <w:t>典型经验和有效做法</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7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农村义务教育学生营养改善计划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有关政策法规、规章、规范性文件</w:t>
            </w:r>
            <w:r>
              <w:rPr>
                <w:rStyle w:val="14"/>
                <w:lang w:val="en-US" w:eastAsia="zh-CN" w:bidi="ar"/>
              </w:rPr>
              <w:br w:type="textWrapping"/>
            </w:r>
            <w:r>
              <w:rPr>
                <w:rStyle w:val="13"/>
                <w:lang w:val="en-US" w:eastAsia="zh-CN" w:bidi="ar"/>
              </w:rPr>
              <w:t>●</w:t>
            </w:r>
            <w:r>
              <w:rPr>
                <w:rStyle w:val="14"/>
                <w:lang w:val="en-US" w:eastAsia="zh-CN" w:bidi="ar"/>
              </w:rPr>
              <w:t>组织机构和职责，举报电话、信箱或电子邮箱</w:t>
            </w:r>
            <w:r>
              <w:rPr>
                <w:rStyle w:val="14"/>
                <w:lang w:val="en-US" w:eastAsia="zh-CN" w:bidi="ar"/>
              </w:rPr>
              <w:br w:type="textWrapping"/>
            </w:r>
            <w:r>
              <w:rPr>
                <w:rStyle w:val="13"/>
                <w:lang w:val="en-US" w:eastAsia="zh-CN" w:bidi="ar"/>
              </w:rPr>
              <w:t>●</w:t>
            </w:r>
            <w:r>
              <w:rPr>
                <w:rStyle w:val="14"/>
                <w:lang w:val="en-US" w:eastAsia="zh-CN" w:bidi="ar"/>
              </w:rPr>
              <w:t>供餐企业、托餐家庭名单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2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学校食堂饭菜价格、带量食谱</w:t>
            </w:r>
            <w:r>
              <w:rPr>
                <w:rStyle w:val="14"/>
                <w:lang w:val="en-US" w:eastAsia="zh-CN" w:bidi="ar"/>
              </w:rPr>
              <w:br w:type="textWrapping"/>
            </w:r>
            <w:r>
              <w:rPr>
                <w:rStyle w:val="13"/>
                <w:lang w:val="en-US" w:eastAsia="zh-CN" w:bidi="ar"/>
              </w:rPr>
              <w:t>●</w:t>
            </w:r>
            <w:r>
              <w:rPr>
                <w:rStyle w:val="14"/>
                <w:lang w:val="en-US" w:eastAsia="zh-CN" w:bidi="ar"/>
              </w:rPr>
              <w:t>学校膳食委员会名单</w:t>
            </w:r>
            <w:r>
              <w:rPr>
                <w:rStyle w:val="14"/>
                <w:lang w:val="en-US" w:eastAsia="zh-CN" w:bidi="ar"/>
              </w:rPr>
              <w:br w:type="textWrapping"/>
            </w:r>
            <w:r>
              <w:rPr>
                <w:rStyle w:val="13"/>
                <w:lang w:val="en-US" w:eastAsia="zh-CN" w:bidi="ar"/>
              </w:rPr>
              <w:t>●</w:t>
            </w:r>
            <w:r>
              <w:rPr>
                <w:rStyle w:val="14"/>
                <w:lang w:val="en-US" w:eastAsia="zh-CN" w:bidi="ar"/>
              </w:rPr>
              <w:t>学校管理人员陪餐情况</w:t>
            </w:r>
            <w:r>
              <w:rPr>
                <w:rStyle w:val="14"/>
                <w:lang w:val="en-US" w:eastAsia="zh-CN" w:bidi="ar"/>
              </w:rPr>
              <w:br w:type="textWrapping"/>
            </w:r>
            <w:r>
              <w:rPr>
                <w:rStyle w:val="13"/>
                <w:lang w:val="en-US" w:eastAsia="zh-CN" w:bidi="ar"/>
              </w:rPr>
              <w:t>●</w:t>
            </w:r>
            <w:r>
              <w:rPr>
                <w:rStyle w:val="14"/>
                <w:lang w:val="en-US" w:eastAsia="zh-CN" w:bidi="ar"/>
              </w:rPr>
              <w:t>食品安全突发事件应急预案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实施营养改善计划的试点学校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312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供餐企业（单位）配套管理制度，食品安全责任人、供餐方签约人</w:t>
            </w:r>
            <w:r>
              <w:rPr>
                <w:rStyle w:val="12"/>
                <w:lang w:val="en-US" w:eastAsia="zh-CN" w:bidi="ar"/>
              </w:rPr>
              <w:br w:type="textWrapping"/>
            </w:r>
            <w:r>
              <w:rPr>
                <w:rStyle w:val="11"/>
                <w:lang w:val="en-US" w:eastAsia="zh-CN" w:bidi="ar"/>
              </w:rPr>
              <w:t>●</w:t>
            </w:r>
            <w:r>
              <w:rPr>
                <w:rStyle w:val="12"/>
                <w:lang w:val="en-US" w:eastAsia="zh-CN" w:bidi="ar"/>
              </w:rPr>
              <w:t>食品安全突发事件应急预案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实施营养改善计划的供餐企业（单位）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372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学校体育评价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学校体育工作自评结果（体育课、体育训练、体育比赛、体育教师、体育场地、条件保障等）</w:t>
            </w:r>
            <w:r>
              <w:rPr>
                <w:rStyle w:val="12"/>
                <w:lang w:val="en-US" w:eastAsia="zh-CN" w:bidi="ar"/>
              </w:rPr>
              <w:br w:type="textWrapping"/>
            </w:r>
            <w:r>
              <w:rPr>
                <w:rStyle w:val="11"/>
                <w:lang w:val="en-US" w:eastAsia="zh-CN" w:bidi="ar"/>
              </w:rPr>
              <w:t>●</w:t>
            </w:r>
            <w:r>
              <w:rPr>
                <w:rStyle w:val="12"/>
                <w:lang w:val="en-US" w:eastAsia="zh-CN" w:bidi="ar"/>
              </w:rPr>
              <w:t>学校体育发展年度报告（重点反映体育教学改革、体育教师配备、体育经费投入和体育场地设施、学生体质健康测试等方面的情况）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《中华人民共和国政府信息公开条例》教育部关于印发《学生体质健康监测评价办法》等三个文件的通知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50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学校美育评价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学校艺术教育工作自评结果（艺术课程、艺术活动、艺术教师、条件保障、特色发展及学生艺术素质测评等）</w:t>
            </w:r>
            <w:r>
              <w:rPr>
                <w:rStyle w:val="12"/>
                <w:lang w:val="en-US" w:eastAsia="zh-CN" w:bidi="ar"/>
              </w:rPr>
              <w:br w:type="textWrapping"/>
            </w:r>
            <w:r>
              <w:rPr>
                <w:rStyle w:val="11"/>
                <w:lang w:val="en-US" w:eastAsia="zh-CN" w:bidi="ar"/>
              </w:rPr>
              <w:t>●</w:t>
            </w:r>
            <w:r>
              <w:rPr>
                <w:rStyle w:val="12"/>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《中华人民共和国政府信息公开条例》教育部关于印发《中小学生艺术素质测评办法》等三个文件的通知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18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教育督导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机构队伍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督导部门组成</w:t>
            </w:r>
            <w:r>
              <w:rPr>
                <w:rStyle w:val="12"/>
                <w:lang w:val="en-US" w:eastAsia="zh-CN" w:bidi="ar"/>
              </w:rPr>
              <w:br w:type="textWrapping"/>
            </w:r>
            <w:r>
              <w:rPr>
                <w:rStyle w:val="11"/>
                <w:lang w:val="en-US" w:eastAsia="zh-CN" w:bidi="ar"/>
              </w:rPr>
              <w:t>●</w:t>
            </w:r>
            <w:r>
              <w:rPr>
                <w:rStyle w:val="12"/>
                <w:lang w:val="en-US" w:eastAsia="zh-CN" w:bidi="ar"/>
              </w:rPr>
              <w:t>督学名单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2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学校督导评估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●年度督导工作计划内容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●责任区划分和责任督学名单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●责任督学日常督导事项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●学校督导评估的办法、指标体系、督导评估报告</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40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义务教育均衡发展督导评估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义务教育均衡发展有关政策文件、职责权限、管理流程、监督方式、年度工作计划等</w:t>
            </w:r>
            <w:r>
              <w:rPr>
                <w:rStyle w:val="12"/>
                <w:lang w:val="en-US" w:eastAsia="zh-CN" w:bidi="ar"/>
              </w:rPr>
              <w:br w:type="textWrapping"/>
            </w:r>
            <w:r>
              <w:rPr>
                <w:rStyle w:val="11"/>
                <w:lang w:val="en-US" w:eastAsia="zh-CN" w:bidi="ar"/>
              </w:rPr>
              <w:t>●</w:t>
            </w:r>
            <w:r>
              <w:rPr>
                <w:rStyle w:val="12"/>
                <w:lang w:val="en-US" w:eastAsia="zh-CN" w:bidi="ar"/>
              </w:rPr>
              <w:t>义务教育均衡发展状况自评方案及结果</w:t>
            </w:r>
            <w:r>
              <w:rPr>
                <w:rStyle w:val="12"/>
                <w:lang w:val="en-US" w:eastAsia="zh-CN" w:bidi="ar"/>
              </w:rPr>
              <w:br w:type="textWrapping"/>
            </w:r>
            <w:r>
              <w:rPr>
                <w:rStyle w:val="11"/>
                <w:lang w:val="en-US" w:eastAsia="zh-CN" w:bidi="ar"/>
              </w:rPr>
              <w:t>●</w:t>
            </w:r>
            <w:r>
              <w:rPr>
                <w:rStyle w:val="12"/>
                <w:lang w:val="en-US" w:eastAsia="zh-CN" w:bidi="ar"/>
              </w:rPr>
              <w:t>省级教育督导机构对县进行督导评估的工作安排、评估结果</w:t>
            </w:r>
            <w:r>
              <w:rPr>
                <w:rStyle w:val="12"/>
                <w:lang w:val="en-US" w:eastAsia="zh-CN" w:bidi="ar"/>
              </w:rPr>
              <w:br w:type="textWrapping"/>
            </w:r>
            <w:r>
              <w:rPr>
                <w:rStyle w:val="11"/>
                <w:lang w:val="en-US" w:eastAsia="zh-CN" w:bidi="ar"/>
              </w:rPr>
              <w:t>●</w:t>
            </w:r>
            <w:r>
              <w:rPr>
                <w:rStyle w:val="12"/>
                <w:lang w:val="en-US" w:eastAsia="zh-CN" w:bidi="ar"/>
              </w:rPr>
              <w:t>国务院教育督导委员会对义务教育发展均衡县进行认定的结果、报告</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7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校园安全管理</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校园安全管理法律法规、配套管理制度</w:t>
            </w:r>
            <w:r>
              <w:rPr>
                <w:rStyle w:val="12"/>
                <w:lang w:val="en-US" w:eastAsia="zh-CN" w:bidi="ar"/>
              </w:rPr>
              <w:br w:type="textWrapping"/>
            </w:r>
            <w:r>
              <w:rPr>
                <w:rStyle w:val="11"/>
                <w:lang w:val="en-US" w:eastAsia="zh-CN" w:bidi="ar"/>
              </w:rPr>
              <w:t>●</w:t>
            </w:r>
            <w:r>
              <w:rPr>
                <w:rStyle w:val="12"/>
                <w:lang w:val="en-US" w:eastAsia="zh-CN" w:bidi="ar"/>
              </w:rPr>
              <w:t>学生住宿、用餐、组织活动等安全管理情况</w:t>
            </w:r>
            <w:r>
              <w:rPr>
                <w:rStyle w:val="12"/>
                <w:lang w:val="en-US" w:eastAsia="zh-CN" w:bidi="ar"/>
              </w:rPr>
              <w:br w:type="textWrapping"/>
            </w:r>
            <w:r>
              <w:rPr>
                <w:rStyle w:val="11"/>
                <w:lang w:val="en-US" w:eastAsia="zh-CN" w:bidi="ar"/>
              </w:rPr>
              <w:t>●</w:t>
            </w:r>
            <w:r>
              <w:rPr>
                <w:rStyle w:val="12"/>
                <w:lang w:val="en-US" w:eastAsia="zh-CN" w:bidi="ar"/>
              </w:rPr>
              <w:t>校园安全突发事件应急预案、预警信息、应对情况、调查处理情况</w:t>
            </w:r>
            <w:r>
              <w:rPr>
                <w:rStyle w:val="12"/>
                <w:lang w:val="en-US" w:eastAsia="zh-CN" w:bidi="ar"/>
              </w:rPr>
              <w:br w:type="textWrapping"/>
            </w:r>
            <w:r>
              <w:rPr>
                <w:rStyle w:val="11"/>
                <w:lang w:val="en-US" w:eastAsia="zh-CN" w:bidi="ar"/>
              </w:rPr>
              <w:t>●</w:t>
            </w:r>
            <w:r>
              <w:rPr>
                <w:rStyle w:val="12"/>
                <w:lang w:val="en-US" w:eastAsia="zh-CN" w:bidi="ar"/>
              </w:rPr>
              <w:t>校车使用许可申请政策规定及申请流程</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■广播电视  ■纸质媒体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安全股</w:t>
            </w:r>
          </w:p>
        </w:tc>
      </w:tr>
    </w:tbl>
    <w:p/>
    <w:p/>
    <w:p>
      <w:pPr>
        <w:pStyle w:val="2"/>
        <w:jc w:val="center"/>
        <w:rPr>
          <w:rFonts w:ascii="方正小标宋_GBK" w:hAnsi="方正小标宋_GBK" w:eastAsia="方正小标宋_GBK"/>
          <w:b w:val="0"/>
          <w:bCs w:val="0"/>
          <w:sz w:val="30"/>
        </w:rPr>
      </w:pPr>
      <w:bookmarkStart w:id="2" w:name="_Toc2194"/>
      <w:r>
        <w:rPr>
          <w:rFonts w:hint="eastAsia" w:ascii="方正小标宋_GBK" w:hAnsi="方正小标宋_GBK" w:eastAsia="方正小标宋_GBK"/>
          <w:b w:val="0"/>
          <w:bCs w:val="0"/>
          <w:sz w:val="30"/>
          <w:szCs w:val="28"/>
        </w:rPr>
        <w:t>（四）</w:t>
      </w:r>
      <w:r>
        <w:rPr>
          <w:rFonts w:hint="eastAsia" w:ascii="方正小标宋_GBK" w:hAnsi="方正小标宋_GBK" w:eastAsia="方正小标宋_GBK"/>
          <w:b w:val="0"/>
          <w:bCs w:val="0"/>
          <w:sz w:val="30"/>
        </w:rPr>
        <w:t>户籍管理领域基层政务公开标准目录</w:t>
      </w:r>
      <w:bookmarkEnd w:id="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color w:val="000000"/>
                <w:kern w:val="0"/>
                <w:sz w:val="22"/>
              </w:rPr>
            </w:pPr>
            <w:r>
              <w:rPr>
                <w:rFonts w:hint="eastAsia" w:ascii="Times New Roman" w:hAnsi="宋体"/>
                <w:color w:val="000000"/>
                <w:kern w:val="0"/>
                <w:sz w:val="22"/>
              </w:rPr>
              <w:t>序号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死亡注销、服现役注销</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变更、更正</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流动人口登记及居住证管理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流动人口登记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居住证申领、换、补领、签注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港澳台居民居住证申领、换、补领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restart"/>
            <w:tcBorders>
              <w:top w:val="single" w:color="auto" w:sz="4" w:space="0"/>
              <w:left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居民身份证申领、换领、补领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rPr>
      </w:pPr>
    </w:p>
    <w:p>
      <w:pPr>
        <w:pStyle w:val="2"/>
        <w:jc w:val="center"/>
        <w:rPr>
          <w:rFonts w:ascii="方正小标宋_GBK" w:hAnsi="方正小标宋_GBK" w:eastAsia="方正小标宋_GBK"/>
          <w:b w:val="0"/>
          <w:bCs w:val="0"/>
          <w:sz w:val="30"/>
        </w:rPr>
      </w:pPr>
      <w:bookmarkStart w:id="3" w:name="_Toc1122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）社会救助领域基层政务公开标准目录</w:t>
      </w:r>
      <w:bookmarkEnd w:id="3"/>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1275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六</w:t>
      </w:r>
      <w:r>
        <w:rPr>
          <w:rFonts w:hint="eastAsia" w:ascii="方正小标宋_GBK" w:hAnsi="方正小标宋_GBK" w:eastAsia="方正小标宋_GBK"/>
          <w:b w:val="0"/>
          <w:bCs w:val="0"/>
          <w:sz w:val="30"/>
        </w:rPr>
        <w:t>）养老服务领域基层政务公开标准目录</w:t>
      </w:r>
      <w:bookmarkEnd w:id="4"/>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shd w:val="clear" w:color="auto" w:fill="auto"/>
            <w:noWrap w:val="0"/>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r>
        <w:rPr>
          <w:sz w:val="28"/>
          <w:szCs w:val="28"/>
        </w:rPr>
        <w:br w:type="page"/>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noWrap w:val="0"/>
            <w:vAlign w:val="center"/>
          </w:tcPr>
          <w:p>
            <w:pPr>
              <w:adjustRightInd w:val="0"/>
              <w:spacing w:line="360" w:lineRule="auto"/>
              <w:rPr>
                <w:rFonts w:ascii="黑体" w:hAnsi="黑体" w:eastAsia="黑体" w:cs="仿宋"/>
                <w:sz w:val="32"/>
                <w:szCs w:val="32"/>
              </w:rPr>
            </w:pPr>
          </w:p>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eastAsia="zh-CN"/>
              </w:rPr>
              <w:t>（七）</w:t>
            </w: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noWrap w:val="0"/>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政务服务中心  ■便民服务站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公证员一般任职执业审核</w:t>
            </w:r>
            <w:r>
              <w:rPr>
                <w:rFonts w:hint="eastAsia" w:ascii="宋体" w:hAnsi="宋体" w:cs="宋体"/>
                <w:color w:val="000000"/>
                <w:sz w:val="18"/>
                <w:szCs w:val="18"/>
                <w:lang w:eastAsia="zh-CN"/>
              </w:rPr>
              <w:t>（初审）</w:t>
            </w:r>
            <w:r>
              <w:rPr>
                <w:rFonts w:hint="eastAsia" w:ascii="宋体" w:hAnsi="宋体" w:eastAsia="宋体" w:cs="宋体"/>
                <w:color w:val="000000"/>
                <w:sz w:val="18"/>
                <w:szCs w:val="18"/>
              </w:rPr>
              <w:t>、考核任职执业审核</w:t>
            </w:r>
            <w:r>
              <w:rPr>
                <w:rFonts w:hint="eastAsia" w:ascii="宋体" w:hAnsi="宋体" w:cs="宋体"/>
                <w:color w:val="000000"/>
                <w:sz w:val="18"/>
                <w:szCs w:val="18"/>
                <w:lang w:eastAsia="zh-CN"/>
              </w:rPr>
              <w:t>（初审）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2</w:t>
            </w:r>
          </w:p>
        </w:tc>
        <w:tc>
          <w:tcPr>
            <w:tcW w:w="1075"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3</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《中华人民共和国人民调解法》《人民调解</w:t>
            </w:r>
            <w:r>
              <w:rPr>
                <w:rFonts w:hint="eastAsia" w:ascii="宋体" w:hAnsi="宋体" w:cs="宋体"/>
                <w:color w:val="000000"/>
                <w:sz w:val="18"/>
                <w:szCs w:val="18"/>
                <w:lang w:eastAsia="zh-CN"/>
              </w:rPr>
              <w:t>委员会及调解员奖励办法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4</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5</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政府网站    </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 xml:space="preserve">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6</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7</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
    <w:p/>
    <w:p/>
    <w:p/>
    <w:p/>
    <w:p/>
    <w:p/>
    <w:p/>
    <w:p/>
    <w:p/>
    <w:p/>
    <w:p/>
    <w:tbl>
      <w:tblPr>
        <w:tblStyle w:val="7"/>
        <w:tblW w:w="15030" w:type="dxa"/>
        <w:tblInd w:w="0" w:type="dxa"/>
        <w:shd w:val="clear" w:color="auto" w:fill="auto"/>
        <w:tblLayout w:type="autofit"/>
        <w:tblCellMar>
          <w:top w:w="0" w:type="dxa"/>
          <w:left w:w="0" w:type="dxa"/>
          <w:bottom w:w="0" w:type="dxa"/>
          <w:right w:w="0" w:type="dxa"/>
        </w:tblCellMar>
      </w:tblPr>
      <w:tblGrid>
        <w:gridCol w:w="660"/>
        <w:gridCol w:w="600"/>
        <w:gridCol w:w="660"/>
        <w:gridCol w:w="6450"/>
        <w:gridCol w:w="915"/>
        <w:gridCol w:w="795"/>
        <w:gridCol w:w="675"/>
        <w:gridCol w:w="675"/>
        <w:gridCol w:w="900"/>
        <w:gridCol w:w="900"/>
        <w:gridCol w:w="900"/>
        <w:gridCol w:w="900"/>
      </w:tblGrid>
      <w:tr>
        <w:tblPrEx>
          <w:shd w:val="clear" w:color="auto" w:fill="auto"/>
          <w:tblCellMar>
            <w:top w:w="0" w:type="dxa"/>
            <w:left w:w="0" w:type="dxa"/>
            <w:bottom w:w="0" w:type="dxa"/>
            <w:right w:w="0" w:type="dxa"/>
          </w:tblCellMar>
        </w:tblPrEx>
        <w:trPr>
          <w:trHeight w:val="480" w:hRule="atLeast"/>
        </w:trPr>
        <w:tc>
          <w:tcPr>
            <w:tcW w:w="1503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（八）财政预决算领域基层政务公开标准目录（一）</w:t>
            </w:r>
          </w:p>
        </w:tc>
      </w:tr>
      <w:tr>
        <w:tblPrEx>
          <w:tblCellMar>
            <w:top w:w="0" w:type="dxa"/>
            <w:left w:w="0" w:type="dxa"/>
            <w:bottom w:w="0" w:type="dxa"/>
            <w:right w:w="0" w:type="dxa"/>
          </w:tblCellMar>
        </w:tblPrEx>
        <w:trPr>
          <w:trHeight w:val="82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4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政府预算</w:t>
            </w: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《中华人民共和国预算法》、《中华人民共和国政府信息公开条例》、</w:t>
            </w:r>
            <w:bookmarkStart w:id="21" w:name="_GoBack"/>
            <w:bookmarkEnd w:id="21"/>
            <w:r>
              <w:rPr>
                <w:rFonts w:hint="eastAsia" w:ascii="宋体" w:hAnsi="宋体" w:cs="宋体"/>
                <w:i w:val="0"/>
                <w:color w:val="000000"/>
                <w:kern w:val="0"/>
                <w:sz w:val="20"/>
                <w:szCs w:val="20"/>
                <w:u w:val="none"/>
                <w:lang w:val="en-US" w:eastAsia="zh-CN" w:bidi="ar"/>
              </w:rPr>
              <w:t>《财政部关于印发〈地方预决算公开操作规程〉的通知》</w:t>
            </w:r>
            <w:r>
              <w:rPr>
                <w:rFonts w:hint="eastAsia" w:ascii="宋体" w:hAnsi="宋体" w:eastAsia="宋体" w:cs="宋体"/>
                <w:i w:val="0"/>
                <w:color w:val="000000"/>
                <w:kern w:val="0"/>
                <w:sz w:val="20"/>
                <w:szCs w:val="20"/>
                <w:u w:val="none"/>
                <w:lang w:val="en-US" w:eastAsia="zh-CN" w:bidi="ar"/>
              </w:rPr>
              <w:t>（财预〔2016〕143号）、《财政部关于印发&lt;地方政府债务信息公开办法（试行）&gt;的通知》（财预〔2018〕209号）等法律法规和文件规定</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本级人民代表大会或其常务委员会批准后20日内</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地方各级财政部门</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政府网站、财政部门网站公开平台或政府公报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3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政府性基金预算：①政府性基金收入表。②政府性基金支出表。③本级政府性基金支出表。④政府性基金转移支付表。⑤政府专项债务限额和余额情况表。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国有资本经营预算：①国有资本经营预算收入表。②国有资本经营预算支出表。③本级国有资本经营预算支出表。④对下安排转移支付的应当公开国有资本经营预算转移支付表。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社会保险基金预算：①社会保险基金收入表。②社会保险基金支出表。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5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对财政转移支付安排、举借政府债务等重要事项进行解释、说明，并公开重大政策和重点项目等绩效目标。</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没有数据的表格应当列出空表并说明。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
    <w:p/>
    <w:tbl>
      <w:tblPr>
        <w:tblStyle w:val="7"/>
        <w:tblW w:w="14550" w:type="dxa"/>
        <w:tblInd w:w="0" w:type="dxa"/>
        <w:shd w:val="clear" w:color="auto" w:fill="auto"/>
        <w:tblLayout w:type="autofit"/>
        <w:tblCellMar>
          <w:top w:w="0" w:type="dxa"/>
          <w:left w:w="0" w:type="dxa"/>
          <w:bottom w:w="0" w:type="dxa"/>
          <w:right w:w="0" w:type="dxa"/>
        </w:tblCellMar>
      </w:tblPr>
      <w:tblGrid>
        <w:gridCol w:w="480"/>
        <w:gridCol w:w="555"/>
        <w:gridCol w:w="600"/>
        <w:gridCol w:w="5400"/>
        <w:gridCol w:w="1215"/>
        <w:gridCol w:w="900"/>
        <w:gridCol w:w="900"/>
        <w:gridCol w:w="900"/>
        <w:gridCol w:w="900"/>
        <w:gridCol w:w="900"/>
        <w:gridCol w:w="900"/>
        <w:gridCol w:w="900"/>
      </w:tblGrid>
      <w:tr>
        <w:tblPrEx>
          <w:shd w:val="clear" w:color="auto" w:fill="auto"/>
          <w:tblCellMar>
            <w:top w:w="0" w:type="dxa"/>
            <w:left w:w="0" w:type="dxa"/>
            <w:bottom w:w="0" w:type="dxa"/>
            <w:right w:w="0" w:type="dxa"/>
          </w:tblCellMar>
        </w:tblPrEx>
        <w:trPr>
          <w:trHeight w:val="480" w:hRule="atLeast"/>
        </w:trPr>
        <w:tc>
          <w:tcPr>
            <w:tcW w:w="1455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（八）财政预决算领域基层政务公开标准目录（二）</w:t>
            </w:r>
          </w:p>
        </w:tc>
      </w:tr>
      <w:tr>
        <w:tblPrEx>
          <w:tblCellMar>
            <w:top w:w="0" w:type="dxa"/>
            <w:left w:w="0" w:type="dxa"/>
            <w:bottom w:w="0" w:type="dxa"/>
            <w:right w:w="0" w:type="dxa"/>
          </w:tblCellMar>
        </w:tblPrEx>
        <w:trPr>
          <w:trHeight w:val="82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126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决算</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决算</w:t>
            </w: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《中华人民共和国预算法》、《中华人民共和国政府信息公开条例》、</w:t>
            </w:r>
            <w:r>
              <w:rPr>
                <w:rFonts w:hint="eastAsia" w:ascii="宋体" w:hAnsi="宋体" w:cs="宋体"/>
                <w:i w:val="0"/>
                <w:color w:val="000000"/>
                <w:kern w:val="0"/>
                <w:sz w:val="20"/>
                <w:szCs w:val="20"/>
                <w:u w:val="none"/>
                <w:lang w:val="en-US" w:eastAsia="zh-CN" w:bidi="ar"/>
              </w:rPr>
              <w:t>《财政部关于印发〈地方预决算公开操作规程〉的通知》</w:t>
            </w:r>
            <w:r>
              <w:rPr>
                <w:rFonts w:hint="eastAsia" w:ascii="宋体" w:hAnsi="宋体" w:eastAsia="宋体" w:cs="宋体"/>
                <w:i w:val="0"/>
                <w:color w:val="000000"/>
                <w:kern w:val="0"/>
                <w:sz w:val="20"/>
                <w:szCs w:val="20"/>
                <w:u w:val="none"/>
                <w:lang w:val="en-US" w:eastAsia="zh-CN" w:bidi="ar"/>
              </w:rPr>
              <w:t>（财预〔2016〕143号）、《财政部关于印发&lt;地方政府债务信息公开办法（试行）&gt;的通知》（财预〔2018〕209号）等法律法规和文件规定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本级人民代表大会或其常务委员会批准后20日内</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地方各级财政部门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政府网站、财政部门网站公开平台或政府公报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政府性基金预算：①政府性基金收入表。②政府性基金支出表。③本级政府性基金支出表。④政府性基金转移支付表。⑤政府专项债务限额和余额情况表。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3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国有资本经营预算：①国有资本经营预算收入表。②国有资本经营预算支出表。③本级国有资本经营预算支出表。④对下安排转移支付的应当公开国有资本经营预算转移支付表。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社会保险基金预算：①社会保险基金收入表。②社会保险基金支出表。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2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2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对财政转移支付安排、举借政府债务、预算绩效工作开展情况等重要事项进行解释、说明，并公开重大政策和重点项目绩效执行结果。</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地方政府债务限额、余额、使用安排及还本付息等信息，包括：上年末本地区、本级及所属地区地方政府债务限额、余额决算数，地方政府债券发行、还本付息决算数，以及债券资金使用安排等。</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没有数据的表格应当列出空表并说明。</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tbl>
      <w:tblPr>
        <w:tblStyle w:val="7"/>
        <w:tblW w:w="13815" w:type="dxa"/>
        <w:tblInd w:w="0" w:type="dxa"/>
        <w:shd w:val="clear" w:color="auto" w:fill="auto"/>
        <w:tblLayout w:type="autofit"/>
        <w:tblCellMar>
          <w:top w:w="0" w:type="dxa"/>
          <w:left w:w="0" w:type="dxa"/>
          <w:bottom w:w="0" w:type="dxa"/>
          <w:right w:w="0" w:type="dxa"/>
        </w:tblCellMar>
      </w:tblPr>
      <w:tblGrid>
        <w:gridCol w:w="630"/>
        <w:gridCol w:w="690"/>
        <w:gridCol w:w="720"/>
        <w:gridCol w:w="5100"/>
        <w:gridCol w:w="915"/>
        <w:gridCol w:w="795"/>
        <w:gridCol w:w="585"/>
        <w:gridCol w:w="1080"/>
        <w:gridCol w:w="825"/>
        <w:gridCol w:w="825"/>
        <w:gridCol w:w="825"/>
        <w:gridCol w:w="825"/>
      </w:tblGrid>
      <w:tr>
        <w:tblPrEx>
          <w:shd w:val="clear" w:color="auto" w:fill="auto"/>
          <w:tblCellMar>
            <w:top w:w="0" w:type="dxa"/>
            <w:left w:w="0" w:type="dxa"/>
            <w:bottom w:w="0" w:type="dxa"/>
            <w:right w:w="0" w:type="dxa"/>
          </w:tblCellMar>
        </w:tblPrEx>
        <w:trPr>
          <w:trHeight w:val="480" w:hRule="atLeast"/>
        </w:trPr>
        <w:tc>
          <w:tcPr>
            <w:tcW w:w="13815"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w:t>
            </w:r>
            <w:r>
              <w:rPr>
                <w:rFonts w:hint="eastAsia" w:ascii="宋体" w:hAnsi="宋体" w:eastAsia="宋体" w:cs="宋体"/>
                <w:i w:val="0"/>
                <w:color w:val="000000"/>
                <w:kern w:val="0"/>
                <w:sz w:val="36"/>
                <w:szCs w:val="36"/>
                <w:u w:val="none"/>
                <w:lang w:val="en-US" w:eastAsia="zh-CN" w:bidi="ar"/>
              </w:rPr>
              <w:t>财政预决算领域基层政务公开标准目录（三）</w:t>
            </w:r>
          </w:p>
        </w:tc>
      </w:tr>
      <w:tr>
        <w:tblPrEx>
          <w:tblCellMar>
            <w:top w:w="0" w:type="dxa"/>
            <w:left w:w="0" w:type="dxa"/>
            <w:bottom w:w="0" w:type="dxa"/>
            <w:right w:w="0" w:type="dxa"/>
          </w:tblCellMar>
        </w:tblPrEx>
        <w:trPr>
          <w:trHeight w:val="825"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收支总体情况表：①部门收支总体情况表。②部门收入总体情况表。③部门支出总体情况表。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《中华人民共和国预算法》、《中华人民共和国政府信息公开条例》、</w:t>
            </w:r>
            <w:r>
              <w:rPr>
                <w:rFonts w:hint="eastAsia" w:ascii="宋体" w:hAnsi="宋体" w:cs="宋体"/>
                <w:i w:val="0"/>
                <w:color w:val="000000"/>
                <w:kern w:val="0"/>
                <w:sz w:val="22"/>
                <w:szCs w:val="22"/>
                <w:u w:val="none"/>
                <w:lang w:val="en-US" w:eastAsia="zh-CN" w:bidi="ar"/>
              </w:rPr>
              <w:t>《财政部关于印发〈地方预决算公开操作规程〉的通知》</w:t>
            </w:r>
            <w:r>
              <w:rPr>
                <w:rFonts w:hint="eastAsia" w:ascii="宋体" w:hAnsi="宋体" w:eastAsia="宋体" w:cs="宋体"/>
                <w:i w:val="0"/>
                <w:color w:val="000000"/>
                <w:kern w:val="0"/>
                <w:sz w:val="22"/>
                <w:szCs w:val="22"/>
                <w:u w:val="none"/>
                <w:lang w:val="en-US" w:eastAsia="zh-CN" w:bidi="ar"/>
              </w:rPr>
              <w:t>（财预〔2016〕143号）等法律法规和文件规定</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本级政府财政部门批复后20日内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地方各级预算部门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部门网站、 政府网站、政府公报</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41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9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一般公共预算支出情况表公开到功能分类项级科目。一般公共预算基本支出表公开到经济分类款级科目。</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51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84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3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没有数据的表格应当列出空表并说明。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
    <w:p/>
    <w:p/>
    <w:p/>
    <w:p/>
    <w:p/>
    <w:p/>
    <w:p/>
    <w:p/>
    <w:p/>
    <w:p/>
    <w:p/>
    <w:p/>
    <w:p/>
    <w:p/>
    <w:p/>
    <w:p/>
    <w:tbl>
      <w:tblPr>
        <w:tblStyle w:val="7"/>
        <w:tblW w:w="14340" w:type="dxa"/>
        <w:tblInd w:w="0" w:type="dxa"/>
        <w:shd w:val="clear" w:color="auto" w:fill="auto"/>
        <w:tblLayout w:type="autofit"/>
        <w:tblCellMar>
          <w:top w:w="0" w:type="dxa"/>
          <w:left w:w="0" w:type="dxa"/>
          <w:bottom w:w="0" w:type="dxa"/>
          <w:right w:w="0" w:type="dxa"/>
        </w:tblCellMar>
      </w:tblPr>
      <w:tblGrid>
        <w:gridCol w:w="600"/>
        <w:gridCol w:w="825"/>
        <w:gridCol w:w="825"/>
        <w:gridCol w:w="5670"/>
        <w:gridCol w:w="1080"/>
        <w:gridCol w:w="600"/>
        <w:gridCol w:w="660"/>
        <w:gridCol w:w="720"/>
        <w:gridCol w:w="840"/>
        <w:gridCol w:w="840"/>
        <w:gridCol w:w="840"/>
        <w:gridCol w:w="840"/>
      </w:tblGrid>
      <w:tr>
        <w:tblPrEx>
          <w:shd w:val="clear" w:color="auto" w:fill="auto"/>
          <w:tblCellMar>
            <w:top w:w="0" w:type="dxa"/>
            <w:left w:w="0" w:type="dxa"/>
            <w:bottom w:w="0" w:type="dxa"/>
            <w:right w:w="0" w:type="dxa"/>
          </w:tblCellMar>
        </w:tblPrEx>
        <w:trPr>
          <w:trHeight w:val="480" w:hRule="atLeast"/>
        </w:trPr>
        <w:tc>
          <w:tcPr>
            <w:tcW w:w="143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w:t>
            </w:r>
            <w:r>
              <w:rPr>
                <w:rFonts w:hint="eastAsia" w:ascii="宋体" w:hAnsi="宋体" w:eastAsia="宋体" w:cs="宋体"/>
                <w:i w:val="0"/>
                <w:color w:val="000000"/>
                <w:kern w:val="0"/>
                <w:sz w:val="36"/>
                <w:szCs w:val="36"/>
                <w:u w:val="none"/>
                <w:lang w:val="en-US" w:eastAsia="zh-CN" w:bidi="ar"/>
              </w:rPr>
              <w:t>财政预决算领域基层政务公开标准目录（四）</w:t>
            </w:r>
          </w:p>
        </w:tc>
      </w:tr>
      <w:tr>
        <w:tblPrEx>
          <w:tblCellMar>
            <w:top w:w="0" w:type="dxa"/>
            <w:left w:w="0" w:type="dxa"/>
            <w:bottom w:w="0" w:type="dxa"/>
            <w:right w:w="0" w:type="dxa"/>
          </w:tblCellMar>
        </w:tblPrEx>
        <w:trPr>
          <w:trHeight w:val="825"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0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《中华人民共和国预算法》、《中华人民共和国政府信息公开条例》、</w:t>
            </w:r>
            <w:r>
              <w:rPr>
                <w:rFonts w:hint="eastAsia" w:ascii="宋体" w:hAnsi="宋体" w:cs="宋体"/>
                <w:i w:val="0"/>
                <w:color w:val="000000"/>
                <w:kern w:val="0"/>
                <w:sz w:val="22"/>
                <w:szCs w:val="22"/>
                <w:u w:val="none"/>
                <w:lang w:val="en-US" w:eastAsia="zh-CN" w:bidi="ar"/>
              </w:rPr>
              <w:t>《财政部关于印发〈地方预决算公开操作规程〉的通知》</w:t>
            </w:r>
            <w:r>
              <w:rPr>
                <w:rFonts w:hint="eastAsia" w:ascii="宋体" w:hAnsi="宋体" w:eastAsia="宋体" w:cs="宋体"/>
                <w:i w:val="0"/>
                <w:color w:val="000000"/>
                <w:kern w:val="0"/>
                <w:sz w:val="22"/>
                <w:szCs w:val="22"/>
                <w:u w:val="none"/>
                <w:lang w:val="en-US" w:eastAsia="zh-CN" w:bidi="ar"/>
              </w:rPr>
              <w:t>（财预〔2016〕143号）等法律法规和文件规定</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本级政府财政部门批复后20日内</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地方各级预算部门</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部门网站、 政府网站、政府公报</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9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7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2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6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
    <w:p/>
    <w:p/>
    <w:p/>
    <w:p/>
    <w:p/>
    <w:p/>
    <w:p/>
    <w:p/>
    <w:p/>
    <w:p/>
    <w:p>
      <w:pPr>
        <w:pStyle w:val="2"/>
        <w:jc w:val="center"/>
        <w:rPr>
          <w:rFonts w:ascii="方正小标宋_GBK" w:hAnsi="方正小标宋_GBK" w:eastAsia="方正小标宋_GBK"/>
          <w:b w:val="0"/>
          <w:bCs w:val="0"/>
          <w:sz w:val="30"/>
        </w:rPr>
      </w:pPr>
      <w:bookmarkStart w:id="5" w:name="_Toc7704"/>
      <w:r>
        <w:rPr>
          <w:rFonts w:hint="eastAsia" w:ascii="方正小标宋_GBK" w:hAnsi="方正小标宋_GBK" w:eastAsia="方正小标宋_GBK"/>
          <w:b w:val="0"/>
          <w:bCs w:val="0"/>
          <w:sz w:val="30"/>
        </w:rPr>
        <w:t>（九）就业领域基层政务公开标准目录</w:t>
      </w:r>
      <w:bookmarkEnd w:id="5"/>
    </w:p>
    <w:tbl>
      <w:tblPr>
        <w:tblStyle w:val="7"/>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hint="eastAsia" w:ascii="方正小标宋_GBK" w:eastAsia="方正小标宋_GBK"/>
          <w:b w:val="0"/>
          <w:sz w:val="30"/>
          <w:szCs w:val="30"/>
        </w:rPr>
      </w:pPr>
      <w:r>
        <w:br w:type="page"/>
      </w:r>
      <w:bookmarkStart w:id="6" w:name="_Toc13762"/>
      <w:r>
        <w:rPr>
          <w:rFonts w:hint="eastAsia" w:ascii="方正小标宋_GBK" w:eastAsia="方正小标宋_GBK"/>
          <w:b w:val="0"/>
          <w:sz w:val="30"/>
          <w:szCs w:val="30"/>
        </w:rPr>
        <w:t>（十）社会保险领域基层政务公开标准目录</w:t>
      </w:r>
      <w:bookmarkEnd w:id="6"/>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
        <w:gridCol w:w="476"/>
        <w:gridCol w:w="169"/>
        <w:gridCol w:w="420"/>
        <w:gridCol w:w="131"/>
        <w:gridCol w:w="979"/>
        <w:gridCol w:w="101"/>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31" w:type="dxa"/>
            <w:gridSpan w:val="4"/>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widowControl/>
              <w:jc w:val="left"/>
              <w:rPr>
                <w:rFonts w:ascii="Times New Roman" w:hAnsi="Times New Roman"/>
                <w:color w:val="000000"/>
                <w:kern w:val="0"/>
                <w:sz w:val="15"/>
                <w:szCs w:val="15"/>
              </w:rPr>
            </w:pPr>
          </w:p>
        </w:tc>
        <w:tc>
          <w:tcPr>
            <w:tcW w:w="55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保险登记</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551" w:type="dxa"/>
            <w:gridSpan w:val="2"/>
            <w:vMerge w:val="continue"/>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1832" w:hRule="atLeast"/>
        </w:trPr>
        <w:tc>
          <w:tcPr>
            <w:tcW w:w="645" w:type="dxa"/>
            <w:gridSpan w:val="2"/>
            <w:noWrap w:val="0"/>
            <w:vAlign w:val="center"/>
          </w:tcPr>
          <w:p>
            <w:pPr>
              <w:jc w:val="center"/>
              <w:rPr>
                <w:rFonts w:ascii="仿宋_GB2312" w:hAnsi="宋体" w:eastAsia="仿宋_GB2312"/>
                <w:color w:val="000000"/>
                <w:sz w:val="18"/>
                <w:szCs w:val="18"/>
              </w:rPr>
            </w:pP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保险参保信息维护</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551" w:type="dxa"/>
            <w:gridSpan w:val="2"/>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保险参保信息维护</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保险缴费申报</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551" w:type="dxa"/>
            <w:gridSpan w:val="2"/>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保险缴费申报</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保险参保缴费记录查询</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2249" w:hRule="atLeas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551" w:type="dxa"/>
            <w:gridSpan w:val="2"/>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17</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0</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FF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军地养老保险关系转移接续申请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FF0000"/>
                <w:sz w:val="18"/>
                <w:szCs w:val="18"/>
              </w:rPr>
              <w:t>■政务服务中心</w:t>
            </w:r>
            <w:r>
              <w:rPr>
                <w:rFonts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23</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多重养老保险关系个人账户退费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FF0000"/>
                <w:sz w:val="18"/>
                <w:szCs w:val="18"/>
              </w:rPr>
              <w:t>■政务服务中心</w:t>
            </w:r>
            <w:r>
              <w:rPr>
                <w:rFonts w:hint="eastAsia"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jc w:val="cente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丧葬补助金和抚恤金申领</w:t>
            </w:r>
          </w:p>
        </w:tc>
        <w:tc>
          <w:tcPr>
            <w:tcW w:w="3060" w:type="dxa"/>
            <w:noWrap w:val="0"/>
            <w:vAlign w:val="center"/>
          </w:tcPr>
          <w:p>
            <w:pPr>
              <w:jc w:val="left"/>
              <w:rPr>
                <w:rFonts w:ascii="仿宋_GB2312" w:hAnsi="宋体" w:eastAsia="仿宋_GB2312"/>
                <w:color w:val="FF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《政府信息公开条例》、《社会保险法》、《失业保险条例》</w:t>
            </w:r>
          </w:p>
        </w:tc>
        <w:tc>
          <w:tcPr>
            <w:tcW w:w="1620"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FF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3657" w:hRule="atLeas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551" w:type="dxa"/>
            <w:gridSpan w:val="2"/>
            <w:vMerge w:val="continue"/>
            <w:noWrap w:val="0"/>
            <w:vAlign w:val="center"/>
          </w:tcPr>
          <w:p>
            <w:pP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职业培训补贴申领</w:t>
            </w:r>
          </w:p>
        </w:tc>
        <w:tc>
          <w:tcPr>
            <w:tcW w:w="3060" w:type="dxa"/>
            <w:noWrap w:val="0"/>
            <w:vAlign w:val="center"/>
          </w:tcPr>
          <w:p>
            <w:pPr>
              <w:jc w:val="left"/>
              <w:rPr>
                <w:rFonts w:ascii="仿宋_GB2312" w:hAnsi="宋体" w:eastAsia="仿宋_GB2312"/>
                <w:color w:val="FF0000"/>
                <w:sz w:val="18"/>
                <w:szCs w:val="18"/>
              </w:rPr>
            </w:pPr>
            <w:r>
              <w:rPr>
                <w:rFonts w:hint="eastAsia" w:ascii="仿宋_GB2312" w:hAnsi="宋体" w:eastAsia="仿宋_GB2312"/>
                <w:color w:val="FF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《政府信息公开条例》、《社会保险法》、《企业年金办法》</w:t>
            </w:r>
          </w:p>
        </w:tc>
        <w:tc>
          <w:tcPr>
            <w:tcW w:w="1620"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FF0000"/>
                <w:sz w:val="18"/>
                <w:szCs w:val="18"/>
              </w:rPr>
            </w:pPr>
            <w:r>
              <w:rPr>
                <w:rFonts w:hint="eastAsia" w:ascii="仿宋_GB2312" w:hAnsi="宋体" w:eastAsia="仿宋_GB2312"/>
                <w:color w:val="FF0000"/>
                <w:sz w:val="18"/>
                <w:szCs w:val="18"/>
              </w:rPr>
              <w:t>■政务服务中心</w:t>
            </w:r>
            <w:r>
              <w:rPr>
                <w:rFonts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FF0000"/>
                <w:sz w:val="18"/>
                <w:szCs w:val="18"/>
                <w:lang w:val="en-US" w:eastAsia="zh-CN"/>
              </w:rPr>
            </w:pPr>
            <w:r>
              <w:rPr>
                <w:rFonts w:hint="eastAsia" w:ascii="仿宋_GB2312" w:hAnsi="宋体" w:eastAsia="仿宋_GB2312"/>
                <w:color w:val="000000"/>
                <w:sz w:val="18"/>
                <w:szCs w:val="18"/>
                <w:lang w:val="en-US" w:eastAsia="zh-CN"/>
              </w:rPr>
              <w:t>27</w:t>
            </w:r>
          </w:p>
        </w:tc>
        <w:tc>
          <w:tcPr>
            <w:tcW w:w="551" w:type="dxa"/>
            <w:gridSpan w:val="2"/>
            <w:vMerge w:val="continue"/>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企业社会养老保险登记</w:t>
            </w:r>
          </w:p>
        </w:tc>
        <w:tc>
          <w:tcPr>
            <w:tcW w:w="30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ascii="仿宋_GB2312" w:hAnsi="宋体" w:eastAsia="仿宋_GB2312"/>
                <w:color w:val="FF0000"/>
                <w:sz w:val="18"/>
                <w:szCs w:val="18"/>
              </w:rPr>
            </w:pP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FF0000"/>
                <w:sz w:val="18"/>
                <w:szCs w:val="18"/>
              </w:rPr>
            </w:pPr>
            <w:r>
              <w:rPr>
                <w:rFonts w:hint="eastAsia" w:ascii="仿宋_GB2312" w:hAnsi="宋体" w:eastAsia="仿宋_GB2312"/>
                <w:color w:val="000000"/>
                <w:sz w:val="18"/>
                <w:szCs w:val="18"/>
              </w:rPr>
              <w:t>《社会保险费申报缴纳管理规定》</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FF0000"/>
                <w:sz w:val="18"/>
                <w:szCs w:val="18"/>
              </w:rPr>
            </w:pP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FF0000"/>
                <w:sz w:val="18"/>
                <w:szCs w:val="18"/>
              </w:rPr>
            </w:pP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FF0000"/>
                <w:sz w:val="18"/>
                <w:szCs w:val="18"/>
              </w:rPr>
            </w:pP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589" w:type="dxa"/>
            <w:gridSpan w:val="2"/>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161" w:type="dxa"/>
            <w:gridSpan w:val="2"/>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ascii="仿宋_GB2312" w:hAnsi="宋体" w:eastAsia="仿宋_GB2312"/>
                <w:color w:val="000000"/>
                <w:sz w:val="18"/>
                <w:szCs w:val="18"/>
              </w:rPr>
            </w:pP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《企业年金办法》</w:t>
            </w:r>
          </w:p>
          <w:p>
            <w:pPr>
              <w:rPr>
                <w:rFonts w:ascii="仿宋_GB2312" w:hAnsi="宋体" w:eastAsia="仿宋_GB2312"/>
                <w:color w:val="000000"/>
                <w:sz w:val="18"/>
                <w:szCs w:val="18"/>
              </w:rPr>
            </w:pPr>
            <w:r>
              <w:rPr>
                <w:rFonts w:hint="eastAsia" w:ascii="仿宋_GB2312" w:hAnsi="宋体" w:eastAsia="仿宋_GB2312"/>
                <w:color w:val="000000"/>
                <w:sz w:val="18"/>
                <w:szCs w:val="18"/>
              </w:rPr>
              <w:t>《关于进一步做好企业年金方案备案工作的意见》</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ind w:firstLine="180" w:firstLineChars="100"/>
              <w:rPr>
                <w:rFonts w:hint="eastAsia" w:ascii="仿宋_GB2312" w:hAnsi="宋体" w:eastAsia="仿宋_GB2312"/>
                <w:color w:val="000000"/>
                <w:sz w:val="18"/>
                <w:szCs w:val="18"/>
              </w:rPr>
            </w:pPr>
          </w:p>
          <w:p>
            <w:pPr>
              <w:ind w:firstLine="180" w:firstLineChars="100"/>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589" w:type="dxa"/>
            <w:gridSpan w:val="2"/>
            <w:vMerge w:val="continue"/>
            <w:noWrap w:val="0"/>
            <w:vAlign w:val="center"/>
          </w:tcPr>
          <w:p>
            <w:pPr>
              <w:rPr>
                <w:rFonts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161" w:type="dxa"/>
            <w:gridSpan w:val="2"/>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30</w:t>
            </w:r>
          </w:p>
        </w:tc>
        <w:tc>
          <w:tcPr>
            <w:tcW w:w="589" w:type="dxa"/>
            <w:gridSpan w:val="2"/>
            <w:vMerge w:val="continue"/>
            <w:noWrap w:val="0"/>
            <w:vAlign w:val="center"/>
          </w:tcPr>
          <w:p>
            <w:pPr>
              <w:jc w:val="center"/>
              <w:rPr>
                <w:rFonts w:ascii="仿宋_GB2312" w:hAnsi="宋体" w:eastAsia="仿宋_GB2312"/>
                <w:color w:val="000000"/>
                <w:sz w:val="18"/>
                <w:szCs w:val="18"/>
              </w:rPr>
            </w:pPr>
          </w:p>
        </w:tc>
        <w:tc>
          <w:tcPr>
            <w:tcW w:w="1110" w:type="dxa"/>
            <w:gridSpan w:val="2"/>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161" w:type="dxa"/>
            <w:gridSpan w:val="2"/>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ascii="仿宋_GB2312" w:hAnsi="宋体" w:eastAsia="仿宋_GB2312"/>
                <w:color w:val="000000"/>
                <w:sz w:val="18"/>
                <w:szCs w:val="18"/>
              </w:rPr>
            </w:pPr>
          </w:p>
        </w:tc>
        <w:tc>
          <w:tcPr>
            <w:tcW w:w="589" w:type="dxa"/>
            <w:gridSpan w:val="2"/>
            <w:vMerge w:val="restart"/>
            <w:noWrap w:val="0"/>
            <w:vAlign w:val="center"/>
          </w:tcPr>
          <w:p>
            <w:pPr>
              <w:rPr>
                <w:rFonts w:hint="eastAsia"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161" w:type="dxa"/>
            <w:gridSpan w:val="2"/>
            <w:vMerge w:val="restart"/>
            <w:noWrap w:val="0"/>
            <w:vAlign w:val="center"/>
          </w:tcPr>
          <w:p>
            <w:pPr>
              <w:jc w:val="left"/>
              <w:rPr>
                <w:rFonts w:ascii="仿宋_GB2312" w:hAnsi="宋体" w:eastAsia="仿宋_GB2312"/>
                <w:color w:val="000000"/>
                <w:sz w:val="18"/>
                <w:szCs w:val="18"/>
              </w:rPr>
            </w:pPr>
          </w:p>
        </w:tc>
        <w:tc>
          <w:tcPr>
            <w:tcW w:w="2036" w:type="dxa"/>
            <w:vMerge w:val="restart"/>
            <w:noWrap w:val="0"/>
            <w:vAlign w:val="center"/>
          </w:tcPr>
          <w:p>
            <w:pPr>
              <w:rPr>
                <w:rFonts w:hint="eastAsia"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p>
        </w:tc>
        <w:tc>
          <w:tcPr>
            <w:tcW w:w="1496" w:type="dxa"/>
            <w:vMerge w:val="restart"/>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540" w:type="dxa"/>
            <w:gridSpan w:val="2"/>
            <w:vMerge w:val="restart"/>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32</w:t>
            </w:r>
          </w:p>
        </w:tc>
        <w:tc>
          <w:tcPr>
            <w:tcW w:w="589" w:type="dxa"/>
            <w:gridSpan w:val="2"/>
            <w:vMerge w:val="continue"/>
            <w:noWrap w:val="0"/>
            <w:vAlign w:val="center"/>
          </w:tcPr>
          <w:p>
            <w:pPr>
              <w:rPr>
                <w:rFonts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161" w:type="dxa"/>
            <w:gridSpan w:val="2"/>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ascii="仿宋_GB2312" w:hAnsi="宋体" w:eastAsia="仿宋_GB2312"/>
                <w:color w:val="000000"/>
                <w:sz w:val="18"/>
                <w:szCs w:val="18"/>
              </w:rPr>
            </w:pPr>
          </w:p>
        </w:tc>
        <w:tc>
          <w:tcPr>
            <w:tcW w:w="54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ascii="仿宋_GB2312" w:hAnsi="宋体" w:eastAsia="仿宋_GB2312"/>
                <w:color w:val="000000"/>
                <w:sz w:val="18"/>
                <w:szCs w:val="18"/>
              </w:rPr>
            </w:pP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trPr>
        <w:tc>
          <w:tcPr>
            <w:tcW w:w="540" w:type="dxa"/>
            <w:gridSpan w:val="2"/>
            <w:vMerge w:val="continue"/>
            <w:noWrap w:val="0"/>
            <w:vAlign w:val="center"/>
          </w:tcPr>
          <w:p/>
        </w:tc>
        <w:tc>
          <w:tcPr>
            <w:tcW w:w="589" w:type="dxa"/>
            <w:gridSpan w:val="2"/>
            <w:vMerge w:val="continue"/>
            <w:noWrap w:val="0"/>
            <w:vAlign w:val="center"/>
          </w:tcPr>
          <w:p/>
        </w:tc>
        <w:tc>
          <w:tcPr>
            <w:tcW w:w="1110" w:type="dxa"/>
            <w:gridSpan w:val="2"/>
            <w:noWrap w:val="0"/>
            <w:vAlign w:val="center"/>
          </w:tcPr>
          <w:p>
            <w:pPr>
              <w:rPr>
                <w:rFonts w:hint="eastAsia" w:ascii="仿宋_GB2312" w:hAnsi="宋体" w:eastAsia="仿宋_GB2312"/>
                <w:color w:val="000000"/>
                <w:sz w:val="18"/>
                <w:szCs w:val="18"/>
              </w:rPr>
            </w:pPr>
          </w:p>
        </w:tc>
        <w:tc>
          <w:tcPr>
            <w:tcW w:w="3161" w:type="dxa"/>
            <w:gridSpan w:val="2"/>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40" w:type="dxa"/>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34</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社会保险费缴纳</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社会保险费缴纳</w:t>
            </w:r>
          </w:p>
        </w:tc>
        <w:tc>
          <w:tcPr>
            <w:tcW w:w="30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《社会保险个人权益记录管理办法》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olor w:val="000000"/>
                <w:sz w:val="18"/>
                <w:szCs w:val="18"/>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720" w:type="dxa"/>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Merge w:val="restart"/>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《政府信息公开条例》、《社会保险法》、《国务院关于颁发〈国务院关于安置老弱病残干部的暂行办法〉和〈国务院关于工人退休、退职的暂行办法〉的通知》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完善企业职工基本养老保险制度的决定》、《中华人民共和国劳动保险条例》《城镇企业职工基本养老保险关系转移接续暂行办法》《实施〈中华人民共和国社会保险法〉若干规定》《关于城镇企业职工基本养老保险关系转移接续若干问题的通知》《关于贯彻落实国务院办公厅转发城镇企业职工基本养老保险关系转移接续暂行办法的通知》《关于印发城镇企业职工基本养老保险关系转移接续若干具体问题意见的通知》《关于职工基本养老保险关系转移接续有关问题的函》</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《关于未就业随军配偶基本养老保险关系转移接续有关问题的通知》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《关于军人退役参加机关事业单位养老保险有关问题的通知》《关于军人退役基本养老保险关系转移接续有关问题的通知》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《中华人民共和国社会保险法》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城镇企业职工基本养老保险关系转移接续若干问题的通知》《关于贯彻落实国务院办公厅转发城镇企业职工基本养老保险关系转移接续暂行办法的通知》《关于印发城镇企业职工基本养老保险关系转移接续若干具体问题意见的通知》《关于印发〈城乡养老保险制度衔接暂行办法〉的通知》</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p>
        </w:tc>
        <w:tc>
          <w:tcPr>
            <w:tcW w:w="1620" w:type="dxa"/>
            <w:vMerge w:val="restart"/>
            <w:noWrap w:val="0"/>
            <w:vAlign w:val="center"/>
          </w:tcPr>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jc w:val="center"/>
              <w:rPr>
                <w:rFonts w:hint="eastAsia"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供养直系亲属待遇申请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工伤事故备案</w:t>
            </w:r>
            <w:r>
              <w:rPr>
                <w:rFonts w:hint="eastAsia" w:ascii="仿宋_GB2312" w:hAnsi="宋体" w:eastAsia="仿宋_GB2312"/>
                <w:color w:val="000000"/>
                <w:sz w:val="18"/>
                <w:szCs w:val="18"/>
                <w:lang w:val="en-US" w:eastAsia="zh-CN"/>
              </w:rPr>
              <w:t xml:space="preserve"> </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tc>
        <w:tc>
          <w:tcPr>
            <w:tcW w:w="1496"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540" w:type="dxa"/>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hint="eastAsia" w:ascii="仿宋_GB2312" w:hAnsi="宋体" w:eastAsia="仿宋_GB2312"/>
                <w:color w:val="000000"/>
                <w:sz w:val="18"/>
                <w:szCs w:val="18"/>
              </w:rPr>
              <w:t xml:space="preserve">8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社会保障卡转移</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hint="eastAsia"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70</w:t>
            </w:r>
          </w:p>
        </w:tc>
        <w:tc>
          <w:tcPr>
            <w:tcW w:w="720" w:type="dxa"/>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城乡居民养老保险服务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0" w:type="dxa"/>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1"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73</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城乡居民养老保险服务</w:t>
            </w:r>
            <w:r>
              <w:rPr>
                <w:rFonts w:hint="eastAsia" w:ascii="仿宋_GB2312" w:hAnsi="宋体" w:eastAsia="仿宋_GB2312"/>
                <w:color w:val="000000"/>
                <w:sz w:val="18"/>
                <w:szCs w:val="18"/>
              </w:rPr>
              <w:t>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w:t>
            </w:r>
            <w:r>
              <w:rPr>
                <w:rFonts w:hint="eastAsia" w:ascii="仿宋_GB2312" w:hAnsi="宋体" w:eastAsia="仿宋_GB2312"/>
                <w:color w:val="000000"/>
                <w:sz w:val="18"/>
                <w:szCs w:val="18"/>
              </w:rPr>
              <w:t>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w:t>
            </w:r>
            <w:r>
              <w:rPr>
                <w:rFonts w:hint="eastAsia" w:ascii="仿宋_GB2312" w:hAnsi="宋体" w:eastAsia="仿宋_GB2312"/>
                <w:color w:val="000000"/>
                <w:sz w:val="18"/>
                <w:szCs w:val="18"/>
              </w:rPr>
              <w:t>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w:t>
            </w:r>
            <w:r>
              <w:rPr>
                <w:rFonts w:hint="eastAsia" w:ascii="仿宋_GB2312" w:hAnsi="宋体" w:eastAsia="仿宋_GB2312"/>
                <w:color w:val="000000"/>
                <w:sz w:val="18"/>
                <w:szCs w:val="18"/>
              </w:rPr>
              <w:t>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76</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个人</w:t>
            </w:r>
            <w:r>
              <w:rPr>
                <w:rFonts w:hint="eastAsia" w:ascii="仿宋_GB2312" w:hAnsi="宋体" w:eastAsia="仿宋_GB2312"/>
                <w:color w:val="000000"/>
                <w:sz w:val="18"/>
                <w:szCs w:val="18"/>
              </w:rPr>
              <w:t>参保证明查询打印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个人记录查询打印</w:t>
            </w:r>
          </w:p>
        </w:tc>
        <w:tc>
          <w:tcPr>
            <w:tcW w:w="306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78</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79</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81</w:t>
            </w:r>
          </w:p>
        </w:tc>
        <w:tc>
          <w:tcPr>
            <w:tcW w:w="7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《政府信息公开条例》、《社会保险法》、《政府信息公开条例》、《社会保险法》、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养老保险关系转移接续申请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540" w:type="dxa"/>
            <w:noWrap w:val="0"/>
            <w:vAlign w:val="center"/>
          </w:tcPr>
          <w:p>
            <w:pPr>
              <w:jc w:val="both"/>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《政府信息公开条例》、《社会保险法》、《政府信息公开条例》、《社会保险法》</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公开事项信息形成或变更之日起20个工作日内公开公开事项信息形成或变更之日起20个工作日内公开</w:t>
            </w: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hint="default" w:ascii="仿宋_GB2312" w:hAnsi="宋体" w:eastAsia="仿宋_GB2312"/>
                <w:color w:val="000000"/>
                <w:sz w:val="18"/>
                <w:szCs w:val="18"/>
                <w:lang w:val="en-US"/>
              </w:rPr>
            </w:pPr>
            <w:r>
              <w:rPr>
                <w:rFonts w:hint="default" w:ascii="仿宋_GB2312" w:hAnsi="宋体" w:eastAsia="仿宋_GB2312"/>
                <w:color w:val="000000"/>
                <w:sz w:val="18"/>
                <w:szCs w:val="18"/>
                <w:lang w:val="en-US"/>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bl>
    <w:p>
      <w:pPr>
        <w:jc w:val="left"/>
        <w:rPr>
          <w:rFonts w:hint="eastAsia" w:ascii="Times New Roman" w:hAnsi="Times New Roman" w:eastAsia="方正小标宋_GBK"/>
          <w:sz w:val="28"/>
          <w:szCs w:val="28"/>
        </w:rPr>
      </w:pPr>
    </w:p>
    <w:p>
      <w:pPr>
        <w:jc w:val="both"/>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7" w:name="_Toc5268"/>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7"/>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75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widowControl/>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widowControl/>
              <w:jc w:val="center"/>
              <w:rPr>
                <w:rFonts w:hint="eastAsia"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pStyle w:val="2"/>
        <w:jc w:val="center"/>
        <w:rPr>
          <w:rFonts w:hint="eastAsia"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8" w:name="_Toc5403"/>
      <w:r>
        <w:rPr>
          <w:rFonts w:hint="eastAsia" w:ascii="方正小标宋_GBK" w:hAnsi="方正小标宋_GBK" w:eastAsia="方正小标宋_GBK"/>
          <w:b w:val="0"/>
          <w:bCs w:val="0"/>
          <w:sz w:val="30"/>
        </w:rPr>
        <w:t>（十二）征</w:t>
      </w:r>
      <w:r>
        <w:rPr>
          <w:rFonts w:hint="eastAsia" w:ascii="方正小标宋_GBK" w:hAnsi="方正小标宋_GBK" w:eastAsia="方正小标宋_GBK"/>
          <w:b w:val="0"/>
          <w:bCs w:val="0"/>
          <w:sz w:val="30"/>
          <w:lang w:eastAsia="zh-CN"/>
        </w:rPr>
        <w:t>地补偿领域</w:t>
      </w:r>
      <w:r>
        <w:rPr>
          <w:rFonts w:hint="eastAsia" w:ascii="方正小标宋_GBK" w:hAnsi="方正小标宋_GBK" w:eastAsia="方正小标宋_GBK"/>
          <w:b w:val="0"/>
          <w:bCs w:val="0"/>
          <w:sz w:val="30"/>
        </w:rPr>
        <w:t>基层政务公开标准目录</w:t>
      </w:r>
      <w:bookmarkEnd w:id="8"/>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786" w:type="dxa"/>
            <w:vMerge w:val="continue"/>
            <w:shd w:val="clear" w:color="auto" w:fill="auto"/>
            <w:noWrap w:val="0"/>
            <w:vAlign w:val="center"/>
          </w:tcPr>
          <w:p>
            <w:pPr>
              <w:widowControl/>
              <w:jc w:val="left"/>
              <w:rPr>
                <w:rFonts w:ascii="黑体" w:hAnsi="宋体" w:eastAsia="黑体" w:cs="宋体"/>
                <w:kern w:val="0"/>
                <w:sz w:val="22"/>
              </w:rPr>
            </w:pPr>
          </w:p>
        </w:tc>
        <w:tc>
          <w:tcPr>
            <w:tcW w:w="55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widowControl/>
              <w:jc w:val="left"/>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hint="eastAsia" w:ascii="仿宋_GB2312" w:eastAsia="仿宋_GB2312"/>
                <w:color w:val="000000"/>
                <w:sz w:val="18"/>
                <w:szCs w:val="18"/>
              </w:rPr>
            </w:pP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shd w:val="clear" w:color="auto" w:fill="auto"/>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2714" w:type="dxa"/>
            <w:vMerge w:val="continue"/>
            <w:shd w:val="clear" w:color="auto" w:fill="auto"/>
            <w:noWrap w:val="0"/>
            <w:vAlign w:val="center"/>
          </w:tcPr>
          <w:p>
            <w:pPr>
              <w:widowControl/>
              <w:rPr>
                <w:rFonts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1786" w:type="dxa"/>
            <w:vMerge w:val="continue"/>
            <w:shd w:val="clear" w:color="auto" w:fill="auto"/>
            <w:noWrap w:val="0"/>
            <w:vAlign w:val="center"/>
          </w:tcPr>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shd w:val="clear" w:color="auto" w:fill="auto"/>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shd w:val="clear" w:color="auto" w:fill="auto"/>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shd w:val="clear" w:color="auto" w:fill="auto"/>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pStyle w:val="2"/>
        <w:jc w:val="center"/>
        <w:rPr>
          <w:rFonts w:ascii="方正小标宋_GBK" w:eastAsia="方正小标宋_GBK"/>
          <w:b w:val="0"/>
          <w:bCs w:val="0"/>
          <w:sz w:val="30"/>
        </w:rPr>
      </w:pPr>
      <w:bookmarkStart w:id="9" w:name="_Toc20800"/>
      <w:r>
        <w:rPr>
          <w:rFonts w:hint="eastAsia" w:ascii="方正小标宋_GBK" w:eastAsia="方正小标宋_GBK"/>
          <w:b w:val="0"/>
          <w:bCs w:val="0"/>
          <w:sz w:val="30"/>
        </w:rPr>
        <w:t>（十三）环境</w:t>
      </w:r>
      <w:r>
        <w:rPr>
          <w:rFonts w:hint="eastAsia" w:ascii="方正小标宋_GBK" w:eastAsia="方正小标宋_GBK"/>
          <w:b w:val="0"/>
          <w:bCs w:val="0"/>
          <w:sz w:val="30"/>
          <w:lang w:eastAsia="zh-CN"/>
        </w:rPr>
        <w:t>保护</w:t>
      </w:r>
      <w:r>
        <w:rPr>
          <w:rFonts w:hint="eastAsia" w:ascii="方正小标宋_GBK" w:eastAsia="方正小标宋_GBK"/>
          <w:b w:val="0"/>
          <w:bCs w:val="0"/>
          <w:sz w:val="30"/>
        </w:rPr>
        <w:t>领域基层政务公开标准目录</w:t>
      </w:r>
      <w:bookmarkEnd w:id="9"/>
    </w:p>
    <w:p/>
    <w:p/>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l2br w:val="nil"/>
              <w:tr2bl w:val="nil"/>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1620"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公开事项</w:t>
            </w:r>
          </w:p>
        </w:tc>
        <w:tc>
          <w:tcPr>
            <w:tcW w:w="25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公开内容（要素）</w:t>
            </w:r>
          </w:p>
        </w:tc>
        <w:tc>
          <w:tcPr>
            <w:tcW w:w="270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公开依据</w:t>
            </w:r>
          </w:p>
        </w:tc>
        <w:tc>
          <w:tcPr>
            <w:tcW w:w="16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公开时限</w:t>
            </w:r>
          </w:p>
        </w:tc>
        <w:tc>
          <w:tcPr>
            <w:tcW w:w="7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公开主体</w:t>
            </w:r>
          </w:p>
        </w:tc>
        <w:tc>
          <w:tcPr>
            <w:tcW w:w="1620" w:type="dxa"/>
            <w:vMerge w:val="restart"/>
            <w:tcBorders>
              <w:tl2br w:val="nil"/>
              <w:tr2bl w:val="nil"/>
            </w:tcBorders>
            <w:shd w:val="clear" w:color="auto" w:fill="auto"/>
            <w:vAlign w:val="center"/>
          </w:tcPr>
          <w:p>
            <w:pPr>
              <w:widowControl/>
              <w:jc w:val="center"/>
              <w:rPr>
                <w:rFonts w:ascii="黑体" w:eastAsia="黑体" w:cs="宋体"/>
                <w:kern w:val="0"/>
                <w:sz w:val="22"/>
              </w:rPr>
            </w:pPr>
            <w:r>
              <w:rPr>
                <w:rFonts w:hint="eastAsia" w:ascii="黑体" w:eastAsia="黑体" w:cs="宋体"/>
                <w:kern w:val="0"/>
                <w:sz w:val="22"/>
              </w:rPr>
              <w:t>公开渠道和载体</w:t>
            </w:r>
          </w:p>
        </w:tc>
        <w:tc>
          <w:tcPr>
            <w:tcW w:w="1429"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公开对象</w:t>
            </w:r>
          </w:p>
        </w:tc>
        <w:tc>
          <w:tcPr>
            <w:tcW w:w="1271"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公开方式</w:t>
            </w:r>
          </w:p>
        </w:tc>
        <w:tc>
          <w:tcPr>
            <w:tcW w:w="1440"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tl2br w:val="nil"/>
              <w:tr2bl w:val="nil"/>
            </w:tcBorders>
            <w:vAlign w:val="center"/>
          </w:tcP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一级事项</w:t>
            </w:r>
          </w:p>
        </w:tc>
        <w:tc>
          <w:tcPr>
            <w:tcW w:w="90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二级事项</w:t>
            </w:r>
          </w:p>
        </w:tc>
        <w:tc>
          <w:tcPr>
            <w:tcW w:w="2520" w:type="dxa"/>
            <w:vMerge w:val="continue"/>
            <w:tcBorders>
              <w:tl2br w:val="nil"/>
              <w:tr2bl w:val="nil"/>
            </w:tcBorders>
            <w:vAlign w:val="center"/>
          </w:tcP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全社会</w:t>
            </w:r>
          </w:p>
        </w:tc>
        <w:tc>
          <w:tcPr>
            <w:tcW w:w="709"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特定群众</w:t>
            </w:r>
          </w:p>
        </w:tc>
        <w:tc>
          <w:tcPr>
            <w:tcW w:w="551"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主动</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依申请公开</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县级</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建设项目环境影响评价文件审批</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受理环节：受理情况公示、</w:t>
            </w:r>
            <w:r>
              <w:rPr>
                <w:rFonts w:ascii="仿宋_GB2312" w:eastAsia="仿宋_GB2312"/>
                <w:color w:val="000000"/>
                <w:sz w:val="18"/>
                <w:szCs w:val="18"/>
              </w:rPr>
              <w:t>报告书（</w:t>
            </w:r>
            <w:r>
              <w:rPr>
                <w:rFonts w:hint="eastAsia" w:ascii="仿宋_GB2312" w:eastAsia="仿宋_GB2312"/>
                <w:color w:val="000000"/>
                <w:sz w:val="18"/>
                <w:szCs w:val="18"/>
              </w:rPr>
              <w:t>表</w:t>
            </w:r>
            <w:r>
              <w:rPr>
                <w:rFonts w:ascii="仿宋_GB2312" w:eastAsia="仿宋_GB2312"/>
                <w:color w:val="000000"/>
                <w:sz w:val="18"/>
                <w:szCs w:val="18"/>
              </w:rPr>
              <w:t>）</w:t>
            </w:r>
            <w:r>
              <w:rPr>
                <w:rFonts w:hint="eastAsia" w:ascii="仿宋_GB2312" w:eastAsia="仿宋_GB2312"/>
                <w:color w:val="000000"/>
                <w:sz w:val="18"/>
                <w:szCs w:val="18"/>
              </w:rPr>
              <w:t>全本；拟决定环节：拟审查</w:t>
            </w:r>
            <w:r>
              <w:rPr>
                <w:rFonts w:ascii="仿宋_GB2312" w:eastAsia="仿宋_GB2312"/>
                <w:color w:val="000000"/>
                <w:sz w:val="18"/>
                <w:szCs w:val="18"/>
              </w:rPr>
              <w:t>环评文件基本情况公示</w:t>
            </w:r>
            <w:r>
              <w:rPr>
                <w:rFonts w:hint="eastAsia" w:ascii="仿宋_GB2312" w:eastAsia="仿宋_GB2312"/>
                <w:color w:val="000000"/>
                <w:sz w:val="18"/>
                <w:szCs w:val="18"/>
              </w:rPr>
              <w:t>；决定环节：环评批复</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《环境影响评价法》、《海洋环境保护法》、《放射性污染防治法》、《政府信息公开条例》</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防治污染</w:t>
            </w:r>
            <w:r>
              <w:rPr>
                <w:rFonts w:ascii="仿宋_GB2312" w:eastAsia="仿宋_GB2312"/>
                <w:color w:val="000000"/>
                <w:sz w:val="18"/>
                <w:szCs w:val="18"/>
              </w:rPr>
              <w:t>设施拆除或闲置审批</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3</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危险废</w:t>
            </w:r>
          </w:p>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物经营</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许可证</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受理环节：受理通知书；拟决定环节：向</w:t>
            </w:r>
            <w:r>
              <w:rPr>
                <w:rFonts w:ascii="仿宋_GB2312" w:eastAsia="仿宋_GB2312"/>
                <w:color w:val="000000"/>
                <w:sz w:val="18"/>
                <w:szCs w:val="18"/>
              </w:rPr>
              <w:t>有关</w:t>
            </w:r>
            <w:r>
              <w:rPr>
                <w:rFonts w:hint="eastAsia" w:ascii="仿宋_GB2312" w:eastAsia="仿宋_GB2312"/>
                <w:color w:val="000000"/>
                <w:sz w:val="18"/>
                <w:szCs w:val="18"/>
              </w:rPr>
              <w:t>部门</w:t>
            </w:r>
            <w:r>
              <w:rPr>
                <w:rFonts w:ascii="仿宋_GB2312" w:eastAsia="仿宋_GB2312"/>
                <w:color w:val="000000"/>
                <w:sz w:val="18"/>
                <w:szCs w:val="18"/>
              </w:rPr>
              <w:t>和专家</w:t>
            </w:r>
            <w:r>
              <w:rPr>
                <w:rFonts w:hint="eastAsia" w:ascii="仿宋_GB2312" w:eastAsia="仿宋_GB2312"/>
                <w:color w:val="000000"/>
                <w:sz w:val="18"/>
                <w:szCs w:val="18"/>
              </w:rPr>
              <w:t>征求意见、决定</w:t>
            </w:r>
            <w:r>
              <w:rPr>
                <w:rFonts w:ascii="仿宋_GB2312" w:eastAsia="仿宋_GB2312"/>
                <w:color w:val="000000"/>
                <w:sz w:val="18"/>
                <w:szCs w:val="18"/>
              </w:rPr>
              <w:t>前公示</w:t>
            </w:r>
            <w:r>
              <w:rPr>
                <w:rFonts w:hint="eastAsia" w:ascii="仿宋_GB2312" w:eastAsia="仿宋_GB2312"/>
                <w:color w:val="000000"/>
                <w:sz w:val="18"/>
                <w:szCs w:val="18"/>
              </w:rPr>
              <w:t>等；决定环节：危险废物经营许可证信息</w:t>
            </w:r>
            <w:r>
              <w:rPr>
                <w:rFonts w:ascii="仿宋_GB2312" w:eastAsia="仿宋_GB2312"/>
                <w:color w:val="000000"/>
                <w:sz w:val="18"/>
                <w:szCs w:val="18"/>
              </w:rPr>
              <w:t>公示</w:t>
            </w:r>
            <w:r>
              <w:rPr>
                <w:rFonts w:hint="eastAsia" w:ascii="仿宋_GB2312" w:eastAsia="仿宋_GB2312"/>
                <w:color w:val="000000"/>
                <w:sz w:val="18"/>
                <w:szCs w:val="18"/>
              </w:rPr>
              <w:t>；送达环节：送达单</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4</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行政处罚行政强制和行政</w:t>
            </w:r>
            <w:r>
              <w:rPr>
                <w:rFonts w:ascii="仿宋_GB2312" w:eastAsia="仿宋_GB2312"/>
                <w:color w:val="000000"/>
                <w:sz w:val="18"/>
                <w:szCs w:val="18"/>
              </w:rPr>
              <w:t>命令</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行政处罚流程</w:t>
            </w:r>
          </w:p>
        </w:tc>
        <w:tc>
          <w:tcPr>
            <w:tcW w:w="2520" w:type="dxa"/>
            <w:tcBorders>
              <w:tl2br w:val="nil"/>
              <w:tr2bl w:val="nil"/>
            </w:tcBorders>
            <w:vAlign w:val="center"/>
          </w:tcPr>
          <w:p>
            <w:pPr>
              <w:pStyle w:val="16"/>
              <w:adjustRightInd w:val="0"/>
              <w:snapToGrid w:val="0"/>
              <w:ind w:firstLine="0" w:firstLineChars="0"/>
              <w:rPr>
                <w:rFonts w:hint="eastAsia" w:ascii="仿宋_GB2312" w:eastAsia="仿宋_GB2312"/>
                <w:color w:val="000000"/>
                <w:sz w:val="18"/>
                <w:szCs w:val="18"/>
              </w:rPr>
            </w:pPr>
            <w:r>
              <w:rPr>
                <w:rFonts w:hint="eastAsia" w:ascii="仿宋_GB2312" w:eastAsia="仿宋_GB2312"/>
                <w:color w:val="000000"/>
                <w:sz w:val="18"/>
                <w:szCs w:val="18"/>
              </w:rPr>
              <w:t>行政处罚事先告知书；行政</w:t>
            </w:r>
            <w:r>
              <w:rPr>
                <w:rFonts w:ascii="仿宋_GB2312" w:eastAsia="仿宋_GB2312"/>
                <w:color w:val="000000"/>
                <w:sz w:val="18"/>
                <w:szCs w:val="18"/>
              </w:rPr>
              <w:t>处罚</w:t>
            </w:r>
            <w:r>
              <w:rPr>
                <w:rFonts w:hint="eastAsia" w:ascii="仿宋_GB2312" w:eastAsia="仿宋_GB2312"/>
                <w:color w:val="000000"/>
                <w:sz w:val="18"/>
                <w:szCs w:val="18"/>
              </w:rPr>
              <w:t>听证通知书；处罚执行情况：同意分期（延期）缴纳罚款通知书、督促</w:t>
            </w:r>
            <w:r>
              <w:rPr>
                <w:rFonts w:ascii="仿宋_GB2312" w:eastAsia="仿宋_GB2312"/>
                <w:color w:val="000000"/>
                <w:sz w:val="18"/>
                <w:szCs w:val="18"/>
              </w:rPr>
              <w:t>履行义务</w:t>
            </w:r>
            <w:r>
              <w:rPr>
                <w:rFonts w:hint="eastAsia" w:ascii="仿宋_GB2312" w:eastAsia="仿宋_GB2312"/>
                <w:color w:val="000000"/>
                <w:sz w:val="18"/>
                <w:szCs w:val="18"/>
              </w:rPr>
              <w:t>催告书、强制执行申请书等</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》、《环境影响评价法》、《政府信息公开条例》、《环境行政处罚办法》</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自收到申请之日起</w:t>
            </w:r>
            <w:r>
              <w:rPr>
                <w:rFonts w:ascii="仿宋_GB2312" w:eastAsia="仿宋_GB2312"/>
                <w:color w:val="000000"/>
                <w:sz w:val="18"/>
                <w:szCs w:val="18"/>
              </w:rPr>
              <w:t>20</w:t>
            </w:r>
            <w:r>
              <w:rPr>
                <w:rFonts w:hint="eastAsia" w:ascii="仿宋_GB2312" w:eastAsia="仿宋_GB2312"/>
                <w:color w:val="000000"/>
                <w:sz w:val="18"/>
                <w:szCs w:val="18"/>
              </w:rPr>
              <w:t>个工作日内</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■精准推送</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5</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行政处罚决定</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行政处罚决定书（全文公开）</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6</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行政处罚行政强制和行政</w:t>
            </w:r>
            <w:r>
              <w:rPr>
                <w:rFonts w:ascii="仿宋_GB2312" w:eastAsia="仿宋_GB2312"/>
                <w:color w:val="000000"/>
                <w:sz w:val="18"/>
                <w:szCs w:val="18"/>
              </w:rPr>
              <w:t>命令</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行政强制流程</w:t>
            </w:r>
          </w:p>
        </w:tc>
        <w:tc>
          <w:tcPr>
            <w:tcW w:w="2520" w:type="dxa"/>
            <w:tcBorders>
              <w:tl2br w:val="nil"/>
              <w:tr2bl w:val="nil"/>
            </w:tcBorders>
            <w:vAlign w:val="center"/>
          </w:tcPr>
          <w:p>
            <w:pPr>
              <w:pStyle w:val="16"/>
              <w:adjustRightInd w:val="0"/>
              <w:snapToGrid w:val="0"/>
              <w:ind w:firstLine="0" w:firstLineChars="0"/>
              <w:rPr>
                <w:rFonts w:hint="eastAsia" w:ascii="仿宋_GB2312" w:eastAsia="仿宋_GB2312"/>
                <w:color w:val="000000"/>
                <w:sz w:val="18"/>
                <w:szCs w:val="18"/>
              </w:rPr>
            </w:pPr>
            <w:r>
              <w:rPr>
                <w:rFonts w:hint="eastAsia" w:ascii="仿宋_GB2312" w:eastAsia="仿宋_GB2312"/>
                <w:color w:val="000000"/>
                <w:sz w:val="18"/>
                <w:szCs w:val="18"/>
              </w:rPr>
              <w:t>查封</w:t>
            </w:r>
            <w:r>
              <w:rPr>
                <w:rFonts w:ascii="仿宋_GB2312" w:eastAsia="仿宋_GB2312"/>
                <w:color w:val="000000"/>
                <w:sz w:val="18"/>
                <w:szCs w:val="18"/>
              </w:rPr>
              <w:t>、扣押清单</w:t>
            </w:r>
            <w:r>
              <w:rPr>
                <w:rFonts w:hint="eastAsia" w:ascii="仿宋_GB2312" w:eastAsia="仿宋_GB2312"/>
                <w:color w:val="000000"/>
                <w:sz w:val="18"/>
                <w:szCs w:val="18"/>
              </w:rPr>
              <w:t>；查封</w:t>
            </w:r>
            <w:r>
              <w:rPr>
                <w:rFonts w:ascii="仿宋_GB2312" w:eastAsia="仿宋_GB2312"/>
                <w:color w:val="000000"/>
                <w:sz w:val="18"/>
                <w:szCs w:val="18"/>
              </w:rPr>
              <w:t>（</w:t>
            </w:r>
            <w:r>
              <w:rPr>
                <w:rFonts w:hint="eastAsia" w:ascii="仿宋_GB2312" w:eastAsia="仿宋_GB2312"/>
                <w:color w:val="000000"/>
                <w:sz w:val="18"/>
                <w:szCs w:val="18"/>
              </w:rPr>
              <w:t>扣押</w:t>
            </w:r>
            <w:r>
              <w:rPr>
                <w:rFonts w:ascii="仿宋_GB2312" w:eastAsia="仿宋_GB2312"/>
                <w:color w:val="000000"/>
                <w:sz w:val="18"/>
                <w:szCs w:val="18"/>
              </w:rPr>
              <w:t>）</w:t>
            </w:r>
            <w:r>
              <w:rPr>
                <w:rFonts w:hint="eastAsia" w:ascii="仿宋_GB2312" w:eastAsia="仿宋_GB2312"/>
                <w:color w:val="000000"/>
                <w:sz w:val="18"/>
                <w:szCs w:val="18"/>
              </w:rPr>
              <w:t>延期</w:t>
            </w:r>
            <w:r>
              <w:rPr>
                <w:rFonts w:ascii="仿宋_GB2312" w:eastAsia="仿宋_GB2312"/>
                <w:color w:val="000000"/>
                <w:sz w:val="18"/>
                <w:szCs w:val="18"/>
              </w:rPr>
              <w:t>通知书</w:t>
            </w:r>
            <w:r>
              <w:rPr>
                <w:rFonts w:hint="eastAsia" w:ascii="仿宋_GB2312" w:eastAsia="仿宋_GB2312"/>
                <w:color w:val="000000"/>
                <w:sz w:val="18"/>
                <w:szCs w:val="18"/>
              </w:rPr>
              <w:t>；解除</w:t>
            </w:r>
            <w:r>
              <w:rPr>
                <w:rFonts w:ascii="仿宋_GB2312" w:eastAsia="仿宋_GB2312"/>
                <w:color w:val="000000"/>
                <w:sz w:val="18"/>
                <w:szCs w:val="18"/>
              </w:rPr>
              <w:t>查封（</w:t>
            </w:r>
            <w:r>
              <w:rPr>
                <w:rFonts w:hint="eastAsia" w:ascii="仿宋_GB2312" w:eastAsia="仿宋_GB2312"/>
                <w:color w:val="000000"/>
                <w:sz w:val="18"/>
                <w:szCs w:val="18"/>
              </w:rPr>
              <w:t>扣押</w:t>
            </w:r>
            <w:r>
              <w:rPr>
                <w:rFonts w:ascii="仿宋_GB2312" w:eastAsia="仿宋_GB2312"/>
                <w:color w:val="000000"/>
                <w:sz w:val="18"/>
                <w:szCs w:val="18"/>
              </w:rPr>
              <w:t>）</w:t>
            </w:r>
            <w:r>
              <w:rPr>
                <w:rFonts w:hint="eastAsia" w:ascii="仿宋_GB2312" w:eastAsia="仿宋_GB2312"/>
                <w:color w:val="000000"/>
                <w:sz w:val="18"/>
                <w:szCs w:val="18"/>
              </w:rPr>
              <w:t>决定书</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》、《环境影响评价法》、《政府信息公开条例》、《环境行政处罚办法》</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自收到申请之日起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■精准推送</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7</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行政强制决定</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查封、</w:t>
            </w:r>
            <w:r>
              <w:rPr>
                <w:rFonts w:ascii="仿宋_GB2312" w:eastAsia="仿宋_GB2312"/>
                <w:color w:val="000000"/>
                <w:sz w:val="18"/>
                <w:szCs w:val="18"/>
              </w:rPr>
              <w:t>扣押</w:t>
            </w:r>
            <w:r>
              <w:rPr>
                <w:rFonts w:hint="eastAsia" w:ascii="仿宋_GB2312" w:eastAsia="仿宋_GB2312"/>
                <w:color w:val="000000"/>
                <w:sz w:val="18"/>
                <w:szCs w:val="18"/>
              </w:rPr>
              <w:t>决定书（全文</w:t>
            </w:r>
            <w:r>
              <w:rPr>
                <w:rFonts w:ascii="仿宋_GB2312" w:eastAsia="仿宋_GB2312"/>
                <w:color w:val="000000"/>
                <w:sz w:val="18"/>
                <w:szCs w:val="18"/>
              </w:rPr>
              <w:t>公开</w:t>
            </w:r>
            <w:r>
              <w:rPr>
                <w:rFonts w:hint="eastAsia" w:ascii="仿宋_GB2312" w:eastAsia="仿宋_GB2312"/>
                <w:color w:val="000000"/>
                <w:sz w:val="18"/>
                <w:szCs w:val="18"/>
              </w:rPr>
              <w:t>）</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8</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t>命令</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责令</w:t>
            </w:r>
            <w:r>
              <w:rPr>
                <w:rFonts w:ascii="仿宋_GB2312" w:eastAsia="仿宋_GB2312"/>
                <w:color w:val="000000"/>
                <w:sz w:val="18"/>
                <w:szCs w:val="18"/>
              </w:rPr>
              <w:t>改正违法行为决定书（</w:t>
            </w:r>
            <w:r>
              <w:rPr>
                <w:rFonts w:hint="eastAsia" w:ascii="仿宋_GB2312" w:eastAsia="仿宋_GB2312"/>
                <w:color w:val="000000"/>
                <w:sz w:val="18"/>
                <w:szCs w:val="18"/>
              </w:rPr>
              <w:t>全文</w:t>
            </w:r>
            <w:r>
              <w:rPr>
                <w:rFonts w:ascii="仿宋_GB2312" w:eastAsia="仿宋_GB2312"/>
                <w:color w:val="000000"/>
                <w:sz w:val="18"/>
                <w:szCs w:val="18"/>
              </w:rPr>
              <w:t>公开）</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9</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行政奖励</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奖励办法、奖励公告、奖励决定</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0</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行政确认</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运行环节：受理、确认、送达、事后监管；责任事项</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1</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行政裁决和</w:t>
            </w:r>
            <w:r>
              <w:rPr>
                <w:rFonts w:ascii="仿宋_GB2312" w:eastAsia="仿宋_GB2312"/>
                <w:color w:val="000000"/>
                <w:sz w:val="18"/>
                <w:szCs w:val="18"/>
              </w:rPr>
              <w:t>行政调解</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运行环节：受理、审理、裁决或</w:t>
            </w:r>
            <w:r>
              <w:rPr>
                <w:rFonts w:ascii="仿宋_GB2312" w:eastAsia="仿宋_GB2312"/>
                <w:color w:val="000000"/>
                <w:sz w:val="18"/>
                <w:szCs w:val="18"/>
              </w:rPr>
              <w:t>调解</w:t>
            </w:r>
            <w:r>
              <w:rPr>
                <w:rFonts w:hint="eastAsia" w:ascii="仿宋_GB2312" w:eastAsia="仿宋_GB2312"/>
                <w:color w:val="000000"/>
                <w:sz w:val="18"/>
                <w:szCs w:val="18"/>
              </w:rPr>
              <w:t>、执行；责任事项</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《环境保护法》、《水污染防治法》、《海洋环境保护法》、《噪声污染防治法》、《</w:t>
            </w:r>
            <w:r>
              <w:rPr>
                <w:rFonts w:ascii="仿宋_GB2312" w:eastAsia="仿宋_GB2312"/>
                <w:color w:val="000000"/>
                <w:sz w:val="18"/>
                <w:szCs w:val="18"/>
              </w:rPr>
              <w:t>土壤污染防治法</w:t>
            </w:r>
            <w:r>
              <w:rPr>
                <w:rFonts w:hint="eastAsia" w:ascii="仿宋_GB2312" w:eastAsia="仿宋_GB2312"/>
                <w:color w:val="000000"/>
                <w:sz w:val="18"/>
                <w:szCs w:val="18"/>
              </w:rPr>
              <w:t>》、《固体废物污染环境防治法》、《政府信息公开条例》、《关于全面推进政务公开工作的意见》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2</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行政给付</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运行环节：受理、审查、决定、给付、事后监管；责任事项</w:t>
            </w:r>
          </w:p>
        </w:tc>
        <w:tc>
          <w:tcPr>
            <w:tcW w:w="2700" w:type="dxa"/>
            <w:vMerge w:val="restart"/>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■便民服务站</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3</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行政检查</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运行环节：制定方案、实施检查、事后监管；责任事项</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4</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其他行政职责</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重大建设项目环境管理</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重大建设项目生态环境行政许可情况；重大建设项目落实生态</w:t>
            </w:r>
            <w:r>
              <w:rPr>
                <w:rFonts w:ascii="仿宋_GB2312" w:eastAsia="仿宋_GB2312"/>
                <w:color w:val="000000"/>
                <w:sz w:val="18"/>
                <w:szCs w:val="18"/>
              </w:rPr>
              <w:t>环境要求</w:t>
            </w:r>
            <w:r>
              <w:rPr>
                <w:rFonts w:hint="eastAsia" w:ascii="仿宋_GB2312" w:eastAsia="仿宋_GB2312"/>
                <w:color w:val="000000"/>
                <w:sz w:val="18"/>
                <w:szCs w:val="18"/>
              </w:rPr>
              <w:t>情况；重大建设项目生态</w:t>
            </w:r>
            <w:r>
              <w:rPr>
                <w:rFonts w:ascii="仿宋_GB2312" w:eastAsia="仿宋_GB2312"/>
                <w:color w:val="000000"/>
                <w:sz w:val="18"/>
                <w:szCs w:val="18"/>
              </w:rPr>
              <w:t>环境监督</w:t>
            </w:r>
            <w:r>
              <w:rPr>
                <w:rFonts w:hint="eastAsia" w:ascii="仿宋_GB2312" w:eastAsia="仿宋_GB2312"/>
                <w:color w:val="000000"/>
                <w:sz w:val="18"/>
                <w:szCs w:val="18"/>
              </w:rPr>
              <w:t>管理情况</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5</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其他行政职责</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生态环境保护督察</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按要求公开生态环境</w:t>
            </w:r>
            <w:r>
              <w:rPr>
                <w:rFonts w:ascii="仿宋_GB2312" w:eastAsia="仿宋_GB2312"/>
                <w:color w:val="000000"/>
                <w:sz w:val="18"/>
                <w:szCs w:val="18"/>
              </w:rPr>
              <w:t>保护</w:t>
            </w:r>
            <w:r>
              <w:rPr>
                <w:rFonts w:hint="eastAsia" w:ascii="仿宋_GB2312" w:eastAsia="仿宋_GB2312"/>
                <w:color w:val="000000"/>
                <w:sz w:val="18"/>
                <w:szCs w:val="18"/>
              </w:rPr>
              <w:t>督察进驻时限，受理投诉、举报途径，督察反馈问题，受理投诉、举报查处情况，反馈问题整改情况。</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6</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生态建设</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eastAsia="仿宋_GB2312"/>
                <w:color w:val="000000"/>
                <w:sz w:val="18"/>
                <w:szCs w:val="18"/>
              </w:rPr>
              <w:t>环境</w:t>
            </w:r>
            <w:r>
              <w:rPr>
                <w:rFonts w:hint="eastAsia" w:ascii="仿宋_GB2312" w:eastAsia="仿宋_GB2312"/>
                <w:color w:val="000000"/>
                <w:sz w:val="18"/>
                <w:szCs w:val="18"/>
              </w:rPr>
              <w:t>监管执法信息；生物多样性保护、生物物种资源保护相关信息</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7</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企业事业单位突发环境事件应急预案备案</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企业事业单位突发环境事件应急预案备案情况</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《环境保护法》、《突发事件应对法》、《政府信息公开条例》、《企业事业单位突发环境事件应急预案备案管理办法（试行）》</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■便民服务站</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18</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生态环境保护政策与业务</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咨询</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生态环境保护政策与业务咨询答复函</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19</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生态环境主题活动组织情况</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20</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生态环境污染举报咨询</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生态环境</w:t>
            </w:r>
            <w:r>
              <w:rPr>
                <w:rFonts w:ascii="仿宋_GB2312" w:eastAsia="仿宋_GB2312"/>
                <w:color w:val="000000"/>
                <w:sz w:val="18"/>
                <w:szCs w:val="18"/>
              </w:rPr>
              <w:t>举报、</w:t>
            </w:r>
            <w:r>
              <w:rPr>
                <w:rFonts w:hint="eastAsia" w:ascii="仿宋_GB2312" w:eastAsia="仿宋_GB2312"/>
                <w:color w:val="000000"/>
                <w:sz w:val="18"/>
                <w:szCs w:val="18"/>
              </w:rPr>
              <w:t>咨询方式（电话、地址等）</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《环境保护法》、《政府信息公开条例》、《环境信访办法》</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1</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污染源监督监测</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重点排污</w:t>
            </w:r>
            <w:r>
              <w:rPr>
                <w:rFonts w:ascii="仿宋_GB2312" w:eastAsia="仿宋_GB2312"/>
                <w:color w:val="000000"/>
                <w:sz w:val="18"/>
                <w:szCs w:val="18"/>
              </w:rPr>
              <w:t>单位</w:t>
            </w:r>
            <w:r>
              <w:rPr>
                <w:rFonts w:hint="eastAsia" w:ascii="仿宋_GB2312" w:eastAsia="仿宋_GB2312"/>
                <w:color w:val="000000"/>
                <w:sz w:val="18"/>
                <w:szCs w:val="18"/>
              </w:rPr>
              <w:t>监督性监测信息</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《政府信息公开条例》、《国家重点监控企业污染源监督性监测及信息公开办法》、《国家生态环境监测方案》、每年印发的全国生态环境监测工作要点</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2</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污染源信息发布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重点排污单位基本情况</w:t>
            </w:r>
            <w:r>
              <w:rPr>
                <w:rFonts w:ascii="仿宋_GB2312" w:eastAsia="仿宋_GB2312"/>
                <w:color w:val="000000"/>
                <w:sz w:val="18"/>
                <w:szCs w:val="18"/>
              </w:rPr>
              <w:t>、</w:t>
            </w:r>
            <w:r>
              <w:rPr>
                <w:rFonts w:hint="eastAsia" w:ascii="仿宋_GB2312" w:eastAsia="仿宋_GB2312"/>
                <w:color w:val="000000"/>
                <w:sz w:val="18"/>
                <w:szCs w:val="18"/>
              </w:rPr>
              <w:t>总量控制、污染防治等信息，重点</w:t>
            </w:r>
            <w:r>
              <w:rPr>
                <w:rFonts w:ascii="仿宋_GB2312" w:eastAsia="仿宋_GB2312"/>
                <w:color w:val="000000"/>
                <w:sz w:val="18"/>
                <w:szCs w:val="18"/>
              </w:rPr>
              <w:t>排污单位</w:t>
            </w:r>
            <w:r>
              <w:rPr>
                <w:rFonts w:hint="eastAsia" w:ascii="仿宋_GB2312" w:eastAsia="仿宋_GB2312"/>
                <w:color w:val="000000"/>
                <w:sz w:val="18"/>
                <w:szCs w:val="18"/>
              </w:rPr>
              <w:t>环境信息公开情况监管信息</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3</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生态环境举报信访</w:t>
            </w:r>
            <w:r>
              <w:rPr>
                <w:rFonts w:ascii="仿宋_GB2312" w:eastAsia="仿宋_GB2312"/>
                <w:color w:val="000000"/>
                <w:sz w:val="18"/>
                <w:szCs w:val="18"/>
              </w:rPr>
              <w:t>信息</w:t>
            </w:r>
            <w:r>
              <w:rPr>
                <w:rFonts w:hint="eastAsia" w:ascii="仿宋_GB2312" w:eastAsia="仿宋_GB2312"/>
                <w:color w:val="000000"/>
                <w:sz w:val="18"/>
                <w:szCs w:val="18"/>
              </w:rPr>
              <w:t>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公开重点生态环境举报、信访案件及处理情况</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4</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生态环境质量信息发布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《环境保护法》、《政府信息公开条例》、《国务院关于印发水污染防治行动计划的通知》</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5</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生态环境统计报告</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本行政机关的政府信息公开工作年度报告、环境统计年度报告</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自该信息形成或者变更之日起20个工作日内;政府信息公开工作年度报告按照《政府信息公开条例》要求的时限公开</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bl>
    <w:p>
      <w:pPr>
        <w:jc w:val="center"/>
        <w:rPr>
          <w:rFonts w:ascii="黑体" w:eastAsia="黑体"/>
          <w:szCs w:val="21"/>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0" w:name="_Toc26009"/>
      <w:r>
        <w:rPr>
          <w:rFonts w:hint="eastAsia" w:ascii="方正小标宋_GBK" w:hAnsi="方正小标宋_GBK" w:eastAsia="方正小标宋_GBK"/>
          <w:b w:val="0"/>
          <w:bCs w:val="0"/>
          <w:sz w:val="30"/>
        </w:rPr>
        <w:t>（十四）保障性住房领域基层政务公开标准目录</w:t>
      </w:r>
      <w:bookmarkEnd w:id="1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360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246"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r>
              <w:rPr>
                <w:rFonts w:hint="eastAsia" w:ascii="仿宋_GB2312" w:hAnsi="宋体" w:eastAsia="仿宋_GB2312"/>
                <w:color w:val="000000"/>
                <w:sz w:val="18"/>
                <w:szCs w:val="18"/>
                <w:lang w:val="en-US" w:eastAsia="zh-CN"/>
              </w:rPr>
              <w:t>:</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1" w:name="_Toc2147"/>
      <w:r>
        <w:rPr>
          <w:rFonts w:hint="eastAsia" w:ascii="方正小标宋_GBK" w:hAnsi="方正小标宋_GBK" w:eastAsia="方正小标宋_GBK"/>
          <w:b w:val="0"/>
          <w:bCs w:val="0"/>
          <w:sz w:val="30"/>
        </w:rPr>
        <w:t>（十五）国有土地上房屋征收领域基层政务公开标准目录</w:t>
      </w:r>
      <w:bookmarkEnd w:id="11"/>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3240" w:type="dxa"/>
            <w:vMerge w:val="continue"/>
            <w:shd w:val="clear" w:color="auto" w:fill="auto"/>
            <w:vAlign w:val="center"/>
          </w:tcPr>
          <w:p>
            <w:pPr>
              <w:widowControl/>
              <w:jc w:val="left"/>
              <w:rPr>
                <w:rFonts w:ascii="黑体" w:hAnsi="宋体" w:eastAsia="黑体" w:cs="宋体"/>
                <w:color w:val="000000"/>
                <w:kern w:val="0"/>
                <w:sz w:val="22"/>
              </w:rPr>
            </w:pPr>
          </w:p>
        </w:tc>
        <w:tc>
          <w:tcPr>
            <w:tcW w:w="1260"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县人民政府及相关部门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30"/>
          <w:szCs w:val="30"/>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tbl>
      <w:tblPr>
        <w:tblStyle w:val="7"/>
        <w:tblW w:w="14535" w:type="dxa"/>
        <w:tblInd w:w="0" w:type="dxa"/>
        <w:shd w:val="clear" w:color="auto" w:fill="auto"/>
        <w:tblLayout w:type="autofit"/>
        <w:tblCellMar>
          <w:top w:w="0" w:type="dxa"/>
          <w:left w:w="0" w:type="dxa"/>
          <w:bottom w:w="0" w:type="dxa"/>
          <w:right w:w="0" w:type="dxa"/>
        </w:tblCellMar>
      </w:tblPr>
      <w:tblGrid>
        <w:gridCol w:w="547"/>
        <w:gridCol w:w="375"/>
        <w:gridCol w:w="669"/>
        <w:gridCol w:w="585"/>
        <w:gridCol w:w="960"/>
        <w:gridCol w:w="2145"/>
        <w:gridCol w:w="1215"/>
        <w:gridCol w:w="885"/>
        <w:gridCol w:w="3405"/>
        <w:gridCol w:w="375"/>
        <w:gridCol w:w="675"/>
        <w:gridCol w:w="675"/>
        <w:gridCol w:w="675"/>
        <w:gridCol w:w="675"/>
        <w:gridCol w:w="675"/>
      </w:tblGrid>
      <w:tr>
        <w:tblPrEx>
          <w:shd w:val="clear" w:color="auto" w:fill="auto"/>
          <w:tblCellMar>
            <w:top w:w="0" w:type="dxa"/>
            <w:left w:w="0" w:type="dxa"/>
            <w:bottom w:w="0" w:type="dxa"/>
            <w:right w:w="0" w:type="dxa"/>
          </w:tblCellMar>
        </w:tblPrEx>
        <w:trPr>
          <w:trHeight w:val="780" w:hRule="atLeast"/>
        </w:trPr>
        <w:tc>
          <w:tcPr>
            <w:tcW w:w="14536"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（十六）农村危房改造领域基层政务公开标准目录</w:t>
            </w:r>
          </w:p>
        </w:tc>
      </w:tr>
      <w:tr>
        <w:tblPrEx>
          <w:tblCellMar>
            <w:top w:w="0" w:type="dxa"/>
            <w:left w:w="0" w:type="dxa"/>
            <w:bottom w:w="0" w:type="dxa"/>
            <w:right w:w="0" w:type="dxa"/>
          </w:tblCellMar>
        </w:tblPrEx>
        <w:trPr>
          <w:trHeight w:val="60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70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21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省市县级住房和城乡建设等相关职能部门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辖区政府县级住房和城乡建设等相关职能部门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2" w:name="_Toc4597"/>
      <w:r>
        <w:rPr>
          <w:rFonts w:hint="eastAsia" w:ascii="方正小标宋_GBK" w:hAnsi="方正小标宋_GBK" w:eastAsia="方正小标宋_GBK"/>
          <w:b w:val="0"/>
          <w:bCs w:val="0"/>
          <w:sz w:val="30"/>
        </w:rPr>
        <w:t>（十七）市政服务领域基层政务公开标准目录</w:t>
      </w:r>
      <w:bookmarkEnd w:id="1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燃气经营许可证核发</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w:t>
            </w:r>
            <w:r>
              <w:rPr>
                <w:rFonts w:hint="eastAsia" w:ascii="仿宋_GB2312" w:eastAsia="仿宋_GB2312"/>
                <w:color w:val="000000"/>
                <w:sz w:val="18"/>
                <w:szCs w:val="18"/>
                <w:lang w:val="en-US" w:eastAsia="zh-CN"/>
              </w:rPr>
              <w:t>行政</w:t>
            </w:r>
            <w:r>
              <w:rPr>
                <w:rFonts w:hint="eastAsia" w:ascii="仿宋_GB2312" w:eastAsia="仿宋_GB2312"/>
                <w:color w:val="000000"/>
                <w:sz w:val="18"/>
                <w:szCs w:val="18"/>
              </w:rPr>
              <w:t>管理部门</w:t>
            </w:r>
          </w:p>
        </w:tc>
        <w:tc>
          <w:tcPr>
            <w:tcW w:w="144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燃气经营者改动市政燃气设施审批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w:t>
            </w:r>
            <w:r>
              <w:rPr>
                <w:rFonts w:hint="eastAsia" w:ascii="仿宋_GB2312" w:eastAsia="仿宋_GB2312"/>
                <w:color w:val="000000"/>
                <w:sz w:val="18"/>
                <w:szCs w:val="18"/>
                <w:lang w:val="en-US" w:eastAsia="zh-CN"/>
              </w:rPr>
              <w:t>行政</w:t>
            </w:r>
            <w:r>
              <w:rPr>
                <w:rFonts w:hint="eastAsia" w:ascii="仿宋_GB2312" w:eastAsia="仿宋_GB2312"/>
                <w:color w:val="000000"/>
                <w:sz w:val="18"/>
                <w:szCs w:val="18"/>
              </w:rPr>
              <w:t>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市政设施建设类审批</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占用、挖掘城市道路审批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《城市道路管理条例》</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eastAsia="仿宋_GB2312"/>
                <w:color w:val="000000"/>
                <w:sz w:val="18"/>
                <w:szCs w:val="18"/>
                <w:lang w:val="en-US" w:eastAsia="zh-CN"/>
              </w:rPr>
              <w:t>负责审批的行政管理部门</w:t>
            </w:r>
          </w:p>
        </w:tc>
        <w:tc>
          <w:tcPr>
            <w:tcW w:w="144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依附城市道路建设各种管线及城市桥梁上架设各类市政管线审批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《城市道路管理条例》</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特殊车辆在城市道路上行驶</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《城市道路管理条例》</w:t>
            </w:r>
            <w:r>
              <w:rPr>
                <w:rFonts w:hint="eastAsia" w:ascii="仿宋_GB2312" w:hAnsi="宋体" w:eastAsia="仿宋_GB2312" w:cs="宋体"/>
                <w:color w:val="000000"/>
                <w:sz w:val="18"/>
                <w:szCs w:val="18"/>
                <w:lang w:eastAsia="zh-CN"/>
              </w:rPr>
              <w:t>《</w:t>
            </w:r>
            <w:r>
              <w:rPr>
                <w:rFonts w:hint="eastAsia" w:ascii="仿宋_GB2312" w:hAnsi="宋体" w:eastAsia="仿宋_GB2312" w:cs="宋体"/>
                <w:color w:val="000000"/>
                <w:sz w:val="18"/>
                <w:szCs w:val="18"/>
                <w:lang w:val="en-US" w:eastAsia="zh-CN"/>
              </w:rPr>
              <w:t>城市桥梁检测和养护维修管理办法</w:t>
            </w:r>
            <w:r>
              <w:rPr>
                <w:rFonts w:hint="eastAsia" w:ascii="仿宋_GB2312" w:hAnsi="宋体" w:eastAsia="仿宋_GB2312" w:cs="宋体"/>
                <w:color w:val="000000"/>
                <w:sz w:val="18"/>
                <w:szCs w:val="18"/>
                <w:lang w:eastAsia="zh-CN"/>
              </w:rPr>
              <w:t>》</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因工程建设需要拆除、改动、迁移供水、排水与污水处理设施审核</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《城市供水条例》《城镇排水与污水处理条例》《国务院关于印发清理规范投资项目报建审批事项实施方案的通知》</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因工程施工、设备维修等确需停止供水的审批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《城镇排水与污水处理条例》</w:t>
            </w:r>
            <w:r>
              <w:rPr>
                <w:rFonts w:hint="eastAsia" w:ascii="仿宋_GB2312" w:eastAsia="仿宋_GB2312"/>
                <w:color w:val="000000"/>
                <w:sz w:val="18"/>
                <w:szCs w:val="18"/>
                <w:lang w:eastAsia="zh-CN"/>
              </w:rPr>
              <w:t>《</w:t>
            </w:r>
            <w:r>
              <w:rPr>
                <w:rFonts w:hint="eastAsia" w:ascii="仿宋_GB2312" w:eastAsia="仿宋_GB2312"/>
                <w:color w:val="000000"/>
                <w:sz w:val="18"/>
                <w:szCs w:val="18"/>
                <w:lang w:val="en-US" w:eastAsia="zh-CN"/>
              </w:rPr>
              <w:t>城市供水条例</w:t>
            </w:r>
            <w:r>
              <w:rPr>
                <w:rFonts w:hint="eastAsia" w:ascii="仿宋_GB2312" w:eastAsia="仿宋_GB2312"/>
                <w:color w:val="000000"/>
                <w:sz w:val="18"/>
                <w:szCs w:val="18"/>
                <w:lang w:eastAsia="zh-CN"/>
              </w:rPr>
              <w:t>》</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bl>
    <w:p>
      <w:pPr>
        <w:jc w:val="center"/>
        <w:rPr>
          <w:rFonts w:ascii="仿宋_GB2312" w:hAnsi="Times New Roman" w:eastAsia="仿宋_GB2312"/>
          <w:sz w:val="18"/>
          <w:szCs w:val="18"/>
        </w:rPr>
      </w:pPr>
    </w:p>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szCs w:val="18"/>
        </w:rPr>
      </w:pPr>
      <w:bookmarkStart w:id="13" w:name="_Toc11040"/>
      <w:r>
        <w:rPr>
          <w:rFonts w:hint="eastAsia" w:ascii="方正小标宋_GBK" w:hAnsi="方正小标宋_GBK" w:eastAsia="方正小标宋_GBK"/>
          <w:b w:val="0"/>
          <w:bCs w:val="0"/>
          <w:sz w:val="30"/>
        </w:rPr>
        <w:t>（十八）城市综合执法领域基层政务公开标准目录</w:t>
      </w:r>
      <w:bookmarkEnd w:id="13"/>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restart"/>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
    <w:p/>
    <w:p/>
    <w:p/>
    <w:p/>
    <w:p/>
    <w:p/>
    <w:p/>
    <w:p/>
    <w:p/>
    <w:p>
      <w:pPr>
        <w:pStyle w:val="2"/>
        <w:jc w:val="center"/>
        <w:rPr>
          <w:rFonts w:hint="eastAsia" w:ascii="方正小标宋_GBK" w:hAnsi="方正小标宋_GBK" w:eastAsia="方正小标宋_GBK"/>
          <w:b w:val="0"/>
          <w:bCs w:val="0"/>
          <w:sz w:val="30"/>
        </w:rPr>
      </w:pPr>
      <w:bookmarkStart w:id="14" w:name="_Toc23273"/>
      <w:r>
        <w:rPr>
          <w:rFonts w:hint="eastAsia" w:ascii="方正小标宋_GBK" w:hAnsi="方正小标宋_GBK" w:eastAsia="方正小标宋_GBK"/>
          <w:b w:val="0"/>
          <w:bCs w:val="0"/>
          <w:sz w:val="30"/>
        </w:rPr>
        <w:t>（十九）涉农补贴领域基层政务公开标准目录</w:t>
      </w:r>
      <w:bookmarkEnd w:id="14"/>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《农业机械化促进法》</w:t>
            </w:r>
          </w:p>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《农业生产发展资金管理办法》</w:t>
            </w:r>
          </w:p>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山西农机化信息网</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《农业生产发展资金管理办法》</w:t>
            </w: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《财政部 农业部关于全面推开农业“三项补贴”改革工作的通知》</w:t>
            </w: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山西省财政厅 山西省农业农村厅关于做好2020年耕地地力保护补贴资金发放工作的通知》（晋农财〔2020〕48号 ）</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numPr>
                <w:ilvl w:val="0"/>
                <w:numId w:val="0"/>
              </w:numPr>
              <w:jc w:val="lef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中华人民共和国</w:t>
            </w:r>
            <w:r>
              <w:rPr>
                <w:rFonts w:hint="eastAsia" w:ascii="仿宋_GB2312" w:hAnsi="Times New Roman" w:eastAsia="仿宋_GB2312"/>
                <w:sz w:val="18"/>
                <w:szCs w:val="18"/>
              </w:rPr>
              <w:t>动物防疫法》</w:t>
            </w: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《动物防疫等补助经费管理办法》</w:t>
            </w:r>
            <w:r>
              <w:rPr>
                <w:rFonts w:hint="eastAsia" w:ascii="仿宋_GB2312" w:hAnsi="Times New Roman" w:eastAsia="仿宋_GB2312"/>
                <w:sz w:val="18"/>
                <w:szCs w:val="18"/>
                <w:lang w:val="en-US" w:eastAsia="zh-CN"/>
              </w:rPr>
              <w:t>（财农〔2017〕43号 ）</w:t>
            </w:r>
          </w:p>
          <w:p>
            <w:pPr>
              <w:numPr>
                <w:ilvl w:val="0"/>
                <w:numId w:val="0"/>
              </w:numPr>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2020年国家动物疫病强制免疫计划》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入户/现场</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p/>
    <w:p/>
    <w:p/>
    <w:p/>
    <w:p/>
    <w:p/>
    <w:p/>
    <w:p/>
    <w:p/>
    <w:p/>
    <w:p/>
    <w:p/>
    <w:p/>
    <w:p/>
    <w:p/>
    <w:p/>
    <w:p>
      <w:pPr>
        <w:pStyle w:val="2"/>
        <w:jc w:val="center"/>
        <w:rPr>
          <w:rFonts w:ascii="方正小标宋_GBK" w:hAnsi="方正小标宋_GBK" w:eastAsia="方正小标宋_GBK"/>
          <w:b w:val="0"/>
          <w:bCs w:val="0"/>
          <w:sz w:val="30"/>
        </w:rPr>
      </w:pPr>
      <w:bookmarkStart w:id="15" w:name="_Toc17122"/>
      <w:r>
        <w:rPr>
          <w:rFonts w:hint="eastAsia" w:ascii="方正小标宋_GBK" w:hAnsi="方正小标宋_GBK" w:eastAsia="方正小标宋_GBK"/>
          <w:b w:val="0"/>
          <w:bCs w:val="0"/>
          <w:sz w:val="30"/>
        </w:rPr>
        <w:t>（二十）公共文化服务领域基层政务公开标准目录</w:t>
      </w:r>
      <w:bookmarkEnd w:id="15"/>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旅行社违法行为的行政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《中华人民共和国旅游法》、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、《旅行社条例》、《旅行社条例实施细则》、《中国公民出国旅游管理办法》、《旅行社责任保险管理办法》、《旅游安全管理办法》、《大陆居民赴台湾地区旅游管理办法》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导游（领队）违法</w:t>
            </w:r>
            <w:r>
              <w:rPr>
                <w:rFonts w:hint="eastAsia" w:ascii="仿宋_GB2312" w:hAnsi="Times New Roman" w:eastAsia="仿宋_GB2312"/>
                <w:sz w:val="18"/>
                <w:szCs w:val="18"/>
              </w:rPr>
              <w:t>行为</w:t>
            </w:r>
            <w:r>
              <w:rPr>
                <w:rFonts w:hint="eastAsia" w:ascii="仿宋_GB2312" w:hAnsi="Times New Roman" w:eastAsia="仿宋_GB2312"/>
                <w:sz w:val="18"/>
                <w:szCs w:val="18"/>
                <w:lang w:eastAsia="zh-CN"/>
              </w:rPr>
              <w:t>的行政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《中华人民共和国旅游法》、《导游管理办法》、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、《导游人员管理条例》、《中国公民出国旅游管理办法》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val="en-US" w:eastAsia="zh-CN"/>
              </w:rPr>
              <w:t>A级景区的违法行为的</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《中华人民共和国旅游法》、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单位、个人</w:t>
            </w:r>
            <w:r>
              <w:rPr>
                <w:rFonts w:hint="eastAsia" w:ascii="仿宋_GB2312" w:hAnsi="Times New Roman" w:eastAsia="仿宋_GB2312"/>
                <w:sz w:val="18"/>
                <w:szCs w:val="18"/>
              </w:rPr>
              <w:t>擅自</w:t>
            </w:r>
            <w:r>
              <w:rPr>
                <w:rFonts w:hint="eastAsia" w:ascii="仿宋_GB2312" w:hAnsi="Times New Roman" w:eastAsia="仿宋_GB2312"/>
                <w:sz w:val="18"/>
                <w:szCs w:val="18"/>
                <w:lang w:eastAsia="zh-CN"/>
              </w:rPr>
              <w:t>安装和使用卫星地面接收设施</w:t>
            </w:r>
            <w:r>
              <w:rPr>
                <w:rFonts w:hint="eastAsia" w:ascii="仿宋_GB2312" w:hAnsi="Times New Roman" w:eastAsia="仿宋_GB2312"/>
                <w:sz w:val="18"/>
                <w:szCs w:val="18"/>
              </w:rPr>
              <w:t>的</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《卫星电视广播地面接收设施</w:t>
            </w:r>
            <w:r>
              <w:rPr>
                <w:rFonts w:hint="eastAsia" w:ascii="仿宋_GB2312" w:hAnsi="Times New Roman" w:eastAsia="仿宋_GB2312"/>
                <w:sz w:val="18"/>
                <w:szCs w:val="18"/>
                <w:lang w:eastAsia="zh-CN"/>
              </w:rPr>
              <w:t>管理规定</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广播电视</w:t>
            </w:r>
            <w:r>
              <w:rPr>
                <w:rFonts w:hint="eastAsia" w:ascii="仿宋_GB2312" w:hAnsi="Times New Roman" w:eastAsia="仿宋_GB2312"/>
                <w:sz w:val="18"/>
                <w:szCs w:val="18"/>
              </w:rPr>
              <w:t>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单位、个人</w:t>
            </w:r>
            <w:r>
              <w:rPr>
                <w:rFonts w:hint="eastAsia" w:ascii="仿宋_GB2312" w:hAnsi="Times New Roman" w:eastAsia="仿宋_GB2312"/>
                <w:sz w:val="18"/>
                <w:szCs w:val="18"/>
              </w:rPr>
              <w:t>擅自</w:t>
            </w:r>
            <w:r>
              <w:rPr>
                <w:rFonts w:hint="eastAsia" w:ascii="仿宋_GB2312" w:hAnsi="Times New Roman" w:eastAsia="仿宋_GB2312"/>
                <w:sz w:val="18"/>
                <w:szCs w:val="18"/>
                <w:lang w:eastAsia="zh-CN"/>
              </w:rPr>
              <w:t>提供卫星地面接收设施安装服务</w:t>
            </w:r>
            <w:r>
              <w:rPr>
                <w:rFonts w:hint="eastAsia" w:ascii="仿宋_GB2312" w:hAnsi="Times New Roman" w:eastAsia="仿宋_GB2312"/>
                <w:sz w:val="18"/>
                <w:szCs w:val="18"/>
              </w:rPr>
              <w:t>的</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《卫星电视广播地面接收设施安装服务暂行办法》、《国务院办公厅关于全面推行行政执法公示制度执法全过程记录制度重大执法决定法制审核制度的指导意见》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广播电视</w:t>
            </w:r>
            <w:r>
              <w:rPr>
                <w:rFonts w:hint="eastAsia" w:ascii="仿宋_GB2312" w:hAnsi="Times New Roman" w:eastAsia="仿宋_GB2312"/>
                <w:sz w:val="18"/>
                <w:szCs w:val="18"/>
              </w:rPr>
              <w:t>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5</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p/>
    <w:tbl>
      <w:tblPr>
        <w:tblStyle w:val="7"/>
        <w:tblW w:w="13980" w:type="dxa"/>
        <w:tblInd w:w="0" w:type="dxa"/>
        <w:shd w:val="clear" w:color="auto" w:fill="auto"/>
        <w:tblLayout w:type="autofit"/>
        <w:tblCellMar>
          <w:top w:w="0" w:type="dxa"/>
          <w:left w:w="0" w:type="dxa"/>
          <w:bottom w:w="0" w:type="dxa"/>
          <w:right w:w="0" w:type="dxa"/>
        </w:tblCellMar>
      </w:tblPr>
      <w:tblGrid>
        <w:gridCol w:w="206"/>
        <w:gridCol w:w="206"/>
        <w:gridCol w:w="734"/>
        <w:gridCol w:w="1018"/>
        <w:gridCol w:w="8449"/>
        <w:gridCol w:w="734"/>
        <w:gridCol w:w="206"/>
        <w:gridCol w:w="206"/>
        <w:gridCol w:w="414"/>
        <w:gridCol w:w="329"/>
        <w:gridCol w:w="359"/>
        <w:gridCol w:w="384"/>
        <w:gridCol w:w="291"/>
        <w:gridCol w:w="452"/>
      </w:tblGrid>
      <w:tr>
        <w:tblPrEx>
          <w:shd w:val="clear" w:color="auto" w:fill="auto"/>
          <w:tblCellMar>
            <w:top w:w="0" w:type="dxa"/>
            <w:left w:w="0" w:type="dxa"/>
            <w:bottom w:w="0" w:type="dxa"/>
            <w:right w:w="0" w:type="dxa"/>
          </w:tblCellMar>
        </w:tblPrEx>
        <w:trPr>
          <w:trHeight w:val="720" w:hRule="atLeast"/>
        </w:trPr>
        <w:tc>
          <w:tcPr>
            <w:tcW w:w="1398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cs="宋体"/>
                <w:b/>
                <w:i w:val="0"/>
                <w:color w:val="000000"/>
                <w:kern w:val="0"/>
                <w:sz w:val="32"/>
                <w:szCs w:val="32"/>
                <w:u w:val="none"/>
                <w:lang w:val="en-US" w:eastAsia="zh-CN" w:bidi="ar"/>
              </w:rPr>
              <w:t>（二十一）医疗</w:t>
            </w:r>
            <w:r>
              <w:rPr>
                <w:rFonts w:hint="eastAsia" w:ascii="宋体" w:hAnsi="宋体" w:eastAsia="宋体" w:cs="宋体"/>
                <w:b/>
                <w:i w:val="0"/>
                <w:color w:val="000000"/>
                <w:kern w:val="0"/>
                <w:sz w:val="32"/>
                <w:szCs w:val="32"/>
                <w:u w:val="none"/>
                <w:lang w:val="en-US" w:eastAsia="zh-CN" w:bidi="ar"/>
              </w:rPr>
              <w:t>卫生领域基层政务公开标准目录</w:t>
            </w:r>
          </w:p>
        </w:tc>
      </w:tr>
      <w:tr>
        <w:tblPrEx>
          <w:shd w:val="clear" w:color="auto" w:fill="auto"/>
          <w:tblCellMar>
            <w:top w:w="0" w:type="dxa"/>
            <w:left w:w="0" w:type="dxa"/>
            <w:bottom w:w="0" w:type="dxa"/>
            <w:right w:w="0" w:type="dxa"/>
          </w:tblCellMar>
        </w:tblPrEx>
        <w:trPr>
          <w:trHeight w:val="3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公开事项</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公开内容（要素）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公开时限</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公开主体</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公开层级</w:t>
            </w:r>
          </w:p>
        </w:tc>
      </w:tr>
      <w:tr>
        <w:tblPrEx>
          <w:shd w:val="clear" w:color="auto" w:fill="auto"/>
          <w:tblCellMar>
            <w:top w:w="0" w:type="dxa"/>
            <w:left w:w="0" w:type="dxa"/>
            <w:bottom w:w="0" w:type="dxa"/>
            <w:right w:w="0" w:type="dxa"/>
          </w:tblCellMar>
        </w:tblPrEx>
        <w:trPr>
          <w:trHeight w:val="6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二级事项</w:t>
            </w: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全社会</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特定群众</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依申请公开</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乡、村级</w:t>
            </w:r>
          </w:p>
        </w:tc>
      </w:tr>
      <w:tr>
        <w:tblPrEx>
          <w:shd w:val="clear" w:color="auto" w:fill="auto"/>
          <w:tblCellMar>
            <w:top w:w="0" w:type="dxa"/>
            <w:left w:w="0" w:type="dxa"/>
            <w:bottom w:w="0" w:type="dxa"/>
            <w:right w:w="0" w:type="dxa"/>
          </w:tblCellMar>
        </w:tblPrEx>
        <w:trPr>
          <w:trHeight w:val="79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放射医疗工作人员证核发</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审批事项名称:放射诊疗工作人员证核发;2.权力事项类型:行政确认;3.办理机构:五台县卫生健康和体育局;4.受理地点/受理时间:五台县卫生健康和体育局/周一至周五法定工作日8:30—12:00、14:30—17:30;5.咨询电话：0350—6522592；6.监督投诉电话：0350—6522592；7.法定期限：30个工作日；8.承诺期限：5个工作日；9.服务对象：从事放射医疗工作人员；10.设定依据：《放射工作人员职业健康管理办法》（卫生部令第55号，2007年6月3日发布，自2007年11月1日起施行。）  第六条   放射工作人员上岗前，放射工作单位负责向所在地县级以上地方人民政府卫生行政部门为其申请办理《放射工作人员证》。  开展放射诊疗工作的医疗机构，向为其发放《放射诊疗许可证》的卫生行政部门申请办理《放射工作人员证》。  开展本办法第二条第二款第（三）项所列活动以及非医用加速器运行、辐照加工、射线探伤和油田测井等活动的放射工作单位，向所在地省级卫生行政部门申请办理《放射工作人员证》。11.申报条件：a.年满18岁；b.经职业健康检查合格，符合放射工作人员的职业健康要求；c.放射防和有关法律知识培训考核合格；d.遵守放射防护法规和规章制度，接受职业健康监护和个人剂量监测管理；e.所辖范围内医疗机构开展放射诊疗活动的工作人员。12.申报材料：a.《放射工作人员证申请表》；b.二寸近期免冠正面照片1张；c.放射工作人员健康体检合格证明、放射防护知识培训合格证明；d.个人剂量监测合格证明（新上岗人员不需提供）；e.换发新证应交原《放射工作人员证》。13.办理流程：申请→受理→审核→决定→发证；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《放射工作人员职业健康管理办法》（2007年6月3日中华人民共和国卫生部令第55号令）第六条 放射工作人员上岗前，放射工作单位负责向所在地县级以上地方人民政府卫生行政部门为其申请办理《放射工作人员证》。 开展放射诊疗工作的医疗机构，向为其发放《放射诊疗许可证》的卫生行政部门申请办理《放射工作人员证》。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18"/>
                <w:lang w:val="en-US" w:eastAsia="zh-CN" w:bidi="ar"/>
              </w:rPr>
              <w:t>1.审批事项名称:“两非”案件举报</w:t>
            </w:r>
            <w:r>
              <w:rPr>
                <w:rFonts w:hint="eastAsia" w:ascii="宋体" w:hAnsi="宋体" w:eastAsia="宋体" w:cs="宋体"/>
                <w:i w:val="0"/>
                <w:color w:val="000000"/>
                <w:kern w:val="0"/>
                <w:sz w:val="18"/>
                <w:szCs w:val="18"/>
                <w:u w:val="none"/>
                <w:lang w:val="en-US" w:eastAsia="zh-CN" w:bidi="ar"/>
              </w:rPr>
              <w:t>奖励</w:t>
            </w:r>
            <w:r>
              <w:rPr>
                <w:rStyle w:val="18"/>
                <w:lang w:val="en-US" w:eastAsia="zh-CN" w:bidi="ar"/>
              </w:rPr>
              <w:t>;2.权力事项类型：</w:t>
            </w:r>
            <w:r>
              <w:rPr>
                <w:rFonts w:hint="eastAsia" w:ascii="宋体" w:hAnsi="宋体" w:eastAsia="宋体" w:cs="宋体"/>
                <w:i w:val="0"/>
                <w:color w:val="000000"/>
                <w:kern w:val="0"/>
                <w:sz w:val="18"/>
                <w:szCs w:val="18"/>
                <w:u w:val="none"/>
                <w:lang w:val="en-US" w:eastAsia="zh-CN" w:bidi="ar"/>
              </w:rPr>
              <w:t>行政奖励</w:t>
            </w:r>
            <w:r>
              <w:rPr>
                <w:rStyle w:val="18"/>
                <w:lang w:val="en-US" w:eastAsia="zh-CN" w:bidi="ar"/>
              </w:rPr>
              <w:t>:;3.办理机构:五台县卫生健康和体育局;4.受理地点/受理时间:五台县卫生健康和体育局/周一至周五法定工作日8:30—12:00、14:30—17:30;5.咨询电话：0350—6522592；6.监督投诉电话：0350—6522592；7.法定期限：30个工作日；8.承诺期限：15个工作日；9.服务对象：公民；10.设定依据：</w:t>
            </w:r>
            <w:r>
              <w:rPr>
                <w:rFonts w:hint="eastAsia" w:ascii="宋体" w:hAnsi="宋体" w:eastAsia="宋体" w:cs="宋体"/>
                <w:i w:val="0"/>
                <w:color w:val="323232"/>
                <w:kern w:val="0"/>
                <w:sz w:val="18"/>
                <w:szCs w:val="18"/>
                <w:u w:val="none"/>
                <w:lang w:val="en-US" w:eastAsia="zh-CN" w:bidi="ar"/>
              </w:rPr>
              <w:t>《中华人民共和国人口与计划生育法》 第八条 国家对在人口与计划生育工作中作出显著成绩的组织和个人，给予奖励。</w:t>
            </w:r>
            <w:r>
              <w:rPr>
                <w:rFonts w:hint="eastAsia" w:ascii="宋体" w:hAnsi="宋体" w:eastAsia="宋体" w:cs="宋体"/>
                <w:i w:val="0"/>
                <w:color w:val="000000"/>
                <w:kern w:val="0"/>
                <w:sz w:val="18"/>
                <w:szCs w:val="18"/>
                <w:u w:val="none"/>
                <w:lang w:val="en-US" w:eastAsia="zh-CN" w:bidi="ar"/>
              </w:rPr>
              <w:t>11.申报条件：a.</w:t>
            </w:r>
            <w:r>
              <w:rPr>
                <w:rFonts w:hint="eastAsia" w:ascii="宋体" w:hAnsi="宋体" w:eastAsia="宋体" w:cs="宋体"/>
                <w:i w:val="0"/>
                <w:color w:val="323232"/>
                <w:kern w:val="0"/>
                <w:sz w:val="18"/>
                <w:szCs w:val="18"/>
                <w:u w:val="none"/>
                <w:lang w:val="en-US" w:eastAsia="zh-CN" w:bidi="ar"/>
              </w:rPr>
              <w:t>根据卫生健康行政部门举报非医学需要鉴定胎儿性别和选择性别人工终止妊娠及非法销售、使用终止妊娠药品违法行为的线索；b.申请人举报的“两非”线索是相关行政执法部门尚未掌握的；c.申请人举报的人民政府《关于禁止非医学需要鉴定胎儿性别和选择性别人工终止妊娠的通告》的有关规定，申请举报“两非”奖励对象应符合下列条件：申请人向卫生健康行政部门提交材料，经受理部门查证，认定属实的</w:t>
            </w:r>
            <w:r>
              <w:rPr>
                <w:rFonts w:hint="eastAsia" w:ascii="宋体" w:hAnsi="宋体" w:eastAsia="宋体" w:cs="宋体"/>
                <w:i w:val="0"/>
                <w:color w:val="000000"/>
                <w:kern w:val="0"/>
                <w:sz w:val="18"/>
                <w:szCs w:val="18"/>
                <w:u w:val="none"/>
                <w:lang w:val="en-US" w:eastAsia="zh-CN" w:bidi="ar"/>
              </w:rPr>
              <w:t>；</w:t>
            </w:r>
            <w:r>
              <w:rPr>
                <w:rStyle w:val="18"/>
                <w:lang w:val="en-US" w:eastAsia="zh-CN" w:bidi="ar"/>
              </w:rPr>
              <w:t>12.申报材料：a</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333333"/>
                <w:kern w:val="0"/>
                <w:sz w:val="18"/>
                <w:szCs w:val="18"/>
                <w:u w:val="none"/>
                <w:lang w:val="en-US" w:eastAsia="zh-CN" w:bidi="ar"/>
              </w:rPr>
              <w:t>举报非医学需要鉴定胎儿性别和选择性别人工终止妊娠奖励申报表》</w:t>
            </w:r>
            <w:r>
              <w:rPr>
                <w:rFonts w:hint="eastAsia" w:ascii="宋体" w:hAnsi="宋体" w:eastAsia="宋体" w:cs="宋体"/>
                <w:i w:val="0"/>
                <w:color w:val="000000"/>
                <w:kern w:val="0"/>
                <w:sz w:val="18"/>
                <w:szCs w:val="18"/>
                <w:u w:val="none"/>
                <w:lang w:val="en-US" w:eastAsia="zh-CN" w:bidi="ar"/>
              </w:rPr>
              <w:t>；b.</w:t>
            </w:r>
            <w:r>
              <w:rPr>
                <w:rFonts w:hint="eastAsia" w:ascii="宋体" w:hAnsi="宋体" w:eastAsia="宋体" w:cs="宋体"/>
                <w:i w:val="0"/>
                <w:color w:val="333333"/>
                <w:kern w:val="0"/>
                <w:sz w:val="18"/>
                <w:szCs w:val="18"/>
                <w:u w:val="none"/>
                <w:lang w:val="en-US" w:eastAsia="zh-CN" w:bidi="ar"/>
              </w:rPr>
              <w:t>身份证</w:t>
            </w:r>
            <w:r>
              <w:rPr>
                <w:rFonts w:hint="eastAsia" w:ascii="宋体" w:hAnsi="宋体" w:eastAsia="宋体" w:cs="宋体"/>
                <w:i w:val="0"/>
                <w:color w:val="000000"/>
                <w:kern w:val="0"/>
                <w:sz w:val="18"/>
                <w:szCs w:val="18"/>
                <w:u w:val="none"/>
                <w:lang w:val="en-US" w:eastAsia="zh-CN" w:bidi="ar"/>
              </w:rPr>
              <w:t>。</w:t>
            </w:r>
            <w:r>
              <w:rPr>
                <w:rStyle w:val="18"/>
                <w:lang w:val="en-US" w:eastAsia="zh-CN" w:bidi="ar"/>
              </w:rPr>
              <w:t>13.办理流程：a</w:t>
            </w:r>
            <w:r>
              <w:rPr>
                <w:rFonts w:hint="eastAsia" w:ascii="宋体" w:hAnsi="宋体" w:eastAsia="宋体" w:cs="宋体"/>
                <w:i w:val="0"/>
                <w:color w:val="333333"/>
                <w:kern w:val="0"/>
                <w:sz w:val="18"/>
                <w:szCs w:val="18"/>
                <w:u w:val="none"/>
                <w:lang w:val="en-US" w:eastAsia="zh-CN" w:bidi="ar"/>
              </w:rPr>
              <w:t>、申请；b、受理；c、审查；d、领取结果；</w:t>
            </w:r>
            <w:r>
              <w:rPr>
                <w:rStyle w:val="18"/>
                <w:lang w:val="en-US" w:eastAsia="zh-CN" w:bidi="ar"/>
              </w:rPr>
              <w:t>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《中华人民共和国人口与计划生育法》第八条国家对在人口与计划生育工作中作出显著成绩的组织和个人，给予奖励。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学校卫生工作中成绩显著的单位或者个人的表彰奖励;2.权力事项类型：行政奖励;3.办理机构:五台县卫生健康和体育局;4.受理地点/受理时间:五台县卫生健康和体育局/周一至周五法定工作日8:30—12:00、14:30—17:30;5.咨询电话：0350—6522592；6.监督投诉电话：0350—6522592；7.法定期限：30个工作日；8.承诺期限：15个工作日；9.服务对象：从事学校卫生工作的组织或个人；10.设定依据：《学校卫生工作条例》（国务院批准，国家教育委员会令第10号、卫生部令第1号）第三十一条       对在学校卫生工作中成绩显著的单位或者个人，各级教育、卫生行政部门和学校应当给予表彰、奖励。11.申报条件：学校卫生工作中成绩显著的单位或者个人。12.申报材料：a.学历证书；b.专业技术资格证书；c.单位推荐材料。13.办理流程：拟定表彰方案→下发表彰通知→基层单位推荐表彰单位和个人→评审、核查→通报表彰，并颁发奖牌、证书；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《学校卫生工作条例》（国务院批准，国家教育委员会令第10号、卫生部令第1号）第三十一条对在学校卫生工作中成绩显著的单位或者个人，各级教育、卫生行政部门和学校应当给予表彰、奖励。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再生育病残儿医学鉴定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根据国家和省《病残儿医学鉴定管理办法》、《山西省人口和计划生育条例》、《忻州市病残儿医学鉴定及病残儿家庭再生育子女审批的管理办法》等有关规定开展再生育病残儿医学鉴定。                        再生育病残儿医学鉴定程序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2、带县级以上医疗机构病历复印件经乡（镇）和县卫健办审核后提交市级卫健部门组织鉴定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3、结果反馈提交所在乡（镇）卫计办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国家和省《病残儿医学鉴定管理办法》、《山西省人口和计划生育条例》、《忻州市病残儿医学鉴定及病残儿家庭再生育子女审批的管理办法》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计划生育手术并发症鉴定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根据《国家人口和计划生育委员会关于印发&lt;计划生育手术并发症鉴定管办法(试行)&gt;的通知》(人口科技【2011】67号)等有关规定开展计划生育手术并发症鉴定工作。并努力做好关心、关爱和特别扶助等工作。                                      计划生育手术并发症鉴定程序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2、由计生部门组织专家进行初级鉴定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3、本人提出不服县级初级鉴定结论，可再申请进行市级鉴定；不服市级鉴定结论，再申请省级鉴定。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《国家人口和计划生育委员会关于印发&lt;计划生育手术并发症鉴定管办法(试行)&gt;的通知》(人口科技【2011】67号)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计划生育“一票否决”制的审核</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计划生育“一票否决”制的审核办法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根据《山西省人口和计划生育条例》、《山西省人口与计划生育工作“一票否决”办法(试行)》、《山西省人口与计划生育工作“一票否决”审核细则》等有关规定，结合我县实际，制定本办法：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一、各级党委、政府，各部门、各单位，凡具有下列情形之一的，实行“一票否决”：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1、上级下达的年度人口和计划生育目标管理责任制考核未达标的；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2、人口和计划生育工作重点治理地区未能按期改变面貌的；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3、不履行计划生育法定职责、分工职责，造成严重后果的；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4、部门、单位发生违反人口和计划生育法律法规生育情况的；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5、在人口和计划生育工作中，有严重弄虚作假行为、人口数据严重失实的；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6、在执行人口和计划生育法律法规过程中，违法乱纪、徇私舞弊造成不良后果的。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二、党员干部及其他有关人员违反人口和计划生育法律法规生育的实行“一票否决”。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计划生育一票否决程序</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一、县直科局、乡镇人口计生工作目标完成情况否决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1、县人口计生领导小组对科局、乡镇人口计生目标完成情况进行考核调查</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2、县计生局提出考核意见</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3、县人口计生领导小组审查报县委、县政府审核</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4、报市人口计生领导小组批准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5、向社会公开~接受监督</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二、党员干部及其他有关人员违反人口和计划生育法律法规生育的否决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（一）填表</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本人填写《计划生育情况审核备案表》；（附表）</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本人及家庭成员(包括迁出户口子女)的户口本、结婚证再婚的还需提供原离婚的判决书、协议书、调解书等相关证明材料。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有下列情形之一的，除应当提供以上的材料外，还应当提供以下材料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1、符合政策再生育子女的，提供《再生育服务证》、《再生育子女审批表》、《病残医学鉴定表》或符合其他规定条件的能够证明其再生育行为合法的证明材料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2、合法收养子女的，提供《收养登记证》和其他证明其收养行为合法的相关证明材料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3、违法再生育子女的，提供《社会抚养费征收决定书》社会抚养费缴款票据和纪检监察机关的处理结论。</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（二）审核单位主要负责人、领导签字盖章</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（三）计生部门领导签字盖章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山西省人口和计划生育条例》、《山西省人口与计划生育工作“一票否决”办法(试行)》、《山西省人口与计划生育工作“一票否决”审核细则》</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对婚前医学检查、遗传病诊断和产前诊断结果有异议的医学技术鉴定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+6周妊娠孕妇产前筛查；接到异常结果单，同时填写产前诊断转诊单，到市妇幼进行产前诊断检；查婚前医学健康检查，3个工作日出检查结果，7个工作日内通知有异常结果的人员，到县妇幼保健计划生育服务中心进行复查及健康指导，复查结果仍异常转诊到上一级医院，并跟踪随访。流程：受理-审核-批复-鉴定—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《中华人民共和国母婴保健法》、《中华人民共和国母婴保健法实施办法》（国务院令第308号）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对在母婴保健工作中做出显著成绩和在母婴保健科学研究中取得显著成果的组织和个人的奖励。流程：申请-备案-考核-确认-奖励</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其他类类事项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托幼机构卫生评价</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评价流程 （一）新设立的托幼机构，应当按照卫生评价的标准进行设计和建设，招生前须卫生行政部门指定的医疗卫生机构提交“托幼机构卫生评价申请书。 （二）卫生行政部门指定的医疗卫生机构负责组织专业人员，在20个工作日内对提交申请的托幼机构进行卫生评价。根据检查结果出具“托幼机构卫生评价报告”。 （三）凡卫生评价为“合格”的托幼机构，即可向教育部门申请注册；凡卫生评价为“不合格”的托幼机构，整改后方可重新申请评价。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《托儿所幼儿园卫生保健管理办法》（卫生部 教育部令第76号）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0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医疗机构评审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lang w:val="en-US" w:eastAsia="zh-CN" w:bidi="ar"/>
              </w:rPr>
              <w:t>1.</w:t>
            </w:r>
            <w:r>
              <w:rPr>
                <w:rStyle w:val="19"/>
                <w:lang w:val="en-US" w:eastAsia="zh-CN" w:bidi="ar"/>
              </w:rPr>
              <w:t>审批事项名称</w:t>
            </w:r>
            <w:r>
              <w:rPr>
                <w:rStyle w:val="18"/>
                <w:lang w:val="en-US" w:eastAsia="zh-CN" w:bidi="ar"/>
              </w:rPr>
              <w:t>:医疗机构评审;2.</w:t>
            </w:r>
            <w:r>
              <w:rPr>
                <w:rStyle w:val="19"/>
                <w:lang w:val="en-US" w:eastAsia="zh-CN" w:bidi="ar"/>
              </w:rPr>
              <w:t>权力事项类型</w:t>
            </w:r>
            <w:r>
              <w:rPr>
                <w:rStyle w:val="18"/>
                <w:lang w:val="en-US" w:eastAsia="zh-CN" w:bidi="ar"/>
              </w:rPr>
              <w:t>:行政确认;3.</w:t>
            </w:r>
            <w:r>
              <w:rPr>
                <w:rStyle w:val="19"/>
                <w:lang w:val="en-US" w:eastAsia="zh-CN" w:bidi="ar"/>
              </w:rPr>
              <w:t>办理机构</w:t>
            </w:r>
            <w:r>
              <w:rPr>
                <w:rStyle w:val="18"/>
                <w:lang w:val="en-US" w:eastAsia="zh-CN" w:bidi="ar"/>
              </w:rPr>
              <w:t>:五台县卫生健康和体育局;4.</w:t>
            </w:r>
            <w:r>
              <w:rPr>
                <w:rStyle w:val="19"/>
                <w:lang w:val="en-US" w:eastAsia="zh-CN" w:bidi="ar"/>
              </w:rPr>
              <w:t>受理地点/受理时间:</w:t>
            </w:r>
            <w:r>
              <w:rPr>
                <w:rStyle w:val="18"/>
                <w:lang w:val="en-US" w:eastAsia="zh-CN" w:bidi="ar"/>
              </w:rPr>
              <w:t>五台县卫生健康和体育局/周一至周五法定工作日8:30—12:00、14:30—17:30;</w:t>
            </w:r>
            <w:r>
              <w:rPr>
                <w:rStyle w:val="19"/>
                <w:lang w:val="en-US" w:eastAsia="zh-CN" w:bidi="ar"/>
              </w:rPr>
              <w:t>5.咨询电话</w:t>
            </w:r>
            <w:r>
              <w:rPr>
                <w:rStyle w:val="18"/>
                <w:lang w:val="en-US" w:eastAsia="zh-CN" w:bidi="ar"/>
              </w:rPr>
              <w:t>：0350—6522592；</w:t>
            </w:r>
            <w:r>
              <w:rPr>
                <w:rStyle w:val="19"/>
                <w:lang w:val="en-US" w:eastAsia="zh-CN" w:bidi="ar"/>
              </w:rPr>
              <w:t>6.监督投诉电话</w:t>
            </w:r>
            <w:r>
              <w:rPr>
                <w:rStyle w:val="18"/>
                <w:lang w:val="en-US" w:eastAsia="zh-CN" w:bidi="ar"/>
              </w:rPr>
              <w:t>：0350—6522592；7.</w:t>
            </w:r>
            <w:r>
              <w:rPr>
                <w:rStyle w:val="19"/>
                <w:lang w:val="en-US" w:eastAsia="zh-CN" w:bidi="ar"/>
              </w:rPr>
              <w:t>申报条件：</w:t>
            </w:r>
            <w:r>
              <w:rPr>
                <w:rStyle w:val="18"/>
                <w:lang w:val="en-US" w:eastAsia="zh-CN" w:bidi="ar"/>
              </w:rPr>
              <w:t>五台县各级各类医院； 医院在等级证书有效期（医院评审周期为4年）满前6个月开展了为期6个月的自评工作； 医院根据自评情况，提出等级医院评审申请； 如实填报《医院评审申报书》。 新晋级成为三级医院的单位在拿到医院执业许可证满三年才可以申请参评。8.</w:t>
            </w:r>
            <w:r>
              <w:rPr>
                <w:rStyle w:val="19"/>
                <w:lang w:val="en-US" w:eastAsia="zh-CN" w:bidi="ar"/>
              </w:rPr>
              <w:t>申请材料</w:t>
            </w:r>
            <w:r>
              <w:rPr>
                <w:rStyle w:val="18"/>
                <w:lang w:val="en-US" w:eastAsia="zh-CN" w:bidi="ar"/>
              </w:rPr>
              <w:t>:医院评审申请书、医院自评报告、 评审周期内接受卫生行政部门及其他有关部门检查、指导结果及整改情况、评审周期内各年度出院患者病案首页信息及其他反映医疗质量安全、医院效率及诊疗水平等的数据信息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管理条例》(国务院令第149号)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医院评审暂行办法》（卫医管发〔2011〕75号）第三十五条甲等、乙等医院，由省级卫生行政部门发给卫生部统一格式的等级证书及标识。等级证书的有效期与评审周期相同。等级证书有效期满后，医院不得继续使用该等级证书。医院的等级标识必须与等级证书相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《妇幼保健机构管理办法》（卫妇社发〔2006〕489号）第二十五条各级卫生行政部门负责对同级妇幼保健机构实施监督与管理，建立健全妇幼保健机构评估和监督考核制度，定期进行监督评估和信息公示。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医医院评审暂行办法》（医政函〔2012〕96号）第十条三级和二级中医医院的评审由省级中医药管理部门组建或指定的评审组织负责具体实施。一级中医医院的评审由地市级中医药管理部门组建或指定的评审组织负责具体实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对医师（含助理）资格的认定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审批事项名称:对医师（含助理）资格的认定;2.权力事项类型:行政确认;3.办理机构:五台县卫生健康和体育局;4.受理地点/受理时间:五台县卫生健康和体育局/周一至周五法定工作日8:30—12:00、14:30—17:30;5.咨询电话：0350—6522592；6.监督投诉电话：0350—6522592；法律法规名称条款名称条款内容中华人民共和国执业医师法第八条 第九条 第十条 第是一条第八条　国家实行医师资格考试制度。医师资格考试分为执业医师资格考试和执业助理医师资格考试。 　　医师资格统一考试的办法，由国务院卫生行政部门制定。医师资格考试由省级以上人民政府卫生行政部门组织实施。 第九条　具有下列条件之一的，可以参加执业医师资格考试：（一）具有高等学校医学专业本科以上学历，在执业医师指导下，在医疗、预防、保健机构中试用期满一年的；（二）取得执业助理医师执业证书后，具有高等学校医学专科学历，在医疗、预防、保健机构中工作满二年的；具有中等专业学校医学专业学历，在医疗、预防、保健机构中工作满五年的。 第十条　具有高等学校医学专科学历或者中等专业学校医学专业学历，在执业医师指导下，在医疗、预防、保健机构中试用期满一年的，可以参加执业助理医师资格考试。 第十一条　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《中华人民共和国执业医师法》（1998年6月26日中华人民共和国主席令第五号，2009年8月27日修正）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医师的表彰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（三）考核期前3年内未受到行政处分和发生医疗事故的；8、申报材料：医师表彰推荐表（原件）、先进事迹印证材料、表彰方案里涉及到的其它材料。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《中华人民共和国执业医师法》（1998年6月26日中华人民共和国主席令第五号，2009年8月27日修正）第三十三条医师有下列情形之一的，县级以上人民政府卫生行政部门应当给予表彰或者奖励：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（一）在执业活动中，医德高尚，事迹突出的；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（二）对医学专业技术有重大突破，作出显著贡献的；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（三）遇有自然灾害、传染病流行、突发重大伤亡事故及其他严重威胁人民生命健康的紧急情况时，救死扶伤、抢救诊疗表现突出的；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（四）长期在边远贫困地区、少数民族地区条件艰苦的基层单位努力工作的；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（五）国务院卫生行政部门规定应当予以表彰或者奖励的其他情形的。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0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对做出突出贡献护士的表彰奖励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做出突出贡献护士的表彰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（三）考核期前3年内未受到行政处分和发生医疗事故的；8、申报材料：护士表彰推荐表、先进事迹印证材料、表彰方案里涉及到的其它材料。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条例》（2008年1月31日国务院令第517号）第五条国务院卫生主管部门负责全国的护士监督管理工作。县级以上地方人民政府卫生主管部门负责本行政区域的护士监督管理工作。第六条第二款县级以上地方人民政府及其有关部门对本行政区域内做出突出贡献的护士，按照省、自治区、直辖市人民政府的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中医药工作奖励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中医药工作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（三）考核期前3年内未受到行政处分和发生医疗事故的；8、申报材料：中医药工作表彰推荐表、先进事迹印证材料、表彰方案里涉及到的其它材料。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3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对在继承和发展中医药事业、中医医疗工作等中做出显著贡献的单位和个人奖励表彰（增加）</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继承和发展中医药事业、中医医疗工作等中做出显著贡献的单位和个人奖励表彰（增加）;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《中华人民共和国中医药法》第十条对在中医药事业中做出突出贡献的组织和个人，按国家有关规定给予表彰、奖励；8、申报材料：表彰推荐表、先进事迹印证材料、表彰方案里涉及到的其它材料。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《中华人民共和国中医药法》第十条对在中医药事业中做出突出贡献的组织和个人，按国家有关规定给予表彰、奖励。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审批事项名称:无偿献血奖励、先进表彰;2.权力事项类型:行政奖励;3.办理机构:五台县卫生健康和体育局;4.受理地点/受理时间:五台县卫生健康和体育局/周一至周五法定工作日8:30—12:00、14:30—17:30;5.咨询电话：0350—6522592；6.监督投诉电话：0350—6522592；对积极参加献血和在献血工作中做出显著成绩的相关材料；无偿献血证复印件。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《中华人民共和国献血法》第十七条各级人民政府和红十字会对积极参加献血和在献血工作中做出显著成绩的单位和个人，给予奖励。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《全国无偿献血表彰奖励办法》第二条无偿献血表彰奖励是指对无偿献血事业作出显著成绩和贡献的个人、集体、省（市）和部队，依据本规定给予的奖励。第四条国家级表彰活动每两年举行一次……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行政裁决事项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医疗机构名称裁定;2.权力事项类型:行政裁决;3.办理机构:五台县卫生健康和体育局;4.受理地点/受理时间:五台县卫生健康和体育局/周一至周五法定工作日8:30—12:00、14:30—17:30;5.咨询电话：0350—6522592；6.监督投诉电话：0350—6522592；7.受理条件：一）省级卫生健康行政部门未核准登记的医疗机构名称裁定应满足以下4项条件： 1.西医类医疗机构名称； 2.两个以上申请人同一天向省级卫生健康行政部门申请相同的医疗机构名称； 3.核准机关无法依照申请在先原则核定； 4.申请人双方协商不成。 （二）市级卫生健康行政部门已核准登记的医疗机构名称裁定应满足以下4项条件： 1.西医类医疗机构名称； 2.两个以上医疗机构因已核准登记的医疗机构名称相同发生争议； 3.市级卫生健康行政部门无法按照登记在先原则进行处理的； 4.同一天登记且申请人双方协商不成。8.申请材料：申请人（公司）《营业执照》复印件；医疗机构名称裁定申请表；市场监管部门受理核发《营业执照》时的行政许可申请材料接收凭证；行政审批服务管理局受理医疗机构设置申请时的行政许可申请材料接收凭证；申请人支撑名称核准使用的资料；委托办理授权委托书；卫生健康行政部门申请进行名称裁定的请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实施细则》（卫生部令1994年第35号）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抗菌药物处方权或抗菌药物调剂资格的授予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lang w:val="en-US" w:eastAsia="zh-CN" w:bidi="ar"/>
              </w:rPr>
              <w:t>1.审批事项名称:抗菌药物处方权或抗菌药物调剂资格的授予;2.权力事项类型:其他权力;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br w:type="textWrapping"/>
            </w:r>
            <w:r>
              <w:rPr>
                <w:rStyle w:val="18"/>
                <w:lang w:val="en-US" w:eastAsia="zh-CN" w:bidi="ar"/>
              </w:rPr>
              <w:t>1、具有高级专业技术职务任职资格的医师</w:t>
            </w:r>
            <w:r>
              <w:rPr>
                <w:rStyle w:val="18"/>
                <w:lang w:val="en-US" w:eastAsia="zh-CN" w:bidi="ar"/>
              </w:rPr>
              <w:br w:type="textWrapping"/>
            </w:r>
            <w:r>
              <w:rPr>
                <w:rStyle w:val="18"/>
                <w:lang w:val="en-US" w:eastAsia="zh-CN" w:bidi="ar"/>
              </w:rPr>
              <w:t>2、有中级以上专业技术职务任职资格的医师，可授予限制使用级抗菌药物处方权</w:t>
            </w:r>
            <w:r>
              <w:rPr>
                <w:rStyle w:val="18"/>
                <w:lang w:val="en-US" w:eastAsia="zh-CN" w:bidi="ar"/>
              </w:rPr>
              <w:br w:type="textWrapping"/>
            </w:r>
            <w:r>
              <w:rPr>
                <w:rStyle w:val="18"/>
                <w:lang w:val="en-US" w:eastAsia="zh-CN" w:bidi="ar"/>
              </w:rPr>
              <w:t>3、具有初级专业技术职务任职资格的医师，在乡镇、村的医疗机构独立从事一般执业活动的执业助理医师以及乡村医生，可授予非限制使用级抗菌药物处方权。</w:t>
            </w:r>
            <w:r>
              <w:rPr>
                <w:rStyle w:val="18"/>
                <w:lang w:val="en-US" w:eastAsia="zh-CN" w:bidi="ar"/>
              </w:rPr>
              <w:br w:type="textWrapping"/>
            </w:r>
            <w:r>
              <w:rPr>
                <w:rStyle w:val="18"/>
                <w:lang w:val="en-US" w:eastAsia="zh-CN" w:bidi="ar"/>
              </w:rPr>
              <w:t>4、药师经培训并考核合格后，方可获得抗菌药物调剂资格8.申请材料：医疗机构执业许可证复印件；医师资格证和执业证复印件；抗菌药物培训合格证复印件。</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《抗菌药物临床应用管理办法》（2012年卫生部令84条）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第二十四条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二级以上医院应当定期对医师和药师进行抗菌药物临床应用知识和规范化管理的培训。医师经本机构培训并考核合格后，方可获得相应的处方权。其他医疗机构依法享有处方权的医师、乡村医生和从事处方调剂工作的药师，由县级以上地方卫生行政部门组织相关培训、考核。经考核合格的，授予相应的抗菌药物处方权或者抗菌药物调剂资格。</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单采血浆站设置执业许可的初审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单采血浆站设置执业许可的初审;2.权力事项类型:其他权力;3.办理机构:五台县卫生健康和体育局;4.受理地点/受理时间:五台县卫生健康和体育局/周一至周五法定工作日8:30—12:00、14:30—17:30;5.咨询电话：0350—6522592；6.监督投诉电话：0350—6522592；7.申报材料：申请设置单采血浆站的血液制品生产单位的有关情况以及法人登记证书;《设置单采血浆站申请书》;拟设单采血浆站的可行性研究报告;单采血浆站用房的房屋产权证明或者使用权证明;单采血浆站从业人员名单及资格证书;采血浆站的各项规章制度;拟设单采血浆站的法定代表人及其主要负责人的身份证明文件和专业履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《血液制品管理条例》（国务院令第208号，2016年修改）</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单采血浆站只能对省、自治区、直辖市人民政府卫生行政部门划定区域内的供血浆者进行筛查和采集血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《单采血浆站管理办法》(2008年卫生部令第58号，2016年修改)</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第六条　血液制品生产单位设置单采血浆站应当符合当地单采血浆站设置规划，并经省、自治区、直辖市人民政府卫生计生行政部门批准。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拟设单采血浆站基本情况，包括名称、地址、规模、任务、功能、组织结构等；2.拟设单采血浆站血浆采集区域及区域内疾病流行状况、适龄健康供血浆人口情况、机构运行及环境保护措施的预测分析；3.拟设单采血浆站的选址和建筑设计平面图；4.申请开展的业务项目、技术设备条件资料；5.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第十三条　县级人民政府卫生计生行政部门在收到全部申请材料后进行初审，经设区的市、自治州人民政府卫生计生行政部门审查同意后，报省级人民政府卫生计生行政部门审批。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村卫生室、诊所和社区卫生服务站使用抗菌药物开展静脉输注活动核准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村卫生室、诊所和社区卫生服务站使用抗菌药物开展静脉输注活动核准;2.权力事项类型:其他权力;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1、具备独立的静脉给药观察室及观察床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2、配备常用的抢救药品、设备及供氧设施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3、具备静脉药品配置的条件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至少具有一名取得执业医师资格五年以上的临床类别的执业医师（村卫生室可以为乡村医生或执业助理医师）；必须至少具有一名执业护士；上述人员执业地点必须注册在本机构；人员应当具备预防和处理输赢反应的救护措施和急救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医师、乡村医生必须依法享有抗菌药物处方权，并由县级以上地方卫生行政部门组织相关培训、考核、取得考核合格证明。8.申报材料:村卫生室、诊所使用抗菌药物开展静脉输注活动审批表;医技人员参加抗菌药物知识培训考核合格证明;村卫生室、诊所和社区卫生服务房产证、租房合同、平面图;相关人员的身份证、资格证书、执业证书复印件.药品器械目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《抗菌药物临床应用管理办法》（2012年卫生部第84号令）第二十九条　医疗机构应当制定并严格控制门诊患者静脉输注使用抗菌药物比例。村卫生室、诊所和社区卫生服务站使用抗菌药物开展静脉输注活动，应当经县级卫生行政部门核准。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养老机构内部设置医疗机构的备案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养老机构内部设置医疗机构的备案;2.权力事项类型:其他权力;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申报材料：</w:t>
            </w:r>
            <w:r>
              <w:rPr>
                <w:rStyle w:val="18"/>
                <w:lang w:val="en-US" w:eastAsia="zh-CN" w:bidi="ar"/>
              </w:rPr>
              <w:t>养老机构内部设置诊所、卫生所（室）、医务室、护理站的制度;医疗机构备案书；设置诊所房屋平面图；医护人员职工花名表；药品目录；设备清单目录。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国家卫生计生委关于深化“放管服”改革激发医疗领域投资活力的通知》（国卫法制发〔2017〕43号）：一、取消养老机构内设诊所的设置审批，实行备案制。各级卫生计生部门做好相关政策落实情况督导及加强事中事后监管，推动健康养老服务业的发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国家卫生计生委办公厅关于养老机构内部设置医疗机构取消行政审批实行备案管理的通知》（国卫办医发〔2017〕38号）：二、养老机构内部设置诊所、卫生所（室）、医务室、护理站的，应当向所在地的县区级卫生计生行政部门（含中医药管理部门，下同）备案，并提交设置单位或者其主管部门设置医疗机构的决定和设置医疗机构的备案材料。</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等级运动员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称号授予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1.审批事项名称:等级运动员</w:t>
            </w:r>
            <w:r>
              <w:rPr>
                <w:rStyle w:val="18"/>
                <w:lang w:val="en-US" w:eastAsia="zh-CN" w:bidi="ar"/>
              </w:rPr>
              <w:br w:type="textWrapping"/>
            </w:r>
            <w:r>
              <w:rPr>
                <w:rStyle w:val="18"/>
                <w:lang w:val="en-US" w:eastAsia="zh-CN" w:bidi="ar"/>
              </w:rPr>
              <w:t>称号授予;2.权力事项类型:行政确认;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t>在《运动员技术等级标准》规定的比赛中取得该等级称号所要求的成绩；所在单位或体育组织同意推荐。8.</w:t>
            </w:r>
            <w:r>
              <w:rPr>
                <w:rStyle w:val="19"/>
                <w:lang w:val="en-US" w:eastAsia="zh-CN" w:bidi="ar"/>
              </w:rPr>
              <w:t>申报材料</w:t>
            </w:r>
            <w:r>
              <w:rPr>
                <w:rStyle w:val="18"/>
                <w:lang w:val="en-US" w:eastAsia="zh-CN" w:bidi="ar"/>
              </w:rPr>
              <w:t>：身份证.比赛获奖证书。比赛秩序册、成绩册。比赛总裁判长签字的成绩证明单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【规章】《运动员技术等级管理办法》（国家体育总局令第18号）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国家三级运动员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1.审批事项名称:国家三级运动员</w:t>
            </w:r>
            <w:r>
              <w:rPr>
                <w:rStyle w:val="18"/>
                <w:lang w:val="en-US" w:eastAsia="zh-CN" w:bidi="ar"/>
              </w:rPr>
              <w:br w:type="textWrapping"/>
            </w:r>
            <w:r>
              <w:rPr>
                <w:rStyle w:val="18"/>
                <w:lang w:val="en-US" w:eastAsia="zh-CN" w:bidi="ar"/>
              </w:rPr>
              <w:t>认定;2.权力事项类型:行政确认;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t>:  运动员应当在取得成绩后6个月内申请等级称号，超过此期限的申请不予受理；运动员以测试或其他非正式身份参加比赛取得的成绩，不得申请等级称号。</w:t>
            </w:r>
            <w:r>
              <w:rPr>
                <w:rStyle w:val="18"/>
                <w:lang w:val="en-US" w:eastAsia="zh-CN" w:bidi="ar"/>
              </w:rPr>
              <w:br w:type="textWrapping"/>
            </w:r>
            <w:r>
              <w:rPr>
                <w:rStyle w:val="18"/>
                <w:lang w:val="en-US" w:eastAsia="zh-CN" w:bidi="ar"/>
              </w:rPr>
              <w:t>8.</w:t>
            </w:r>
            <w:r>
              <w:rPr>
                <w:rStyle w:val="19"/>
                <w:lang w:val="en-US" w:eastAsia="zh-CN" w:bidi="ar"/>
              </w:rPr>
              <w:t>申报材料</w:t>
            </w:r>
            <w:r>
              <w:rPr>
                <w:rStyle w:val="18"/>
                <w:lang w:val="en-US" w:eastAsia="zh-CN" w:bidi="ar"/>
              </w:rPr>
              <w:t>:《运动员技术等级称号申请表》；成绩证明材料（包括秩序册、成绩册、获奖证书等）。</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《运动员技术等级管理办法》（国家体育总局令第18号）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第九条总局授予各省级体育行政部门、新疆生产建设兵团体育局、总参军训部军事体育训练局、总政宣传部文化体育局一级运动员、二级运动员、三级运动员审批权。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社会体育指导员技术等级称号认定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社会体育指导员技术等级称号认定;2.权力事项类型:行政确认;3.办理机构:五台县卫生健康和体育局;4.受理地点/受理时间:五台县卫生健康和体育局/周一至周五法定工作日8:30—12:00、14:30—17:30;5.咨询电话：0350—6522592；6.监督投诉电话：0350—6522592；7.申请条件:具有完全民事行为能力的中华人民共和国公民；具有志愿服务精神和良好的道德素养，遵纪守法；热心全民健身事业；接收有关组织或单位的管理，承担指派的工作任务；参加社会指导员相应等级的培训，考核合格。8.</w:t>
            </w:r>
            <w:r>
              <w:rPr>
                <w:rStyle w:val="19"/>
                <w:lang w:val="en-US" w:eastAsia="zh-CN" w:bidi="ar"/>
              </w:rPr>
              <w:t>申报材料:</w:t>
            </w:r>
            <w:r>
              <w:rPr>
                <w:rStyle w:val="18"/>
                <w:lang w:val="en-US" w:eastAsia="zh-CN" w:bidi="ar"/>
              </w:rPr>
              <w:t>申请书；申请时必须提交本人近期一寸彩照。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《社会体育指导员管理办法》（国家体育总局令第16号）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四条各级体育主管部门或经批准的协会按照社会体育指导员等级标准，批准授予相应社会体育指导员称号：（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对全国体育事业及在发展全民健身事业中做出突出贡献的组织和个人，按照国家有关规定给予奖励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全国体育事业及在发展全民健身事业中做出突出贡献的组织和个人，按照国家有关规定给予奖励;2.权力事项类型:行政奖励;3.办理机构:五台县卫生健康和体育局;4.受理地点/受理时间:五台县卫生健康和体育局/周一至周五法定工作日8:30—12:00、14:30—17:30;5.咨询电话：0350—6522592；6.监督投诉电话：0350—6522592；7.申请条件:在体育事业中做出贡献的组织和个人;在发展全民健身事业中做出突出贡献的组织和个人.做出突出贡献证明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《体育法》第八条：国家对在体育事业中做出贡献的组织和个人，给予奖励。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《全民健身条例》第七条：对在发展全民健身事业中做出突出贡献的组织和个人，按照国家有关规定给予表彰、奖励。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全民健身设施拆迁或者改变用途批准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全民健身设施拆迁或者改变用途批准;2.权力事项类型:行政确认;3.办理机构:五台县卫生健康和体育局;4.受理地点/受理时间:五台县卫生健康和体育局/周一至周五法定工作日8:30—12:00、14:30—17:30;5.咨询电话：0350—6522592；6.监督投诉电话：0350—6522592；申请条件:一、经批准拆除公共文化体育设施或者改变其功能、用途的，应当依照国家有关法律、行政法规的规定择地重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二、重新建设的公共文化体育设施，应当符合规划要求，一般不得小于原有规模。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三、迁建工作应当坚持先建设后拆除或者建设拆除同时进行的原则。迁建所需费用由造成迁建的单位承担.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【行政法规】《公共文化体育设施条例》（国务院令第382号）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预防接种单位的指定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预防接种单位的指定;2.权力事项类型:其他权力;3.办理机构:五台县卫生健康和体育局;4.受理地点/受理时间:五台县卫生健康和体育局/周一至周五法定工作日8:30—12:00、14:30—17:30;5.咨询电话：0350—6522592；6.监督投诉电话：0350—6522592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《疫苗流通和预防接种管理条例》（2005年国务院令第434号，2016年修改）第八条　经县级人民政府卫生主管部门依照本条例规定指定的医疗卫生机构(以下称接种单位)，承担预防接种工作。县级人民政府卫生主管部门指定接种单位时，应当明确其责任区域。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承担预防接种工作的医疗卫生机构（接种单位）的确认</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承担预防接种工作的医疗卫生机构（接种单位）的确认;2.权力事项类型:行政确认;3.办理机构:五台县卫生健康和体育局;4.受理地点/受理时间:五台县卫生健康和体育局/周一至周五法定工作日8:30—12:00、14:30—17:30;5.咨询电话：0350—6522592；6.监督投诉电话：0350—6522592；7.受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（1）（一）具有医疗机构执业许可证件；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（2）（二）具有经过县级人民政府卫生主管部门组织的预防接种专业培训并考核合格的执业医师、执业助理医师、护士或者乡村医生；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三）具有符合疫苗储存、运输管理规范的冷藏设施、设备和冷藏保管制度。8.申报材料:医疗机构执业许可证副本复印件、预防接种单位（点）申请表、接种单位接种人员预防接种资格证和执业医师、执业助理医师、护士或者乡村医生复印件；9.是否收费：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《疫苗流通和预防接种管理条例》（国务院令第434号）第八条经县级人民政府卫生主管部门依照本条例规定指定的医疗卫生机构，承担预防接种工作。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《预防接种工作规范》（卫疾控发[2005]373号）1.3.1从事预防接种工作的医疗卫生机构，由县级卫生行政部门指定，并明确其责任区域。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血吸虫病病人医疗费减免</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条件：经济困难的农民血吸虫病患者；2、申请材料：中华人民共和国居民身份证、病历；3、.权力事项类型：行政给付;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防治条例》（国务院令第463号）第三十三条国家对农民免费提供抗血吸虫基本预防药物，对经济困难农民的血吸虫病治疗费用予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为严重精神障碍患者免费提供基本公共卫生服务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条件：严重精神障碍患者；2、申请材料：严重精神障碍诊断证明、有效身份证件；3、.权力事项类型：行政给付;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支付医疗费用后仍有困难，或者不能通过基本医疗保险支付医疗费用的，民政部门应当优先给予医疗救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对传染病病人尸体或者疑似传染病病人的尸体进行解剖查验的批准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1、申请材料：传染病病人尸体或者疑似传染病病人的尸体进行解剖查验书面申请、医疗机构资质认证书；2、.权力事项类型：行政确认;3、办理流程：受理-审核-办结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《中华人民共和国传染病防治法实施办法》（卫生部令第17号）第五十六条医疗保健机构、卫生防疫机构经县级以上政府卫生行政部门的批准可以对传染病病人尸体或者疑似传染病病人的尸体进行解剖查验。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预防接种异常反应调查诊断</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受理条件：在五台县内发生的死亡、严重残疾、群体性疑似预防接种异常反应，或对社会有重大影响的疑似预防接种异常反应，需要进行调查诊断的；2、申请材料：预防接种资料、临床资料；3、.权力事项类型：行政确认;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《预防接种异常反应鉴定办法》 部门规章 第三条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《疫苗流通和预防接种管理条例》 行政法规 第四十二条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《预防接种异常反应鉴定办法》 部门规章 第三条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《预防接种工作规范 》部门规章 第五章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传染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传染病防治工作的组织或个人.9、申报条件：传染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《中华人民共和国传染病防治法》（1989年2月21日主席令第十五号，2013年6月29日修改）第六条 第一款国务院卫生行政部门主管全国传染病防治及其监督管理工作。县级以上地方人民政府卫生行政部门负责本行政区域内的传染病防治及其监督管理工作。第十一条对在传染病防治工作中做出显著成绩和贡献的单位和个人，给予表彰和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对在精神卫生工作中作出突出贡献的组织、个人给予表彰、奖励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精神卫生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精神卫生工作的组织或个人.9、申报条件：精神卫生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精神卫生法》第八条第一款国务院卫生行政部门主管全国的精神卫生工作。县级以上地方人民政府卫生行政部门主管本行政区域的精神卫生工作。第十二条第二款对在精神卫生工作中作出突出贡献的组织、个人，按照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对在食盐加碘消除碘缺乏危害工作中做出显著成绩的单位和个人给予奖励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食盐加碘消除碘缺乏危害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食盐加碘消除碘缺乏危害工作的组织或个人.9、申报条件：食盐加碘消除碘缺乏危害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《食盐加碘消除碘缺乏危害管理条例》（国务院令第163号）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第四条国务院卫生行政部门负责碘缺乏危害防治和碘盐的卫生监督管理工作;国务院授权的盐业主管机构（以下简称国务院盐业主管机构）负责全国碘盐加工、市场供应的监督管理工作。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第六条第二款对在食盐加碘消除碘缺乏危害工作中做出显著成绩的单位和个人，给予奖励。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艾滋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艾滋病防治工作的组织或个人.9、申报条件：艾滋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《艾滋病防治条例》（2006年1月29日国务院令第457号）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条国务院卫生主管部门会同国务院其他有关部门制定国家艾滋病防治规划；县级以上地方人民政府依照本条例规定和国家艾滋病防治规划，制定并组织实施本行政区域的艾滋病防治行动计划。第九条县级以上人民政府和政府有关部门对在艾滋病防治工作中做出显著成绩和贡献的单位和个人，给予表彰和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血吸虫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血吸虫病防治工作的组织或个人.9、申报条件：血吸虫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防治条例》（国务院令第463号）第三条国务院卫生主管部门会同国务院有关部门制定全国血吸虫病防治规划并组织实施。国务院卫生、农业、水利、林业主管部门依照本条例规定的职责和全国血吸虫病防治规划，制定血吸虫病防治专项工作计划并组织实施。有血吸虫病防治任务的地区（以下称血吸虫病防治地区）县级以上地方人民政府卫生、农业或者兽医、水利、林业主管部门依照本条例规定的职责，负责本行政区域内的血吸虫病防治及其监督管理工作。第七条国务院有关部门、血吸虫病防治地区县级以上地方人民政府及其有关部门对在血吸虫病防治工作中做出显著成绩的单位和个人，给予表彰或者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对在突发事件应急处理、突发公共卫生事件与传染病疫情监测信息报告管理工作中做出贡献的人员给予表彰和奖励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突发事件应急处理、突发公共卫生事件与传染病疫情监测信息报告管理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突发事件应急处理、突发公共卫生事件与传染病疫情监测信息报告管理工作的组织或个人.9、申报条件：突发事件应急处理、突发公共卫生事件与传染病疫情监测信息报告管理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突发公共卫生事件与传染病疫情监测信息报告管理办法》（卫生部令第37号）第六条县级以上各级人民政府及其卫生行政部门，应当对在突发公共卫生事件与传染病疫情监测信息报告管理工作中做出贡献的人员，给予表彰和奖励。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职业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职业病防治工作的组织或个人.9、申报条件：职业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《中华人民共和国职业病防治法》（2001年10月27日中华人民共和国主席令第六十号，2018年12月29日修正）第十三条第二款对防治职业病成绩显著的单位和个人，给予奖励。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预防接种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预防接种工作的组织或个人.9、申报条件：预防接种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《疫苗流通和预防接种管理条例》第八条第2款规定：县级以上人民政府应当对承担预防接种工作并作出显著成绩和贡献的接种单位及其工作人员给予奖励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r>
        <w:br w:type="page"/>
      </w:r>
    </w:p>
    <w:p>
      <w:pPr>
        <w:pStyle w:val="2"/>
        <w:jc w:val="center"/>
        <w:rPr>
          <w:rFonts w:hint="eastAsia" w:ascii="方正小标宋_GBK" w:hAnsi="方正小标宋_GBK" w:eastAsia="方正小标宋_GBK"/>
          <w:b w:val="0"/>
          <w:bCs w:val="0"/>
          <w:sz w:val="30"/>
        </w:rPr>
      </w:pPr>
      <w:bookmarkStart w:id="16" w:name="_Toc10596"/>
      <w:r>
        <w:rPr>
          <w:rFonts w:hint="eastAsia" w:ascii="方正小标宋_GBK" w:hAnsi="方正小标宋_GBK" w:eastAsia="方正小标宋_GBK"/>
          <w:b w:val="0"/>
          <w:bCs w:val="0"/>
          <w:sz w:val="30"/>
          <w:lang w:eastAsia="zh-CN"/>
        </w:rPr>
        <w:t>（二十二</w:t>
      </w:r>
      <w:r>
        <w:rPr>
          <w:rFonts w:hint="eastAsia" w:ascii="方正小标宋_GBK" w:hAnsi="方正小标宋_GBK" w:eastAsia="方正小标宋_GBK"/>
          <w:b w:val="0"/>
          <w:bCs w:val="0"/>
          <w:sz w:val="30"/>
          <w:lang w:val="en-US" w:eastAsia="zh-CN"/>
        </w:rPr>
        <w:t>)</w:t>
      </w:r>
      <w:r>
        <w:rPr>
          <w:rFonts w:hint="eastAsia" w:ascii="方正小标宋_GBK" w:hAnsi="方正小标宋_GBK" w:eastAsia="方正小标宋_GBK"/>
          <w:b w:val="0"/>
          <w:bCs w:val="0"/>
          <w:sz w:val="30"/>
        </w:rPr>
        <w:t>安全生产领域政务公开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16"/>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社</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w:t>
            </w:r>
            <w:r>
              <w:rPr>
                <w:rFonts w:hint="eastAsia" w:ascii="仿宋_GB2312" w:eastAsia="仿宋_GB2312"/>
                <w:bCs/>
                <w:color w:val="000000"/>
                <w:sz w:val="18"/>
                <w:szCs w:val="18"/>
                <w:lang w:eastAsia="zh-CN"/>
              </w:rPr>
              <w:t>上级</w:t>
            </w:r>
            <w:r>
              <w:rPr>
                <w:rFonts w:hint="eastAsia" w:ascii="仿宋_GB2312" w:eastAsia="仿宋_GB2312"/>
                <w:bCs/>
                <w:color w:val="000000"/>
                <w:sz w:val="18"/>
                <w:szCs w:val="18"/>
              </w:rPr>
              <w:t>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ind w:firstLine="180" w:firstLineChars="1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上级</w:t>
            </w:r>
            <w:r>
              <w:rPr>
                <w:rFonts w:hint="eastAsia" w:ascii="仿宋_GB2312" w:eastAsia="仿宋_GB2312"/>
                <w:bCs/>
                <w:color w:val="000000"/>
                <w:sz w:val="18"/>
                <w:szCs w:val="18"/>
              </w:rPr>
              <w:t>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ind w:firstLine="180" w:firstLineChars="1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bl>
    <w:p>
      <w:pPr>
        <w:pStyle w:val="2"/>
        <w:jc w:val="center"/>
        <w:rPr>
          <w:rFonts w:hint="eastAsia" w:ascii="方正小标宋_GBK" w:hAnsi="方正小标宋_GBK" w:eastAsia="方正小标宋_GBK"/>
          <w:b w:val="0"/>
          <w:bCs w:val="0"/>
          <w:sz w:val="30"/>
        </w:rPr>
      </w:pPr>
      <w:r>
        <w:br w:type="page"/>
      </w:r>
      <w:bookmarkStart w:id="17" w:name="_Toc19784"/>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二十三</w:t>
      </w:r>
      <w:r>
        <w:rPr>
          <w:rFonts w:hint="eastAsia" w:ascii="方正小标宋_GBK" w:hAnsi="方正小标宋_GBK" w:eastAsia="方正小标宋_GBK"/>
          <w:b w:val="0"/>
          <w:bCs w:val="0"/>
          <w:sz w:val="30"/>
        </w:rPr>
        <w:t>）</w:t>
      </w:r>
      <w:r>
        <w:rPr>
          <w:rFonts w:hint="eastAsia" w:ascii="方正小标宋_GBK" w:hAnsi="方正小标宋_GBK" w:eastAsia="方正小标宋_GBK" w:cs="Times New Roman"/>
          <w:b w:val="0"/>
          <w:bCs w:val="0"/>
          <w:sz w:val="30"/>
          <w:lang w:eastAsia="zh-CN"/>
        </w:rPr>
        <w:t>救灾</w:t>
      </w:r>
      <w:r>
        <w:rPr>
          <w:rFonts w:hint="eastAsia" w:ascii="方正小标宋_GBK" w:hAnsi="方正小标宋_GBK" w:eastAsia="方正小标宋_GBK"/>
          <w:b w:val="0"/>
          <w:bCs w:val="0"/>
          <w:sz w:val="30"/>
        </w:rPr>
        <w:t>领域政务公开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17"/>
    </w:p>
    <w:tbl>
      <w:tblPr>
        <w:tblStyle w:val="7"/>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灾</w:t>
            </w:r>
            <w:r>
              <w:rPr>
                <w:rFonts w:hint="eastAsia" w:ascii="仿宋_GB2312" w:hAnsi="宋体" w:eastAsia="仿宋_GB2312" w:cs="宋体"/>
                <w:color w:val="000000"/>
                <w:sz w:val="18"/>
                <w:szCs w:val="18"/>
                <w:lang w:eastAsia="zh-CN"/>
              </w:rPr>
              <w:t>害</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continue"/>
            <w:tcBorders>
              <w:left w:val="nil"/>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救助通知信息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款物</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bl>
    <w:p/>
    <w:p/>
    <w:p/>
    <w:p/>
    <w:p/>
    <w:p/>
    <w:p/>
    <w:p/>
    <w:p/>
    <w:p/>
    <w:p/>
    <w:p/>
    <w:p>
      <w:pPr>
        <w:pStyle w:val="2"/>
        <w:ind w:firstLine="3300" w:firstLineChars="1100"/>
        <w:jc w:val="both"/>
        <w:rPr>
          <w:rFonts w:ascii="方正小标宋_GBK" w:hAnsi="方正小标宋_GBK" w:eastAsia="方正小标宋_GBK"/>
          <w:b w:val="0"/>
          <w:bCs w:val="0"/>
          <w:sz w:val="30"/>
        </w:rPr>
      </w:pPr>
      <w:bookmarkStart w:id="18" w:name="_Toc850"/>
      <w:r>
        <w:rPr>
          <w:rFonts w:hint="eastAsia" w:ascii="方正小标宋_GBK" w:hAnsi="方正小标宋_GBK" w:eastAsia="方正小标宋_GBK"/>
          <w:b w:val="0"/>
          <w:bCs w:val="0"/>
          <w:sz w:val="30"/>
        </w:rPr>
        <w:t>（二十四）食品药品监管领域基层政务公开标准目录</w:t>
      </w:r>
      <w:bookmarkEnd w:id="18"/>
    </w:p>
    <w:tbl>
      <w:tblPr>
        <w:tblStyle w:val="7"/>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vMerge w:val="continue"/>
            <w:tcBorders>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color w:val="FF0000"/>
                <w:sz w:val="18"/>
                <w:szCs w:val="18"/>
              </w:rPr>
            </w:pPr>
            <w:r>
              <w:rPr>
                <w:rFonts w:hint="eastAsia" w:ascii="仿宋_GB2312" w:hAnsi="宋体" w:eastAsia="仿宋_GB2312"/>
                <w:sz w:val="18"/>
                <w:szCs w:val="18"/>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widowControl/>
              <w:spacing w:line="300" w:lineRule="exact"/>
              <w:rPr>
                <w:rFonts w:hint="eastAsia" w:ascii="仿宋_GB2312" w:hAnsi="宋体" w:eastAsia="仿宋_GB2312"/>
                <w:kern w:val="0"/>
                <w:sz w:val="18"/>
                <w:szCs w:val="18"/>
                <w:shd w:val="clear" w:color="auto" w:fill="FFFFFF"/>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15"/>
                <w:szCs w:val="15"/>
              </w:rPr>
            </w:pPr>
            <w:r>
              <w:rPr>
                <w:rFonts w:ascii="宋体" w:hAnsi="宋体"/>
                <w:sz w:val="15"/>
                <w:szCs w:val="15"/>
              </w:rPr>
              <w:t>3</w:t>
            </w:r>
          </w:p>
        </w:tc>
        <w:tc>
          <w:tcPr>
            <w:tcW w:w="72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widowControl/>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药品零售许可企业基本信息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07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特殊食品生产经营监督检查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由县级组织的食品安全抽检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检查实施主体、被抽检单位名称、被抽检食品名称、标示的产品生产日期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w:t>
            </w:r>
            <w:r>
              <w:rPr>
                <w:rFonts w:ascii="仿宋_GB2312" w:hAnsi="宋体" w:eastAsia="仿宋_GB2312"/>
                <w:sz w:val="18"/>
                <w:szCs w:val="18"/>
              </w:rPr>
              <w:t>/</w:t>
            </w:r>
            <w:r>
              <w:rPr>
                <w:rFonts w:hint="eastAsia" w:ascii="仿宋_GB2312" w:hAnsi="宋体" w:eastAsia="仿宋_GB2312"/>
                <w:sz w:val="18"/>
                <w:szCs w:val="18"/>
              </w:rPr>
              <w:t>医疗器械经营监督检查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9</w:t>
            </w:r>
          </w:p>
        </w:tc>
        <w:tc>
          <w:tcPr>
            <w:tcW w:w="720" w:type="dxa"/>
            <w:vMerge w:val="continue"/>
            <w:tcBorders>
              <w:left w:val="nil"/>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化妆品经营企业监督检查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11</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由县级组织的医疗器械抽检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17"/>
              <w:spacing w:line="300" w:lineRule="exact"/>
              <w:ind w:firstLine="0" w:firstLineChars="0"/>
              <w:rPr>
                <w:rFonts w:ascii="仿宋_GB2312" w:hAnsi="宋体" w:eastAsia="仿宋_GB2312"/>
                <w:sz w:val="18"/>
                <w:szCs w:val="18"/>
              </w:rPr>
            </w:pPr>
            <w:r>
              <w:rPr>
                <w:rFonts w:hint="eastAsia" w:ascii="仿宋_GB2312" w:hAnsi="宋体" w:eastAsia="仿宋_GB2312"/>
                <w:sz w:val="18"/>
                <w:szCs w:val="18"/>
              </w:rPr>
              <w:t>被抽检单位名称、抽检产品名称、标示的生产单位、标示的产品生产日期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12</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医疗器械监管行政处罚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17</w:t>
            </w:r>
          </w:p>
        </w:tc>
        <w:tc>
          <w:tcPr>
            <w:tcW w:w="720" w:type="dxa"/>
            <w:vMerge w:val="restart"/>
            <w:tcBorders>
              <w:top w:val="single" w:color="auto" w:sz="4" w:space="0"/>
              <w:left w:val="nil"/>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18</w:t>
            </w:r>
          </w:p>
        </w:tc>
        <w:tc>
          <w:tcPr>
            <w:tcW w:w="720" w:type="dxa"/>
            <w:vMerge w:val="continue"/>
            <w:tcBorders>
              <w:left w:val="nil"/>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19</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r>
        <w:rPr>
          <w:rFonts w:ascii="方正小标宋_GBK" w:hAnsi="方正小标宋_GBK" w:eastAsia="方正小标宋_GBK"/>
          <w:b/>
          <w:bCs/>
          <w:sz w:val="30"/>
        </w:rPr>
        <w:br w:type="page"/>
      </w:r>
    </w:p>
    <w:p>
      <w:pPr>
        <w:pStyle w:val="2"/>
        <w:jc w:val="center"/>
        <w:rPr>
          <w:rFonts w:ascii="方正小标宋_GBK" w:hAnsi="方正小标宋_GBK" w:eastAsia="方正小标宋_GBK"/>
          <w:b w:val="0"/>
          <w:bCs w:val="0"/>
          <w:sz w:val="30"/>
        </w:rPr>
      </w:pPr>
      <w:bookmarkStart w:id="19" w:name="_Toc17479"/>
      <w:r>
        <w:rPr>
          <w:rFonts w:hint="eastAsia" w:ascii="方正小标宋_GBK" w:hAnsi="方正小标宋_GBK" w:eastAsia="方正小标宋_GBK"/>
          <w:b w:val="0"/>
          <w:bCs w:val="0"/>
          <w:sz w:val="30"/>
          <w:lang w:eastAsia="zh-CN"/>
        </w:rPr>
        <w:t>（二十五）</w:t>
      </w:r>
      <w:r>
        <w:rPr>
          <w:rFonts w:hint="eastAsia" w:ascii="方正小标宋_GBK" w:hAnsi="方正小标宋_GBK" w:eastAsia="方正小标宋_GBK"/>
          <w:b w:val="0"/>
          <w:bCs w:val="0"/>
          <w:sz w:val="30"/>
        </w:rPr>
        <w:t>税收管理领域基层政务公开标准目录</w:t>
      </w:r>
      <w:bookmarkEnd w:id="19"/>
    </w:p>
    <w:tbl>
      <w:tblPr>
        <w:tblStyle w:val="7"/>
        <w:tblW w:w="0" w:type="auto"/>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600"/>
        <w:gridCol w:w="1980"/>
        <w:gridCol w:w="2340"/>
        <w:gridCol w:w="1080"/>
        <w:gridCol w:w="1620"/>
        <w:gridCol w:w="540"/>
        <w:gridCol w:w="360"/>
        <w:gridCol w:w="540"/>
        <w:gridCol w:w="540"/>
        <w:gridCol w:w="5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60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纳税人权利</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税收法律法规规定的纳税人权利</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《税收征收管理法》、《国家税务总局关于纳税人权利与义务的公告》</w:t>
            </w:r>
          </w:p>
        </w:tc>
        <w:tc>
          <w:tcPr>
            <w:tcW w:w="234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纳税人义务</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税收法律法规规定的纳税人义务</w:t>
            </w:r>
          </w:p>
        </w:tc>
        <w:tc>
          <w:tcPr>
            <w:tcW w:w="1980" w:type="dxa"/>
            <w:vMerge w:val="continue"/>
            <w:noWrap w:val="0"/>
            <w:vAlign w:val="center"/>
          </w:tcPr>
          <w:p>
            <w:pPr>
              <w:rPr>
                <w:rFonts w:ascii="仿宋_GB2312" w:hAnsi="宋体" w:eastAsia="仿宋_GB2312"/>
                <w:color w:val="000000"/>
                <w:sz w:val="18"/>
                <w:szCs w:val="18"/>
              </w:rPr>
            </w:pPr>
          </w:p>
        </w:tc>
        <w:tc>
          <w:tcPr>
            <w:tcW w:w="234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540" w:type="dxa"/>
            <w:noWrap w:val="0"/>
            <w:vAlign w:val="center"/>
          </w:tcPr>
          <w:p>
            <w:pPr>
              <w:jc w:val="center"/>
              <w:rPr>
                <w:rFonts w:hint="eastAsia" w:ascii="宋体" w:hAnsi="宋体" w:eastAsia="宋体" w:cs="宋体"/>
                <w:b/>
                <w:bCs/>
                <w:color w:val="000000"/>
                <w:sz w:val="15"/>
                <w:szCs w:val="15"/>
                <w:lang w:eastAsia="zh-CN"/>
              </w:rPr>
            </w:pPr>
            <w:r>
              <w:rPr>
                <w:rFonts w:hint="eastAsia" w:ascii="宋体" w:hAnsi="宋体"/>
                <w:b/>
                <w:bCs/>
                <w:color w:val="000000"/>
                <w:sz w:val="15"/>
                <w:szCs w:val="15"/>
                <w:lang w:val="en-US" w:eastAsia="zh-CN"/>
              </w:rPr>
              <w:t>3</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A级纳税人名单</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纳税人识别号、纳税人名称、评价年度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《关于明确纳税信用管理若干业务口径的公告》、《国家税务总局关于印发&lt;全面推进政务公开工作实施办法&gt;的通知》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涉税专业服务相关信息</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纳入监管的涉税专业服务机构名单及其信用情况、未经行政登记的税务师事务所名单、涉税服务失信名录</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《涉税专业服务监管办法（试行）》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办税地图</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办税服务厅名称、地址、电话、办公时间、主要职责</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纳税服务规范</w:t>
            </w:r>
            <w:r>
              <w:rPr>
                <w:rFonts w:hint="eastAsia" w:ascii="仿宋_GB2312" w:hAnsi="宋体" w:eastAsia="仿宋_GB2312"/>
                <w:color w:val="000000"/>
                <w:sz w:val="18"/>
                <w:szCs w:val="18"/>
              </w:rPr>
              <w:t>》</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办税日历</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申报征收期、申报征收项目、备注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办税指南</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事项名称、设定依据、申请条件、办理材料、办理地点、办理机构、收费标准、办理时间、联系电话、办理流程、纳税人注意事项、政策依据</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纳税服务规范</w:t>
            </w:r>
            <w:r>
              <w:rPr>
                <w:rFonts w:hint="eastAsia" w:ascii="仿宋_GB2312" w:hAnsi="宋体" w:eastAsia="仿宋_GB2312"/>
                <w:color w:val="000000"/>
                <w:sz w:val="18"/>
                <w:szCs w:val="18"/>
              </w:rPr>
              <w:t xml:space="preserve">》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权责清单</w:t>
            </w:r>
          </w:p>
        </w:tc>
        <w:tc>
          <w:tcPr>
            <w:tcW w:w="36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职权名称、设定依据、履责方式、追责情形、权责事项信息表（包括基本信息、办理信息、监管措施、咨询查询、行政相对人责任、监督责任、法律救济、行政职权运行流程图等）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vMerge w:val="continue"/>
            <w:noWrap w:val="0"/>
            <w:vAlign w:val="center"/>
          </w:tcPr>
          <w:p>
            <w:pPr>
              <w:jc w:val="center"/>
              <w:rPr>
                <w:rFonts w:ascii="宋体" w:hAnsi="宋体" w:cs="宋体"/>
                <w:bCs/>
                <w:color w:val="000000"/>
                <w:sz w:val="20"/>
                <w:szCs w:val="20"/>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准予行政许可决定公示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行政许可决定书及其文号、设定依据、项目名称、行政相对人统一社会信用代码、审批部门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《关于做好行政许可和行政处罚等信用信息公示工作的通知》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在做出行政许可决定之日起7个工作日内完成公示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10</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行政处罚决定和结果公示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行政处罚决定书文号、执法依据、案件名称、行政相对人统一社会信用代码、处罚事由、作出处罚决定的部门、处罚结果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《关于做好行政许可和行政处罚等信用信息公示工作的通知》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在做出行政处罚决定之日起7个工作日内完成公示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宋体" w:hAnsi="宋体" w:cs="宋体"/>
                <w:color w:val="000000"/>
                <w:sz w:val="15"/>
                <w:szCs w:val="15"/>
              </w:rPr>
            </w:pPr>
            <w:r>
              <w:rPr>
                <w:rFonts w:hint="eastAsia" w:ascii="宋体" w:hAnsi="宋体"/>
                <w:color w:val="00000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非正常户公告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《税收征收管理法》、《税收征收管理法实施细则》、《关于进一步完善税务登记管理有关问题的公告》</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在非正常户认定的次月公告非正常户</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欠税公告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个人（不含个体工商户）欠税的：公告其姓名、居民身份证或其他有效身份证件号码（隐去出生年月日）、欠税税种、欠税余额和当期新发生的欠税金额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对走逃、失踪的纳税户以及其他经税务机关查无下落的纳税人欠税的，由各省级和计划单列市税务局公告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《税收征收管理法》、《税收征收管理法实施细则》、《欠税公告办法（试行）》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委托代征公告</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《税收征收管理法》、《税收征收管理法实施细则》、《国家税务总局关于发布＜委托代征管理办法＞的公告》</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bl>
    <w:p>
      <w:pPr>
        <w:jc w:val="left"/>
        <w:rPr>
          <w:rFonts w:hint="eastAsia" w:ascii="Times New Roman" w:hAnsi="Times New Roman" w:eastAsia="方正小标宋_GBK"/>
          <w:sz w:val="28"/>
          <w:szCs w:val="28"/>
        </w:rPr>
      </w:pPr>
      <w:r>
        <w:br w:type="page"/>
      </w:r>
    </w:p>
    <w:p>
      <w:pPr>
        <w:pStyle w:val="2"/>
        <w:jc w:val="center"/>
        <w:rPr>
          <w:rFonts w:ascii="方正小标宋_GBK" w:hAnsi="方正小标宋_GBK" w:eastAsia="方正小标宋_GBK"/>
          <w:b w:val="0"/>
          <w:bCs w:val="0"/>
          <w:sz w:val="30"/>
        </w:rPr>
      </w:pPr>
      <w:bookmarkStart w:id="20" w:name="_Toc16287"/>
      <w:r>
        <w:rPr>
          <w:rFonts w:hint="eastAsia" w:ascii="方正小标宋_GBK" w:hAnsi="方正小标宋_GBK" w:eastAsia="方正小标宋_GBK"/>
          <w:b w:val="0"/>
          <w:bCs w:val="0"/>
          <w:sz w:val="30"/>
        </w:rPr>
        <w:t>（二十六）扶贫领域基层政务公开标准目录</w:t>
      </w:r>
      <w:bookmarkEnd w:id="20"/>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p>
        </w:tc>
        <w:tc>
          <w:tcPr>
            <w:tcW w:w="2340" w:type="dxa"/>
            <w:noWrap w:val="0"/>
            <w:vAlign w:val="center"/>
          </w:tcPr>
          <w:p>
            <w:pPr>
              <w:widowControl/>
              <w:jc w:val="left"/>
              <w:rPr>
                <w:rFonts w:ascii="仿宋_GB2312" w:eastAsia="仿宋_GB2312"/>
                <w:color w:val="000000"/>
                <w:sz w:val="18"/>
                <w:szCs w:val="18"/>
              </w:rPr>
            </w:pPr>
          </w:p>
        </w:tc>
        <w:tc>
          <w:tcPr>
            <w:tcW w:w="1260" w:type="dxa"/>
            <w:noWrap w:val="0"/>
            <w:vAlign w:val="center"/>
          </w:tcPr>
          <w:p>
            <w:pPr>
              <w:widowControl/>
              <w:jc w:val="left"/>
              <w:rPr>
                <w:rFonts w:ascii="仿宋_GB2312" w:eastAsia="仿宋_GB2312"/>
                <w:color w:val="000000"/>
                <w:sz w:val="18"/>
                <w:szCs w:val="18"/>
              </w:rPr>
            </w:pPr>
          </w:p>
        </w:tc>
        <w:tc>
          <w:tcPr>
            <w:tcW w:w="1440" w:type="dxa"/>
            <w:noWrap w:val="0"/>
            <w:vAlign w:val="center"/>
          </w:tcPr>
          <w:p>
            <w:pPr>
              <w:widowControl/>
              <w:jc w:val="left"/>
              <w:rPr>
                <w:rFonts w:ascii="仿宋_GB2312" w:eastAsia="仿宋_GB2312"/>
                <w:color w:val="000000"/>
                <w:sz w:val="18"/>
                <w:szCs w:val="18"/>
              </w:rPr>
            </w:pPr>
          </w:p>
        </w:tc>
        <w:tc>
          <w:tcPr>
            <w:tcW w:w="1800" w:type="dxa"/>
            <w:noWrap w:val="0"/>
            <w:vAlign w:val="center"/>
          </w:tcPr>
          <w:p>
            <w:pPr>
              <w:widowControl/>
              <w:jc w:val="left"/>
              <w:rPr>
                <w:rFonts w:ascii="仿宋_GB2312" w:eastAsia="仿宋_GB2312"/>
                <w:color w:val="000000"/>
                <w:sz w:val="18"/>
                <w:szCs w:val="18"/>
              </w:rPr>
            </w:pPr>
          </w:p>
        </w:tc>
        <w:tc>
          <w:tcPr>
            <w:tcW w:w="2520" w:type="dxa"/>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09" w:type="dxa"/>
            <w:noWrap w:val="0"/>
            <w:vAlign w:val="center"/>
          </w:tcPr>
          <w:p>
            <w:pPr>
              <w:widowControl/>
              <w:jc w:val="center"/>
              <w:rPr>
                <w:rFonts w:ascii="仿宋_GB2312" w:eastAsia="仿宋_GB2312"/>
                <w:color w:val="000000"/>
                <w:sz w:val="18"/>
                <w:szCs w:val="18"/>
              </w:rPr>
            </w:pPr>
          </w:p>
        </w:tc>
        <w:tc>
          <w:tcPr>
            <w:tcW w:w="551"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p>
        </w:tc>
        <w:tc>
          <w:tcPr>
            <w:tcW w:w="2340" w:type="dxa"/>
            <w:noWrap w:val="0"/>
            <w:vAlign w:val="center"/>
          </w:tcPr>
          <w:p>
            <w:pPr>
              <w:widowControl/>
              <w:jc w:val="left"/>
              <w:rPr>
                <w:rFonts w:ascii="仿宋_GB2312" w:eastAsia="仿宋_GB2312"/>
                <w:color w:val="000000"/>
                <w:sz w:val="18"/>
                <w:szCs w:val="18"/>
              </w:rPr>
            </w:pPr>
          </w:p>
        </w:tc>
        <w:tc>
          <w:tcPr>
            <w:tcW w:w="1260" w:type="dxa"/>
            <w:noWrap w:val="0"/>
            <w:vAlign w:val="center"/>
          </w:tcPr>
          <w:p>
            <w:pPr>
              <w:widowControl/>
              <w:jc w:val="left"/>
              <w:rPr>
                <w:rFonts w:ascii="仿宋_GB2312" w:eastAsia="仿宋_GB2312"/>
                <w:color w:val="000000"/>
                <w:sz w:val="18"/>
                <w:szCs w:val="18"/>
              </w:rPr>
            </w:pPr>
          </w:p>
        </w:tc>
        <w:tc>
          <w:tcPr>
            <w:tcW w:w="1440" w:type="dxa"/>
            <w:noWrap w:val="0"/>
            <w:vAlign w:val="center"/>
          </w:tcPr>
          <w:p>
            <w:pPr>
              <w:widowControl/>
              <w:jc w:val="left"/>
              <w:rPr>
                <w:rFonts w:ascii="仿宋_GB2312" w:eastAsia="仿宋_GB2312"/>
                <w:color w:val="000000"/>
                <w:sz w:val="18"/>
                <w:szCs w:val="18"/>
              </w:rPr>
            </w:pPr>
          </w:p>
        </w:tc>
        <w:tc>
          <w:tcPr>
            <w:tcW w:w="1800" w:type="dxa"/>
            <w:noWrap w:val="0"/>
            <w:vAlign w:val="center"/>
          </w:tcPr>
          <w:p>
            <w:pPr>
              <w:widowControl/>
              <w:jc w:val="left"/>
              <w:rPr>
                <w:rFonts w:ascii="仿宋_GB2312" w:eastAsia="仿宋_GB2312"/>
                <w:color w:val="000000"/>
                <w:sz w:val="18"/>
                <w:szCs w:val="18"/>
              </w:rPr>
            </w:pPr>
          </w:p>
        </w:tc>
        <w:tc>
          <w:tcPr>
            <w:tcW w:w="2520" w:type="dxa"/>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09" w:type="dxa"/>
            <w:noWrap w:val="0"/>
            <w:vAlign w:val="center"/>
          </w:tcPr>
          <w:p>
            <w:pPr>
              <w:widowControl/>
              <w:jc w:val="center"/>
              <w:rPr>
                <w:rFonts w:ascii="仿宋_GB2312" w:eastAsia="仿宋_GB2312"/>
                <w:color w:val="000000"/>
                <w:sz w:val="18"/>
                <w:szCs w:val="18"/>
              </w:rPr>
            </w:pPr>
          </w:p>
        </w:tc>
        <w:tc>
          <w:tcPr>
            <w:tcW w:w="551"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r>
    </w:tbl>
    <w:p/>
    <w:p/>
    <w:p>
      <w:pPr>
        <w:jc w:val="left"/>
        <w:rPr>
          <w:rFonts w:ascii="宋体" w:hAnsi="宋体"/>
          <w:sz w:val="28"/>
          <w:szCs w:val="28"/>
        </w:rPr>
      </w:pPr>
    </w:p>
    <w:p/>
    <w:p/>
    <w:sectPr>
      <w:footerReference r:id="rId6"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5E953FF5"/>
    <w:rsid w:val="0F9611C3"/>
    <w:rsid w:val="1D7A24BC"/>
    <w:rsid w:val="202A5E57"/>
    <w:rsid w:val="25245E2B"/>
    <w:rsid w:val="323200B9"/>
    <w:rsid w:val="5E95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semiHidden/>
    <w:qFormat/>
    <w:uiPriority w:val="0"/>
    <w:pPr>
      <w:tabs>
        <w:tab w:val="right" w:leader="dot" w:pos="14760"/>
      </w:tabs>
      <w:spacing w:line="700" w:lineRule="exact"/>
      <w:ind w:left="359" w:leftChars="171" w:right="332" w:rightChars="158"/>
    </w:pPr>
  </w:style>
  <w:style w:type="paragraph" w:styleId="6">
    <w:name w:val="index 7"/>
    <w:basedOn w:val="1"/>
    <w:next w:val="1"/>
    <w:autoRedefine/>
    <w:qFormat/>
    <w:uiPriority w:val="0"/>
    <w:pPr>
      <w:ind w:left="2520"/>
    </w:pPr>
  </w:style>
  <w:style w:type="character" w:styleId="9">
    <w:name w:val="page number"/>
    <w:basedOn w:val="8"/>
    <w:autoRedefine/>
    <w:qFormat/>
    <w:uiPriority w:val="0"/>
  </w:style>
  <w:style w:type="character" w:styleId="10">
    <w:name w:val="Hyperlink"/>
    <w:basedOn w:val="8"/>
    <w:autoRedefine/>
    <w:qFormat/>
    <w:uiPriority w:val="0"/>
    <w:rPr>
      <w:color w:val="0000FF"/>
      <w:u w:val="single"/>
    </w:rPr>
  </w:style>
  <w:style w:type="character" w:customStyle="1" w:styleId="11">
    <w:name w:val="font21"/>
    <w:basedOn w:val="8"/>
    <w:autoRedefine/>
    <w:qFormat/>
    <w:uiPriority w:val="0"/>
    <w:rPr>
      <w:rFonts w:hint="eastAsia" w:ascii="仿宋" w:hAnsi="仿宋" w:eastAsia="仿宋" w:cs="仿宋"/>
      <w:color w:val="000000"/>
      <w:sz w:val="18"/>
      <w:szCs w:val="18"/>
      <w:u w:val="none"/>
    </w:rPr>
  </w:style>
  <w:style w:type="character" w:customStyle="1" w:styleId="12">
    <w:name w:val="font61"/>
    <w:basedOn w:val="8"/>
    <w:autoRedefine/>
    <w:qFormat/>
    <w:uiPriority w:val="0"/>
    <w:rPr>
      <w:rFonts w:hint="eastAsia" w:ascii="仿宋" w:hAnsi="仿宋" w:eastAsia="仿宋" w:cs="仿宋"/>
      <w:color w:val="000000"/>
      <w:sz w:val="22"/>
      <w:szCs w:val="22"/>
      <w:u w:val="none"/>
    </w:rPr>
  </w:style>
  <w:style w:type="character" w:customStyle="1" w:styleId="13">
    <w:name w:val="font31"/>
    <w:basedOn w:val="8"/>
    <w:autoRedefine/>
    <w:qFormat/>
    <w:uiPriority w:val="0"/>
    <w:rPr>
      <w:rFonts w:hint="eastAsia" w:ascii="仿宋" w:hAnsi="仿宋" w:eastAsia="仿宋" w:cs="仿宋"/>
      <w:color w:val="000000"/>
      <w:sz w:val="18"/>
      <w:szCs w:val="18"/>
      <w:u w:val="none"/>
    </w:rPr>
  </w:style>
  <w:style w:type="character" w:customStyle="1" w:styleId="14">
    <w:name w:val="font81"/>
    <w:basedOn w:val="8"/>
    <w:autoRedefine/>
    <w:qFormat/>
    <w:uiPriority w:val="0"/>
    <w:rPr>
      <w:rFonts w:hint="eastAsia" w:ascii="仿宋" w:hAnsi="仿宋" w:eastAsia="仿宋" w:cs="仿宋"/>
      <w:color w:val="000000"/>
      <w:sz w:val="22"/>
      <w:szCs w:val="22"/>
      <w:u w:val="none"/>
    </w:rPr>
  </w:style>
  <w:style w:type="character" w:customStyle="1" w:styleId="15">
    <w:name w:val="font11"/>
    <w:basedOn w:val="8"/>
    <w:qFormat/>
    <w:uiPriority w:val="0"/>
    <w:rPr>
      <w:rFonts w:hint="eastAsia" w:ascii="宋体" w:hAnsi="宋体" w:eastAsia="宋体" w:cs="宋体"/>
      <w:color w:val="000000"/>
      <w:sz w:val="22"/>
      <w:szCs w:val="22"/>
      <w:u w:val="none"/>
    </w:rPr>
  </w:style>
  <w:style w:type="paragraph" w:customStyle="1" w:styleId="16">
    <w:name w:val="列出段落"/>
    <w:next w:val="6"/>
    <w:autoRedefine/>
    <w:qFormat/>
    <w:uiPriority w:val="0"/>
    <w:pPr>
      <w:widowControl w:val="0"/>
      <w:ind w:firstLine="200" w:firstLineChars="200"/>
      <w:jc w:val="both"/>
    </w:pPr>
    <w:rPr>
      <w:rFonts w:ascii="等线" w:hAnsi="Times New Roman" w:eastAsia="等线" w:cs="Times New Roman"/>
      <w:kern w:val="2"/>
      <w:sz w:val="21"/>
      <w:szCs w:val="22"/>
      <w:lang w:val="en-US" w:eastAsia="zh-CN" w:bidi="ar-SA"/>
    </w:rPr>
  </w:style>
  <w:style w:type="paragraph" w:customStyle="1" w:styleId="17">
    <w:name w:val="列出段落1"/>
    <w:basedOn w:val="1"/>
    <w:autoRedefine/>
    <w:qFormat/>
    <w:uiPriority w:val="0"/>
    <w:pPr>
      <w:ind w:firstLine="420" w:firstLineChars="200"/>
    </w:pPr>
  </w:style>
  <w:style w:type="character" w:customStyle="1" w:styleId="18">
    <w:name w:val="font41"/>
    <w:basedOn w:val="8"/>
    <w:autoRedefine/>
    <w:qFormat/>
    <w:uiPriority w:val="0"/>
    <w:rPr>
      <w:rFonts w:hint="eastAsia" w:ascii="宋体" w:hAnsi="宋体" w:eastAsia="宋体" w:cs="宋体"/>
      <w:color w:val="000000"/>
      <w:sz w:val="18"/>
      <w:szCs w:val="18"/>
      <w:u w:val="none"/>
    </w:rPr>
  </w:style>
  <w:style w:type="character" w:customStyle="1" w:styleId="19">
    <w:name w:val="font71"/>
    <w:basedOn w:val="8"/>
    <w:autoRedefine/>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2020-11-25T08:19:00Z</dcterms:created>
  <dc:creator>zhengwuxinxiguanligu</dc:creator>
  <cp:lastModifiedBy>Administrator</cp:lastModifiedBy>
  <dcterms:modified xsi:type="dcterms:W3CDTF">2024-02-06T01:49:13Z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3C441A97C0BE4A08AD56AACD6A320562_13</vt:lpwstr>
  </property>
</Properties>
</file>