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Times New Roman"/>
          <w:sz w:val="36"/>
          <w:szCs w:val="36"/>
        </w:rPr>
      </w:pPr>
      <w:r>
        <w:rPr>
          <w:rFonts w:hint="eastAsia" w:ascii="华文中宋" w:hAnsi="华文中宋" w:eastAsia="华文中宋"/>
          <w:sz w:val="36"/>
          <w:szCs w:val="36"/>
        </w:rPr>
        <w:t>五台县水利局</w:t>
      </w:r>
      <w:r>
        <w:rPr>
          <w:rFonts w:hint="eastAsia" w:ascii="华文中宋" w:hAnsi="华文中宋" w:eastAsia="华文中宋" w:cs="Times New Roman"/>
          <w:sz w:val="36"/>
          <w:szCs w:val="36"/>
        </w:rPr>
        <w:t>2020年度部门决算分析报告</w:t>
      </w:r>
    </w:p>
    <w:p>
      <w:pPr>
        <w:ind w:firstLine="640" w:firstLineChars="200"/>
        <w:rPr>
          <w:rFonts w:hint="eastAsia" w:ascii="仿宋_GB2312" w:hAnsi="仿宋" w:eastAsia="仿宋_GB2312" w:cs="Times New Roman"/>
          <w:sz w:val="32"/>
          <w:szCs w:val="32"/>
        </w:rPr>
      </w:pPr>
    </w:p>
    <w:p>
      <w:pPr>
        <w:spacing w:line="520" w:lineRule="exact"/>
        <w:ind w:firstLine="640" w:firstLineChars="200"/>
        <w:rPr>
          <w:rFonts w:hint="eastAsia" w:ascii="黑体" w:hAnsi="黑体" w:eastAsia="黑体" w:cs="Times New Roman"/>
          <w:sz w:val="32"/>
          <w:szCs w:val="32"/>
        </w:rPr>
      </w:pPr>
      <w:bookmarkStart w:id="0" w:name="YS060101"/>
      <w:r>
        <w:rPr>
          <w:rFonts w:hint="eastAsia" w:ascii="黑体" w:hAnsi="黑体" w:eastAsia="黑体" w:cs="Times New Roman"/>
          <w:sz w:val="32"/>
          <w:szCs w:val="32"/>
        </w:rPr>
        <w:t>一、单位情况</w:t>
      </w:r>
    </w:p>
    <w:bookmarkEnd w:id="0"/>
    <w:p>
      <w:pPr>
        <w:spacing w:line="520" w:lineRule="exact"/>
        <w:ind w:firstLine="643" w:firstLineChars="200"/>
        <w:rPr>
          <w:rFonts w:hint="eastAsia" w:ascii="楷体_GB2312" w:hAnsi="仿宋" w:eastAsia="楷体_GB2312" w:cs="Times New Roman"/>
          <w:b/>
          <w:sz w:val="32"/>
          <w:szCs w:val="32"/>
        </w:rPr>
      </w:pPr>
      <w:r>
        <w:rPr>
          <w:rFonts w:hint="eastAsia" w:ascii="楷体_GB2312" w:hAnsi="仿宋" w:eastAsia="楷体_GB2312" w:cs="Times New Roman"/>
          <w:b/>
          <w:sz w:val="32"/>
          <w:szCs w:val="32"/>
        </w:rPr>
        <w:t>（一）基本情况。</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1．主要职能。</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cs="Times New Roman"/>
          <w:sz w:val="32"/>
          <w:szCs w:val="32"/>
        </w:rPr>
        <w:t>拟定全县水利工作的政策、发展战略和中长期规划，织起草有关法规并监督实施。统一管理全县水资源（含空中水、地表水、地下水）。组织、指导全县水政监察和水行政执法；协调并仲裁地区间的水事纠纷。对水利资金的使用进行宏观调节；组织编制审查全县中小型水利基建项目建议书和可行性报告；组织水利技术推广；负责水利行业招投标活动的监督执法。组织、指导全县水利设施、水域及其岸线的管理与保护；组织指导境内流域、河道、湖泊、泉域、河岸滩涂和盐碱地的治理开发；办理县际河流的有关事务。组织、指导水库、水电站大坝的安全监督。负责并指导全县农村水利工作；组织协调农田水利基本建设和乡镇供水工作。负责并指导全县水土保持工作。承担县防汛抗旱指挥部的日常工作，组织、协调、监督、指导全县防洪工作，对主要河道和主要水利工程实施防汛抗旱调度。负责全县水产渔业和渔政执法监督管理工作。指导全县水利行业的水电管理工作，组织协调全县农村水电电气化工作。</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2．机构情况，包括当年变动情况及原因。</w:t>
      </w:r>
    </w:p>
    <w:p>
      <w:pPr>
        <w:spacing w:line="520" w:lineRule="exact"/>
        <w:ind w:firstLine="643" w:firstLineChars="200"/>
        <w:rPr>
          <w:rFonts w:ascii="仿宋_GB2312" w:hAnsi="仿宋" w:eastAsia="仿宋_GB2312" w:cs="Times New Roman"/>
          <w:sz w:val="32"/>
          <w:szCs w:val="32"/>
        </w:rPr>
      </w:pPr>
      <w:r>
        <w:rPr>
          <w:rFonts w:hint="eastAsia" w:ascii="仿宋_GB2312" w:hAnsi="仿宋" w:eastAsia="仿宋_GB2312" w:cs="Times New Roman"/>
          <w:b/>
          <w:bCs/>
          <w:sz w:val="32"/>
          <w:szCs w:val="32"/>
        </w:rPr>
        <w:t>行政机构下设</w:t>
      </w:r>
      <w:r>
        <w:rPr>
          <w:rFonts w:hint="eastAsia" w:ascii="仿宋_GB2312" w:hAnsi="仿宋" w:eastAsia="仿宋_GB2312" w:cs="Times New Roman"/>
          <w:sz w:val="32"/>
          <w:szCs w:val="32"/>
        </w:rPr>
        <w:t>办公室,计划财务股,水利规划管理股。</w:t>
      </w:r>
    </w:p>
    <w:p>
      <w:pPr>
        <w:spacing w:line="520" w:lineRule="exact"/>
        <w:ind w:firstLine="643" w:firstLineChars="200"/>
        <w:rPr>
          <w:rFonts w:hint="eastAsia" w:ascii="仿宋_GB2312" w:hAnsi="仿宋" w:eastAsia="仿宋_GB2312" w:cs="Times New Roman"/>
          <w:sz w:val="32"/>
          <w:szCs w:val="32"/>
        </w:rPr>
      </w:pPr>
      <w:r>
        <w:rPr>
          <w:rFonts w:hint="eastAsia" w:ascii="仿宋_GB2312" w:hAnsi="仿宋" w:eastAsia="仿宋_GB2312" w:cs="Times New Roman"/>
          <w:b/>
          <w:bCs/>
          <w:sz w:val="32"/>
          <w:szCs w:val="32"/>
        </w:rPr>
        <w:t>事业机构下设</w:t>
      </w:r>
      <w:r>
        <w:rPr>
          <w:rFonts w:hint="eastAsia" w:ascii="仿宋_GB2312" w:hAnsi="仿宋" w:eastAsia="仿宋_GB2312" w:cs="Times New Roman"/>
          <w:sz w:val="32"/>
          <w:szCs w:val="32"/>
        </w:rPr>
        <w:t>水利工程技术服务中心,水土保持工作站 ,小水电工作站</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下设独立核算事业单位有：唐家湾水库服务中心，水资源服务中心，水工程移民服务中心，小银河水利工作站，水土保持监测站，河道工作站，抗旱服务中心，钻井技术服务中心，小银河水利灌溉服务站。</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3．人员情况，包括当年变动情况及原因。</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20</w:t>
      </w:r>
      <w:r>
        <w:rPr>
          <w:rFonts w:hint="eastAsia" w:ascii="仿宋_GB2312" w:hAnsi="仿宋" w:eastAsia="仿宋_GB2312" w:cs="Times New Roman"/>
          <w:sz w:val="32"/>
          <w:szCs w:val="32"/>
          <w:lang w:val="en-US" w:eastAsia="zh-CN"/>
        </w:rPr>
        <w:t>20</w:t>
      </w:r>
      <w:r>
        <w:rPr>
          <w:rFonts w:hint="eastAsia" w:ascii="仿宋_GB2312" w:hAnsi="仿宋" w:eastAsia="仿宋_GB2312" w:cs="Times New Roman"/>
          <w:sz w:val="32"/>
          <w:szCs w:val="32"/>
        </w:rPr>
        <w:t>年末公共预算财政拨款开支人数中行政在职人员9人，事业人员68人，退休62人。</w:t>
      </w:r>
      <w:r>
        <w:rPr>
          <w:rFonts w:hint="eastAsia" w:ascii="仿宋_GB2312" w:hAnsi="仿宋" w:eastAsia="仿宋_GB2312" w:cs="Times New Roman"/>
          <w:sz w:val="32"/>
          <w:szCs w:val="32"/>
          <w:lang w:val="en-US" w:eastAsia="zh-CN"/>
        </w:rPr>
        <w:t>自收自支事业</w:t>
      </w:r>
      <w:r>
        <w:rPr>
          <w:rFonts w:hint="eastAsia" w:ascii="仿宋_GB2312" w:hAnsi="仿宋" w:eastAsia="仿宋_GB2312" w:cs="Times New Roman"/>
          <w:sz w:val="32"/>
          <w:szCs w:val="32"/>
        </w:rPr>
        <w:t>人员在职35人，退休15人。</w:t>
      </w:r>
    </w:p>
    <w:p>
      <w:pPr>
        <w:spacing w:line="520" w:lineRule="exact"/>
        <w:ind w:firstLine="643" w:firstLineChars="200"/>
        <w:rPr>
          <w:rFonts w:hint="eastAsia" w:ascii="楷体_GB2312" w:hAnsi="仿宋" w:eastAsia="楷体_GB2312" w:cs="Times New Roman"/>
          <w:b/>
          <w:sz w:val="32"/>
          <w:szCs w:val="32"/>
        </w:rPr>
      </w:pPr>
      <w:r>
        <w:rPr>
          <w:rFonts w:hint="eastAsia" w:ascii="楷体_GB2312" w:hAnsi="仿宋" w:eastAsia="楷体_GB2312" w:cs="Times New Roman"/>
          <w:b/>
          <w:sz w:val="32"/>
          <w:szCs w:val="32"/>
        </w:rPr>
        <w:t>（二）当年取得的主要事业成效。</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1.编制五台县农村供水保障“十四五”规划</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2.落实农村饮水安全管理体系“三个责任”工作</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3.提升五台县2020年农村饮水安全水质项目</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为支持山西省贫困地区经济社会发展，助力脱贫攻坚，中国烟草总公司决定在2019、2020年两年内分两次向我省捐赠人民币1亿元，用于吕梁山太行山集中连片特困地区精准扶贫项目，重点用于贫困县实施农村饮水安全巩固提升工程。为此下达我县2020年实施农村饮水安全水质提升项目资金302万元，主要建设分质供水站25座，安装净水设备25套等，可使20个村，4.1万口人的饮用水质得到进一步提升。该项目工程已建成投入使用。</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4</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持续巩固农村饮水安全工程建设成果、推行节水灌溉技术</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我局组织专业技术人员定期开展农村饮水安全大排查，争取到市级资金30万元、县财政拨付资金100万元，解决了20个村的饮水安全工程的维修养护等突发性问题，做到静态清零、动态保障；投资253万元实施完成饮水安全巩固提升工程24处；积极响应节水优先政策，宣传高效节水技术，在阳白乡探头村实施节水灌溉项目500亩，投资50万元，配套中药材种植，促进中药材的增产增收。</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5.扎实推进脱贫攻坚工作</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并派出4个驻村工作队，全面加强了对脱贫工作的统筹协调和组织领导。依托行业和人员优势，采取驻村包户、带队帮扶、项目带动等一系列帮扶措施，持续精准发力。全面统筹安排巩固脱贫攻坚工作，做到结对帮扶工作有研究、有部署、有督促、有落实。局领导班子继续组织党员干部职工进村入户开展政策宣传、动态管理排查、数据采集、填写扶贫帮扶手册、环境卫生整治等帮扶工作；按时按质按量完成了县脱贫攻坚指挥部领导交办的各项工作任务，同时，要明确发展目标，研究帮扶方案，巩固脱贫成果，共促乡村经济社会和谐稳定发展。</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6.稳固推行河长制工作</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7.严格落实水资源管控工作</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lang w:val="en-US" w:eastAsia="zh-CN"/>
        </w:rPr>
        <w:t>8.</w:t>
      </w:r>
      <w:r>
        <w:rPr>
          <w:rFonts w:hint="eastAsia" w:ascii="仿宋_GB2312" w:hAnsi="仿宋" w:eastAsia="仿宋_GB2312" w:cs="Times New Roman"/>
          <w:sz w:val="32"/>
          <w:szCs w:val="32"/>
        </w:rPr>
        <w:t>全力做好防汛抗旱工作</w:t>
      </w:r>
      <w:bookmarkStart w:id="1" w:name="YS060102"/>
    </w:p>
    <w:p>
      <w:pPr>
        <w:spacing w:line="52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二、收入支出预算执行情况分析</w:t>
      </w:r>
    </w:p>
    <w:bookmarkEnd w:id="1"/>
    <w:p>
      <w:pPr>
        <w:spacing w:line="520" w:lineRule="exact"/>
        <w:ind w:firstLine="643" w:firstLineChars="200"/>
        <w:rPr>
          <w:rFonts w:hint="eastAsia" w:ascii="楷体_GB2312" w:hAnsi="仿宋" w:eastAsia="楷体_GB2312" w:cs="Times New Roman"/>
          <w:b/>
          <w:sz w:val="32"/>
          <w:szCs w:val="32"/>
        </w:rPr>
      </w:pPr>
      <w:r>
        <w:rPr>
          <w:rFonts w:hint="eastAsia" w:ascii="楷体_GB2312" w:hAnsi="仿宋" w:eastAsia="楷体_GB2312" w:cs="Times New Roman"/>
          <w:b/>
          <w:sz w:val="32"/>
          <w:szCs w:val="32"/>
        </w:rPr>
        <w:t>（一）收入支出预算安排情况。</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2020年单位年初收入预算</w:t>
      </w:r>
      <w:r>
        <w:rPr>
          <w:rFonts w:hint="eastAsia" w:ascii="仿宋_GB2312" w:hAnsi="仿宋" w:eastAsia="仿宋_GB2312" w:cs="Times New Roman"/>
          <w:sz w:val="32"/>
          <w:szCs w:val="32"/>
          <w:lang w:val="en-US" w:eastAsia="zh-CN"/>
        </w:rPr>
        <w:t>安排</w:t>
      </w:r>
      <w:r>
        <w:rPr>
          <w:rFonts w:hint="eastAsia" w:ascii="仿宋_GB2312" w:hAnsi="仿宋" w:eastAsia="仿宋_GB2312" w:cs="Times New Roman"/>
          <w:sz w:val="32"/>
          <w:szCs w:val="32"/>
        </w:rPr>
        <w:t>20,140,000.00元，支出预算24,100,000.00元。</w:t>
      </w:r>
    </w:p>
    <w:p>
      <w:pPr>
        <w:spacing w:line="520" w:lineRule="exact"/>
        <w:ind w:firstLine="643" w:firstLineChars="200"/>
        <w:rPr>
          <w:rFonts w:hint="eastAsia" w:ascii="楷体_GB2312" w:hAnsi="仿宋" w:eastAsia="楷体_GB2312" w:cs="Times New Roman"/>
          <w:b/>
          <w:sz w:val="32"/>
          <w:szCs w:val="32"/>
        </w:rPr>
      </w:pPr>
      <w:r>
        <w:rPr>
          <w:rFonts w:hint="eastAsia" w:ascii="楷体_GB2312" w:hAnsi="仿宋" w:eastAsia="楷体_GB2312" w:cs="Times New Roman"/>
          <w:b/>
          <w:sz w:val="32"/>
          <w:szCs w:val="32"/>
        </w:rPr>
        <w:t>（二）收入支出预算执行情况。</w:t>
      </w:r>
    </w:p>
    <w:p>
      <w:pPr>
        <w:spacing w:line="520" w:lineRule="exact"/>
        <w:ind w:firstLine="640" w:firstLineChars="200"/>
        <w:rPr>
          <w:rFonts w:hint="default" w:ascii="仿宋_GB2312" w:hAnsi="仿宋" w:eastAsia="仿宋_GB2312" w:cs="Times New Roman"/>
          <w:sz w:val="32"/>
          <w:szCs w:val="32"/>
          <w:lang w:val="en-US"/>
        </w:rPr>
      </w:pPr>
      <w:r>
        <w:rPr>
          <w:rFonts w:hint="eastAsia" w:ascii="仿宋_GB2312" w:hAnsi="仿宋" w:eastAsia="仿宋_GB2312" w:cs="Times New Roman"/>
          <w:sz w:val="32"/>
          <w:szCs w:val="32"/>
        </w:rPr>
        <w:t>当年预算收入28,085,122.48元，预算支出28,085,122.48元。</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1．收入支出与预算对比分析。</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（1）预、决算差异情况：收入支出与预算差异3</w:t>
      </w:r>
      <w:r>
        <w:rPr>
          <w:rFonts w:hint="eastAsia" w:ascii="仿宋_GB2312" w:hAnsi="仿宋" w:eastAsia="仿宋_GB2312" w:cs="Times New Roman"/>
          <w:sz w:val="32"/>
          <w:szCs w:val="32"/>
          <w:lang w:val="en-US" w:eastAsia="zh-CN"/>
        </w:rPr>
        <w:t>985122.48</w:t>
      </w:r>
      <w:r>
        <w:rPr>
          <w:rFonts w:hint="eastAsia" w:ascii="仿宋_GB2312" w:hAnsi="仿宋" w:eastAsia="仿宋_GB2312" w:cs="Times New Roman"/>
          <w:sz w:val="32"/>
          <w:szCs w:val="32"/>
        </w:rPr>
        <w:t>元</w:t>
      </w:r>
    </w:p>
    <w:p>
      <w:pPr>
        <w:spacing w:line="520" w:lineRule="exact"/>
        <w:ind w:firstLine="640" w:firstLineChars="200"/>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rPr>
        <w:t>（2）差异原因分析。主要差异为</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河道确权划界的规划和项目计划的再下达导致公用经费支出及项目支出的增加。</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2．收入支出结构分析。</w:t>
      </w:r>
    </w:p>
    <w:p>
      <w:pPr>
        <w:spacing w:line="520" w:lineRule="exact"/>
        <w:ind w:firstLine="640" w:firstLineChars="200"/>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本年度</w:t>
      </w:r>
      <w:r>
        <w:rPr>
          <w:rFonts w:hint="eastAsia" w:ascii="仿宋_GB2312" w:hAnsi="仿宋" w:eastAsia="仿宋_GB2312" w:cs="Times New Roman"/>
          <w:sz w:val="32"/>
          <w:szCs w:val="32"/>
        </w:rPr>
        <w:t>总收入28,085,122.48，</w:t>
      </w:r>
      <w:r>
        <w:rPr>
          <w:rFonts w:hint="eastAsia" w:ascii="仿宋_GB2312" w:hAnsi="仿宋" w:eastAsia="仿宋_GB2312" w:cs="Times New Roman"/>
          <w:sz w:val="32"/>
          <w:szCs w:val="32"/>
          <w:lang w:val="en-US" w:eastAsia="zh-CN"/>
        </w:rPr>
        <w:t>各项收入占总收入的比重见图示：</w:t>
      </w:r>
    </w:p>
    <w:p>
      <w:pPr>
        <w:spacing w:line="520" w:lineRule="exact"/>
        <w:ind w:firstLine="640" w:firstLineChars="200"/>
        <w:rPr>
          <w:rFonts w:hint="default" w:ascii="仿宋_GB2312" w:hAnsi="仿宋" w:eastAsia="仿宋_GB2312" w:cs="Times New Roman"/>
          <w:b/>
          <w:sz w:val="32"/>
          <w:szCs w:val="32"/>
          <w:lang w:val="en-US"/>
        </w:rPr>
      </w:pPr>
      <w:r>
        <w:rPr>
          <w:rFonts w:hint="eastAsia" w:ascii="仿宋_GB2312" w:hAnsi="仿宋" w:eastAsia="仿宋_GB2312" w:cs="Times New Roman"/>
          <w:sz w:val="32"/>
          <w:szCs w:val="32"/>
          <w:lang w:val="en-US" w:eastAsia="zh-CN"/>
        </w:rPr>
        <w:t>本年度</w:t>
      </w:r>
      <w:r>
        <w:rPr>
          <w:rFonts w:hint="eastAsia" w:ascii="仿宋_GB2312" w:hAnsi="仿宋" w:eastAsia="仿宋_GB2312" w:cs="Times New Roman"/>
          <w:sz w:val="32"/>
          <w:szCs w:val="32"/>
        </w:rPr>
        <w:t>总</w:t>
      </w:r>
      <w:r>
        <w:rPr>
          <w:rFonts w:hint="eastAsia" w:ascii="仿宋_GB2312" w:hAnsi="仿宋" w:eastAsia="仿宋_GB2312" w:cs="Times New Roman"/>
          <w:sz w:val="32"/>
          <w:szCs w:val="32"/>
          <w:lang w:val="en-US" w:eastAsia="zh-CN"/>
        </w:rPr>
        <w:t>支出</w:t>
      </w:r>
      <w:r>
        <w:rPr>
          <w:rFonts w:hint="eastAsia" w:ascii="仿宋_GB2312" w:hAnsi="仿宋" w:eastAsia="仿宋_GB2312" w:cs="Times New Roman"/>
          <w:sz w:val="32"/>
          <w:szCs w:val="32"/>
        </w:rPr>
        <w:t>29,185,860.91</w:t>
      </w:r>
      <w:r>
        <w:drawing>
          <wp:anchor distT="0" distB="0" distL="114300" distR="114300" simplePos="0" relativeHeight="251658240" behindDoc="0" locked="0" layoutInCell="1" allowOverlap="1">
            <wp:simplePos x="0" y="0"/>
            <wp:positionH relativeFrom="column">
              <wp:posOffset>-2540</wp:posOffset>
            </wp:positionH>
            <wp:positionV relativeFrom="paragraph">
              <wp:posOffset>329565</wp:posOffset>
            </wp:positionV>
            <wp:extent cx="5008245" cy="3401695"/>
            <wp:effectExtent l="4445" t="4445" r="16510" b="22860"/>
            <wp:wrapTopAndBottom/>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r>
        <w:rPr>
          <w:rFonts w:hint="eastAsia" w:ascii="仿宋_GB2312" w:hAnsi="仿宋" w:eastAsia="仿宋_GB2312" w:cs="Times New Roman"/>
          <w:sz w:val="32"/>
          <w:szCs w:val="32"/>
        </w:rPr>
        <w:t>各项支出占总支出的比重</w:t>
      </w:r>
      <w:r>
        <w:rPr>
          <w:rFonts w:hint="eastAsia" w:ascii="仿宋_GB2312" w:hAnsi="仿宋" w:eastAsia="仿宋_GB2312" w:cs="Times New Roman"/>
          <w:sz w:val="32"/>
          <w:szCs w:val="32"/>
          <w:lang w:val="en-US" w:eastAsia="zh-CN"/>
        </w:rPr>
        <w:t>见图示：</w:t>
      </w:r>
    </w:p>
    <w:p>
      <w:pPr>
        <w:spacing w:line="520" w:lineRule="exact"/>
        <w:ind w:firstLine="440" w:firstLineChars="200"/>
        <w:rPr>
          <w:rFonts w:hint="default" w:ascii="仿宋_GB2312" w:hAnsi="仿宋" w:eastAsia="仿宋_GB2312" w:cs="Times New Roman"/>
          <w:sz w:val="32"/>
          <w:szCs w:val="32"/>
          <w:lang w:val="en-US" w:eastAsia="zh-CN"/>
        </w:rPr>
      </w:pPr>
      <w:r>
        <w:drawing>
          <wp:anchor distT="0" distB="0" distL="114300" distR="114300" simplePos="0" relativeHeight="251659264" behindDoc="0" locked="0" layoutInCell="1" allowOverlap="1">
            <wp:simplePos x="0" y="0"/>
            <wp:positionH relativeFrom="column">
              <wp:posOffset>146050</wp:posOffset>
            </wp:positionH>
            <wp:positionV relativeFrom="paragraph">
              <wp:posOffset>365125</wp:posOffset>
            </wp:positionV>
            <wp:extent cx="4937760" cy="3355340"/>
            <wp:effectExtent l="5080" t="4445" r="10160" b="12065"/>
            <wp:wrapTopAndBottom/>
            <wp:docPr id="4"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3．支出按经济分类科目分析。</w:t>
      </w:r>
    </w:p>
    <w:p>
      <w:pPr>
        <w:spacing w:line="52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rPr>
        <w:t>（1）“三公”经费支出情况：</w:t>
      </w:r>
      <w:r>
        <w:rPr>
          <w:rFonts w:hint="eastAsia" w:ascii="仿宋_GB2312" w:hAnsi="仿宋" w:eastAsia="仿宋_GB2312" w:cs="Times New Roman"/>
          <w:sz w:val="32"/>
          <w:szCs w:val="32"/>
          <w:lang w:val="en-US" w:eastAsia="zh-CN"/>
        </w:rPr>
        <w:t>无</w:t>
      </w:r>
    </w:p>
    <w:p>
      <w:pPr>
        <w:spacing w:line="52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rPr>
        <w:t>（2）会议费支出情况：</w:t>
      </w:r>
      <w:r>
        <w:rPr>
          <w:rFonts w:hint="eastAsia" w:ascii="仿宋_GB2312" w:hAnsi="仿宋" w:eastAsia="仿宋_GB2312" w:cs="Times New Roman"/>
          <w:sz w:val="32"/>
          <w:szCs w:val="32"/>
          <w:lang w:val="en-US" w:eastAsia="zh-CN"/>
        </w:rPr>
        <w:t>无</w:t>
      </w:r>
    </w:p>
    <w:p>
      <w:pPr>
        <w:spacing w:line="520" w:lineRule="exact"/>
        <w:ind w:firstLine="640" w:firstLineChars="200"/>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rPr>
        <w:t>（3）培训费支出情况：</w:t>
      </w:r>
      <w:r>
        <w:rPr>
          <w:rFonts w:hint="eastAsia" w:ascii="仿宋_GB2312" w:hAnsi="仿宋" w:eastAsia="仿宋_GB2312" w:cs="Times New Roman"/>
          <w:sz w:val="32"/>
          <w:szCs w:val="32"/>
          <w:lang w:val="en-US" w:eastAsia="zh-CN"/>
        </w:rPr>
        <w:t>缩减</w:t>
      </w:r>
    </w:p>
    <w:p>
      <w:pPr>
        <w:spacing w:line="520" w:lineRule="exact"/>
        <w:ind w:firstLine="640" w:firstLineChars="200"/>
        <w:rPr>
          <w:rFonts w:hint="eastAsia" w:ascii="仿宋_GB2312" w:hAnsi="仿宋" w:eastAsia="仿宋_GB2312" w:cs="Times New Roman"/>
          <w:sz w:val="32"/>
          <w:szCs w:val="32"/>
        </w:rPr>
      </w:pPr>
      <w:r>
        <w:rPr>
          <w:rFonts w:hint="eastAsia" w:ascii="仿宋_GB2312" w:hAnsi="仿宋" w:eastAsia="仿宋_GB2312" w:cs="Times New Roman"/>
          <w:sz w:val="32"/>
          <w:szCs w:val="32"/>
        </w:rPr>
        <w:t>4.财政拨款收入、支出分析。</w:t>
      </w:r>
    </w:p>
    <w:p>
      <w:pPr>
        <w:spacing w:line="52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本年一般公共财政预算拨款收入24,095,722.48元。其中基本支出14,314,032.25元，项目支出9,781,690.23元。政府性基金预算拨款收入3,989,400.00元，其中项目支出3,989,400.00元。</w:t>
      </w:r>
    </w:p>
    <w:p>
      <w:pPr>
        <w:spacing w:line="52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一般公共财政预算拨款支出</w:t>
      </w:r>
      <w:r>
        <w:rPr>
          <w:rFonts w:hint="default" w:ascii="仿宋_GB2312" w:hAnsi="仿宋" w:eastAsia="仿宋_GB2312" w:cs="Times New Roman"/>
          <w:sz w:val="32"/>
          <w:szCs w:val="32"/>
          <w:lang w:val="en-US" w:eastAsia="zh-CN"/>
        </w:rPr>
        <w:t>25,190,391.86</w:t>
      </w:r>
      <w:r>
        <w:rPr>
          <w:rFonts w:hint="eastAsia" w:ascii="仿宋_GB2312" w:hAnsi="仿宋" w:eastAsia="仿宋_GB2312" w:cs="Times New Roman"/>
          <w:sz w:val="32"/>
          <w:szCs w:val="32"/>
          <w:lang w:val="en-US" w:eastAsia="zh-CN"/>
        </w:rPr>
        <w:t>元。其中</w:t>
      </w:r>
      <w:bookmarkStart w:id="5" w:name="_GoBack"/>
      <w:bookmarkEnd w:id="5"/>
      <w:r>
        <w:rPr>
          <w:rFonts w:hint="eastAsia" w:ascii="仿宋_GB2312" w:hAnsi="仿宋" w:eastAsia="仿宋_GB2312" w:cs="Times New Roman"/>
          <w:sz w:val="32"/>
          <w:szCs w:val="32"/>
          <w:lang w:val="en-US" w:eastAsia="zh-CN"/>
        </w:rPr>
        <w:t>基本支出14,314,032.25元，项目支出10,876,359.61元。政府性基金预算拨款支出3,989,400.00元，其中项目支出3,989,400.00元。本年专项支出与预算比对增加原因为历史遗留专项资金上缴与结算。</w:t>
      </w:r>
    </w:p>
    <w:p>
      <w:pPr>
        <w:spacing w:line="520" w:lineRule="exact"/>
        <w:ind w:firstLine="643" w:firstLineChars="200"/>
        <w:rPr>
          <w:rFonts w:hint="eastAsia" w:ascii="楷体_GB2312" w:hAnsi="仿宋" w:eastAsia="楷体_GB2312" w:cs="Times New Roman"/>
          <w:b/>
          <w:sz w:val="32"/>
          <w:szCs w:val="32"/>
        </w:rPr>
      </w:pPr>
      <w:r>
        <w:rPr>
          <w:rFonts w:hint="eastAsia" w:ascii="楷体_GB2312" w:hAnsi="仿宋" w:eastAsia="楷体_GB2312" w:cs="Times New Roman"/>
          <w:b/>
          <w:sz w:val="32"/>
          <w:szCs w:val="32"/>
        </w:rPr>
        <w:t>（三）年末结转和结余情况。</w:t>
      </w:r>
    </w:p>
    <w:p>
      <w:pPr>
        <w:spacing w:line="52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1．当年末累计结转结余1,493,897.30元，结转原因为历史遗留账务往来与少量利息收入。</w:t>
      </w:r>
    </w:p>
    <w:p>
      <w:pPr>
        <w:spacing w:line="52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w:t>
      </w:r>
      <w:bookmarkStart w:id="2" w:name="YS060103"/>
      <w:r>
        <w:rPr>
          <w:rFonts w:hint="eastAsia" w:ascii="仿宋_GB2312" w:hAnsi="仿宋" w:eastAsia="仿宋_GB2312" w:cs="Times New Roman"/>
          <w:sz w:val="32"/>
          <w:szCs w:val="32"/>
          <w:lang w:val="en-US" w:eastAsia="zh-CN"/>
        </w:rPr>
        <w:t>结转的利息收入按规定上缴财政。</w:t>
      </w:r>
    </w:p>
    <w:p>
      <w:pPr>
        <w:spacing w:line="520" w:lineRule="exact"/>
        <w:ind w:firstLine="643" w:firstLineChars="200"/>
        <w:rPr>
          <w:rFonts w:hint="eastAsia" w:ascii="楷体_GB2312" w:hAnsi="仿宋" w:eastAsia="楷体_GB2312" w:cs="Times New Roman"/>
          <w:b/>
          <w:sz w:val="32"/>
          <w:szCs w:val="32"/>
        </w:rPr>
      </w:pPr>
      <w:r>
        <w:rPr>
          <w:rFonts w:hint="eastAsia" w:ascii="楷体_GB2312" w:hAnsi="仿宋" w:eastAsia="楷体_GB2312" w:cs="Times New Roman"/>
          <w:b/>
          <w:sz w:val="32"/>
          <w:szCs w:val="32"/>
        </w:rPr>
        <w:t>（四）与预算支出相关的其他指标分析。</w:t>
      </w:r>
    </w:p>
    <w:p>
      <w:pPr>
        <w:spacing w:line="520" w:lineRule="exact"/>
        <w:ind w:firstLine="640" w:firstLineChars="200"/>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当年年末资产总值108784857.40元，其中固定资产原值108711260.40元，无形资产原值73597元。</w:t>
      </w:r>
    </w:p>
    <w:p>
      <w:pPr>
        <w:numPr>
          <w:ilvl w:val="0"/>
          <w:numId w:val="1"/>
        </w:numPr>
        <w:spacing w:line="520" w:lineRule="exact"/>
        <w:ind w:firstLine="643" w:firstLineChars="200"/>
        <w:rPr>
          <w:rFonts w:hint="eastAsia" w:ascii="楷体_GB2312" w:hAnsi="仿宋" w:eastAsia="楷体_GB2312" w:cs="Times New Roman"/>
          <w:b/>
          <w:sz w:val="32"/>
          <w:szCs w:val="32"/>
        </w:rPr>
      </w:pPr>
      <w:r>
        <w:rPr>
          <w:rFonts w:hint="eastAsia" w:ascii="楷体_GB2312" w:hAnsi="仿宋" w:eastAsia="楷体_GB2312" w:cs="Times New Roman"/>
          <w:b/>
          <w:sz w:val="32"/>
          <w:szCs w:val="32"/>
        </w:rPr>
        <w:t>绩效目标完成情况。</w:t>
      </w:r>
    </w:p>
    <w:p>
      <w:pPr>
        <w:spacing w:line="52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本年度县级扶贫整合拨入专项资金620.9万元。项目完成情况为：五台县2020年第一批农村饮水安全巩固提升项目，总投资507万元，其中:中央预算内投资100万元，涉及豆村镇大石村、建安乡张家庄村两村安装计量水表，共安装水表1038套，受益总人口3036人，其中贫困人口959人；县整合资金285万元，涉及7个村安装计量水表，共安装水表3029套，受益总人口8833人，其中贫困人口2591人；阳白乡田家岗村饮水安全工程，投资49.9万元，更换管道4985米，建分水房1座，检查井等，受益人口1800人，其中贫困人口125人；陈家庄乡国都殿村饮水安全工程，投资8.1万元，建100方蓄水池1座，受益人口651人；2020年农村饮水安全维养工程，投资30万元；五台县山洪灾害防治工程，投资34万元。</w:t>
      </w:r>
    </w:p>
    <w:p>
      <w:pPr>
        <w:spacing w:line="520" w:lineRule="exact"/>
        <w:ind w:firstLine="640" w:firstLineChars="200"/>
        <w:rPr>
          <w:rFonts w:hint="eastAsia" w:ascii="楷体_GB2312" w:hAnsi="仿宋" w:eastAsia="楷体_GB2312" w:cs="Times New Roman"/>
          <w:b/>
          <w:sz w:val="32"/>
          <w:szCs w:val="32"/>
        </w:rPr>
      </w:pPr>
      <w:r>
        <w:rPr>
          <w:rFonts w:hint="eastAsia" w:ascii="仿宋_GB2312" w:hAnsi="仿宋" w:eastAsia="仿宋_GB2312" w:cs="Times New Roman"/>
          <w:sz w:val="32"/>
          <w:szCs w:val="32"/>
          <w:lang w:val="en-US" w:eastAsia="zh-CN"/>
        </w:rPr>
        <w:t>五台县2020年第二批农村饮水安全巩固提升工程，总投资113.9万元，涉及阳白乡士集村和白云村两村，其中:白云村饮水安全工程，投资 40万元，实施内容为新打井1眼，配置水泵设施，建12平米井房1座，铺设提水管道402米，维修蓄水池1座。受益人口272人，其中贫困人口39人；士集村水毁堤防修复工程，投资48.9万元，修复河道两岸堤防476，修复破损路面31米；士集村饮水安全工程，投资25万元，实施内容为更换水泵1套，电缆线120米，铺设3吋提水管道1400米，新建检查井1座，2吋管道600米，受益人口856人，其中贫困人口59人。</w:t>
      </w:r>
    </w:p>
    <w:bookmarkEnd w:id="2"/>
    <w:p>
      <w:pPr>
        <w:spacing w:line="520" w:lineRule="exact"/>
        <w:ind w:firstLine="640" w:firstLineChars="200"/>
        <w:rPr>
          <w:rFonts w:hint="eastAsia" w:ascii="黑体" w:hAnsi="黑体" w:eastAsia="黑体" w:cs="Times New Roman"/>
          <w:sz w:val="32"/>
          <w:szCs w:val="32"/>
        </w:rPr>
      </w:pPr>
      <w:bookmarkStart w:id="3" w:name="YS060104"/>
      <w:r>
        <w:rPr>
          <w:rFonts w:hint="eastAsia" w:ascii="黑体" w:hAnsi="黑体" w:eastAsia="黑体" w:cs="Times New Roman"/>
          <w:sz w:val="32"/>
          <w:szCs w:val="32"/>
        </w:rPr>
        <w:t>三、本年度部门决算等财务工作开展情况</w:t>
      </w:r>
    </w:p>
    <w:bookmarkEnd w:id="3"/>
    <w:p>
      <w:pPr>
        <w:spacing w:line="52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本单位财务严格按照政府会计制度规范核算，认真核实比对做好决算及审核工作。</w:t>
      </w:r>
    </w:p>
    <w:p>
      <w:pPr>
        <w:spacing w:line="520" w:lineRule="exact"/>
        <w:ind w:firstLine="640" w:firstLineChars="200"/>
        <w:rPr>
          <w:rFonts w:hint="eastAsia" w:ascii="仿宋_GB2312" w:hAnsi="仿宋" w:eastAsia="仿宋_GB2312" w:cs="Times New Roman"/>
          <w:sz w:val="32"/>
          <w:szCs w:val="32"/>
        </w:rPr>
      </w:pPr>
    </w:p>
    <w:p>
      <w:pPr>
        <w:spacing w:line="520" w:lineRule="exact"/>
        <w:ind w:firstLine="640" w:firstLineChars="200"/>
        <w:rPr>
          <w:rFonts w:hint="eastAsia" w:ascii="仿宋_GB2312" w:hAnsi="仿宋" w:eastAsia="仿宋_GB2312" w:cs="Times New Roman"/>
          <w:sz w:val="32"/>
          <w:szCs w:val="32"/>
          <w:lang w:val="en-US" w:eastAsia="zh-CN"/>
        </w:rPr>
      </w:pPr>
      <w:bookmarkStart w:id="4" w:name="F02"/>
      <w:r>
        <w:rPr>
          <w:rFonts w:hint="eastAsia" w:ascii="仿宋_GB2312" w:hAnsi="仿宋" w:eastAsia="仿宋_GB2312" w:cs="Times New Roman"/>
          <w:sz w:val="32"/>
          <w:szCs w:val="32"/>
          <w:lang w:val="en-US" w:eastAsia="zh-CN"/>
        </w:rPr>
        <w:t>附：行政事业单位财务分析指标</w:t>
      </w:r>
      <w:bookmarkEnd w:id="4"/>
    </w:p>
    <w:p>
      <w:pPr>
        <w:spacing w:line="52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1.支出增长率-0.28%。</w:t>
      </w:r>
    </w:p>
    <w:p>
      <w:pPr>
        <w:spacing w:line="52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2.项目支出占总支出的比率51%。</w:t>
      </w:r>
    </w:p>
    <w:p>
      <w:pPr>
        <w:spacing w:line="520" w:lineRule="exact"/>
        <w:ind w:firstLine="640" w:firstLineChars="200"/>
        <w:rPr>
          <w:rFonts w:hint="eastAsia" w:ascii="仿宋_GB2312" w:hAnsi="仿宋" w:eastAsia="仿宋_GB2312" w:cs="Times New Roman"/>
          <w:sz w:val="32"/>
          <w:szCs w:val="32"/>
        </w:rPr>
      </w:pP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华文中宋">
    <w:altName w:val="宋体"/>
    <w:panose1 w:val="00000000000000000000"/>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8252E"/>
    <w:multiLevelType w:val="singleLevel"/>
    <w:tmpl w:val="5A78252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8A2A07"/>
    <w:rsid w:val="008B7726"/>
    <w:rsid w:val="00994191"/>
    <w:rsid w:val="00C20885"/>
    <w:rsid w:val="00D31D50"/>
    <w:rsid w:val="00EF6054"/>
    <w:rsid w:val="12E338BD"/>
    <w:rsid w:val="13F846CA"/>
    <w:rsid w:val="1F6707BB"/>
    <w:rsid w:val="55D41D8A"/>
    <w:rsid w:val="72FA0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semiHidden/>
    <w:uiPriority w:val="99"/>
    <w:rPr>
      <w:rFonts w:ascii="Tahoma" w:hAnsi="Tahoma"/>
      <w:sz w:val="18"/>
      <w:szCs w:val="18"/>
    </w:rPr>
  </w:style>
  <w:style w:type="character" w:customStyle="1" w:styleId="8">
    <w:name w:val="页脚 Char"/>
    <w:basedOn w:val="6"/>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各项收入占总收入比重</a:t>
            </a:r>
          </a:p>
          <a:p>
            <a:pPr defTabSz="914400">
              <a:defRPr lang="zh-CN" sz="1600" b="1" i="0" u="none" strike="noStrike" kern="1200" cap="all" baseline="0">
                <a:solidFill>
                  <a:schemeClr val="tx1">
                    <a:lumMod val="65000"/>
                    <a:lumOff val="35000"/>
                  </a:schemeClr>
                </a:solidFill>
                <a:latin typeface="+mn-lt"/>
                <a:ea typeface="+mn-ea"/>
                <a:cs typeface="+mn-cs"/>
              </a:defRPr>
            </a:pPr>
          </a:p>
        </c:rich>
      </c:tx>
      <c:layout>
        <c:manualLayout>
          <c:xMode val="edge"/>
          <c:yMode val="edge"/>
          <c:x val="0.292169602304198"/>
          <c:y val="0.0183254891103728"/>
        </c:manualLayout>
      </c:layout>
      <c:overlay val="0"/>
      <c:spPr>
        <a:noFill/>
        <a:ln>
          <a:noFill/>
        </a:ln>
        <a:effectLst/>
      </c:spPr>
    </c:title>
    <c:autoTitleDeleted val="0"/>
    <c:plotArea>
      <c:layout/>
      <c:pieChart>
        <c:varyColors val="1"/>
        <c:ser>
          <c:idx val="0"/>
          <c:order val="0"/>
          <c:tx>
            <c:strRef>
              <c:f>[工作簿1]Sheet1!$C$1</c:f>
              <c:strCache>
                <c:ptCount val="1"/>
                <c:pt idx="0">
                  <c:v>各项收入占总收入比重</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Pt>
            <c:idx val="7"/>
            <c:bubble3D val="0"/>
            <c:spPr>
              <a:solidFill>
                <a:schemeClr val="accent2">
                  <a:lumMod val="60000"/>
                </a:schemeClr>
              </a:solidFill>
              <a:ln>
                <a:noFill/>
              </a:ln>
              <a:effectLst>
                <a:outerShdw blurRad="63500" sx="102000" sy="102000" algn="ctr" rotWithShape="0">
                  <a:prstClr val="black">
                    <a:alpha val="20000"/>
                  </a:prstClr>
                </a:outerShdw>
              </a:effectLst>
            </c:spPr>
          </c:dPt>
          <c:dPt>
            <c:idx val="8"/>
            <c:bubble3D val="0"/>
            <c:spPr>
              <a:solidFill>
                <a:schemeClr val="accent3">
                  <a:lumMod val="60000"/>
                </a:schemeClr>
              </a:solidFill>
              <a:ln>
                <a:noFill/>
              </a:ln>
              <a:effectLst>
                <a:outerShdw blurRad="63500" sx="102000" sy="102000" algn="ctr" rotWithShape="0">
                  <a:prstClr val="black">
                    <a:alpha val="20000"/>
                  </a:prstClr>
                </a:outerShdw>
              </a:effectLst>
            </c:spPr>
          </c:dPt>
          <c:dPt>
            <c:idx val="9"/>
            <c:bubble3D val="0"/>
            <c:spPr>
              <a:solidFill>
                <a:schemeClr val="accent4">
                  <a:lumMod val="60000"/>
                </a:schemeClr>
              </a:solidFill>
              <a:ln>
                <a:noFill/>
              </a:ln>
              <a:effectLst>
                <a:outerShdw blurRad="63500" sx="102000" sy="102000" algn="ctr" rotWithShape="0">
                  <a:prstClr val="black">
                    <a:alpha val="20000"/>
                  </a:prstClr>
                </a:outerShdw>
              </a:effectLst>
            </c:spPr>
          </c:dPt>
          <c:dPt>
            <c:idx val="10"/>
            <c:bubble3D val="0"/>
            <c:spPr>
              <a:solidFill>
                <a:schemeClr val="accent5">
                  <a:lumMod val="60000"/>
                </a:schemeClr>
              </a:solidFill>
              <a:ln>
                <a:noFill/>
              </a:ln>
              <a:effectLst>
                <a:outerShdw blurRad="63500" sx="102000" sy="102000" algn="ctr" rotWithShape="0">
                  <a:prstClr val="black">
                    <a:alpha val="20000"/>
                  </a:prstClr>
                </a:outerShdw>
              </a:effectLst>
            </c:spPr>
          </c:dPt>
          <c:dPt>
            <c:idx val="11"/>
            <c:bubble3D val="0"/>
            <c:spPr>
              <a:solidFill>
                <a:schemeClr val="accent6">
                  <a:lumMod val="60000"/>
                </a:schemeClr>
              </a:solidFill>
              <a:ln>
                <a:noFill/>
              </a:ln>
              <a:effectLst>
                <a:outerShdw blurRad="63500" sx="102000" sy="102000" algn="ctr" rotWithShape="0">
                  <a:prstClr val="black">
                    <a:alpha val="20000"/>
                  </a:prstClr>
                </a:outerShdw>
              </a:effectLst>
            </c:spPr>
          </c:dPt>
          <c:dPt>
            <c:idx val="12"/>
            <c:bubble3D val="0"/>
            <c:spPr>
              <a:solidFill>
                <a:schemeClr val="accent1">
                  <a:lumMod val="80000"/>
                  <a:lumOff val="20000"/>
                </a:schemeClr>
              </a:solidFill>
              <a:ln>
                <a:noFill/>
              </a:ln>
              <a:effectLst>
                <a:outerShdw blurRad="63500" sx="102000" sy="102000" algn="ctr" rotWithShape="0">
                  <a:prstClr val="black">
                    <a:alpha val="20000"/>
                  </a:prstClr>
                </a:outerShdw>
              </a:effectLst>
            </c:spPr>
          </c:dPt>
          <c:dPt>
            <c:idx val="13"/>
            <c:bubble3D val="0"/>
            <c:spPr>
              <a:solidFill>
                <a:schemeClr val="accent2">
                  <a:lumMod val="80000"/>
                  <a:lumOff val="20000"/>
                </a:schemeClr>
              </a:solidFill>
              <a:ln>
                <a:noFill/>
              </a:ln>
              <a:effectLst>
                <a:outerShdw blurRad="63500" sx="102000" sy="102000" algn="ctr" rotWithShape="0">
                  <a:prstClr val="black">
                    <a:alpha val="20000"/>
                  </a:prstClr>
                </a:outerShdw>
              </a:effectLst>
            </c:spPr>
          </c:dPt>
          <c:dPt>
            <c:idx val="14"/>
            <c:bubble3D val="0"/>
            <c:spPr>
              <a:solidFill>
                <a:schemeClr val="accent3">
                  <a:lumMod val="80000"/>
                  <a:lumOff val="20000"/>
                </a:schemeClr>
              </a:solidFill>
              <a:ln>
                <a:noFill/>
              </a:ln>
              <a:effectLst>
                <a:outerShdw blurRad="63500" sx="102000" sy="102000" algn="ctr" rotWithShape="0">
                  <a:prstClr val="black">
                    <a:alpha val="20000"/>
                  </a:prstClr>
                </a:outerShdw>
              </a:effectLst>
            </c:spPr>
          </c:dPt>
          <c:dPt>
            <c:idx val="15"/>
            <c:bubble3D val="0"/>
            <c:spPr>
              <a:solidFill>
                <a:schemeClr val="accent4">
                  <a:lumMod val="80000"/>
                  <a:lumOff val="20000"/>
                </a:schemeClr>
              </a:solidFill>
              <a:ln>
                <a:noFill/>
              </a:ln>
              <a:effectLst>
                <a:outerShdw blurRad="63500" sx="102000" sy="102000" algn="ctr" rotWithShape="0">
                  <a:prstClr val="black">
                    <a:alpha val="20000"/>
                  </a:prstClr>
                </a:outerShdw>
              </a:effectLst>
            </c:spPr>
          </c:dPt>
          <c:dLbls>
            <c:dLbl>
              <c:idx val="0"/>
              <c:layout>
                <c:manualLayout>
                  <c:x val="-0.27666999002991"/>
                  <c:y val="0.0398671096345515"/>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243020937188435"/>
                  <c:y val="-0.00398671096345515"/>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15902293120638"/>
                  <c:y val="-0.0325586376247092"/>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86939182452642"/>
                  <c:y val="-0.0557108488944896"/>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38334995014955"/>
                  <c:y val="0.0134932533733133"/>
                </c:manualLayout>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5"/>
                        </a:solidFill>
                        <a:latin typeface="+mn-lt"/>
                        <a:ea typeface="+mn-ea"/>
                        <a:cs typeface="+mn-cs"/>
                      </a:defRPr>
                    </a:pPr>
                    <a:r>
                      <a:t>  一般行政管理事务0%</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5"/>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0504735792622134"/>
                  <c:y val="-0.000511040160982639"/>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6"/>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lumMod val="60000"/>
                        </a:schemeClr>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7"/>
              <c:layout>
                <c:manualLayout>
                  <c:x val="0"/>
                  <c:y val="0.0697674418604651"/>
                </c:manualLayout>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2">
                            <a:lumMod val="60000"/>
                          </a:schemeClr>
                        </a:solidFill>
                        <a:latin typeface="+mn-lt"/>
                        <a:ea typeface="+mn-ea"/>
                        <a:cs typeface="+mn-cs"/>
                      </a:defRPr>
                    </a:pPr>
                    <a:r>
                      <a:t>  水利工程运行与维护1%</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lumMod val="60000"/>
                        </a:schemeClr>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8"/>
              <c:layout>
                <c:manualLayout>
                  <c:x val="0.00560817547357926"/>
                  <c:y val="0.0418604651162791"/>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lumMod val="60000"/>
                        </a:schemeClr>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9"/>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4">
                            <a:lumMod val="60000"/>
                          </a:schemeClr>
                        </a:solidFill>
                        <a:latin typeface="+mn-lt"/>
                        <a:ea typeface="+mn-ea"/>
                        <a:cs typeface="+mn-cs"/>
                      </a:defRPr>
                    </a:pPr>
                    <a:r>
                      <a:t>  防汛2%</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lumMod val="60000"/>
                        </a:schemeClr>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15:layout>
                    <c:manualLayout>
                      <c:w val="0.127926328636414"/>
                      <c:h val="0.0709052851909995"/>
                    </c:manualLayout>
                  </c15:layout>
                </c:ext>
              </c:extLst>
            </c:dLbl>
            <c:dLbl>
              <c:idx val="10"/>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5">
                            <a:lumMod val="60000"/>
                          </a:schemeClr>
                        </a:solidFill>
                        <a:latin typeface="+mn-lt"/>
                        <a:ea typeface="+mn-ea"/>
                        <a:cs typeface="+mn-cs"/>
                      </a:defRPr>
                    </a:pPr>
                    <a:r>
                      <a:t>  抗旱1%</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5">
                          <a:lumMod val="60000"/>
                        </a:schemeClr>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15:layout>
                    <c:manualLayout>
                      <c:w val="0.146233218684123"/>
                      <c:h val="0.0709052851909995"/>
                    </c:manualLayout>
                  </c15:layout>
                </c:ext>
              </c:extLst>
            </c:dLbl>
            <c:dLbl>
              <c:idx val="11"/>
              <c:layout>
                <c:manualLayout>
                  <c:x val="0.0016642627316099"/>
                  <c:y val="0.068681318681318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6">
                          <a:lumMod val="60000"/>
                        </a:schemeClr>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2"/>
              <c:layout>
                <c:manualLayout>
                  <c:x val="0.0016642627316099"/>
                  <c:y val="0"/>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lumMod val="80000"/>
                          <a:lumOff val="20000"/>
                        </a:schemeClr>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3"/>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lumMod val="80000"/>
                          <a:lumOff val="20000"/>
                        </a:schemeClr>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4"/>
              <c:layout>
                <c:manualLayout>
                  <c:x val="-0.22558496429053"/>
                  <c:y val="-0.00987368113613963"/>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lumMod val="80000"/>
                          <a:lumOff val="20000"/>
                        </a:schemeClr>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5"/>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lumMod val="80000"/>
                          <a:lumOff val="20000"/>
                        </a:schemeClr>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[工作簿1]Sheet1!$A$2:$B$17</c15:sqref>
                  </c15:fullRef>
                  <c15:levelRef>
                    <c15:sqref>[工作簿1]Sheet1!$B$2:$B$17</c15:sqref>
                  </c15:levelRef>
                </c:ext>
              </c:extLst>
              <c:f>[工作簿1]Sheet1!$B$2:$B$17</c:f>
              <c:strCache>
                <c:ptCount val="16"/>
                <c:pt idx="0">
                  <c:v>行政事业单位养老支出</c:v>
                </c:pt>
                <c:pt idx="1">
                  <c:v>  移民补助</c:v>
                </c:pt>
                <c:pt idx="2">
                  <c:v>  基础设施建设和经济发展</c:v>
                </c:pt>
                <c:pt idx="3">
                  <c:v>  行政运行</c:v>
                </c:pt>
                <c:pt idx="4">
                  <c:v>  一般行政管理事务</c:v>
                </c:pt>
                <c:pt idx="5">
                  <c:v>  机关服务</c:v>
                </c:pt>
                <c:pt idx="6">
                  <c:v>  水利行业业务管理</c:v>
                </c:pt>
                <c:pt idx="7">
                  <c:v>  水利工程运行与维护</c:v>
                </c:pt>
                <c:pt idx="8">
                  <c:v>  水土保持</c:v>
                </c:pt>
                <c:pt idx="9">
                  <c:v>  防汛</c:v>
                </c:pt>
                <c:pt idx="10">
                  <c:v>  抗旱</c:v>
                </c:pt>
                <c:pt idx="11">
                  <c:v>  农村人畜饮水</c:v>
                </c:pt>
                <c:pt idx="12">
                  <c:v>  其他水利支出</c:v>
                </c:pt>
                <c:pt idx="13">
                  <c:v>  其他扶贫支出</c:v>
                </c:pt>
                <c:pt idx="14">
                  <c:v>  其他支出</c:v>
                </c:pt>
                <c:pt idx="15">
                  <c:v>合计</c:v>
                </c:pt>
              </c:strCache>
            </c:strRef>
          </c:cat>
          <c:val>
            <c:numRef>
              <c:f>[工作簿1]Sheet1!$C$2:$C$17</c:f>
              <c:numCache>
                <c:formatCode>#,##0.00</c:formatCode>
                <c:ptCount val="16"/>
                <c:pt idx="0">
                  <c:v>49553.82</c:v>
                </c:pt>
                <c:pt idx="1">
                  <c:v>389400</c:v>
                </c:pt>
                <c:pt idx="2">
                  <c:v>3600000</c:v>
                </c:pt>
                <c:pt idx="3">
                  <c:v>1610822.03</c:v>
                </c:pt>
                <c:pt idx="4">
                  <c:v>200000</c:v>
                </c:pt>
                <c:pt idx="5">
                  <c:v>6595775.42</c:v>
                </c:pt>
                <c:pt idx="6">
                  <c:v>105800</c:v>
                </c:pt>
                <c:pt idx="7">
                  <c:v>693235.73</c:v>
                </c:pt>
                <c:pt idx="8">
                  <c:v>4464645.25</c:v>
                </c:pt>
                <c:pt idx="9">
                  <c:v>1121118.82</c:v>
                </c:pt>
                <c:pt idx="10">
                  <c:v>633531.59</c:v>
                </c:pt>
                <c:pt idx="11">
                  <c:v>1199874.08</c:v>
                </c:pt>
                <c:pt idx="12">
                  <c:v>7041746.23</c:v>
                </c:pt>
                <c:pt idx="13">
                  <c:v>359619.51</c:v>
                </c:pt>
                <c:pt idx="14">
                  <c:v>20000</c:v>
                </c:pt>
                <c:pt idx="15">
                  <c:v>28085122.48</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t>各项支出占总支出的比重</a:t>
            </a:r>
          </a:p>
          <a:p>
            <a:pPr defTabSz="914400">
              <a:defRPr lang="zh-CN" sz="1600" b="1" i="0" u="none" strike="noStrike" kern="1200" cap="all" baseline="0">
                <a:solidFill>
                  <a:schemeClr val="tx1">
                    <a:lumMod val="65000"/>
                    <a:lumOff val="35000"/>
                  </a:schemeClr>
                </a:solidFill>
                <a:latin typeface="+mn-lt"/>
                <a:ea typeface="+mn-ea"/>
                <a:cs typeface="+mn-cs"/>
              </a:defRPr>
            </a:pPr>
          </a:p>
          <a:p>
            <a:pPr defTabSz="914400">
              <a:defRPr lang="zh-CN" sz="1600" b="1" i="0" u="none" strike="noStrike" kern="1200" cap="all" baseline="0">
                <a:solidFill>
                  <a:schemeClr val="tx1">
                    <a:lumMod val="65000"/>
                    <a:lumOff val="35000"/>
                  </a:schemeClr>
                </a:solidFill>
                <a:latin typeface="+mn-lt"/>
                <a:ea typeface="+mn-ea"/>
                <a:cs typeface="+mn-cs"/>
              </a:defRPr>
            </a:pPr>
          </a:p>
        </c:rich>
      </c:tx>
      <c:layout>
        <c:manualLayout>
          <c:xMode val="edge"/>
          <c:yMode val="edge"/>
          <c:x val="0.282097649186257"/>
          <c:y val="0.0182291666666667"/>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Pt>
            <c:idx val="7"/>
            <c:bubble3D val="0"/>
            <c:spPr>
              <a:solidFill>
                <a:schemeClr val="accent2">
                  <a:lumMod val="60000"/>
                </a:schemeClr>
              </a:solidFill>
              <a:ln>
                <a:noFill/>
              </a:ln>
              <a:effectLst>
                <a:outerShdw blurRad="63500" sx="102000" sy="102000" algn="ctr" rotWithShape="0">
                  <a:prstClr val="black">
                    <a:alpha val="20000"/>
                  </a:prstClr>
                </a:outerShdw>
              </a:effectLst>
            </c:spPr>
          </c:dPt>
          <c:dPt>
            <c:idx val="8"/>
            <c:bubble3D val="0"/>
            <c:spPr>
              <a:solidFill>
                <a:schemeClr val="accent3">
                  <a:lumMod val="60000"/>
                </a:schemeClr>
              </a:solidFill>
              <a:ln>
                <a:noFill/>
              </a:ln>
              <a:effectLst>
                <a:outerShdw blurRad="63500" sx="102000" sy="102000" algn="ctr" rotWithShape="0">
                  <a:prstClr val="black">
                    <a:alpha val="20000"/>
                  </a:prstClr>
                </a:outerShdw>
              </a:effectLst>
            </c:spPr>
          </c:dPt>
          <c:dPt>
            <c:idx val="9"/>
            <c:bubble3D val="0"/>
            <c:spPr>
              <a:solidFill>
                <a:schemeClr val="accent4">
                  <a:lumMod val="60000"/>
                </a:schemeClr>
              </a:solidFill>
              <a:ln>
                <a:noFill/>
              </a:ln>
              <a:effectLst>
                <a:outerShdw blurRad="63500" sx="102000" sy="102000" algn="ctr" rotWithShape="0">
                  <a:prstClr val="black">
                    <a:alpha val="20000"/>
                  </a:prstClr>
                </a:outerShdw>
              </a:effectLst>
            </c:spPr>
          </c:dPt>
          <c:dPt>
            <c:idx val="10"/>
            <c:bubble3D val="0"/>
            <c:spPr>
              <a:solidFill>
                <a:schemeClr val="accent5">
                  <a:lumMod val="60000"/>
                </a:schemeClr>
              </a:solidFill>
              <a:ln>
                <a:noFill/>
              </a:ln>
              <a:effectLst>
                <a:outerShdw blurRad="63500" sx="102000" sy="102000" algn="ctr" rotWithShape="0">
                  <a:prstClr val="black">
                    <a:alpha val="20000"/>
                  </a:prstClr>
                </a:outerShdw>
              </a:effectLst>
            </c:spPr>
          </c:dPt>
          <c:dPt>
            <c:idx val="11"/>
            <c:bubble3D val="0"/>
            <c:spPr>
              <a:solidFill>
                <a:schemeClr val="accent6">
                  <a:lumMod val="60000"/>
                </a:schemeClr>
              </a:solidFill>
              <a:ln>
                <a:noFill/>
              </a:ln>
              <a:effectLst>
                <a:outerShdw blurRad="63500" sx="102000" sy="102000" algn="ctr" rotWithShape="0">
                  <a:prstClr val="black">
                    <a:alpha val="20000"/>
                  </a:prstClr>
                </a:outerShdw>
              </a:effectLst>
            </c:spPr>
          </c:dPt>
          <c:dPt>
            <c:idx val="12"/>
            <c:bubble3D val="0"/>
            <c:spPr>
              <a:solidFill>
                <a:schemeClr val="accent1">
                  <a:lumMod val="80000"/>
                  <a:lumOff val="20000"/>
                </a:schemeClr>
              </a:solidFill>
              <a:ln>
                <a:noFill/>
              </a:ln>
              <a:effectLst>
                <a:outerShdw blurRad="63500" sx="102000" sy="102000" algn="ctr" rotWithShape="0">
                  <a:prstClr val="black">
                    <a:alpha val="20000"/>
                  </a:prstClr>
                </a:outerShdw>
              </a:effectLst>
            </c:spPr>
          </c:dPt>
          <c:dPt>
            <c:idx val="13"/>
            <c:bubble3D val="0"/>
            <c:spPr>
              <a:solidFill>
                <a:schemeClr val="accent2">
                  <a:lumMod val="80000"/>
                  <a:lumOff val="20000"/>
                </a:schemeClr>
              </a:solidFill>
              <a:ln>
                <a:noFill/>
              </a:ln>
              <a:effectLst>
                <a:outerShdw blurRad="63500" sx="102000" sy="102000" algn="ctr" rotWithShape="0">
                  <a:prstClr val="black">
                    <a:alpha val="20000"/>
                  </a:prstClr>
                </a:outerShdw>
              </a:effectLst>
            </c:spPr>
          </c:dPt>
          <c:dPt>
            <c:idx val="14"/>
            <c:bubble3D val="0"/>
            <c:spPr>
              <a:solidFill>
                <a:schemeClr val="accent3">
                  <a:lumMod val="80000"/>
                  <a:lumOff val="20000"/>
                </a:schemeClr>
              </a:solidFill>
              <a:ln>
                <a:noFill/>
              </a:ln>
              <a:effectLst>
                <a:outerShdw blurRad="63500" sx="102000" sy="102000" algn="ctr" rotWithShape="0">
                  <a:prstClr val="black">
                    <a:alpha val="20000"/>
                  </a:prstClr>
                </a:outerShdw>
              </a:effectLst>
            </c:spPr>
          </c:dPt>
          <c:dPt>
            <c:idx val="15"/>
            <c:bubble3D val="0"/>
            <c:spPr>
              <a:solidFill>
                <a:schemeClr val="accent4">
                  <a:lumMod val="80000"/>
                  <a:lumOff val="20000"/>
                </a:schemeClr>
              </a:solidFill>
              <a:ln>
                <a:noFill/>
              </a:ln>
              <a:effectLst>
                <a:outerShdw blurRad="63500" sx="102000" sy="102000" algn="ctr" rotWithShape="0">
                  <a:prstClr val="black">
                    <a:alpha val="20000"/>
                  </a:prstClr>
                </a:outerShdw>
              </a:effectLst>
            </c:spPr>
          </c:dPt>
          <c:dPt>
            <c:idx val="16"/>
            <c:bubble3D val="0"/>
            <c:spPr>
              <a:solidFill>
                <a:schemeClr val="accent5">
                  <a:lumMod val="80000"/>
                  <a:lumOff val="20000"/>
                </a:schemeClr>
              </a:solidFill>
              <a:ln>
                <a:noFill/>
              </a:ln>
              <a:effectLst>
                <a:outerShdw blurRad="63500" sx="102000" sy="102000" algn="ctr" rotWithShape="0">
                  <a:prstClr val="black">
                    <a:alpha val="20000"/>
                  </a:prstClr>
                </a:outerShdw>
              </a:effectLst>
            </c:spPr>
          </c:dPt>
          <c:dPt>
            <c:idx val="17"/>
            <c:bubble3D val="0"/>
            <c:spPr>
              <a:solidFill>
                <a:schemeClr val="accent6">
                  <a:lumMod val="80000"/>
                  <a:lumOff val="20000"/>
                </a:schemeClr>
              </a:solidFill>
              <a:ln>
                <a:noFill/>
              </a:ln>
              <a:effectLst>
                <a:outerShdw blurRad="63500" sx="102000" sy="102000" algn="ctr" rotWithShape="0">
                  <a:prstClr val="black">
                    <a:alpha val="20000"/>
                  </a:prstClr>
                </a:outerShdw>
              </a:effectLst>
            </c:spPr>
          </c:dPt>
          <c:dLbls>
            <c:dLbl>
              <c:idx val="0"/>
              <c:layout>
                <c:manualLayout>
                  <c:x val="-0.104882459312839"/>
                  <c:y val="-0.0234375"/>
                </c:manualLayout>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1"/>
                        </a:solidFill>
                        <a:latin typeface="+mn-lt"/>
                        <a:ea typeface="+mn-ea"/>
                        <a:cs typeface="+mn-cs"/>
                      </a:defRPr>
                    </a:pPr>
                    <a:r>
                      <a:t>机关事业单位基本养老保险缴费支出0%</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81856540084388"/>
                      <c:h val="0.135416666666667"/>
                    </c:manualLayout>
                  </c15:layout>
                </c:ext>
              </c:extLst>
            </c:dLbl>
            <c:dLbl>
              <c:idx val="1"/>
              <c:layout>
                <c:manualLayout>
                  <c:x val="0.122965641952984"/>
                  <c:y val="-0.0755208333333333"/>
                </c:manualLayout>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2"/>
                        </a:solidFill>
                        <a:latin typeface="+mn-lt"/>
                        <a:ea typeface="+mn-ea"/>
                        <a:cs typeface="+mn-cs"/>
                      </a:defRPr>
                    </a:pPr>
                    <a:r>
                      <a:t>移民补助1%</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292947558770344"/>
                  <c:y val="-0.0703125"/>
                </c:manualLayout>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3"/>
                        </a:solidFill>
                        <a:latin typeface="+mn-lt"/>
                        <a:ea typeface="+mn-ea"/>
                        <a:cs typeface="+mn-cs"/>
                      </a:defRPr>
                    </a:pPr>
                    <a:r>
                      <a:t>基础设施建设和经济发展6%</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244122965641953"/>
                  <c:y val="-0.0546875"/>
                </c:manualLayout>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4"/>
                        </a:solidFill>
                        <a:latin typeface="+mn-lt"/>
                        <a:ea typeface="+mn-ea"/>
                        <a:cs typeface="+mn-cs"/>
                      </a:defRPr>
                    </a:pPr>
                    <a:r>
                      <a:t>行政运行3%</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93490054249548"/>
                  <c:y val="0.0234375"/>
                </c:manualLayout>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5"/>
                        </a:solidFill>
                        <a:latin typeface="+mn-lt"/>
                        <a:ea typeface="+mn-ea"/>
                        <a:cs typeface="+mn-cs"/>
                      </a:defRPr>
                    </a:pPr>
                    <a:r>
                      <a:t>一般行政管理事务0%</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5"/>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6"/>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6"/>
              <c:layout>
                <c:manualLayout>
                  <c:x val="0.0452079566003617"/>
                  <c:y val="-0.0494791666666667"/>
                </c:manualLayout>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1">
                            <a:lumMod val="60000"/>
                          </a:schemeClr>
                        </a:solidFill>
                        <a:latin typeface="+mn-lt"/>
                        <a:ea typeface="+mn-ea"/>
                        <a:cs typeface="+mn-cs"/>
                      </a:defRPr>
                    </a:pPr>
                    <a:r>
                      <a:t>水利行业业务管理0%</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lumMod val="60000"/>
                        </a:schemeClr>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7"/>
              <c:layout>
                <c:manualLayout>
                  <c:x val="0.0289330922242315"/>
                  <c:y val="0.0755208333333333"/>
                </c:manualLayout>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2">
                            <a:lumMod val="60000"/>
                          </a:schemeClr>
                        </a:solidFill>
                        <a:latin typeface="+mn-lt"/>
                        <a:ea typeface="+mn-ea"/>
                        <a:cs typeface="+mn-cs"/>
                      </a:defRPr>
                    </a:pPr>
                    <a:r>
                      <a:t>水利工程运行与维护1%</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lumMod val="60000"/>
                        </a:schemeClr>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8"/>
              <c:layout>
                <c:manualLayout>
                  <c:x val="0.0867992766726944"/>
                  <c:y val="0.0416666666666667"/>
                </c:manualLayout>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3">
                            <a:lumMod val="60000"/>
                          </a:schemeClr>
                        </a:solidFill>
                        <a:latin typeface="+mn-lt"/>
                        <a:ea typeface="+mn-ea"/>
                        <a:cs typeface="+mn-cs"/>
                      </a:defRPr>
                    </a:pPr>
                    <a:r>
                      <a:t>水土保持8%</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lumMod val="60000"/>
                        </a:schemeClr>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9"/>
              <c:layout>
                <c:manualLayout>
                  <c:x val="0.148282097649186"/>
                  <c:y val="-0.0130208333333333"/>
                </c:manualLayout>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4">
                            <a:lumMod val="60000"/>
                          </a:schemeClr>
                        </a:solidFill>
                        <a:latin typeface="+mn-lt"/>
                        <a:ea typeface="+mn-ea"/>
                        <a:cs typeface="+mn-cs"/>
                      </a:defRPr>
                    </a:pPr>
                    <a:r>
                      <a:t>防汛2%</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lumMod val="60000"/>
                        </a:schemeClr>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0"/>
              <c:layout>
                <c:manualLayout>
                  <c:x val="0.171790235081374"/>
                  <c:y val="0.0130208333333333"/>
                </c:manualLayout>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5">
                            <a:lumMod val="60000"/>
                          </a:schemeClr>
                        </a:solidFill>
                        <a:latin typeface="+mn-lt"/>
                        <a:ea typeface="+mn-ea"/>
                        <a:cs typeface="+mn-cs"/>
                      </a:defRPr>
                    </a:pPr>
                    <a:r>
                      <a:t>抗旱1%</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5">
                          <a:lumMod val="60000"/>
                        </a:schemeClr>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1"/>
              <c:layout>
                <c:manualLayout>
                  <c:x val="0.0886075949367089"/>
                  <c:y val="0.0546875"/>
                </c:manualLayout>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6">
                            <a:lumMod val="60000"/>
                          </a:schemeClr>
                        </a:solidFill>
                        <a:latin typeface="+mn-lt"/>
                        <a:ea typeface="+mn-ea"/>
                        <a:cs typeface="+mn-cs"/>
                      </a:defRPr>
                    </a:pPr>
                    <a:r>
                      <a:t>农村水利0%</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6">
                          <a:lumMod val="60000"/>
                        </a:schemeClr>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2"/>
              <c:layout>
                <c:manualLayout>
                  <c:x val="0.0759493670886076"/>
                  <c:y val="0.104166666666667"/>
                </c:manualLayout>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1">
                            <a:lumMod val="80000"/>
                            <a:lumOff val="20000"/>
                          </a:schemeClr>
                        </a:solidFill>
                        <a:latin typeface="+mn-lt"/>
                        <a:ea typeface="+mn-ea"/>
                        <a:cs typeface="+mn-cs"/>
                      </a:defRPr>
                    </a:pPr>
                    <a:r>
                      <a:t>信息管理0%</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lumMod val="80000"/>
                          <a:lumOff val="20000"/>
                        </a:schemeClr>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3"/>
              <c:layout>
                <c:manualLayout>
                  <c:x val="0.0596745027124774"/>
                  <c:y val="0.154652631277114"/>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lumMod val="80000"/>
                          <a:lumOff val="20000"/>
                        </a:schemeClr>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4"/>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lumMod val="80000"/>
                          <a:lumOff val="20000"/>
                        </a:schemeClr>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5"/>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lumMod val="80000"/>
                          <a:lumOff val="20000"/>
                        </a:schemeClr>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6"/>
              <c:layout>
                <c:manualLayout>
                  <c:x val="-0.224231464737794"/>
                  <c:y val="-0.03125"/>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5">
                          <a:lumMod val="80000"/>
                          <a:lumOff val="20000"/>
                        </a:schemeClr>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7"/>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6">
                          <a:lumMod val="80000"/>
                          <a:lumOff val="20000"/>
                        </a:schemeClr>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[工作簿1]Sheet1!$B$2:$B$19</c:f>
              <c:strCache>
                <c:ptCount val="18"/>
                <c:pt idx="0">
                  <c:v>机关事业单位基本养老保险缴费支出</c:v>
                </c:pt>
                <c:pt idx="1">
                  <c:v>移民补助</c:v>
                </c:pt>
                <c:pt idx="2">
                  <c:v>基础设施建设和经济发展</c:v>
                </c:pt>
                <c:pt idx="3">
                  <c:v>行政运行</c:v>
                </c:pt>
                <c:pt idx="4">
                  <c:v>一般行政管理事务</c:v>
                </c:pt>
                <c:pt idx="5">
                  <c:v>机关服务</c:v>
                </c:pt>
                <c:pt idx="6">
                  <c:v>水利行业业务管理</c:v>
                </c:pt>
                <c:pt idx="7">
                  <c:v>水利工程运行与维护</c:v>
                </c:pt>
                <c:pt idx="8">
                  <c:v>水土保持</c:v>
                </c:pt>
                <c:pt idx="9">
                  <c:v>防汛</c:v>
                </c:pt>
                <c:pt idx="10">
                  <c:v>抗旱</c:v>
                </c:pt>
                <c:pt idx="11">
                  <c:v>农村水利</c:v>
                </c:pt>
                <c:pt idx="12">
                  <c:v>信息管理</c:v>
                </c:pt>
                <c:pt idx="13">
                  <c:v>农村人畜饮水</c:v>
                </c:pt>
                <c:pt idx="14">
                  <c:v>其他水利支出</c:v>
                </c:pt>
                <c:pt idx="15">
                  <c:v>其他扶贫支出</c:v>
                </c:pt>
                <c:pt idx="16">
                  <c:v>其他支出</c:v>
                </c:pt>
                <c:pt idx="17">
                  <c:v>合计</c:v>
                </c:pt>
              </c:strCache>
            </c:strRef>
          </c:cat>
          <c:val>
            <c:numRef>
              <c:f>[工作簿1]Sheet1!$C$2:$C$19</c:f>
              <c:numCache>
                <c:formatCode>#,##0.00</c:formatCode>
                <c:ptCount val="18"/>
                <c:pt idx="0">
                  <c:v>49553.82</c:v>
                </c:pt>
                <c:pt idx="1">
                  <c:v>389400</c:v>
                </c:pt>
                <c:pt idx="2">
                  <c:v>3600000</c:v>
                </c:pt>
                <c:pt idx="3">
                  <c:v>1610822.03</c:v>
                </c:pt>
                <c:pt idx="4">
                  <c:v>206069.05</c:v>
                </c:pt>
                <c:pt idx="5">
                  <c:v>6595775.42</c:v>
                </c:pt>
                <c:pt idx="6">
                  <c:v>105800</c:v>
                </c:pt>
                <c:pt idx="7">
                  <c:v>693235.73</c:v>
                </c:pt>
                <c:pt idx="8">
                  <c:v>4464645.25</c:v>
                </c:pt>
                <c:pt idx="9">
                  <c:v>1121118.82</c:v>
                </c:pt>
                <c:pt idx="10">
                  <c:v>633531.59</c:v>
                </c:pt>
                <c:pt idx="11">
                  <c:v>54495.24</c:v>
                </c:pt>
                <c:pt idx="12">
                  <c:v>43700</c:v>
                </c:pt>
                <c:pt idx="13">
                  <c:v>1199874.08</c:v>
                </c:pt>
                <c:pt idx="14">
                  <c:v>8038220.37</c:v>
                </c:pt>
                <c:pt idx="15">
                  <c:v>359619.51</c:v>
                </c:pt>
                <c:pt idx="16">
                  <c:v>20000</c:v>
                </c:pt>
                <c:pt idx="17" c:formatCode="General">
                  <c:v>29185860.91</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497</Words>
  <Characters>2839</Characters>
  <Lines>23</Lines>
  <Paragraphs>6</Paragraphs>
  <TotalTime>4</TotalTime>
  <ScaleCrop>false</ScaleCrop>
  <LinksUpToDate>false</LinksUpToDate>
  <CharactersWithSpaces>3330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ZQY</dc:creator>
  <cp:lastModifiedBy>x</cp:lastModifiedBy>
  <dcterms:modified xsi:type="dcterms:W3CDTF">2021-01-12T04:24:44Z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