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宋体" w:hAnsi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五台县水利局</w:t>
      </w:r>
    </w:p>
    <w:p>
      <w:pPr>
        <w:spacing w:line="600" w:lineRule="exact"/>
        <w:jc w:val="center"/>
        <w:rPr>
          <w:rFonts w:ascii="仿宋" w:hAnsi="仿宋" w:eastAsia="仿宋" w:cs="仿宋"/>
          <w:sz w:val="32"/>
          <w:szCs w:val="32"/>
        </w:rPr>
      </w:pPr>
      <w:r>
        <w:rPr>
          <w:rFonts w:ascii="宋体" w:hAnsi="宋体" w:cs="宋体"/>
          <w:b/>
          <w:bCs/>
          <w:sz w:val="44"/>
          <w:szCs w:val="44"/>
        </w:rPr>
        <w:t>20</w:t>
      </w: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23</w:t>
      </w:r>
      <w:r>
        <w:rPr>
          <w:rFonts w:hint="eastAsia" w:ascii="宋体" w:hAnsi="宋体" w:cs="宋体"/>
          <w:b/>
          <w:bCs/>
          <w:sz w:val="44"/>
          <w:szCs w:val="44"/>
        </w:rPr>
        <w:t>年政府信息公开</w:t>
      </w:r>
      <w:r>
        <w:rPr>
          <w:rFonts w:hint="eastAsia" w:ascii="宋体" w:hAnsi="宋体" w:cs="宋体"/>
          <w:b/>
          <w:bCs/>
          <w:sz w:val="44"/>
          <w:szCs w:val="44"/>
          <w:lang w:eastAsia="zh-CN"/>
        </w:rPr>
        <w:t>工作</w:t>
      </w:r>
      <w:r>
        <w:rPr>
          <w:rFonts w:hint="eastAsia" w:ascii="宋体" w:hAnsi="宋体" w:cs="宋体"/>
          <w:b/>
          <w:bCs/>
          <w:sz w:val="44"/>
          <w:szCs w:val="44"/>
        </w:rPr>
        <w:t>年度报告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line="580" w:lineRule="exact"/>
        <w:ind w:left="0" w:leftChars="0" w:right="0" w:rightChars="0" w:firstLine="640" w:firstLineChars="200"/>
        <w:jc w:val="both"/>
        <w:textAlignment w:val="auto"/>
        <w:rPr>
          <w:rFonts w:hint="default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根据《中华人民共和国政府信息公开条例》、《&lt;中华人民共和国政府信息公开工作年度报告格式&gt;的通知》（国办公开办函〔2021〕30号）等文件要求，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五台县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水利局编制完成本报告。本报告由六部分组成，包括总体情况、主动公开政府信息情况、收到和处理政府信息公开申请情况、政府信息公开行政复议、行政诉讼情况、存在的主要问题和改进情况、其他需要报告的事项。报告在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五台县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政府网站政府信息公开工作年度报告汇总发布栏目集中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统一公开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eastAsia="zh-CN"/>
        </w:rPr>
        <w:t>，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如对本报告有疑问，请与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五台县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水利局办公室联系</w:t>
      </w:r>
      <w:r>
        <w:rPr>
          <w:rFonts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（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  <w:lang w:val="en-US" w:eastAsia="zh-CN"/>
        </w:rPr>
        <w:t>0350-6522226)。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atLeast"/>
        <w:ind w:left="0" w:leftChars="0" w:right="0" w:rightChars="0"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 w:bidi="ar"/>
        </w:rPr>
        <w:t>一、</w:t>
      </w:r>
      <w:r>
        <w:rPr>
          <w:rFonts w:hint="eastAsia" w:ascii="黑体" w:hAnsi="黑体" w:eastAsia="黑体" w:cs="黑体"/>
          <w:sz w:val="32"/>
          <w:szCs w:val="32"/>
        </w:rPr>
        <w:t>总体情况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atLeast"/>
        <w:ind w:left="0" w:leftChars="0" w:right="0" w:rightChars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年，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五台县</w:t>
      </w:r>
      <w:r>
        <w:rPr>
          <w:rFonts w:hint="eastAsia" w:ascii="仿宋" w:hAnsi="仿宋" w:eastAsia="仿宋" w:cs="仿宋"/>
          <w:sz w:val="32"/>
          <w:szCs w:val="32"/>
        </w:rPr>
        <w:t>水利局坚持以习近平新时代中国特色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社</w:t>
      </w:r>
      <w:r>
        <w:rPr>
          <w:rFonts w:hint="eastAsia" w:ascii="仿宋" w:hAnsi="仿宋" w:eastAsia="仿宋" w:cs="仿宋"/>
          <w:sz w:val="32"/>
          <w:szCs w:val="32"/>
        </w:rPr>
        <w:t>会主义思想为指导，紧紧围绕市委、市政府中心工作及社会群众关注关切，明确责任领导和责任人员，形成分工合作、职责清晰、协调运转的有效工作机制，着力提升政府信息公开质量，推进拓宽政府信息公开渠道，不断增强政府信息公开实效，切实保障人民群众的知情权、参与权和监督权。</w:t>
      </w:r>
    </w:p>
    <w:p>
      <w:pPr>
        <w:keepNext w:val="0"/>
        <w:keepLines w:val="0"/>
        <w:pageBreakBefore w:val="0"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atLeast"/>
        <w:ind w:left="0" w:leftChars="0" w:right="0" w:rightChars="0" w:firstLine="640" w:firstLineChars="200"/>
        <w:jc w:val="both"/>
        <w:textAlignment w:val="auto"/>
        <w:rPr>
          <w:rFonts w:hint="eastAsia" w:ascii="华文楷体" w:hAnsi="华文楷体" w:eastAsia="华文楷体" w:cs="华文楷体"/>
          <w:sz w:val="32"/>
          <w:szCs w:val="32"/>
        </w:rPr>
      </w:pPr>
      <w:r>
        <w:rPr>
          <w:rFonts w:hint="eastAsia" w:ascii="华文楷体" w:hAnsi="华文楷体" w:eastAsia="华文楷体" w:cs="华文楷体"/>
          <w:sz w:val="32"/>
          <w:szCs w:val="32"/>
        </w:rPr>
        <w:t>（一）高度重视，增强信息公开的责任感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atLeast"/>
        <w:ind w:left="0" w:leftChars="0" w:right="0" w:rightChars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我局把信息公开工作纳入工作总体部署，并建立长效机制，加强监督检查。目前，我局信息公开工作已形成了分工明确、各司其职、齐抓共管、相互配合的协调联动机制，实现了工作年初有部署、实施有检查、年终有考核、责任有追究的工作机制，保证了信息公开制度的落实。</w:t>
      </w:r>
    </w:p>
    <w:p>
      <w:pPr>
        <w:keepNext w:val="0"/>
        <w:keepLines w:val="0"/>
        <w:pageBreakBefore w:val="0"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atLeast"/>
        <w:ind w:left="0" w:leftChars="0" w:right="0" w:rightChars="0" w:firstLine="640" w:firstLineChars="200"/>
        <w:jc w:val="both"/>
        <w:textAlignment w:val="auto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（二）措施扎实，拓展信息公开的广域度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atLeast"/>
        <w:ind w:left="0" w:leftChars="0" w:right="0" w:rightChars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在推进政府信息公开工作中，加强政务信息公开、考核评议、责任追究等工作，形成较为完善的制度体系，按照“公开是原则、不公开是例外”的要求，完善工作机制，进一步提高我局政府信息公开工作的规范化水平。加快了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水利相关</w:t>
      </w:r>
      <w:r>
        <w:rPr>
          <w:rFonts w:hint="eastAsia" w:ascii="仿宋" w:hAnsi="仿宋" w:eastAsia="仿宋" w:cs="仿宋"/>
          <w:sz w:val="32"/>
          <w:szCs w:val="32"/>
        </w:rPr>
        <w:t>信息的报道，拓宽了政务公开领域，深化了政务公开内容，创新了政务公开形式，提升了政务公开质量。</w:t>
      </w:r>
    </w:p>
    <w:p>
      <w:pPr>
        <w:keepNext w:val="0"/>
        <w:keepLines w:val="0"/>
        <w:pageBreakBefore w:val="0"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atLeast"/>
        <w:ind w:left="0" w:leftChars="0" w:right="0" w:rightChars="0" w:firstLine="640" w:firstLineChars="200"/>
        <w:jc w:val="both"/>
        <w:textAlignment w:val="auto"/>
        <w:rPr>
          <w:rFonts w:hint="eastAsia" w:ascii="华文楷体" w:hAnsi="华文楷体" w:eastAsia="华文楷体" w:cs="华文楷体"/>
          <w:sz w:val="32"/>
          <w:szCs w:val="32"/>
        </w:rPr>
      </w:pPr>
      <w:r>
        <w:rPr>
          <w:rFonts w:hint="eastAsia" w:ascii="华文楷体" w:hAnsi="华文楷体" w:eastAsia="华文楷体" w:cs="华文楷体"/>
          <w:sz w:val="32"/>
          <w:szCs w:val="32"/>
          <w:lang w:eastAsia="zh-CN"/>
        </w:rPr>
        <w:t>（</w:t>
      </w:r>
      <w:r>
        <w:rPr>
          <w:rFonts w:hint="eastAsia" w:ascii="华文楷体" w:hAnsi="华文楷体" w:eastAsia="华文楷体" w:cs="华文楷体"/>
          <w:sz w:val="32"/>
          <w:szCs w:val="32"/>
        </w:rPr>
        <w:t>三）加强监督，提升信息公开的透明度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atLeast"/>
        <w:ind w:left="0" w:leftChars="0" w:right="0" w:rightChars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推进权利透明运行，完善监督力度。按照简便易行、规范实用的原则，我局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通过政府网站等</w:t>
      </w:r>
      <w:r>
        <w:rPr>
          <w:rFonts w:hint="eastAsia" w:ascii="仿宋" w:hAnsi="仿宋" w:eastAsia="仿宋" w:cs="仿宋"/>
          <w:sz w:val="32"/>
          <w:szCs w:val="32"/>
        </w:rPr>
        <w:t>，对行政审批和服务事项的办事依据、办事程序、收费标准、承诺时限进行了集中公开，把知情权交给群众，真正方便了群众办事。我局水利工程等项目均采取招标方式进行，招标之前，均在政府网上刊登相关信息，确保水利项目建设的公开、公正、公平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both"/>
        <w:textAlignment w:val="auto"/>
        <w:rPr>
          <w:rFonts w:ascii="宋体" w:hAnsi="宋体" w:cs="宋体"/>
          <w:color w:val="333333"/>
          <w:kern w:val="0"/>
          <w:sz w:val="24"/>
        </w:rPr>
      </w:pPr>
      <w:r>
        <w:rPr>
          <w:rFonts w:hint="eastAsia" w:ascii="黑体" w:hAnsi="黑体" w:eastAsia="黑体" w:cs="宋体"/>
          <w:bCs/>
          <w:color w:val="333333"/>
          <w:kern w:val="0"/>
          <w:sz w:val="32"/>
          <w:szCs w:val="32"/>
        </w:rPr>
        <w:t>二、主动公开政府信息情况</w:t>
      </w:r>
    </w:p>
    <w:tbl>
      <w:tblPr>
        <w:tblStyle w:val="3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3"/>
        <w:gridCol w:w="1875"/>
        <w:gridCol w:w="6"/>
        <w:gridCol w:w="1265"/>
        <w:gridCol w:w="188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81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  <w:jc w:val="center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  <w:t>制作数量</w:t>
            </w:r>
          </w:p>
        </w:tc>
        <w:tc>
          <w:tcPr>
            <w:tcW w:w="12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  <w:t>公开数量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对外公开总数量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1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80" w:firstLineChars="200"/>
              <w:jc w:val="both"/>
              <w:rPr>
                <w:rFonts w:hint="eastAsia" w:ascii="宋体" w:hAnsi="宋体" w:eastAsia="宋体" w:cs="宋体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12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80" w:firstLineChars="200"/>
              <w:jc w:val="both"/>
              <w:rPr>
                <w:rFonts w:hint="eastAsia" w:ascii="宋体" w:hAnsi="宋体" w:eastAsia="宋体" w:cs="宋体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80" w:firstLineChars="200"/>
              <w:jc w:val="both"/>
              <w:rPr>
                <w:rFonts w:hint="eastAsia" w:ascii="宋体" w:hAnsi="宋体" w:eastAsia="宋体" w:cs="宋体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80" w:firstLineChars="200"/>
              <w:jc w:val="both"/>
              <w:rPr>
                <w:rFonts w:hint="default" w:ascii="宋体" w:hAnsi="宋体" w:eastAsia="宋体" w:cs="宋体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80" w:firstLineChars="200"/>
              <w:jc w:val="both"/>
              <w:rPr>
                <w:rFonts w:hint="default" w:ascii="宋体" w:hAnsi="宋体" w:eastAsia="宋体" w:cs="宋体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80" w:firstLineChars="200"/>
              <w:jc w:val="both"/>
              <w:rPr>
                <w:rFonts w:hint="default" w:ascii="宋体" w:hAnsi="宋体" w:eastAsia="宋体" w:cs="宋体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1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3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18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hint="default" w:ascii="宋体" w:hAnsi="宋体" w:eastAsia="宋体" w:cs="宋体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12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hint="default" w:ascii="宋体" w:hAnsi="宋体" w:eastAsia="宋体" w:cs="宋体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hint="eastAsia" w:ascii="宋体" w:hAnsi="宋体" w:eastAsia="宋体" w:cs="宋体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3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其他对外管理服务事项</w:t>
            </w:r>
          </w:p>
        </w:tc>
        <w:tc>
          <w:tcPr>
            <w:tcW w:w="18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720" w:firstLineChars="300"/>
              <w:jc w:val="both"/>
              <w:rPr>
                <w:rFonts w:hint="eastAsia" w:ascii="宋体" w:hAnsi="宋体" w:eastAsia="宋体" w:cs="宋体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80" w:firstLineChars="200"/>
              <w:jc w:val="both"/>
              <w:rPr>
                <w:rFonts w:hint="eastAsia" w:ascii="宋体" w:hAnsi="宋体" w:eastAsia="宋体" w:cs="宋体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720" w:firstLineChars="300"/>
              <w:jc w:val="both"/>
              <w:rPr>
                <w:rFonts w:hint="eastAsia" w:ascii="宋体" w:hAnsi="宋体" w:eastAsia="宋体" w:cs="宋体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81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3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18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hint="default" w:ascii="宋体" w:hAnsi="宋体" w:eastAsia="宋体" w:cs="宋体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12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hint="default" w:ascii="宋体" w:hAnsi="宋体" w:eastAsia="宋体" w:cs="宋体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hint="default" w:ascii="宋体" w:hAnsi="宋体" w:eastAsia="宋体" w:cs="宋体"/>
                <w:color w:val="FF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hint="default" w:ascii="宋体" w:hAnsi="宋体" w:eastAsia="宋体" w:cs="宋体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hint="default" w:ascii="宋体" w:hAnsi="宋体" w:eastAsia="宋体" w:cs="宋体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hint="default" w:ascii="宋体" w:hAnsi="宋体" w:eastAsia="宋体" w:cs="宋体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81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31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本年增/减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80" w:firstLineChars="200"/>
              <w:jc w:val="both"/>
              <w:rPr>
                <w:rFonts w:hint="default" w:ascii="宋体" w:hAnsi="宋体" w:eastAsia="宋体" w:cs="宋体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31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hint="default" w:ascii="宋体" w:hAnsi="宋体" w:eastAsia="宋体" w:cs="宋体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lang w:val="en-US" w:eastAsia="zh-CN"/>
              </w:rPr>
              <w:t>0</w:t>
            </w:r>
          </w:p>
        </w:tc>
      </w:tr>
    </w:tbl>
    <w:p>
      <w:pPr>
        <w:widowControl/>
        <w:adjustRightInd w:val="0"/>
        <w:snapToGrid w:val="0"/>
        <w:spacing w:line="360" w:lineRule="auto"/>
        <w:jc w:val="both"/>
        <w:rPr>
          <w:rFonts w:hint="eastAsia" w:ascii="黑体" w:hAnsi="黑体" w:eastAsia="黑体" w:cs="宋体"/>
          <w:bCs/>
          <w:color w:val="333333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360" w:lineRule="auto"/>
        <w:ind w:firstLine="640" w:firstLineChars="200"/>
        <w:jc w:val="both"/>
        <w:rPr>
          <w:rFonts w:ascii="黑体" w:hAnsi="黑体" w:eastAsia="黑体" w:cs="宋体"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color w:val="333333"/>
          <w:kern w:val="0"/>
          <w:sz w:val="32"/>
          <w:szCs w:val="32"/>
        </w:rPr>
        <w:t>三、收到和处理政府信息公开申请情况</w:t>
      </w:r>
    </w:p>
    <w:tbl>
      <w:tblPr>
        <w:tblStyle w:val="3"/>
        <w:tblW w:w="833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1"/>
        <w:gridCol w:w="920"/>
        <w:gridCol w:w="2033"/>
        <w:gridCol w:w="598"/>
        <w:gridCol w:w="659"/>
        <w:gridCol w:w="659"/>
        <w:gridCol w:w="713"/>
        <w:gridCol w:w="865"/>
        <w:gridCol w:w="627"/>
        <w:gridCol w:w="6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04" w:type="dxa"/>
            <w:gridSpan w:val="3"/>
            <w:vMerge w:val="restar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4730" w:type="dxa"/>
            <w:gridSpan w:val="7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04" w:type="dxa"/>
            <w:gridSpan w:val="3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8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598" w:type="dxa"/>
            <w:vMerge w:val="restar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hint="eastAsia"/>
                <w:color w:val="333333"/>
                <w:sz w:val="20"/>
                <w:szCs w:val="20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自然</w:t>
            </w:r>
          </w:p>
          <w:p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人</w:t>
            </w:r>
          </w:p>
        </w:tc>
        <w:tc>
          <w:tcPr>
            <w:tcW w:w="3523" w:type="dxa"/>
            <w:gridSpan w:val="5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法人或其他组织</w:t>
            </w:r>
          </w:p>
        </w:tc>
        <w:tc>
          <w:tcPr>
            <w:tcW w:w="609" w:type="dxa"/>
            <w:vMerge w:val="restar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04" w:type="dxa"/>
            <w:gridSpan w:val="3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8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598" w:type="dxa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8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65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hint="eastAsia"/>
                <w:color w:val="333333"/>
                <w:sz w:val="20"/>
                <w:szCs w:val="20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商业</w:t>
            </w:r>
          </w:p>
          <w:p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企业</w:t>
            </w:r>
          </w:p>
        </w:tc>
        <w:tc>
          <w:tcPr>
            <w:tcW w:w="65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hint="eastAsia"/>
                <w:color w:val="333333"/>
                <w:sz w:val="20"/>
                <w:szCs w:val="20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科研</w:t>
            </w:r>
          </w:p>
          <w:p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机构</w:t>
            </w:r>
          </w:p>
        </w:tc>
        <w:tc>
          <w:tcPr>
            <w:tcW w:w="71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hint="eastAsia"/>
                <w:color w:val="333333"/>
                <w:sz w:val="20"/>
                <w:szCs w:val="20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社会公</w:t>
            </w:r>
          </w:p>
          <w:p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益组织</w:t>
            </w:r>
          </w:p>
        </w:tc>
        <w:tc>
          <w:tcPr>
            <w:tcW w:w="86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hint="eastAsia"/>
                <w:color w:val="333333"/>
                <w:sz w:val="20"/>
                <w:szCs w:val="20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法律服</w:t>
            </w:r>
          </w:p>
          <w:p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务机构</w:t>
            </w:r>
          </w:p>
        </w:tc>
        <w:tc>
          <w:tcPr>
            <w:tcW w:w="627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其他</w:t>
            </w:r>
          </w:p>
        </w:tc>
        <w:tc>
          <w:tcPr>
            <w:tcW w:w="609" w:type="dxa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8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04" w:type="dxa"/>
            <w:gridSpan w:val="3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598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  <w:lang w:val="en-US" w:eastAsia="zh-CN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65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80" w:firstLineChars="200"/>
              <w:jc w:val="both"/>
              <w:rPr>
                <w:rFonts w:hint="eastAsia" w:ascii="宋体" w:hAnsi="宋体" w:eastAsia="宋体" w:cs="宋体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5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80" w:firstLineChars="200"/>
              <w:jc w:val="both"/>
              <w:rPr>
                <w:rFonts w:hint="eastAsia" w:ascii="宋体" w:hAnsi="宋体" w:eastAsia="宋体" w:cs="宋体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1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86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627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80" w:firstLineChars="200"/>
              <w:jc w:val="both"/>
              <w:rPr>
                <w:rFonts w:hint="default" w:ascii="宋体" w:hAnsi="宋体" w:eastAsia="宋体" w:cs="宋体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0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80" w:firstLineChars="200"/>
              <w:jc w:val="both"/>
              <w:rPr>
                <w:rFonts w:hint="default" w:ascii="宋体" w:hAnsi="宋体" w:eastAsia="宋体" w:cs="宋体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04" w:type="dxa"/>
            <w:gridSpan w:val="3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598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65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65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71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86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627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60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1" w:type="dxa"/>
            <w:vMerge w:val="restar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三、本年度办理结果</w:t>
            </w:r>
          </w:p>
        </w:tc>
        <w:tc>
          <w:tcPr>
            <w:tcW w:w="2953" w:type="dxa"/>
            <w:gridSpan w:val="2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333333"/>
                <w:sz w:val="20"/>
                <w:szCs w:val="20"/>
              </w:rPr>
              <w:t>（一）予以公开</w:t>
            </w:r>
          </w:p>
        </w:tc>
        <w:tc>
          <w:tcPr>
            <w:tcW w:w="598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hint="eastAsia" w:ascii="宋体" w:hAnsi="宋体" w:eastAsia="宋体" w:cs="宋体"/>
                <w:color w:val="333333"/>
                <w:kern w:val="0"/>
                <w:sz w:val="24"/>
                <w:lang w:eastAsia="zh-CN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65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65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71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86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627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60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hint="default" w:ascii="宋体" w:hAnsi="宋体" w:eastAsia="宋体" w:cs="宋体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1" w:type="dxa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8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2953" w:type="dxa"/>
            <w:gridSpan w:val="2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333333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598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65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65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71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86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627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60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1" w:type="dxa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8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920" w:type="dxa"/>
            <w:vMerge w:val="restar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333333"/>
                <w:sz w:val="20"/>
                <w:szCs w:val="20"/>
              </w:rPr>
              <w:t>（三）不予公开</w:t>
            </w:r>
          </w:p>
        </w:tc>
        <w:tc>
          <w:tcPr>
            <w:tcW w:w="203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333333"/>
                <w:sz w:val="20"/>
                <w:szCs w:val="20"/>
              </w:rPr>
              <w:t>1.属于国家秘密</w:t>
            </w:r>
          </w:p>
        </w:tc>
        <w:tc>
          <w:tcPr>
            <w:tcW w:w="598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65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65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71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86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627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60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1" w:type="dxa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8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920" w:type="dxa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8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203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333333"/>
                <w:sz w:val="20"/>
                <w:szCs w:val="20"/>
              </w:rPr>
              <w:t>2.其他法律行政法规禁止公开</w:t>
            </w:r>
          </w:p>
        </w:tc>
        <w:tc>
          <w:tcPr>
            <w:tcW w:w="598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65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65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71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86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627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60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1" w:type="dxa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8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920" w:type="dxa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8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203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333333"/>
                <w:sz w:val="20"/>
                <w:szCs w:val="20"/>
              </w:rPr>
              <w:t>3.危及“三安全一稳定”</w:t>
            </w:r>
          </w:p>
        </w:tc>
        <w:tc>
          <w:tcPr>
            <w:tcW w:w="598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65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65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71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86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627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60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1" w:type="dxa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8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920" w:type="dxa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8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203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333333"/>
                <w:sz w:val="20"/>
                <w:szCs w:val="20"/>
              </w:rPr>
              <w:t>4.保护第三方合法权益</w:t>
            </w:r>
          </w:p>
        </w:tc>
        <w:tc>
          <w:tcPr>
            <w:tcW w:w="598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65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65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71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86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627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60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1" w:type="dxa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8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920" w:type="dxa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8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203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333333"/>
                <w:sz w:val="20"/>
                <w:szCs w:val="20"/>
              </w:rPr>
              <w:t>5.属于三类内部事务信息</w:t>
            </w:r>
          </w:p>
        </w:tc>
        <w:tc>
          <w:tcPr>
            <w:tcW w:w="598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65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65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71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86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627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60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1" w:type="dxa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8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920" w:type="dxa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8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203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333333"/>
                <w:sz w:val="20"/>
                <w:szCs w:val="20"/>
              </w:rPr>
              <w:t>6.属于四类过程性信息</w:t>
            </w:r>
          </w:p>
        </w:tc>
        <w:tc>
          <w:tcPr>
            <w:tcW w:w="598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65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65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71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86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627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60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1" w:type="dxa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8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920" w:type="dxa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8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203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333333"/>
                <w:sz w:val="20"/>
                <w:szCs w:val="20"/>
              </w:rPr>
              <w:t>7.属于行政执法案卷</w:t>
            </w:r>
          </w:p>
        </w:tc>
        <w:tc>
          <w:tcPr>
            <w:tcW w:w="598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65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65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71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86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627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60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1" w:type="dxa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8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920" w:type="dxa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8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203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333333"/>
                <w:sz w:val="20"/>
                <w:szCs w:val="20"/>
              </w:rPr>
              <w:t>8.属于行政查询事项</w:t>
            </w:r>
          </w:p>
        </w:tc>
        <w:tc>
          <w:tcPr>
            <w:tcW w:w="598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65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65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71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86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627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60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1" w:type="dxa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8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920" w:type="dxa"/>
            <w:vMerge w:val="restar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333333"/>
                <w:sz w:val="20"/>
                <w:szCs w:val="20"/>
              </w:rPr>
              <w:t>（四）无法提供</w:t>
            </w:r>
          </w:p>
        </w:tc>
        <w:tc>
          <w:tcPr>
            <w:tcW w:w="203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333333"/>
                <w:sz w:val="20"/>
                <w:szCs w:val="20"/>
              </w:rPr>
              <w:t>1.本机关不掌握相关政府信息</w:t>
            </w:r>
          </w:p>
        </w:tc>
        <w:tc>
          <w:tcPr>
            <w:tcW w:w="598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hint="default" w:ascii="宋体" w:hAnsi="宋体" w:eastAsia="宋体" w:cs="宋体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65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65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71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86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627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60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hint="default" w:ascii="宋体" w:hAnsi="宋体" w:eastAsia="宋体" w:cs="宋体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1" w:type="dxa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8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920" w:type="dxa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8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203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333333"/>
                <w:sz w:val="20"/>
                <w:szCs w:val="20"/>
              </w:rPr>
              <w:t>2.没有现成信息需要另行制作</w:t>
            </w:r>
          </w:p>
        </w:tc>
        <w:tc>
          <w:tcPr>
            <w:tcW w:w="598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65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65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71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86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627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60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1" w:type="dxa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8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920" w:type="dxa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8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203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333333"/>
                <w:sz w:val="20"/>
                <w:szCs w:val="20"/>
              </w:rPr>
              <w:t>3.补正后申请内容仍不明确</w:t>
            </w:r>
          </w:p>
        </w:tc>
        <w:tc>
          <w:tcPr>
            <w:tcW w:w="598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65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65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71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86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627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60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1" w:type="dxa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8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920" w:type="dxa"/>
            <w:vMerge w:val="restar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333333"/>
                <w:sz w:val="20"/>
                <w:szCs w:val="20"/>
              </w:rPr>
              <w:t>（五）不予处理</w:t>
            </w:r>
          </w:p>
        </w:tc>
        <w:tc>
          <w:tcPr>
            <w:tcW w:w="203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333333"/>
                <w:sz w:val="20"/>
                <w:szCs w:val="20"/>
              </w:rPr>
              <w:t>1.信访举报投诉类申请</w:t>
            </w:r>
          </w:p>
        </w:tc>
        <w:tc>
          <w:tcPr>
            <w:tcW w:w="598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65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65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71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86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627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60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1" w:type="dxa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8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920" w:type="dxa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8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203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333333"/>
                <w:sz w:val="20"/>
                <w:szCs w:val="20"/>
              </w:rPr>
              <w:t>2.重复申请</w:t>
            </w:r>
          </w:p>
        </w:tc>
        <w:tc>
          <w:tcPr>
            <w:tcW w:w="598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65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65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71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86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627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60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1" w:type="dxa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8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920" w:type="dxa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8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203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333333"/>
                <w:sz w:val="20"/>
                <w:szCs w:val="20"/>
              </w:rPr>
              <w:t>3.要求提供公开出版物</w:t>
            </w:r>
          </w:p>
        </w:tc>
        <w:tc>
          <w:tcPr>
            <w:tcW w:w="598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65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65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71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86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627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60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651" w:type="dxa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8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920" w:type="dxa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8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203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333333"/>
                <w:sz w:val="20"/>
                <w:szCs w:val="20"/>
              </w:rPr>
              <w:t>4.无正当理由大量反复申请</w:t>
            </w:r>
          </w:p>
        </w:tc>
        <w:tc>
          <w:tcPr>
            <w:tcW w:w="598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65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65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71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86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627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60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1" w:type="dxa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8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920" w:type="dxa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8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203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333333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598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65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65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71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86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627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60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651" w:type="dxa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8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2953" w:type="dxa"/>
            <w:gridSpan w:val="2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333333"/>
                <w:sz w:val="20"/>
                <w:szCs w:val="20"/>
              </w:rPr>
              <w:t>（六）其他处理</w:t>
            </w:r>
          </w:p>
        </w:tc>
        <w:tc>
          <w:tcPr>
            <w:tcW w:w="598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65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65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71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86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627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60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51" w:type="dxa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8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2953" w:type="dxa"/>
            <w:gridSpan w:val="2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333333"/>
                <w:sz w:val="20"/>
                <w:szCs w:val="20"/>
              </w:rPr>
              <w:t>（七）总计</w:t>
            </w:r>
          </w:p>
        </w:tc>
        <w:tc>
          <w:tcPr>
            <w:tcW w:w="598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hint="eastAsia" w:ascii="宋体" w:hAnsi="宋体" w:eastAsia="宋体" w:cs="宋体"/>
                <w:color w:val="333333"/>
                <w:kern w:val="0"/>
                <w:sz w:val="24"/>
                <w:lang w:eastAsia="zh-CN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65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65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71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86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627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hint="eastAsia" w:ascii="宋体" w:hAnsi="宋体" w:eastAsia="宋体" w:cs="宋体"/>
                <w:color w:val="333333"/>
                <w:kern w:val="0"/>
                <w:sz w:val="24"/>
                <w:lang w:eastAsia="zh-CN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60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hint="eastAsia" w:ascii="宋体" w:hAnsi="宋体" w:eastAsia="宋体" w:cs="宋体"/>
                <w:color w:val="333333"/>
                <w:kern w:val="0"/>
                <w:sz w:val="24"/>
                <w:lang w:eastAsia="zh-CN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" w:hRule="atLeast"/>
          <w:jc w:val="center"/>
        </w:trPr>
        <w:tc>
          <w:tcPr>
            <w:tcW w:w="3604" w:type="dxa"/>
            <w:gridSpan w:val="3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四、结转下年度继续办理</w:t>
            </w:r>
          </w:p>
        </w:tc>
        <w:tc>
          <w:tcPr>
            <w:tcW w:w="598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65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65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71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86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627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60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20" w:firstLineChars="200"/>
              <w:jc w:val="both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0</w:t>
            </w:r>
          </w:p>
        </w:tc>
      </w:tr>
    </w:tbl>
    <w:p>
      <w:pPr>
        <w:widowControl/>
        <w:adjustRightInd w:val="0"/>
        <w:snapToGrid w:val="0"/>
        <w:spacing w:line="360" w:lineRule="auto"/>
        <w:ind w:firstLine="480" w:firstLineChars="200"/>
        <w:jc w:val="both"/>
        <w:rPr>
          <w:rFonts w:ascii="宋体" w:hAnsi="宋体" w:cs="宋体"/>
          <w:color w:val="333333"/>
          <w:kern w:val="0"/>
          <w:sz w:val="24"/>
        </w:rPr>
      </w:pPr>
    </w:p>
    <w:p>
      <w:pPr>
        <w:widowControl/>
        <w:adjustRightInd w:val="0"/>
        <w:snapToGrid w:val="0"/>
        <w:spacing w:line="360" w:lineRule="auto"/>
        <w:ind w:firstLine="640" w:firstLineChars="200"/>
        <w:jc w:val="both"/>
        <w:rPr>
          <w:rFonts w:ascii="黑体" w:hAnsi="黑体" w:eastAsia="黑体" w:cs="宋体"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color w:val="333333"/>
          <w:kern w:val="0"/>
          <w:sz w:val="32"/>
          <w:szCs w:val="32"/>
        </w:rPr>
        <w:t>四、行政复议、行政诉讼情况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2"/>
        <w:gridCol w:w="529"/>
        <w:gridCol w:w="499"/>
        <w:gridCol w:w="738"/>
        <w:gridCol w:w="553"/>
        <w:gridCol w:w="453"/>
        <w:gridCol w:w="414"/>
        <w:gridCol w:w="586"/>
        <w:gridCol w:w="500"/>
        <w:gridCol w:w="506"/>
        <w:gridCol w:w="500"/>
        <w:gridCol w:w="500"/>
        <w:gridCol w:w="501"/>
        <w:gridCol w:w="501"/>
        <w:gridCol w:w="9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3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行政复议</w:t>
            </w:r>
          </w:p>
        </w:tc>
        <w:tc>
          <w:tcPr>
            <w:tcW w:w="5389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结果维持</w:t>
            </w:r>
          </w:p>
        </w:tc>
        <w:tc>
          <w:tcPr>
            <w:tcW w:w="529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结果纠正</w:t>
            </w:r>
          </w:p>
        </w:tc>
        <w:tc>
          <w:tcPr>
            <w:tcW w:w="499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其他结果</w:t>
            </w:r>
          </w:p>
        </w:tc>
        <w:tc>
          <w:tcPr>
            <w:tcW w:w="738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尚未审结</w:t>
            </w:r>
          </w:p>
        </w:tc>
        <w:tc>
          <w:tcPr>
            <w:tcW w:w="553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总计</w:t>
            </w:r>
          </w:p>
        </w:tc>
        <w:tc>
          <w:tcPr>
            <w:tcW w:w="245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未经复议直接起诉</w:t>
            </w:r>
          </w:p>
        </w:tc>
        <w:tc>
          <w:tcPr>
            <w:tcW w:w="293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8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52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8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49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8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73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8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55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8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结果维持</w:t>
            </w:r>
          </w:p>
        </w:tc>
        <w:tc>
          <w:tcPr>
            <w:tcW w:w="4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结果纠正</w:t>
            </w:r>
          </w:p>
        </w:tc>
        <w:tc>
          <w:tcPr>
            <w:tcW w:w="5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其他结果</w:t>
            </w:r>
          </w:p>
        </w:tc>
        <w:tc>
          <w:tcPr>
            <w:tcW w:w="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尚未审结</w:t>
            </w:r>
          </w:p>
        </w:tc>
        <w:tc>
          <w:tcPr>
            <w:tcW w:w="5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结果维持</w:t>
            </w:r>
          </w:p>
        </w:tc>
        <w:tc>
          <w:tcPr>
            <w:tcW w:w="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结果纠正</w:t>
            </w:r>
          </w:p>
        </w:tc>
        <w:tc>
          <w:tcPr>
            <w:tcW w:w="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尚未审结</w:t>
            </w:r>
          </w:p>
        </w:tc>
        <w:tc>
          <w:tcPr>
            <w:tcW w:w="9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1" w:hRule="atLeast"/>
          <w:jc w:val="center"/>
        </w:trPr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FitText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hint="eastAsia" w:eastAsia="宋体"/>
                <w:color w:val="333333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333333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FitText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hint="eastAsia" w:eastAsia="宋体"/>
                <w:color w:val="333333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333333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4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FitText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hint="eastAsia" w:eastAsia="宋体"/>
                <w:color w:val="333333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333333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FitText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hint="eastAsia" w:eastAsia="宋体"/>
                <w:color w:val="333333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333333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FitText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hint="eastAsia" w:eastAsia="宋体"/>
                <w:color w:val="333333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333333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FitText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hint="eastAsia" w:ascii="宋体" w:hAnsi="宋体" w:eastAsia="宋体" w:cs="宋体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4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FitText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hint="default" w:ascii="宋体" w:hAnsi="宋体" w:cs="宋体"/>
                <w:color w:val="333333"/>
                <w:spacing w:val="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spacing w:val="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5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FitText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80" w:firstLineChars="200"/>
              <w:jc w:val="both"/>
              <w:rPr>
                <w:rFonts w:hint="eastAsia" w:ascii="宋体" w:hAnsi="宋体" w:cs="宋体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lang w:val="en-US" w:eastAsia="zh-CN"/>
              </w:rPr>
              <w:t>0</w:t>
            </w:r>
          </w:p>
          <w:p>
            <w:pPr>
              <w:bidi w:val="0"/>
              <w:ind w:firstLine="237" w:firstLineChars="0"/>
              <w:jc w:val="both"/>
              <w:rPr>
                <w:rFonts w:hint="default" w:ascii="Calibri" w:hAnsi="Calibri" w:eastAsia="宋体" w:cs="黑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黑体"/>
                <w:kern w:val="2"/>
                <w:sz w:val="21"/>
                <w:szCs w:val="24"/>
                <w:lang w:val="en-US" w:eastAsia="zh-CN" w:bidi="ar-SA"/>
              </w:rPr>
              <w:t>0</w:t>
            </w:r>
          </w:p>
        </w:tc>
        <w:tc>
          <w:tcPr>
            <w:tcW w:w="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FitText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hint="eastAsia" w:ascii="宋体" w:hAnsi="宋体" w:eastAsia="宋体" w:cs="宋体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5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FitText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hint="default" w:ascii="宋体" w:hAnsi="宋体" w:cs="宋体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FitText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80" w:firstLineChars="200"/>
              <w:jc w:val="both"/>
              <w:rPr>
                <w:rFonts w:hint="eastAsia" w:ascii="宋体" w:hAnsi="宋体" w:cs="宋体"/>
                <w:color w:val="333333"/>
                <w:kern w:val="0"/>
                <w:sz w:val="24"/>
                <w:lang w:val="en-US" w:eastAsia="zh-CN"/>
              </w:rPr>
            </w:pPr>
          </w:p>
          <w:p>
            <w:pPr>
              <w:bidi w:val="0"/>
              <w:jc w:val="both"/>
              <w:rPr>
                <w:rFonts w:hint="default" w:ascii="Calibri" w:hAnsi="Calibri" w:eastAsia="宋体" w:cs="黑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黑体"/>
                <w:kern w:val="2"/>
                <w:sz w:val="21"/>
                <w:szCs w:val="24"/>
                <w:lang w:val="en-US" w:eastAsia="zh-CN" w:bidi="ar-SA"/>
              </w:rPr>
              <w:t>0</w:t>
            </w:r>
          </w:p>
        </w:tc>
        <w:tc>
          <w:tcPr>
            <w:tcW w:w="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FitText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80" w:firstLineChars="200"/>
              <w:jc w:val="both"/>
              <w:rPr>
                <w:rFonts w:hint="default" w:ascii="宋体" w:hAnsi="宋体" w:eastAsia="宋体" w:cs="宋体"/>
                <w:color w:val="333333"/>
                <w:spacing w:val="0"/>
                <w:kern w:val="0"/>
                <w:sz w:val="24"/>
                <w:lang w:val="en-US" w:eastAsia="zh-CN"/>
              </w:rPr>
            </w:pPr>
          </w:p>
          <w:p>
            <w:pPr>
              <w:bidi w:val="0"/>
              <w:jc w:val="both"/>
              <w:rPr>
                <w:rFonts w:hint="default" w:ascii="Calibri" w:hAnsi="Calibri" w:eastAsia="宋体" w:cs="黑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黑体"/>
                <w:kern w:val="2"/>
                <w:sz w:val="21"/>
                <w:szCs w:val="24"/>
                <w:lang w:val="en-US" w:eastAsia="zh-CN" w:bidi="ar-SA"/>
              </w:rPr>
              <w:t>0</w:t>
            </w:r>
          </w:p>
        </w:tc>
        <w:tc>
          <w:tcPr>
            <w:tcW w:w="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FitText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8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>
            <w:pPr>
              <w:bidi w:val="0"/>
              <w:jc w:val="both"/>
              <w:rPr>
                <w:rFonts w:hint="default" w:ascii="Calibri" w:hAnsi="Calibri" w:eastAsia="宋体" w:cs="黑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黑体"/>
                <w:kern w:val="2"/>
                <w:sz w:val="21"/>
                <w:szCs w:val="24"/>
                <w:lang w:val="en-US" w:eastAsia="zh-CN" w:bidi="ar-SA"/>
              </w:rPr>
              <w:t>0</w:t>
            </w:r>
          </w:p>
        </w:tc>
        <w:tc>
          <w:tcPr>
            <w:tcW w:w="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FitText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8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>
            <w:pPr>
              <w:bidi w:val="0"/>
              <w:jc w:val="both"/>
              <w:rPr>
                <w:rFonts w:hint="default" w:ascii="Calibri" w:hAnsi="Calibri" w:eastAsia="宋体" w:cs="黑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黑体"/>
                <w:kern w:val="2"/>
                <w:sz w:val="21"/>
                <w:szCs w:val="24"/>
                <w:lang w:val="en-US" w:eastAsia="zh-CN" w:bidi="ar-SA"/>
              </w:rPr>
              <w:t>0</w:t>
            </w:r>
          </w:p>
        </w:tc>
        <w:tc>
          <w:tcPr>
            <w:tcW w:w="9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FitText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20" w:firstLineChars="200"/>
              <w:jc w:val="both"/>
              <w:rPr>
                <w:rFonts w:hint="default" w:ascii="宋体" w:hAnsi="宋体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</w:tr>
    </w:tbl>
    <w:p>
      <w:pPr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600" w:lineRule="exact"/>
        <w:ind w:firstLine="640" w:firstLineChars="200"/>
        <w:jc w:val="both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>五、</w:t>
      </w:r>
      <w:r>
        <w:rPr>
          <w:rFonts w:hint="eastAsia" w:ascii="黑体" w:hAnsi="黑体" w:eastAsia="黑体"/>
          <w:sz w:val="32"/>
          <w:szCs w:val="32"/>
        </w:rPr>
        <w:t>存在的主要问题和改进措施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212121"/>
          <w:spacing w:val="0"/>
          <w:sz w:val="32"/>
          <w:szCs w:val="32"/>
          <w:shd w:val="clear" w:fill="FFFFFF"/>
        </w:rPr>
        <w:t>202</w:t>
      </w:r>
      <w:r>
        <w:rPr>
          <w:rFonts w:hint="eastAsia" w:ascii="仿宋" w:hAnsi="仿宋" w:eastAsia="仿宋" w:cs="仿宋"/>
          <w:i w:val="0"/>
          <w:iCs w:val="0"/>
          <w:caps w:val="0"/>
          <w:color w:val="212121"/>
          <w:spacing w:val="0"/>
          <w:sz w:val="32"/>
          <w:szCs w:val="32"/>
          <w:shd w:val="clear" w:fill="FFFFFF"/>
          <w:lang w:val="en-US" w:eastAsia="zh-CN"/>
        </w:rPr>
        <w:t>3</w:t>
      </w:r>
      <w:r>
        <w:rPr>
          <w:rFonts w:hint="eastAsia" w:ascii="仿宋" w:hAnsi="仿宋" w:eastAsia="仿宋" w:cs="仿宋"/>
          <w:i w:val="0"/>
          <w:iCs w:val="0"/>
          <w:caps w:val="0"/>
          <w:color w:val="212121"/>
          <w:spacing w:val="0"/>
          <w:sz w:val="32"/>
          <w:szCs w:val="32"/>
          <w:shd w:val="clear" w:fill="FFFFFF"/>
        </w:rPr>
        <w:t>年，我局在政务信息公开工作方面虽取得了一定成效，但对照上级要求，仍然存在差距。主要表现在信息公开的时效性上还需进一步提高，政策解读业务不精，力度不够。政务新媒体原创水平不高等。针对这些短板弱项，下一步我局将狠抓信息公开的时效性，严格按照政务公开工作要求，在规定的最短时限内对信息进行公开；在政策解读上下功夫，通过深入学习政策文件内容，加大对水利文件、政策的解读力度；结合政务新媒体特点，采取多形式发布信息，提升原创水平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tLeast"/>
        <w:ind w:right="0"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color w:val="333333"/>
          <w:sz w:val="32"/>
          <w:szCs w:val="32"/>
          <w:shd w:val="clear" w:color="auto" w:fill="FFFFFF"/>
        </w:rPr>
        <w:t xml:space="preserve">六、其他需要报告的事项 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tLeas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暂无其他需要报告的事项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tLeast"/>
        <w:ind w:right="0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760" w:firstLineChars="18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760" w:firstLineChars="18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五台县水利局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440" w:firstLineChars="1700"/>
        <w:jc w:val="both"/>
        <w:textAlignment w:val="auto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2023年12月25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日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sectPr>
      <w:pgSz w:w="11906" w:h="16838"/>
      <w:pgMar w:top="1304" w:right="1587" w:bottom="1304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楷体">
    <w:altName w:val="楷体_GB2312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E1M2E5OTM1NGMwMjZhMzJjNGRkODk2ZWQzNDQ3MTEifQ=="/>
  </w:docVars>
  <w:rsids>
    <w:rsidRoot w:val="28D11801"/>
    <w:rsid w:val="28D11801"/>
    <w:rsid w:val="33201566"/>
    <w:rsid w:val="343F315C"/>
    <w:rsid w:val="3F9C0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autoRedefine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2023-12-20T09:31:00Z</dcterms:created>
  <dc:creator>ృ༊</dc:creator>
  <cp:lastModifiedBy>Administrator</cp:lastModifiedBy>
  <cp:lastPrinted>2023-12-21T02:03:00Z</cp:lastPrinted>
  <dcterms:modified xsi:type="dcterms:W3CDTF">2023-12-29T08:03:01Z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05803796F47A49A19E4CC05922B4DAEE_11</vt:lpwstr>
  </property>
</Properties>
</file>