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Hans"/>
        </w:rPr>
        <w:t>蒋坊乡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人民政府</w:t>
      </w:r>
      <w:r>
        <w:rPr>
          <w:rFonts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宋体" w:hAnsi="宋体" w:cs="宋体"/>
          <w:b/>
          <w:bCs/>
          <w:sz w:val="44"/>
          <w:szCs w:val="44"/>
        </w:rPr>
        <w:t>年政府信息公开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sz w:val="44"/>
          <w:szCs w:val="44"/>
        </w:rPr>
        <w:t>年度报告</w:t>
      </w:r>
    </w:p>
    <w:p>
      <w:pPr>
        <w:spacing w:line="600" w:lineRule="exact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仿宋_GB2312" w:hAnsi="仿宋_GB2312" w:eastAsia="仿宋_GB2312" w:cs="仿宋_GB2312"/>
          <w:bCs/>
          <w:color w:val="333333"/>
          <w:kern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lang w:val="en-US" w:eastAsia="zh-Hans"/>
        </w:rPr>
        <w:t>年</w:t>
      </w:r>
      <w:r>
        <w:rPr>
          <w:rFonts w:hint="default" w:ascii="仿宋_GB2312" w:hAnsi="仿宋_GB2312" w:eastAsia="仿宋_GB2312" w:cs="仿宋_GB2312"/>
          <w:bCs/>
          <w:color w:val="333333"/>
          <w:kern w:val="0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lang w:val="en-US" w:eastAsia="zh-Hans"/>
        </w:rPr>
        <w:t>蒋坊乡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</w:rPr>
        <w:t>坚持深化政府信息公开工作，</w:t>
      </w:r>
      <w:r>
        <w:rPr>
          <w:rFonts w:hint="default" w:ascii="仿宋_GB2312" w:hAnsi="仿宋_GB2312" w:eastAsia="仿宋_GB2312" w:cs="仿宋_GB2312"/>
          <w:bCs/>
          <w:color w:val="333333"/>
          <w:kern w:val="0"/>
          <w:sz w:val="32"/>
          <w:szCs w:val="32"/>
          <w:lang w:val="en-US" w:eastAsia="zh-Hans"/>
        </w:rPr>
        <w:t>把政府信息公开工作作为转变工作作风、提高政府效能的重要举措，深入推进政府信息公开工作，全力保障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lang w:val="en-US" w:eastAsia="zh-Hans"/>
        </w:rPr>
        <w:t>人民群众的</w:t>
      </w:r>
      <w:r>
        <w:rPr>
          <w:rFonts w:hint="default" w:ascii="仿宋_GB2312" w:hAnsi="仿宋_GB2312" w:eastAsia="仿宋_GB2312" w:cs="仿宋_GB2312"/>
          <w:bCs/>
          <w:color w:val="333333"/>
          <w:kern w:val="0"/>
          <w:sz w:val="32"/>
          <w:szCs w:val="32"/>
          <w:lang w:val="en-US" w:eastAsia="zh-Hans"/>
        </w:rPr>
        <w:t>知情权。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960" w:firstLineChars="300"/>
        <w:textAlignment w:val="auto"/>
        <w:rPr>
          <w:rFonts w:hint="eastAsia" w:ascii="楷体_GB2312" w:hAnsi="楷体_GB2312" w:eastAsia="楷体_GB2312" w:cs="楷体_GB2312"/>
          <w:bCs/>
          <w:color w:val="333333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333333"/>
          <w:kern w:val="0"/>
          <w:sz w:val="32"/>
          <w:szCs w:val="32"/>
          <w:lang w:val="en"/>
        </w:rPr>
        <w:t>(</w:t>
      </w:r>
      <w:r>
        <w:rPr>
          <w:rFonts w:hint="eastAsia" w:ascii="楷体_GB2312" w:hAnsi="楷体_GB2312" w:eastAsia="楷体_GB2312" w:cs="楷体_GB2312"/>
          <w:bCs/>
          <w:color w:val="333333"/>
          <w:kern w:val="0"/>
          <w:sz w:val="32"/>
          <w:szCs w:val="32"/>
          <w:lang w:val="en" w:eastAsia="zh-CN"/>
        </w:rPr>
        <w:t>一</w:t>
      </w:r>
      <w:r>
        <w:rPr>
          <w:rFonts w:hint="eastAsia" w:ascii="楷体_GB2312" w:hAnsi="楷体_GB2312" w:eastAsia="楷体_GB2312" w:cs="楷体_GB2312"/>
          <w:bCs/>
          <w:color w:val="333333"/>
          <w:kern w:val="0"/>
          <w:sz w:val="32"/>
          <w:szCs w:val="32"/>
          <w:lang w:val="en"/>
        </w:rPr>
        <w:t>)</w:t>
      </w:r>
      <w:r>
        <w:rPr>
          <w:rFonts w:hint="eastAsia" w:ascii="楷体_GB2312" w:hAnsi="楷体_GB2312" w:eastAsia="楷体_GB2312" w:cs="楷体_GB2312"/>
          <w:bCs/>
          <w:color w:val="333333"/>
          <w:kern w:val="0"/>
          <w:sz w:val="32"/>
          <w:szCs w:val="32"/>
        </w:rPr>
        <w:t>公开政府信息情况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lang w:val="en-US" w:eastAsia="zh-Hans"/>
        </w:rPr>
        <w:t>我乡政府信息公开通过五台县政府门户网站</w:t>
      </w:r>
      <w:r>
        <w:rPr>
          <w:rFonts w:hint="default" w:ascii="仿宋_GB2312" w:hAnsi="仿宋_GB2312" w:eastAsia="仿宋_GB2312" w:cs="仿宋_GB2312"/>
          <w:bCs/>
          <w:color w:val="333333"/>
          <w:kern w:val="0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lang w:val="en-US" w:eastAsia="zh-Hans"/>
        </w:rPr>
        <w:t>纸质公告栏进行公开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Cs/>
          <w:color w:val="333333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333333"/>
          <w:kern w:val="0"/>
          <w:sz w:val="32"/>
          <w:szCs w:val="32"/>
        </w:rPr>
        <w:t>（二）政府信息依申请公开办理情况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Cs/>
          <w:color w:val="333333"/>
          <w:kern w:val="0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lang w:val="en-US" w:eastAsia="zh-Hans"/>
        </w:rPr>
        <w:t>年</w:t>
      </w:r>
      <w:r>
        <w:rPr>
          <w:rFonts w:hint="default" w:ascii="仿宋_GB2312" w:hAnsi="仿宋_GB2312" w:eastAsia="仿宋_GB2312" w:cs="仿宋_GB2312"/>
          <w:bCs/>
          <w:color w:val="333333"/>
          <w:kern w:val="0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lang w:val="en-US" w:eastAsia="zh-Hans"/>
        </w:rPr>
        <w:t>乡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</w:rPr>
        <w:t>收到政府信息公开申请0件。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Cs/>
          <w:color w:val="333333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333333"/>
          <w:kern w:val="0"/>
          <w:sz w:val="32"/>
          <w:szCs w:val="32"/>
        </w:rPr>
        <w:t>（三）政府信息管理情况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lang w:val="en-US" w:eastAsia="zh-Hans"/>
        </w:rPr>
        <w:t>乡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</w:rPr>
        <w:t>建立健全政府信息公开工作机制，落实专人做好政府信息公开各项工作，严格执行政府信息公开的法律法规，建立健全政府信息公开申请受理答复各环节制度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lang w:eastAsia="zh-CN"/>
        </w:rPr>
        <w:t>规范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</w:rPr>
        <w:t>，对所公开事项内容进行审核、把关，确保公开内客的合法性、准确性、严肃性。确保公开的范围、形式、时限、程序等符合《中华人民共和国政府信息公开条例》的相关要求。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Cs/>
          <w:color w:val="333333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333333"/>
          <w:kern w:val="0"/>
          <w:sz w:val="32"/>
          <w:szCs w:val="32"/>
        </w:rPr>
        <w:t>（四）政府信息公开平台建设情况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lang w:val="en-US" w:eastAsia="zh-Hans"/>
        </w:rPr>
        <w:t>蒋坊乡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</w:rPr>
        <w:t>人民政府信息公开平台主要依托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lang w:val="en-US" w:eastAsia="zh-CN"/>
        </w:rPr>
        <w:t>五台县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</w:rPr>
        <w:t>人民政府门户网站进行全文电子化公开、在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lang w:val="en-US" w:eastAsia="zh-Hans"/>
        </w:rPr>
        <w:t>蒋坊乡人民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</w:rPr>
        <w:t>政府政务公开宣传栏进行纸质化公开、在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lang w:val="en-US" w:eastAsia="zh-Hans"/>
        </w:rPr>
        <w:t>蒋坊乡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</w:rPr>
        <w:t>人民政府提供咨询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lang w:val="en-US" w:eastAsia="zh-Hans"/>
        </w:rPr>
        <w:t>及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</w:rPr>
        <w:t>查阅三种公开类型。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Cs/>
          <w:color w:val="333333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333333"/>
          <w:kern w:val="0"/>
          <w:sz w:val="32"/>
          <w:szCs w:val="32"/>
        </w:rPr>
        <w:t>（五）监督保障机制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</w:rPr>
        <w:t>为切实做好政务公开工作，深化主动公开内容，我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lang w:val="en-US" w:eastAsia="zh-Hans"/>
        </w:rPr>
        <w:t>乡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</w:rPr>
        <w:t>逐步健全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</w:rPr>
        <w:t>信息公开工作机制，同时，将政府信息公开工作纳入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lang w:val="en-US" w:eastAsia="zh-Hans"/>
        </w:rPr>
        <w:t>乡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</w:rPr>
        <w:t>作风效能建设考核、依法行政考核和政风行风评议等考评工作，及时对信息更新不及时、处理申请不规范、群众反映不满意的现象进行整改，强化监督检查，对信息公开不正确、不及时等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lang w:eastAsia="zh-CN"/>
        </w:rPr>
        <w:t>违反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</w:rPr>
        <w:t>公开条例的行为追究相关负责人的责任，进一步保障了政府信息公开工作落到实处。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default" w:ascii="宋体" w:hAnsi="宋体" w:cs="宋体"/>
                <w:color w:val="333333"/>
                <w:kern w:val="0"/>
                <w:sz w:val="24"/>
                <w:lang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720" w:firstLineChars="3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hd w:val="clear" w:color="FFFFFF" w:fill="D9D9D9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adjustRightInd w:val="0"/>
        <w:snapToGrid w:val="0"/>
        <w:spacing w:line="360" w:lineRule="auto"/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8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920"/>
        <w:gridCol w:w="2277"/>
        <w:gridCol w:w="653"/>
        <w:gridCol w:w="614"/>
        <w:gridCol w:w="637"/>
        <w:gridCol w:w="760"/>
        <w:gridCol w:w="813"/>
        <w:gridCol w:w="733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8" w:type="dxa"/>
            <w:gridSpan w:val="3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120" w:type="dxa"/>
            <w:gridSpan w:val="7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8" w:type="dxa"/>
            <w:gridSpan w:val="3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53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自然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人</w:t>
            </w:r>
          </w:p>
        </w:tc>
        <w:tc>
          <w:tcPr>
            <w:tcW w:w="3557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法人或其他组织</w:t>
            </w:r>
          </w:p>
        </w:tc>
        <w:tc>
          <w:tcPr>
            <w:tcW w:w="91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8" w:type="dxa"/>
            <w:gridSpan w:val="3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5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商业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企业</w:t>
            </w:r>
          </w:p>
        </w:tc>
        <w:tc>
          <w:tcPr>
            <w:tcW w:w="6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科研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机构</w:t>
            </w:r>
          </w:p>
        </w:tc>
        <w:tc>
          <w:tcPr>
            <w:tcW w:w="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社会公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益组织</w:t>
            </w:r>
          </w:p>
        </w:tc>
        <w:tc>
          <w:tcPr>
            <w:tcW w:w="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法律服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务机构</w:t>
            </w:r>
          </w:p>
        </w:tc>
        <w:tc>
          <w:tcPr>
            <w:tcW w:w="7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91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8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8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三、本年度办理结果</w:t>
            </w:r>
          </w:p>
        </w:tc>
        <w:tc>
          <w:tcPr>
            <w:tcW w:w="3197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（一）予以公开</w:t>
            </w:r>
          </w:p>
        </w:tc>
        <w:tc>
          <w:tcPr>
            <w:tcW w:w="6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 xml:space="preserve">    0</w:t>
            </w:r>
          </w:p>
        </w:tc>
        <w:tc>
          <w:tcPr>
            <w:tcW w:w="6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宋体" w:hAnsi="宋体" w:cs="宋体"/>
                <w:color w:val="333333"/>
                <w:kern w:val="0"/>
                <w:sz w:val="24"/>
                <w:lang w:eastAsia="zh-CN"/>
              </w:rPr>
              <w:t xml:space="preserve"> </w:t>
            </w: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197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（三）不予公开</w:t>
            </w:r>
          </w:p>
        </w:tc>
        <w:tc>
          <w:tcPr>
            <w:tcW w:w="227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1.属于国家秘密</w:t>
            </w:r>
          </w:p>
        </w:tc>
        <w:tc>
          <w:tcPr>
            <w:tcW w:w="6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7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2.其他法律行政法规禁止公开</w:t>
            </w:r>
          </w:p>
        </w:tc>
        <w:tc>
          <w:tcPr>
            <w:tcW w:w="6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7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3.危及“三安全一稳定”</w:t>
            </w:r>
          </w:p>
        </w:tc>
        <w:tc>
          <w:tcPr>
            <w:tcW w:w="6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default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rFonts w:hint="default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6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7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4.保护第三方合法权益</w:t>
            </w:r>
          </w:p>
        </w:tc>
        <w:tc>
          <w:tcPr>
            <w:tcW w:w="6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7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5.属于三类内部事务信息</w:t>
            </w:r>
          </w:p>
        </w:tc>
        <w:tc>
          <w:tcPr>
            <w:tcW w:w="6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7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6.属于四类过程性信息</w:t>
            </w:r>
          </w:p>
        </w:tc>
        <w:tc>
          <w:tcPr>
            <w:tcW w:w="6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7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7.属于行政执法案卷</w:t>
            </w:r>
          </w:p>
        </w:tc>
        <w:tc>
          <w:tcPr>
            <w:tcW w:w="6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7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8.属于行政查询事项</w:t>
            </w:r>
          </w:p>
        </w:tc>
        <w:tc>
          <w:tcPr>
            <w:tcW w:w="6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（四）无法提供</w:t>
            </w:r>
          </w:p>
        </w:tc>
        <w:tc>
          <w:tcPr>
            <w:tcW w:w="227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1.本机关不掌握相关政府信息</w:t>
            </w:r>
          </w:p>
        </w:tc>
        <w:tc>
          <w:tcPr>
            <w:tcW w:w="6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7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2.没有现成信息需要另行制作</w:t>
            </w:r>
          </w:p>
        </w:tc>
        <w:tc>
          <w:tcPr>
            <w:tcW w:w="6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7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3.补正后申请内容仍不明确</w:t>
            </w:r>
          </w:p>
        </w:tc>
        <w:tc>
          <w:tcPr>
            <w:tcW w:w="6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（五）不予处理</w:t>
            </w:r>
          </w:p>
        </w:tc>
        <w:tc>
          <w:tcPr>
            <w:tcW w:w="227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1.信访举报投诉类申请</w:t>
            </w:r>
          </w:p>
        </w:tc>
        <w:tc>
          <w:tcPr>
            <w:tcW w:w="6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default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7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2.重复申请</w:t>
            </w:r>
          </w:p>
        </w:tc>
        <w:tc>
          <w:tcPr>
            <w:tcW w:w="6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7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3.要求提供公开出版物</w:t>
            </w:r>
          </w:p>
        </w:tc>
        <w:tc>
          <w:tcPr>
            <w:tcW w:w="6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7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4.无正当理由大量反复申请</w:t>
            </w:r>
          </w:p>
        </w:tc>
        <w:tc>
          <w:tcPr>
            <w:tcW w:w="6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7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197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（六）其他处理</w:t>
            </w:r>
          </w:p>
        </w:tc>
        <w:tc>
          <w:tcPr>
            <w:tcW w:w="6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197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（七）总计</w:t>
            </w:r>
          </w:p>
        </w:tc>
        <w:tc>
          <w:tcPr>
            <w:tcW w:w="6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/>
                <w:color w:val="333333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/>
                <w:color w:val="333333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 xml:space="preserve">  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48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四、结转下年度继续办理</w:t>
            </w:r>
          </w:p>
        </w:tc>
        <w:tc>
          <w:tcPr>
            <w:tcW w:w="6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1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91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adjustRightInd w:val="0"/>
        <w:snapToGrid w:val="0"/>
        <w:spacing w:line="360" w:lineRule="auto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四、行政复议、行政诉讼情况</w:t>
      </w:r>
    </w:p>
    <w:tbl>
      <w:tblPr>
        <w:tblStyle w:val="5"/>
        <w:tblW w:w="8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689"/>
        <w:gridCol w:w="511"/>
        <w:gridCol w:w="600"/>
        <w:gridCol w:w="679"/>
        <w:gridCol w:w="453"/>
        <w:gridCol w:w="601"/>
        <w:gridCol w:w="399"/>
        <w:gridCol w:w="500"/>
        <w:gridCol w:w="506"/>
        <w:gridCol w:w="649"/>
        <w:gridCol w:w="520"/>
        <w:gridCol w:w="653"/>
        <w:gridCol w:w="613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default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default" w:ascii="宋体" w:hAnsi="宋体" w:cs="宋体"/>
                <w:color w:val="333333"/>
                <w:kern w:val="0"/>
                <w:sz w:val="2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default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default" w:ascii="宋体" w:hAnsi="宋体" w:cs="宋体"/>
                <w:color w:val="333333"/>
                <w:kern w:val="0"/>
                <w:sz w:val="24"/>
              </w:rPr>
              <w:t>0</w:t>
            </w:r>
          </w:p>
        </w:tc>
        <w:tc>
          <w:tcPr>
            <w:tcW w:w="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default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default" w:ascii="宋体" w:hAnsi="宋体" w:cs="宋体"/>
                <w:color w:val="333333"/>
                <w:kern w:val="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default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default" w:ascii="宋体" w:hAnsi="宋体" w:cs="宋体"/>
                <w:color w:val="333333"/>
                <w:kern w:val="0"/>
                <w:sz w:val="24"/>
              </w:rPr>
              <w:t>0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default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default" w:ascii="宋体" w:hAnsi="宋体" w:cs="宋体"/>
                <w:color w:val="333333"/>
                <w:kern w:val="0"/>
                <w:sz w:val="24"/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default"/>
                <w:color w:val="333333"/>
                <w:sz w:val="20"/>
                <w:szCs w:val="20"/>
              </w:rPr>
            </w:pPr>
            <w:r>
              <w:rPr>
                <w:rFonts w:hint="default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default"/>
                <w:color w:val="333333"/>
                <w:sz w:val="20"/>
                <w:szCs w:val="20"/>
              </w:rPr>
            </w:pPr>
            <w:r>
              <w:rPr>
                <w:rFonts w:hint="default"/>
                <w:color w:val="333333"/>
                <w:sz w:val="20"/>
                <w:szCs w:val="20"/>
              </w:rPr>
              <w:t>0</w:t>
            </w:r>
          </w:p>
        </w:tc>
        <w:tc>
          <w:tcPr>
            <w:tcW w:w="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default"/>
                <w:color w:val="333333"/>
                <w:sz w:val="20"/>
                <w:szCs w:val="20"/>
              </w:rPr>
            </w:pPr>
            <w:r>
              <w:rPr>
                <w:rFonts w:hint="default"/>
                <w:color w:val="333333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default"/>
                <w:color w:val="333333"/>
                <w:sz w:val="20"/>
                <w:szCs w:val="20"/>
              </w:rPr>
            </w:pPr>
            <w:r>
              <w:rPr>
                <w:rFonts w:hint="default"/>
                <w:color w:val="333333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default"/>
                <w:color w:val="333333"/>
                <w:sz w:val="20"/>
                <w:szCs w:val="20"/>
              </w:rPr>
            </w:pPr>
            <w:r>
              <w:rPr>
                <w:rFonts w:hint="default"/>
                <w:color w:val="333333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default"/>
                <w:color w:val="333333"/>
                <w:sz w:val="20"/>
                <w:szCs w:val="20"/>
              </w:rPr>
            </w:pPr>
            <w:r>
              <w:rPr>
                <w:rFonts w:hint="default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default"/>
                <w:color w:val="333333"/>
                <w:sz w:val="20"/>
                <w:szCs w:val="20"/>
              </w:rPr>
            </w:pPr>
            <w:r>
              <w:rPr>
                <w:rFonts w:hint="default"/>
                <w:color w:val="333333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line="600" w:lineRule="exact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存在的主要问题和改进措施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蒋坊乡人民政府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扎实开展政府信息公开工作，但也存在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不足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总结如下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一是创新意识不强，主动公开政府信息的内容不能完全满足社会公众的需求。二是政策解读水平有待提升。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right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对此，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我乡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将从以下两方面改进，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是不断提高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为民服务意识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，主动拓展公开信息来源和范围，主动接受群众的监督，全力做好政府信息公开工作。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建立健全信息公开制度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加大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回应社会关切力度。通过公开栏、专题讲座、微信公众号等途径拓展政策文件解读范围，将比较难以理解的书面化表达进行通俗化解读。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640" w:firstLineChars="200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 xml:space="preserve">其他需要报告的事项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42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42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spacing w:line="600" w:lineRule="exact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蒋坊乡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人民政府</w:t>
      </w:r>
    </w:p>
    <w:p>
      <w:pPr>
        <w:spacing w:line="6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42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仿宋"/>
    <w:panose1 w:val="02000500000000000000"/>
    <w:charset w:val="00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E19D35"/>
    <w:multiLevelType w:val="singleLevel"/>
    <w:tmpl w:val="2AE19D3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567505"/>
    <w:multiLevelType w:val="singleLevel"/>
    <w:tmpl w:val="5856750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ZjU3MmE1OTk4MTc1ZjE1YzViZjEzMjA3N2U2NTcifQ=="/>
  </w:docVars>
  <w:rsids>
    <w:rsidRoot w:val="00000000"/>
    <w:rsid w:val="004F4DA7"/>
    <w:rsid w:val="04D66B40"/>
    <w:rsid w:val="055206ED"/>
    <w:rsid w:val="09861102"/>
    <w:rsid w:val="0A99064F"/>
    <w:rsid w:val="0C1D5007"/>
    <w:rsid w:val="0D6E22F3"/>
    <w:rsid w:val="10225DC7"/>
    <w:rsid w:val="104A4C90"/>
    <w:rsid w:val="1293407E"/>
    <w:rsid w:val="141E24FA"/>
    <w:rsid w:val="14936910"/>
    <w:rsid w:val="17772193"/>
    <w:rsid w:val="187F06D4"/>
    <w:rsid w:val="18A637D8"/>
    <w:rsid w:val="1A8B593A"/>
    <w:rsid w:val="1CAB1A07"/>
    <w:rsid w:val="1CDF0544"/>
    <w:rsid w:val="1F654C05"/>
    <w:rsid w:val="20CE1382"/>
    <w:rsid w:val="20EB170E"/>
    <w:rsid w:val="21FC4203"/>
    <w:rsid w:val="221A7CDA"/>
    <w:rsid w:val="2744601A"/>
    <w:rsid w:val="278E15F3"/>
    <w:rsid w:val="289A7AB0"/>
    <w:rsid w:val="28C406E1"/>
    <w:rsid w:val="293D47A9"/>
    <w:rsid w:val="2CA44886"/>
    <w:rsid w:val="33216BE7"/>
    <w:rsid w:val="35A01867"/>
    <w:rsid w:val="36DC4042"/>
    <w:rsid w:val="39CB4A51"/>
    <w:rsid w:val="3B8448C2"/>
    <w:rsid w:val="3C366ADC"/>
    <w:rsid w:val="3C506BA6"/>
    <w:rsid w:val="41A240C3"/>
    <w:rsid w:val="433C1E2F"/>
    <w:rsid w:val="435A7C71"/>
    <w:rsid w:val="437F40F2"/>
    <w:rsid w:val="4A873D23"/>
    <w:rsid w:val="4E634FB2"/>
    <w:rsid w:val="4E6B7D28"/>
    <w:rsid w:val="50DC6591"/>
    <w:rsid w:val="545D163C"/>
    <w:rsid w:val="559A4879"/>
    <w:rsid w:val="575B6F93"/>
    <w:rsid w:val="601369C3"/>
    <w:rsid w:val="601D2897"/>
    <w:rsid w:val="602B5702"/>
    <w:rsid w:val="60805AA1"/>
    <w:rsid w:val="61343F99"/>
    <w:rsid w:val="61993B13"/>
    <w:rsid w:val="659E3A62"/>
    <w:rsid w:val="67B244A6"/>
    <w:rsid w:val="69817238"/>
    <w:rsid w:val="6BC26183"/>
    <w:rsid w:val="6DC97185"/>
    <w:rsid w:val="6ECA3E70"/>
    <w:rsid w:val="6F29404F"/>
    <w:rsid w:val="6F3165ED"/>
    <w:rsid w:val="701D168E"/>
    <w:rsid w:val="7042265A"/>
    <w:rsid w:val="7A5223BA"/>
    <w:rsid w:val="9D862E77"/>
    <w:rsid w:val="F3FF54CA"/>
    <w:rsid w:val="F677A06A"/>
    <w:rsid w:val="FF1FD5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1709</Words>
  <Characters>1741</Characters>
  <Lines>0</Lines>
  <Paragraphs>0</Paragraphs>
  <TotalTime>10</TotalTime>
  <ScaleCrop>false</ScaleCrop>
  <LinksUpToDate>false</LinksUpToDate>
  <CharactersWithSpaces>1822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Administrator</cp:lastModifiedBy>
  <cp:lastPrinted>2023-01-13T19:13:00Z</cp:lastPrinted>
  <dcterms:modified xsi:type="dcterms:W3CDTF">2023-01-16T09:01:52Z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828C2813B2B84ACB8B60AC83DBD7CDA1</vt:lpwstr>
  </property>
</Properties>
</file>