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sz w:val="48"/>
          <w:szCs w:val="48"/>
        </w:rPr>
      </w:pPr>
      <w:r>
        <w:rPr>
          <w:rFonts w:hint="eastAsia" w:ascii="宋体" w:hAnsi="宋体" w:eastAsia="宋体" w:cs="宋体"/>
          <w:b/>
          <w:bCs/>
          <w:i w:val="0"/>
          <w:caps w:val="0"/>
          <w:color w:val="333333"/>
          <w:spacing w:val="0"/>
          <w:sz w:val="48"/>
          <w:szCs w:val="48"/>
          <w:shd w:val="clear" w:color="auto" w:fill="FFFFFF"/>
          <w:lang w:eastAsia="zh-CN"/>
        </w:rPr>
        <w:t>五台县</w:t>
      </w:r>
      <w:r>
        <w:rPr>
          <w:rFonts w:hint="eastAsia" w:ascii="宋体" w:hAnsi="宋体" w:eastAsia="宋体" w:cs="宋体"/>
          <w:b/>
          <w:bCs/>
          <w:i w:val="0"/>
          <w:caps w:val="0"/>
          <w:color w:val="333333"/>
          <w:spacing w:val="0"/>
          <w:sz w:val="48"/>
          <w:szCs w:val="48"/>
          <w:shd w:val="clear" w:color="auto" w:fill="FFFFFF"/>
        </w:rPr>
        <w:t>文化和旅游局</w:t>
      </w:r>
      <w:r>
        <w:rPr>
          <w:rFonts w:hint="eastAsia" w:ascii="宋体" w:hAnsi="宋体" w:eastAsia="宋体" w:cs="宋体"/>
          <w:b/>
          <w:bCs/>
          <w:sz w:val="48"/>
          <w:szCs w:val="48"/>
        </w:rPr>
        <w:t>20</w:t>
      </w:r>
      <w:r>
        <w:rPr>
          <w:rFonts w:hint="eastAsia" w:ascii="宋体" w:hAnsi="宋体" w:eastAsia="宋体" w:cs="宋体"/>
          <w:b/>
          <w:bCs/>
          <w:sz w:val="48"/>
          <w:szCs w:val="48"/>
          <w:lang w:val="en-US" w:eastAsia="zh-CN"/>
        </w:rPr>
        <w:t>21</w:t>
      </w:r>
      <w:r>
        <w:rPr>
          <w:rFonts w:hint="eastAsia" w:ascii="宋体" w:hAnsi="宋体" w:eastAsia="宋体" w:cs="宋体"/>
          <w:b/>
          <w:bCs/>
          <w:sz w:val="48"/>
          <w:szCs w:val="48"/>
        </w:rPr>
        <w:t>年政府信息公开年度报告</w:t>
      </w:r>
    </w:p>
    <w:p>
      <w:pPr>
        <w:spacing w:line="600" w:lineRule="exact"/>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320" w:firstLineChars="100"/>
        <w:textAlignment w:val="auto"/>
        <w:rPr>
          <w:rFonts w:hint="eastAsia" w:ascii="仿宋_GB2312" w:hAnsi="仿宋_GB2312" w:eastAsia="仿宋_GB2312" w:cs="仿宋_GB2312"/>
          <w:b w:val="0"/>
          <w:bCs/>
          <w:color w:val="333333"/>
          <w:kern w:val="0"/>
          <w:sz w:val="32"/>
          <w:szCs w:val="32"/>
        </w:rPr>
      </w:pPr>
      <w:r>
        <w:rPr>
          <w:rFonts w:hint="eastAsia" w:ascii="黑体" w:hAnsi="黑体" w:eastAsia="黑体" w:cs="宋体"/>
          <w:bCs/>
          <w:color w:val="333333"/>
          <w:kern w:val="0"/>
          <w:sz w:val="32"/>
          <w:szCs w:val="32"/>
        </w:rPr>
        <w:t> </w:t>
      </w:r>
      <w:r>
        <w:rPr>
          <w:rFonts w:hint="eastAsia" w:ascii="宋体" w:hAnsi="宋体" w:eastAsia="宋体" w:cs="宋体"/>
          <w:b w:val="0"/>
          <w:bCs/>
          <w:color w:val="333333"/>
          <w:kern w:val="0"/>
          <w:sz w:val="24"/>
          <w:szCs w:val="24"/>
        </w:rPr>
        <w:t xml:space="preserve"> </w:t>
      </w:r>
      <w:r>
        <w:rPr>
          <w:rFonts w:hint="eastAsia" w:ascii="仿宋_GB2312" w:hAnsi="仿宋_GB2312" w:eastAsia="仿宋_GB2312" w:cs="仿宋_GB2312"/>
          <w:b w:val="0"/>
          <w:bCs/>
          <w:color w:val="333333"/>
          <w:kern w:val="0"/>
          <w:sz w:val="32"/>
          <w:szCs w:val="32"/>
        </w:rPr>
        <w:t>根据《中华人民共和国政府信息公开条例》《山西省政府信息公开规定》《忻州市人民政府办公室关于认真做好政府信息公开工作年报的督办通知》要求，现公开五台县文化和旅游局 2021年政府信息公开工作年度报告，报告由总体情况、主动公开政府信息情况、收到和处理政府信息公开申请情况、政府信息公开行政复议、行政诉讼情况和存在的主要问题及改进情况共五部分组成。所列数据统计期限自 2021年1月1日起至12月31日止。 </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eastAsia" w:ascii="宋体" w:hAnsi="宋体" w:eastAsia="宋体" w:cs="宋体"/>
          <w:b/>
          <w:bCs w:val="0"/>
          <w:color w:val="333333"/>
          <w:kern w:val="0"/>
          <w:sz w:val="32"/>
          <w:szCs w:val="32"/>
        </w:rPr>
      </w:pPr>
      <w:r>
        <w:rPr>
          <w:rFonts w:hint="eastAsia" w:ascii="宋体" w:hAnsi="宋体" w:eastAsia="宋体" w:cs="宋体"/>
          <w:b/>
          <w:bCs w:val="0"/>
          <w:color w:val="333333"/>
          <w:kern w:val="0"/>
          <w:sz w:val="32"/>
          <w:szCs w:val="32"/>
        </w:rPr>
        <w:t>一、总体情况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kern w:val="0"/>
          <w:sz w:val="32"/>
          <w:szCs w:val="32"/>
        </w:rPr>
        <w:t>2021年，我局按照中央、省、市关于信息公开工作相关文件要求，坚持以公平、公正、公开、便民为基本原则，以服务群众需求为根本目的，进一步深化公开内容、拓展公开范围、创新公开方式，进一步增强服务意识、加强政策解读、回应群众关切，有效提升了工作规范化、透明度、公信力，有力保障了人民群众的知情权、参与权、监督权。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kern w:val="0"/>
          <w:sz w:val="32"/>
          <w:szCs w:val="32"/>
        </w:rPr>
        <w:t>（一）政府信息公开情况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kern w:val="0"/>
          <w:sz w:val="32"/>
          <w:szCs w:val="32"/>
        </w:rPr>
        <w:t>2021年，我局累计主动公开政府信息5条</w:t>
      </w:r>
      <w:r>
        <w:rPr>
          <w:rFonts w:hint="eastAsia" w:ascii="仿宋_GB2312" w:hAnsi="仿宋_GB2312" w:eastAsia="仿宋_GB2312" w:cs="仿宋_GB2312"/>
          <w:b w:val="0"/>
          <w:bCs/>
          <w:color w:val="333333"/>
          <w:kern w:val="0"/>
          <w:sz w:val="32"/>
          <w:szCs w:val="32"/>
          <w:lang w:eastAsia="zh-CN"/>
        </w:rPr>
        <w:t>（</w:t>
      </w:r>
      <w:r>
        <w:rPr>
          <w:rFonts w:hint="eastAsia" w:ascii="仿宋_GB2312" w:hAnsi="仿宋_GB2312" w:eastAsia="仿宋_GB2312" w:cs="仿宋_GB2312"/>
          <w:b w:val="0"/>
          <w:bCs/>
          <w:color w:val="333333"/>
          <w:kern w:val="0"/>
          <w:sz w:val="32"/>
          <w:szCs w:val="32"/>
        </w:rPr>
        <w:t>通知公告</w:t>
      </w:r>
      <w:r>
        <w:rPr>
          <w:rFonts w:hint="eastAsia" w:ascii="仿宋_GB2312" w:hAnsi="仿宋_GB2312" w:eastAsia="仿宋_GB2312" w:cs="仿宋_GB2312"/>
          <w:b w:val="0"/>
          <w:bCs/>
          <w:color w:val="333333"/>
          <w:kern w:val="0"/>
          <w:sz w:val="32"/>
          <w:szCs w:val="32"/>
          <w:lang w:eastAsia="zh-CN"/>
        </w:rPr>
        <w:t>、</w:t>
      </w:r>
      <w:r>
        <w:rPr>
          <w:rFonts w:hint="eastAsia" w:ascii="仿宋_GB2312" w:hAnsi="仿宋_GB2312" w:eastAsia="仿宋_GB2312" w:cs="仿宋_GB2312"/>
          <w:b w:val="0"/>
          <w:bCs/>
          <w:color w:val="333333"/>
          <w:kern w:val="0"/>
          <w:sz w:val="32"/>
          <w:szCs w:val="32"/>
        </w:rPr>
        <w:t>政策解读</w:t>
      </w:r>
      <w:r>
        <w:rPr>
          <w:rFonts w:hint="eastAsia" w:ascii="仿宋_GB2312" w:hAnsi="仿宋_GB2312" w:eastAsia="仿宋_GB2312" w:cs="仿宋_GB2312"/>
          <w:b w:val="0"/>
          <w:bCs/>
          <w:color w:val="333333"/>
          <w:kern w:val="0"/>
          <w:sz w:val="32"/>
          <w:szCs w:val="32"/>
          <w:lang w:eastAsia="zh-CN"/>
        </w:rPr>
        <w:t>）</w:t>
      </w:r>
      <w:r>
        <w:rPr>
          <w:rFonts w:hint="eastAsia" w:ascii="仿宋_GB2312" w:hAnsi="仿宋_GB2312" w:eastAsia="仿宋_GB2312" w:cs="仿宋_GB2312"/>
          <w:b w:val="0"/>
          <w:bCs/>
          <w:color w:val="333333"/>
          <w:kern w:val="0"/>
          <w:sz w:val="32"/>
          <w:szCs w:val="32"/>
        </w:rPr>
        <w:t>。公开的政府信息中未涉及国家秘密、商业秘密和个人隐私。</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kern w:val="0"/>
          <w:sz w:val="32"/>
          <w:szCs w:val="32"/>
        </w:rPr>
        <w:t>（二）政府信息依申请公开情况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kern w:val="0"/>
          <w:sz w:val="32"/>
          <w:szCs w:val="32"/>
        </w:rPr>
        <w:t>2021年，我局进一步规范完善政府信息公开工作制度，依法依规开展政府信息依申请公开工作。全年未收到政府信息公开申请。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kern w:val="0"/>
          <w:sz w:val="32"/>
          <w:szCs w:val="32"/>
        </w:rPr>
        <w:t>（三）加强政府信息公开管理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kern w:val="0"/>
          <w:sz w:val="32"/>
          <w:szCs w:val="32"/>
        </w:rPr>
        <w:t>我局高度重视政务公开工作，成立了由主要领导牵头，分管领导分工负责，各科室</w:t>
      </w:r>
      <w:r>
        <w:rPr>
          <w:rFonts w:hint="eastAsia" w:ascii="仿宋_GB2312" w:hAnsi="仿宋_GB2312" w:eastAsia="仿宋_GB2312" w:cs="仿宋_GB2312"/>
          <w:b w:val="0"/>
          <w:bCs/>
          <w:color w:val="333333"/>
          <w:kern w:val="0"/>
          <w:sz w:val="32"/>
          <w:szCs w:val="32"/>
          <w:lang w:eastAsia="zh-CN"/>
        </w:rPr>
        <w:t>（直属单位）</w:t>
      </w:r>
      <w:r>
        <w:rPr>
          <w:rFonts w:hint="eastAsia" w:ascii="仿宋_GB2312" w:hAnsi="仿宋_GB2312" w:eastAsia="仿宋_GB2312" w:cs="仿宋_GB2312"/>
          <w:b w:val="0"/>
          <w:bCs/>
          <w:color w:val="333333"/>
          <w:kern w:val="0"/>
          <w:sz w:val="32"/>
          <w:szCs w:val="32"/>
        </w:rPr>
        <w:t>负责人为责任人的政务公开工作领导小组，负责指导、协调和监督局政务公开工作的开展。领导小组下设办公室，负责日常工作，指定专人负责收集、整理、发布有关政府信息。在局党组的领导下，通过领导小组的积极协调，相关</w:t>
      </w:r>
      <w:r>
        <w:rPr>
          <w:rFonts w:hint="eastAsia" w:ascii="仿宋_GB2312" w:hAnsi="仿宋_GB2312" w:eastAsia="仿宋_GB2312" w:cs="仿宋_GB2312"/>
          <w:b w:val="0"/>
          <w:bCs/>
          <w:color w:val="333333"/>
          <w:kern w:val="0"/>
          <w:sz w:val="32"/>
          <w:szCs w:val="32"/>
          <w:lang w:eastAsia="zh-CN"/>
        </w:rPr>
        <w:t>单位</w:t>
      </w:r>
      <w:r>
        <w:rPr>
          <w:rFonts w:hint="eastAsia" w:ascii="仿宋_GB2312" w:hAnsi="仿宋_GB2312" w:eastAsia="仿宋_GB2312" w:cs="仿宋_GB2312"/>
          <w:b w:val="0"/>
          <w:bCs/>
          <w:color w:val="333333"/>
          <w:kern w:val="0"/>
          <w:sz w:val="32"/>
          <w:szCs w:val="32"/>
        </w:rPr>
        <w:t>的认真配合，较好地保障了政务公开工作的有序开展。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kern w:val="0"/>
          <w:sz w:val="32"/>
          <w:szCs w:val="32"/>
        </w:rPr>
        <w:t>（四）严密组织政务公开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 w:val="0"/>
          <w:bCs/>
          <w:color w:val="333333"/>
          <w:kern w:val="0"/>
          <w:sz w:val="32"/>
          <w:szCs w:val="32"/>
          <w:lang w:val="en-US" w:eastAsia="zh-CN"/>
        </w:rPr>
      </w:pPr>
      <w:r>
        <w:rPr>
          <w:rFonts w:hint="eastAsia" w:ascii="仿宋_GB2312" w:hAnsi="仿宋_GB2312" w:eastAsia="仿宋_GB2312" w:cs="仿宋_GB2312"/>
          <w:b w:val="0"/>
          <w:bCs/>
          <w:color w:val="333333"/>
          <w:kern w:val="0"/>
          <w:sz w:val="32"/>
          <w:szCs w:val="32"/>
        </w:rPr>
        <w:t>一是抓好固定性内容的公开。对文化旅游行业标准，文化旅游政策法规和文化旅游发展规划等内容，做到长期公开，及时更新；二是抓好人事动态的公开。对局人事任免、公务员考录、行业表彰等重点工作做到按时公开；三是抓好“三公”经费公开；四是抓好文化旅游咨询投诉受理。对投诉始终做到热情接待、依法办理、认真答复，确保群众权益。全年咨询投诉13条，回复率满意率百分之</w:t>
      </w:r>
      <w:r>
        <w:rPr>
          <w:rFonts w:hint="eastAsia" w:ascii="仿宋_GB2312" w:hAnsi="仿宋_GB2312" w:eastAsia="仿宋_GB2312" w:cs="仿宋_GB2312"/>
          <w:b w:val="0"/>
          <w:bCs/>
          <w:color w:val="333333"/>
          <w:kern w:val="0"/>
          <w:sz w:val="32"/>
          <w:szCs w:val="32"/>
          <w:lang w:eastAsia="zh-CN"/>
        </w:rPr>
        <w:t>百。</w:t>
      </w:r>
      <w:r>
        <w:rPr>
          <w:rFonts w:hint="eastAsia" w:ascii="仿宋_GB2312" w:hAnsi="仿宋_GB2312" w:eastAsia="仿宋_GB2312" w:cs="仿宋_GB2312"/>
          <w:b w:val="0"/>
          <w:bCs/>
          <w:color w:val="333333"/>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宋体" w:hAnsi="宋体" w:cs="宋体"/>
          <w:color w:val="333333"/>
          <w:kern w:val="0"/>
          <w:sz w:val="24"/>
        </w:rPr>
      </w:pPr>
      <w:r>
        <w:rPr>
          <w:rFonts w:hint="eastAsia" w:ascii="黑体" w:hAnsi="黑体" w:eastAsia="黑体" w:cs="宋体"/>
          <w:bCs/>
          <w:color w:val="333333"/>
          <w:kern w:val="0"/>
          <w:sz w:val="32"/>
          <w:szCs w:val="32"/>
        </w:rPr>
        <w:t>二、主动公开政府信息情况</w:t>
      </w:r>
    </w:p>
    <w:tbl>
      <w:tblPr>
        <w:tblStyle w:val="6"/>
        <w:tblW w:w="0" w:type="auto"/>
        <w:jc w:val="center"/>
        <w:tblLayout w:type="fixed"/>
        <w:tblCellMar>
          <w:top w:w="0" w:type="dxa"/>
          <w:left w:w="108" w:type="dxa"/>
          <w:bottom w:w="0" w:type="dxa"/>
          <w:right w:w="108" w:type="dxa"/>
        </w:tblCellMar>
      </w:tblPr>
      <w:tblGrid>
        <w:gridCol w:w="3113"/>
        <w:gridCol w:w="1875"/>
        <w:gridCol w:w="6"/>
        <w:gridCol w:w="1265"/>
        <w:gridCol w:w="1881"/>
      </w:tblGrid>
      <w:tr>
        <w:tblPrEx>
          <w:tblCellMar>
            <w:top w:w="0" w:type="dxa"/>
            <w:left w:w="108" w:type="dxa"/>
            <w:bottom w:w="0" w:type="dxa"/>
            <w:right w:w="108" w:type="dxa"/>
          </w:tblCellMar>
        </w:tblPrEx>
        <w:trPr>
          <w:trHeight w:val="495"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第二十条第（一）项</w:t>
            </w:r>
          </w:p>
        </w:tc>
      </w:tr>
      <w:tr>
        <w:tblPrEx>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本年新</w:t>
            </w:r>
            <w:r>
              <w:rPr>
                <w:rFonts w:ascii="宋体" w:hAnsi="宋体" w:cs="宋体"/>
                <w:color w:val="333333"/>
                <w:kern w:val="0"/>
                <w:sz w:val="20"/>
                <w:szCs w:val="20"/>
              </w:rPr>
              <w:t>制作数量</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本年新</w:t>
            </w:r>
            <w:r>
              <w:rPr>
                <w:rFonts w:ascii="宋体" w:hAnsi="宋体" w:cs="宋体"/>
                <w:color w:val="333333"/>
                <w:kern w:val="0"/>
                <w:sz w:val="20"/>
                <w:szCs w:val="20"/>
              </w:rPr>
              <w:t>公开数量</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对外公开总数量</w:t>
            </w:r>
          </w:p>
        </w:tc>
      </w:tr>
      <w:tr>
        <w:tblPrEx>
          <w:tblCellMar>
            <w:top w:w="0" w:type="dxa"/>
            <w:left w:w="108" w:type="dxa"/>
            <w:bottom w:w="0" w:type="dxa"/>
            <w:right w:w="108" w:type="dxa"/>
          </w:tblCellMar>
        </w:tblPrEx>
        <w:trPr>
          <w:trHeight w:val="523"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规章</w:t>
            </w:r>
          </w:p>
        </w:tc>
        <w:tc>
          <w:tcPr>
            <w:tcW w:w="18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7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480"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第二十条第（五）项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处理决定数量</w:t>
            </w:r>
          </w:p>
        </w:tc>
      </w:tr>
      <w:tr>
        <w:tblPrEx>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65"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65" w:type="dxa"/>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406"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第二十条第（六）项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处理决定数量</w:t>
            </w:r>
          </w:p>
        </w:tc>
      </w:tr>
      <w:tr>
        <w:tblPrEx>
          <w:tblCellMar>
            <w:top w:w="0" w:type="dxa"/>
            <w:left w:w="108" w:type="dxa"/>
            <w:bottom w:w="0" w:type="dxa"/>
            <w:right w:w="108" w:type="dxa"/>
          </w:tblCellMar>
        </w:tblPrEx>
        <w:trPr>
          <w:trHeight w:val="430"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行政处罚</w:t>
            </w:r>
          </w:p>
        </w:tc>
        <w:tc>
          <w:tcPr>
            <w:tcW w:w="1881"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6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+1</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FF0000"/>
                <w:kern w:val="0"/>
                <w:sz w:val="24"/>
                <w:lang w:val="en-US" w:eastAsia="zh-CN"/>
              </w:rPr>
            </w:pPr>
            <w:r>
              <w:rPr>
                <w:rFonts w:hint="eastAsia" w:ascii="宋体" w:hAnsi="宋体" w:cs="宋体"/>
                <w:color w:val="FF0000"/>
                <w:kern w:val="0"/>
                <w:sz w:val="24"/>
                <w:lang w:val="en-US" w:eastAsia="zh-CN"/>
              </w:rPr>
              <w:t>1</w:t>
            </w:r>
          </w:p>
        </w:tc>
      </w:tr>
      <w:tr>
        <w:tblPrEx>
          <w:tblCellMar>
            <w:top w:w="0" w:type="dxa"/>
            <w:left w:w="108" w:type="dxa"/>
            <w:bottom w:w="0" w:type="dxa"/>
            <w:right w:w="108" w:type="dxa"/>
          </w:tblCellMar>
        </w:tblPrEx>
        <w:trPr>
          <w:trHeight w:val="409"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265"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1881" w:type="dxa"/>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CellMar>
            <w:top w:w="0" w:type="dxa"/>
            <w:left w:w="108" w:type="dxa"/>
            <w:bottom w:w="0" w:type="dxa"/>
            <w:right w:w="108" w:type="dxa"/>
          </w:tblCellMar>
        </w:tblPrEx>
        <w:trPr>
          <w:trHeight w:val="474"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ascii="宋体" w:hAnsi="宋体" w:cs="宋体"/>
                <w:color w:val="000000"/>
                <w:kern w:val="0"/>
                <w:sz w:val="20"/>
                <w:szCs w:val="20"/>
              </w:rPr>
              <w:t>第二十条第（八）项</w:t>
            </w:r>
          </w:p>
        </w:tc>
      </w:tr>
      <w:tr>
        <w:tblPrEx>
          <w:tblCellMar>
            <w:top w:w="0" w:type="dxa"/>
            <w:left w:w="108" w:type="dxa"/>
            <w:bottom w:w="0" w:type="dxa"/>
            <w:right w:w="108" w:type="dxa"/>
          </w:tblCellMar>
        </w:tblPrEx>
        <w:trPr>
          <w:trHeight w:val="270"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本年增/减</w:t>
            </w:r>
          </w:p>
        </w:tc>
      </w:tr>
      <w:tr>
        <w:tblPrEx>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3146"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360" w:lineRule="auto"/>
              <w:jc w:val="center"/>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bl>
    <w:p>
      <w:pPr>
        <w:widowControl/>
        <w:adjustRightInd w:val="0"/>
        <w:snapToGrid w:val="0"/>
        <w:spacing w:line="360" w:lineRule="auto"/>
        <w:ind w:firstLine="640" w:firstLineChars="200"/>
        <w:rPr>
          <w:rFonts w:hint="eastAsia" w:ascii="黑体" w:hAnsi="黑体" w:eastAsia="黑体" w:cs="宋体"/>
          <w:bCs/>
          <w:color w:val="333333"/>
          <w:kern w:val="0"/>
          <w:sz w:val="32"/>
          <w:szCs w:val="32"/>
        </w:rPr>
      </w:pPr>
    </w:p>
    <w:p>
      <w:pPr>
        <w:widowControl/>
        <w:adjustRightInd w:val="0"/>
        <w:snapToGrid w:val="0"/>
        <w:spacing w:line="360" w:lineRule="auto"/>
        <w:ind w:firstLine="640" w:firstLineChars="200"/>
        <w:rPr>
          <w:rFonts w:ascii="黑体" w:hAnsi="黑体" w:eastAsia="黑体" w:cs="宋体"/>
          <w:color w:val="333333"/>
          <w:kern w:val="0"/>
          <w:sz w:val="32"/>
          <w:szCs w:val="32"/>
        </w:rPr>
      </w:pPr>
      <w:r>
        <w:rPr>
          <w:rFonts w:hint="eastAsia" w:ascii="黑体" w:hAnsi="黑体" w:eastAsia="黑体" w:cs="宋体"/>
          <w:bCs/>
          <w:color w:val="333333"/>
          <w:kern w:val="0"/>
          <w:sz w:val="32"/>
          <w:szCs w:val="32"/>
        </w:rPr>
        <w:t>三、收到和处理政府信息公开申请情况</w:t>
      </w:r>
    </w:p>
    <w:tbl>
      <w:tblPr>
        <w:tblStyle w:val="6"/>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920"/>
        <w:gridCol w:w="2033"/>
        <w:gridCol w:w="598"/>
        <w:gridCol w:w="659"/>
        <w:gridCol w:w="659"/>
        <w:gridCol w:w="713"/>
        <w:gridCol w:w="865"/>
        <w:gridCol w:w="627"/>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color w:val="333333"/>
                <w:sz w:val="20"/>
                <w:szCs w:val="20"/>
              </w:rPr>
              <w:t>（本列数据的勾稽关系为：第一项加第二项之和，等于第三项加第四项之和）</w:t>
            </w:r>
          </w:p>
        </w:tc>
        <w:tc>
          <w:tcPr>
            <w:tcW w:w="4730" w:type="dxa"/>
            <w:gridSpan w:val="7"/>
            <w:noWrap w:val="0"/>
            <w:tcMar>
              <w:top w:w="0" w:type="dxa"/>
              <w:left w:w="0" w:type="dxa"/>
              <w:bottom w:w="0" w:type="dxa"/>
              <w:right w:w="0" w:type="dxa"/>
            </w:tcMar>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598" w:type="dxa"/>
            <w:vMerge w:val="restart"/>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自然</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人</w:t>
            </w:r>
          </w:p>
        </w:tc>
        <w:tc>
          <w:tcPr>
            <w:tcW w:w="3523" w:type="dxa"/>
            <w:gridSpan w:val="5"/>
            <w:noWrap w:val="0"/>
            <w:tcMar>
              <w:top w:w="0" w:type="dxa"/>
              <w:left w:w="0" w:type="dxa"/>
              <w:bottom w:w="0" w:type="dxa"/>
              <w:right w:w="0" w:type="dxa"/>
            </w:tcMar>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法人或其他组织</w:t>
            </w:r>
          </w:p>
        </w:tc>
        <w:tc>
          <w:tcPr>
            <w:tcW w:w="609" w:type="dxa"/>
            <w:vMerge w:val="restart"/>
            <w:noWrap w:val="0"/>
            <w:tcMar>
              <w:top w:w="0" w:type="dxa"/>
              <w:left w:w="0" w:type="dxa"/>
              <w:bottom w:w="0" w:type="dxa"/>
              <w:right w:w="0" w:type="dxa"/>
            </w:tcMar>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598"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659" w:type="dxa"/>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商业</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企业</w:t>
            </w:r>
          </w:p>
        </w:tc>
        <w:tc>
          <w:tcPr>
            <w:tcW w:w="659" w:type="dxa"/>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科研</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机构</w:t>
            </w:r>
          </w:p>
        </w:tc>
        <w:tc>
          <w:tcPr>
            <w:tcW w:w="713" w:type="dxa"/>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社会公</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益组织</w:t>
            </w:r>
          </w:p>
        </w:tc>
        <w:tc>
          <w:tcPr>
            <w:tcW w:w="865" w:type="dxa"/>
            <w:noWrap w:val="0"/>
            <w:tcMar>
              <w:top w:w="0" w:type="dxa"/>
              <w:left w:w="0" w:type="dxa"/>
              <w:bottom w:w="0" w:type="dxa"/>
              <w:right w:w="0" w:type="dxa"/>
            </w:tcMar>
            <w:vAlign w:val="center"/>
          </w:tcPr>
          <w:p>
            <w:pPr>
              <w:widowControl/>
              <w:adjustRightInd w:val="0"/>
              <w:snapToGrid w:val="0"/>
              <w:spacing w:line="360" w:lineRule="auto"/>
              <w:jc w:val="center"/>
              <w:rPr>
                <w:rFonts w:hint="eastAsia"/>
                <w:color w:val="333333"/>
                <w:sz w:val="20"/>
                <w:szCs w:val="20"/>
              </w:rPr>
            </w:pPr>
            <w:r>
              <w:rPr>
                <w:rFonts w:hint="eastAsia"/>
                <w:color w:val="333333"/>
                <w:sz w:val="20"/>
                <w:szCs w:val="20"/>
              </w:rPr>
              <w:t>法律服</w:t>
            </w:r>
          </w:p>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务机构</w:t>
            </w:r>
          </w:p>
        </w:tc>
        <w:tc>
          <w:tcPr>
            <w:tcW w:w="627" w:type="dxa"/>
            <w:noWrap w:val="0"/>
            <w:tcMar>
              <w:top w:w="0" w:type="dxa"/>
              <w:left w:w="0" w:type="dxa"/>
              <w:bottom w:w="0" w:type="dxa"/>
              <w:right w:w="0" w:type="dxa"/>
            </w:tcMar>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其他</w:t>
            </w:r>
          </w:p>
        </w:tc>
        <w:tc>
          <w:tcPr>
            <w:tcW w:w="609"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color w:val="333333"/>
                <w:sz w:val="20"/>
                <w:szCs w:val="20"/>
              </w:rPr>
              <w:t>一、本年新收政府信息公开申请数量</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ascii="宋体" w:hAnsi="宋体" w:eastAsia="宋体" w:cs="宋体"/>
                <w:color w:val="333333"/>
                <w:kern w:val="0"/>
                <w:sz w:val="24"/>
                <w:lang w:val="en-US" w:eastAsia="zh-CN"/>
              </w:rPr>
            </w:pPr>
            <w:r>
              <w:rPr>
                <w:color w:val="333333"/>
                <w:sz w:val="20"/>
                <w:szCs w:val="20"/>
              </w:rPr>
              <w:t> </w:t>
            </w: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color w:val="333333"/>
                <w:sz w:val="20"/>
                <w:szCs w:val="20"/>
              </w:rPr>
              <w:t>二、上年结转政府信息公开申请数量</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color w:val="333333"/>
                <w:sz w:val="20"/>
                <w:szCs w:val="20"/>
              </w:rPr>
              <w:t>三、本年度办理结果</w:t>
            </w:r>
          </w:p>
        </w:tc>
        <w:tc>
          <w:tcPr>
            <w:tcW w:w="2953" w:type="dxa"/>
            <w:gridSpan w:val="2"/>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（一）予以公开</w:t>
            </w:r>
          </w:p>
        </w:tc>
        <w:tc>
          <w:tcPr>
            <w:tcW w:w="598" w:type="dxa"/>
            <w:noWrap w:val="0"/>
            <w:tcMar>
              <w:top w:w="0" w:type="dxa"/>
              <w:left w:w="0" w:type="dxa"/>
              <w:bottom w:w="0" w:type="dxa"/>
              <w:right w:w="0" w:type="dxa"/>
            </w:tcMar>
            <w:vAlign w:val="center"/>
          </w:tcPr>
          <w:p>
            <w:pPr>
              <w:widowControl/>
              <w:adjustRightInd w:val="0"/>
              <w:snapToGrid w:val="0"/>
              <w:spacing w:line="360" w:lineRule="auto"/>
              <w:jc w:val="both"/>
              <w:rPr>
                <w:rFonts w:hint="default" w:ascii="宋体" w:hAnsi="宋体" w:eastAsia="宋体" w:cs="宋体"/>
                <w:color w:val="333333"/>
                <w:kern w:val="0"/>
                <w:sz w:val="24"/>
                <w:lang w:val="en-US" w:eastAsia="zh-CN"/>
              </w:rPr>
            </w:pPr>
            <w:r>
              <w:rPr>
                <w:rFonts w:hint="eastAsia"/>
                <w:color w:val="333333"/>
                <w:sz w:val="20"/>
                <w:szCs w:val="20"/>
                <w:lang w:val="en-US" w:eastAsia="zh-CN"/>
              </w:rPr>
              <w:t xml:space="preserve"> 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lang w:val="en-US" w:eastAsia="zh-CN"/>
              </w:rPr>
              <w:t>0</w:t>
            </w:r>
            <w:r>
              <w:rPr>
                <w:color w:val="333333"/>
                <w:sz w:val="20"/>
                <w:szCs w:val="20"/>
              </w:rPr>
              <w:t> </w:t>
            </w:r>
          </w:p>
        </w:tc>
        <w:tc>
          <w:tcPr>
            <w:tcW w:w="609" w:type="dxa"/>
            <w:noWrap w:val="0"/>
            <w:tcMar>
              <w:top w:w="0" w:type="dxa"/>
              <w:left w:w="0" w:type="dxa"/>
              <w:bottom w:w="0" w:type="dxa"/>
              <w:right w:w="0" w:type="dxa"/>
            </w:tcMar>
            <w:vAlign w:val="center"/>
          </w:tcPr>
          <w:p>
            <w:pPr>
              <w:widowControl/>
              <w:adjustRightInd w:val="0"/>
              <w:snapToGrid w:val="0"/>
              <w:spacing w:line="360" w:lineRule="auto"/>
              <w:jc w:val="both"/>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953" w:type="dxa"/>
            <w:gridSpan w:val="2"/>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（二）部分公开（区分处理的，只计这一情形，不计其他情形）</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（三）不予公开</w:t>
            </w: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1.属于国家秘密</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2.其他法律行政法规禁止公开</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3.危及“三安全一稳定”</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4.保护第三方合法权益</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5.属于三类内部事务信息</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6.属于四类过程性信息</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7.属于行政执法案卷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8.属于行政查询事项</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（四）无法提供</w:t>
            </w: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1.本机关不掌握相关政府信息</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ascii="宋体" w:hAnsi="宋体" w:eastAsia="宋体" w:cs="宋体"/>
                <w:color w:val="333333"/>
                <w:kern w:val="0"/>
                <w:sz w:val="24"/>
                <w:lang w:eastAsia="zh-CN"/>
              </w:rPr>
            </w:pP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hint="default"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2.没有现成信息需要另行制作</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3.补正后申请内容仍不明确</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color w:val="333333"/>
                <w:sz w:val="20"/>
                <w:szCs w:val="20"/>
              </w:rPr>
              <w:t> </w:t>
            </w:r>
            <w:r>
              <w:rPr>
                <w:rFonts w:hint="eastAsia"/>
                <w:color w:val="333333"/>
                <w:sz w:val="20"/>
                <w:szCs w:val="20"/>
              </w:rPr>
              <w:t>0</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restart"/>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（五）不予处理</w:t>
            </w: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1.信访举报投诉类申请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color w:val="333333"/>
                <w:sz w:val="20"/>
                <w:szCs w:val="20"/>
              </w:rPr>
              <w:t> </w:t>
            </w:r>
            <w:r>
              <w:rPr>
                <w:rFonts w:hint="eastAsia"/>
                <w:color w:val="333333"/>
                <w:sz w:val="20"/>
                <w:szCs w:val="20"/>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2.重复申请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color w:val="333333"/>
                <w:sz w:val="20"/>
                <w:szCs w:val="20"/>
              </w:rPr>
              <w:t> </w:t>
            </w:r>
            <w:r>
              <w:rPr>
                <w:rFonts w:hint="eastAsia"/>
                <w:color w:val="333333"/>
                <w:sz w:val="20"/>
                <w:szCs w:val="20"/>
              </w:rPr>
              <w:t>0</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3.要求提供公开出版物</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4.无正当理由大量反复申请</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920"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033" w:type="dxa"/>
            <w:noWrap w:val="0"/>
            <w:tcMar>
              <w:top w:w="0" w:type="dxa"/>
              <w:left w:w="0" w:type="dxa"/>
              <w:bottom w:w="0" w:type="dxa"/>
              <w:right w:w="0" w:type="dxa"/>
            </w:tcMar>
            <w:vAlign w:val="center"/>
          </w:tcPr>
          <w:p>
            <w:pPr>
              <w:widowControl/>
              <w:adjustRightInd w:val="0"/>
              <w:snapToGrid w:val="0"/>
              <w:spacing w:line="360" w:lineRule="auto"/>
              <w:jc w:val="both"/>
              <w:rPr>
                <w:rFonts w:ascii="宋体" w:hAnsi="宋体" w:cs="宋体"/>
                <w:color w:val="333333"/>
                <w:kern w:val="0"/>
                <w:sz w:val="24"/>
              </w:rPr>
            </w:pPr>
            <w:r>
              <w:rPr>
                <w:rFonts w:hint="eastAsia" w:ascii="楷体" w:hAnsi="楷体" w:eastAsia="楷体" w:cs="宋体"/>
                <w:color w:val="333333"/>
                <w:sz w:val="20"/>
                <w:szCs w:val="20"/>
              </w:rPr>
              <w:t>5.要求行政机关确认或重新出具已获取信息</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ascii="宋体" w:hAnsi="宋体" w:eastAsia="宋体" w:cs="宋体"/>
                <w:color w:val="333333"/>
                <w:kern w:val="0"/>
                <w:sz w:val="24"/>
                <w:lang w:val="en-US" w:eastAsia="zh-CN"/>
              </w:rPr>
            </w:pPr>
            <w:r>
              <w:rPr>
                <w:color w:val="333333"/>
                <w:sz w:val="20"/>
                <w:szCs w:val="20"/>
              </w:rPr>
              <w:t> </w:t>
            </w:r>
            <w:r>
              <w:rPr>
                <w:rFonts w:hint="eastAsia"/>
                <w:color w:val="333333"/>
                <w:sz w:val="20"/>
                <w:szCs w:val="20"/>
                <w:lang w:val="en-US" w:eastAsia="zh-CN"/>
              </w:rPr>
              <w:t>0</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color w:val="333333"/>
                <w:sz w:val="20"/>
                <w:szCs w:val="20"/>
              </w:rPr>
              <w:t> </w:t>
            </w:r>
            <w:r>
              <w:rPr>
                <w:rFonts w:hint="eastAsia"/>
                <w:color w:val="333333"/>
                <w:sz w:val="20"/>
                <w:szCs w:val="20"/>
              </w:rPr>
              <w:t>0</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953" w:type="dxa"/>
            <w:gridSpan w:val="2"/>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ascii="楷体" w:hAnsi="楷体" w:eastAsia="楷体" w:cs="宋体"/>
                <w:color w:val="333333"/>
                <w:sz w:val="20"/>
                <w:szCs w:val="20"/>
              </w:rPr>
              <w:t>（六）其他处理</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Merge w:val="continue"/>
            <w:noWrap w:val="0"/>
            <w:tcMar>
              <w:top w:w="0" w:type="dxa"/>
              <w:left w:w="0" w:type="dxa"/>
              <w:bottom w:w="0" w:type="dxa"/>
              <w:right w:w="0" w:type="dxa"/>
            </w:tcMar>
            <w:vAlign w:val="center"/>
          </w:tcPr>
          <w:p>
            <w:pPr>
              <w:widowControl/>
              <w:adjustRightInd w:val="0"/>
              <w:snapToGrid w:val="0"/>
              <w:spacing w:line="360" w:lineRule="auto"/>
              <w:ind w:firstLine="480" w:firstLineChars="200"/>
              <w:jc w:val="both"/>
              <w:rPr>
                <w:rFonts w:ascii="宋体" w:hAnsi="宋体" w:cs="宋体"/>
                <w:color w:val="333333"/>
                <w:kern w:val="0"/>
                <w:sz w:val="24"/>
              </w:rPr>
            </w:pPr>
          </w:p>
        </w:tc>
        <w:tc>
          <w:tcPr>
            <w:tcW w:w="2953" w:type="dxa"/>
            <w:gridSpan w:val="2"/>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ascii="楷体" w:hAnsi="楷体" w:eastAsia="楷体" w:cs="宋体"/>
                <w:color w:val="333333"/>
                <w:sz w:val="20"/>
                <w:szCs w:val="20"/>
              </w:rPr>
              <w:t>（七）总计</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ascii="宋体" w:hAnsi="宋体" w:eastAsia="宋体" w:cs="宋体"/>
                <w:color w:val="333333"/>
                <w:kern w:val="0"/>
                <w:sz w:val="24"/>
                <w:lang w:eastAsia="zh-CN"/>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hint="eastAsia" w:ascii="宋体" w:hAnsi="宋体" w:eastAsia="宋体" w:cs="宋体"/>
                <w:color w:val="333333"/>
                <w:kern w:val="0"/>
                <w:sz w:val="24"/>
                <w:lang w:eastAsia="zh-CN"/>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20" w:firstLineChars="200"/>
              <w:jc w:val="both"/>
              <w:rPr>
                <w:rFonts w:hint="eastAsia" w:ascii="宋体" w:hAnsi="宋体" w:eastAsia="宋体" w:cs="宋体"/>
                <w:color w:val="333333"/>
                <w:kern w:val="0"/>
                <w:sz w:val="24"/>
                <w:lang w:eastAsia="zh-CN"/>
              </w:rPr>
            </w:pPr>
            <w:r>
              <w:rPr>
                <w:rFonts w:hint="eastAsia" w:ascii="宋体" w:hAnsi="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4" w:type="dxa"/>
            <w:gridSpan w:val="3"/>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四、结转下年度继续办理</w:t>
            </w:r>
          </w:p>
        </w:tc>
        <w:tc>
          <w:tcPr>
            <w:tcW w:w="598"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59"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713"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865"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r>
              <w:rPr>
                <w:color w:val="333333"/>
                <w:sz w:val="20"/>
                <w:szCs w:val="20"/>
              </w:rPr>
              <w:t> </w:t>
            </w:r>
          </w:p>
        </w:tc>
        <w:tc>
          <w:tcPr>
            <w:tcW w:w="627" w:type="dxa"/>
            <w:noWrap w:val="0"/>
            <w:tcMar>
              <w:top w:w="0" w:type="dxa"/>
              <w:left w:w="0" w:type="dxa"/>
              <w:bottom w:w="0" w:type="dxa"/>
              <w:right w:w="0" w:type="dxa"/>
            </w:tcMar>
            <w:vAlign w:val="center"/>
          </w:tcPr>
          <w:p>
            <w:pPr>
              <w:widowControl/>
              <w:adjustRightInd w:val="0"/>
              <w:snapToGrid w:val="0"/>
              <w:spacing w:line="360" w:lineRule="auto"/>
              <w:ind w:firstLine="400" w:firstLineChars="200"/>
              <w:jc w:val="both"/>
              <w:rPr>
                <w:rFonts w:ascii="宋体" w:hAnsi="宋体" w:cs="宋体"/>
                <w:color w:val="333333"/>
                <w:kern w:val="0"/>
                <w:sz w:val="24"/>
              </w:rPr>
            </w:pPr>
            <w:r>
              <w:rPr>
                <w:rFonts w:hint="eastAsia"/>
                <w:color w:val="333333"/>
                <w:sz w:val="20"/>
                <w:szCs w:val="20"/>
              </w:rPr>
              <w:t>0</w:t>
            </w:r>
          </w:p>
        </w:tc>
        <w:tc>
          <w:tcPr>
            <w:tcW w:w="609" w:type="dxa"/>
            <w:noWrap w:val="0"/>
            <w:tcMar>
              <w:top w:w="0" w:type="dxa"/>
              <w:left w:w="0" w:type="dxa"/>
              <w:bottom w:w="0" w:type="dxa"/>
              <w:right w:w="0" w:type="dxa"/>
            </w:tcMar>
            <w:vAlign w:val="center"/>
          </w:tcPr>
          <w:p>
            <w:pPr>
              <w:widowControl/>
              <w:adjustRightInd w:val="0"/>
              <w:snapToGrid w:val="0"/>
              <w:spacing w:line="360" w:lineRule="auto"/>
              <w:ind w:firstLine="420" w:firstLineChars="200"/>
              <w:jc w:val="both"/>
              <w:rPr>
                <w:rFonts w:ascii="宋体" w:hAnsi="宋体" w:cs="宋体"/>
                <w:color w:val="333333"/>
                <w:kern w:val="0"/>
                <w:szCs w:val="21"/>
              </w:rPr>
            </w:pPr>
            <w:r>
              <w:rPr>
                <w:rFonts w:hint="eastAsia" w:ascii="宋体" w:hAnsi="宋体" w:cs="宋体"/>
                <w:color w:val="333333"/>
                <w:kern w:val="0"/>
                <w:szCs w:val="21"/>
              </w:rPr>
              <w:t>0</w:t>
            </w:r>
          </w:p>
        </w:tc>
      </w:tr>
    </w:tbl>
    <w:p>
      <w:pPr>
        <w:widowControl/>
        <w:adjustRightInd w:val="0"/>
        <w:snapToGrid w:val="0"/>
        <w:spacing w:line="360" w:lineRule="auto"/>
        <w:ind w:firstLine="480" w:firstLineChars="200"/>
        <w:rPr>
          <w:rFonts w:ascii="宋体" w:hAnsi="宋体" w:cs="宋体"/>
          <w:color w:val="333333"/>
          <w:kern w:val="0"/>
          <w:sz w:val="24"/>
        </w:rPr>
      </w:pPr>
    </w:p>
    <w:p>
      <w:pPr>
        <w:widowControl/>
        <w:adjustRightInd w:val="0"/>
        <w:snapToGrid w:val="0"/>
        <w:spacing w:line="360" w:lineRule="auto"/>
        <w:ind w:firstLine="640" w:firstLineChars="200"/>
        <w:rPr>
          <w:rFonts w:ascii="黑体" w:hAnsi="黑体" w:eastAsia="黑体" w:cs="宋体"/>
          <w:color w:val="333333"/>
          <w:kern w:val="0"/>
          <w:sz w:val="32"/>
          <w:szCs w:val="32"/>
        </w:rPr>
      </w:pPr>
      <w:r>
        <w:rPr>
          <w:rFonts w:hint="eastAsia" w:ascii="黑体" w:hAnsi="黑体" w:eastAsia="黑体" w:cs="宋体"/>
          <w:bCs/>
          <w:color w:val="333333"/>
          <w:kern w:val="0"/>
          <w:sz w:val="32"/>
          <w:szCs w:val="32"/>
        </w:rPr>
        <w:t>四、行政复议、行政诉讼情况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29"/>
        <w:gridCol w:w="499"/>
        <w:gridCol w:w="738"/>
        <w:gridCol w:w="553"/>
        <w:gridCol w:w="453"/>
        <w:gridCol w:w="500"/>
        <w:gridCol w:w="500"/>
        <w:gridCol w:w="500"/>
        <w:gridCol w:w="506"/>
        <w:gridCol w:w="500"/>
        <w:gridCol w:w="500"/>
        <w:gridCol w:w="501"/>
        <w:gridCol w:w="501"/>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1" w:type="dxa"/>
            <w:gridSpan w:val="5"/>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行政复议</w:t>
            </w:r>
          </w:p>
        </w:tc>
        <w:tc>
          <w:tcPr>
            <w:tcW w:w="5389" w:type="dxa"/>
            <w:gridSpan w:val="10"/>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2"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结果维持</w:t>
            </w:r>
          </w:p>
        </w:tc>
        <w:tc>
          <w:tcPr>
            <w:tcW w:w="529" w:type="dxa"/>
            <w:vMerge w:val="restart"/>
            <w:tcBorders>
              <w:top w:val="nil"/>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结果纠正</w:t>
            </w:r>
          </w:p>
        </w:tc>
        <w:tc>
          <w:tcPr>
            <w:tcW w:w="499"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其他结果</w:t>
            </w:r>
          </w:p>
        </w:tc>
        <w:tc>
          <w:tcPr>
            <w:tcW w:w="738"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尚未审结</w:t>
            </w:r>
          </w:p>
        </w:tc>
        <w:tc>
          <w:tcPr>
            <w:tcW w:w="553"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总计</w:t>
            </w:r>
          </w:p>
        </w:tc>
        <w:tc>
          <w:tcPr>
            <w:tcW w:w="2459"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未经复议直接起诉</w:t>
            </w:r>
          </w:p>
        </w:tc>
        <w:tc>
          <w:tcPr>
            <w:tcW w:w="2930"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529" w:type="dxa"/>
            <w:vMerge w:val="continue"/>
            <w:tcBorders>
              <w:top w:val="nil"/>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499"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738"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553"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ind w:firstLine="480" w:firstLineChars="200"/>
              <w:jc w:val="center"/>
              <w:rPr>
                <w:rFonts w:ascii="宋体" w:hAnsi="宋体" w:cs="宋体"/>
                <w:color w:val="333333"/>
                <w:kern w:val="0"/>
                <w:sz w:val="24"/>
              </w:rPr>
            </w:pPr>
          </w:p>
        </w:tc>
        <w:tc>
          <w:tcPr>
            <w:tcW w:w="45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结果维持</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结果纠正</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其他结果</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尚未审结</w:t>
            </w:r>
          </w:p>
        </w:tc>
        <w:tc>
          <w:tcPr>
            <w:tcW w:w="50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总计</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结果维持</w:t>
            </w:r>
          </w:p>
        </w:tc>
        <w:tc>
          <w:tcPr>
            <w:tcW w:w="5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结果纠正</w:t>
            </w:r>
          </w:p>
        </w:tc>
        <w:tc>
          <w:tcPr>
            <w:tcW w:w="5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其他结果</w:t>
            </w:r>
          </w:p>
        </w:tc>
        <w:tc>
          <w:tcPr>
            <w:tcW w:w="50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sz w:val="20"/>
                <w:szCs w:val="20"/>
              </w:rPr>
              <w:t>尚未审结</w:t>
            </w:r>
          </w:p>
        </w:tc>
        <w:tc>
          <w:tcPr>
            <w:tcW w:w="92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tcBorders>
              <w:top w:val="single" w:color="auto" w:sz="4" w:space="0"/>
              <w:left w:val="single" w:color="auto" w:sz="4" w:space="0"/>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kern w:val="0"/>
                <w:sz w:val="20"/>
                <w:szCs w:val="20"/>
              </w:rPr>
              <w:t>0</w:t>
            </w:r>
          </w:p>
        </w:tc>
        <w:tc>
          <w:tcPr>
            <w:tcW w:w="529"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kern w:val="0"/>
                <w:sz w:val="20"/>
                <w:szCs w:val="20"/>
              </w:rPr>
              <w:t>0</w:t>
            </w:r>
          </w:p>
        </w:tc>
        <w:tc>
          <w:tcPr>
            <w:tcW w:w="499"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kern w:val="0"/>
                <w:sz w:val="20"/>
                <w:szCs w:val="20"/>
              </w:rPr>
              <w:t>0</w:t>
            </w:r>
          </w:p>
        </w:tc>
        <w:tc>
          <w:tcPr>
            <w:tcW w:w="738"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ind w:firstLine="400" w:firstLineChars="200"/>
              <w:jc w:val="center"/>
              <w:rPr>
                <w:rFonts w:ascii="宋体" w:hAnsi="宋体" w:cs="宋体"/>
                <w:color w:val="333333"/>
                <w:kern w:val="0"/>
                <w:sz w:val="24"/>
              </w:rPr>
            </w:pPr>
            <w:r>
              <w:rPr>
                <w:rFonts w:hint="eastAsia"/>
                <w:color w:val="333333"/>
                <w:kern w:val="0"/>
                <w:sz w:val="20"/>
                <w:szCs w:val="20"/>
              </w:rPr>
              <w:t>0</w:t>
            </w:r>
          </w:p>
        </w:tc>
        <w:tc>
          <w:tcPr>
            <w:tcW w:w="553"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color w:val="333333"/>
                <w:kern w:val="0"/>
                <w:sz w:val="20"/>
                <w:szCs w:val="20"/>
              </w:rPr>
              <w:t>0</w:t>
            </w:r>
          </w:p>
        </w:tc>
        <w:tc>
          <w:tcPr>
            <w:tcW w:w="453"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333333"/>
                <w:kern w:val="0"/>
                <w:sz w:val="24"/>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333333"/>
                <w:kern w:val="0"/>
                <w:sz w:val="24"/>
                <w:lang w:val="en-US" w:eastAsia="zh-CN"/>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333333"/>
                <w:kern w:val="0"/>
                <w:sz w:val="24"/>
                <w:lang w:val="en-US" w:eastAsia="zh-CN"/>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eastAsia" w:ascii="宋体" w:hAnsi="宋体" w:eastAsia="宋体" w:cs="宋体"/>
                <w:color w:val="333333"/>
                <w:spacing w:val="0"/>
                <w:kern w:val="0"/>
                <w:sz w:val="24"/>
                <w:lang w:val="en-US" w:eastAsia="zh-CN"/>
              </w:rPr>
            </w:pPr>
            <w:r>
              <w:rPr>
                <w:rFonts w:hint="eastAsia" w:ascii="宋体" w:hAnsi="宋体" w:cs="宋体"/>
                <w:color w:val="333333"/>
                <w:kern w:val="0"/>
                <w:sz w:val="24"/>
              </w:rPr>
              <w:t>0</w:t>
            </w:r>
          </w:p>
        </w:tc>
        <w:tc>
          <w:tcPr>
            <w:tcW w:w="506"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hint="eastAsia" w:ascii="宋体" w:hAnsi="宋体" w:eastAsia="宋体" w:cs="宋体"/>
                <w:color w:val="333333"/>
                <w:kern w:val="0"/>
                <w:sz w:val="24"/>
                <w:lang w:val="en-US" w:eastAsia="zh-CN"/>
              </w:rPr>
            </w:pPr>
            <w:r>
              <w:rPr>
                <w:rFonts w:hint="eastAsia" w:ascii="宋体" w:hAnsi="宋体" w:cs="宋体"/>
                <w:color w:val="333333"/>
                <w:kern w:val="0"/>
                <w:sz w:val="24"/>
                <w:lang w:val="en-US" w:eastAsia="zh-CN"/>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333333"/>
                <w:kern w:val="0"/>
                <w:sz w:val="24"/>
                <w:lang w:val="en-US" w:eastAsia="zh-CN"/>
              </w:rPr>
              <w:t>0</w:t>
            </w:r>
          </w:p>
        </w:tc>
        <w:tc>
          <w:tcPr>
            <w:tcW w:w="500"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333333"/>
                <w:kern w:val="0"/>
                <w:sz w:val="24"/>
                <w:lang w:val="en-US" w:eastAsia="zh-CN"/>
              </w:rPr>
              <w:t>0</w:t>
            </w:r>
          </w:p>
        </w:tc>
        <w:tc>
          <w:tcPr>
            <w:tcW w:w="501"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333333"/>
                <w:kern w:val="0"/>
                <w:sz w:val="24"/>
                <w:lang w:val="en-US" w:eastAsia="zh-CN"/>
              </w:rPr>
              <w:t>0</w:t>
            </w:r>
          </w:p>
        </w:tc>
        <w:tc>
          <w:tcPr>
            <w:tcW w:w="501"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jc w:val="center"/>
              <w:rPr>
                <w:rFonts w:ascii="宋体" w:hAnsi="宋体" w:cs="宋体"/>
                <w:color w:val="333333"/>
                <w:kern w:val="0"/>
                <w:sz w:val="24"/>
              </w:rPr>
            </w:pPr>
            <w:r>
              <w:rPr>
                <w:rFonts w:hint="eastAsia" w:ascii="宋体" w:hAnsi="宋体" w:cs="宋体"/>
                <w:color w:val="333333"/>
                <w:kern w:val="0"/>
                <w:sz w:val="24"/>
                <w:lang w:val="en-US" w:eastAsia="zh-CN"/>
              </w:rPr>
              <w:t>0</w:t>
            </w:r>
          </w:p>
        </w:tc>
        <w:tc>
          <w:tcPr>
            <w:tcW w:w="928" w:type="dxa"/>
            <w:tcBorders>
              <w:top w:val="single" w:color="auto" w:sz="4" w:space="0"/>
              <w:left w:val="nil"/>
              <w:bottom w:val="single" w:color="auto" w:sz="4" w:space="0"/>
              <w:right w:val="single" w:color="auto" w:sz="4" w:space="0"/>
            </w:tcBorders>
            <w:noWrap w:val="0"/>
            <w:tcFitText/>
            <w:vAlign w:val="center"/>
          </w:tcPr>
          <w:p>
            <w:pPr>
              <w:widowControl/>
              <w:adjustRightInd w:val="0"/>
              <w:snapToGrid w:val="0"/>
              <w:spacing w:line="360" w:lineRule="auto"/>
              <w:ind w:firstLine="420" w:firstLineChars="200"/>
              <w:jc w:val="center"/>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spacing w:line="600" w:lineRule="exact"/>
        <w:ind w:firstLine="640" w:firstLineChars="200"/>
        <w:rPr>
          <w:rFonts w:hint="eastAsia" w:ascii="黑体" w:hAnsi="黑体" w:eastAsia="黑体"/>
          <w:sz w:val="32"/>
          <w:szCs w:val="32"/>
          <w:lang w:eastAsia="zh-CN"/>
        </w:rPr>
      </w:pP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存在的主要问题和改进措施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2021年，</w:t>
      </w:r>
      <w:r>
        <w:rPr>
          <w:rFonts w:hint="eastAsia" w:ascii="仿宋_GB2312" w:hAnsi="仿宋_GB2312" w:eastAsia="仿宋_GB2312" w:cs="仿宋_GB2312"/>
          <w:i w:val="0"/>
          <w:caps w:val="0"/>
          <w:color w:val="000000"/>
          <w:spacing w:val="0"/>
          <w:sz w:val="32"/>
          <w:szCs w:val="32"/>
          <w:shd w:val="clear" w:color="auto" w:fill="FFFFFF"/>
          <w:lang w:eastAsia="zh-CN"/>
        </w:rPr>
        <w:t>五台县</w:t>
      </w:r>
      <w:r>
        <w:rPr>
          <w:rFonts w:hint="eastAsia" w:ascii="仿宋_GB2312" w:hAnsi="仿宋_GB2312" w:eastAsia="仿宋_GB2312" w:cs="仿宋_GB2312"/>
          <w:i w:val="0"/>
          <w:caps w:val="0"/>
          <w:color w:val="000000"/>
          <w:spacing w:val="0"/>
          <w:sz w:val="32"/>
          <w:szCs w:val="32"/>
          <w:shd w:val="clear" w:color="auto" w:fill="FFFFFF"/>
        </w:rPr>
        <w:t>文化和旅游局信息公开工作做了一些工作，取得了一些成效，但距离高标准建设、高质量公开的要求还有差距，主要表现在三个方面：一是信息内容还有待强化，信息内容不够丰富。二是时效性还有待增强，部分领域信息发布不及时。三是功能版块还有待优化，创新栏目版块较少。 </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sz w:val="32"/>
          <w:szCs w:val="32"/>
          <w:shd w:val="clear" w:color="auto" w:fill="FFFFFF"/>
        </w:rPr>
        <w:t>下一步我局将进一步增强信息报送意识，认真抓好组织落实，及时发布和更新依法应主动公开的政府信息，逐步实现公开工作规范化、制度化和正常化。并有针对性地组织工作人员进行政府信息公开工作业务培训，提高信息公开工作、依申请公开工作的处理能力，不断健全和完善政府信息公开制度和工作机制，坚持高标准建设、高质量公开，推动我局信息公开工作更好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right="0" w:firstLine="640" w:firstLineChars="200"/>
        <w:textAlignment w:val="auto"/>
        <w:rPr>
          <w:rFonts w:hint="eastAsia" w:ascii="黑体" w:hAnsi="黑体" w:eastAsia="黑体" w:cs="黑体"/>
          <w:sz w:val="32"/>
          <w:szCs w:val="32"/>
        </w:rPr>
      </w:pPr>
      <w:r>
        <w:rPr>
          <w:rFonts w:hint="eastAsia" w:ascii="黑体" w:hAnsi="黑体" w:eastAsia="黑体" w:cs="黑体"/>
          <w:color w:val="333333"/>
          <w:sz w:val="32"/>
          <w:szCs w:val="32"/>
          <w:shd w:val="clear" w:color="auto" w:fill="FFFFFF"/>
        </w:rPr>
        <w:t xml:space="preserve">六、其他需要报告的事项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right="0" w:firstLine="640" w:firstLineChars="200"/>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暂无其他需要报告的事项</w:t>
      </w:r>
      <w:r>
        <w:rPr>
          <w:rFonts w:hint="eastAsia" w:ascii="仿宋_GB2312" w:hAnsi="仿宋_GB2312" w:eastAsia="仿宋_GB2312" w:cs="仿宋_GB2312"/>
          <w:color w:val="333333"/>
          <w:sz w:val="32"/>
          <w:szCs w:val="32"/>
          <w:shd w:val="clear" w:color="auto"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firstLine="420"/>
        <w:textAlignment w:val="auto"/>
        <w:rPr>
          <w:rFonts w:hint="eastAsia" w:ascii="仿宋_GB2312" w:hAnsi="仿宋_GB2312" w:eastAsia="仿宋_GB2312" w:cs="仿宋_GB2312"/>
          <w:color w:val="333333"/>
          <w:sz w:val="32"/>
          <w:szCs w:val="32"/>
          <w:shd w:val="clear" w:color="auto" w:fill="FFFFFF"/>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firstLine="420"/>
        <w:textAlignment w:val="auto"/>
        <w:rPr>
          <w:rFonts w:hint="eastAsia" w:ascii="仿宋_GB2312" w:hAnsi="仿宋_GB2312" w:eastAsia="仿宋_GB2312" w:cs="仿宋_GB2312"/>
          <w:color w:val="333333"/>
          <w:sz w:val="32"/>
          <w:szCs w:val="32"/>
          <w:shd w:val="clear" w:color="auto" w:fill="FFFFFF"/>
          <w:lang w:eastAsia="zh-CN"/>
        </w:rPr>
      </w:pPr>
    </w:p>
    <w:p>
      <w:pPr>
        <w:spacing w:line="6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五台县文化和旅游局</w:t>
      </w:r>
    </w:p>
    <w:p>
      <w:pPr>
        <w:spacing w:line="600" w:lineRule="exact"/>
        <w:jc w:val="center"/>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hint="eastAsia" w:ascii="仿宋" w:hAnsi="仿宋" w:eastAsia="仿宋" w:cs="仿宋"/>
          <w:sz w:val="32"/>
          <w:szCs w:val="32"/>
          <w:lang w:val="en-US" w:eastAsia="zh-CN"/>
        </w:rPr>
        <w:t>8</w:t>
      </w:r>
      <w:bookmarkStart w:id="0" w:name="_GoBack"/>
      <w:bookmarkEnd w:id="0"/>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9D35"/>
    <w:multiLevelType w:val="singleLevel"/>
    <w:tmpl w:val="2AE19D3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A7694"/>
    <w:rsid w:val="08FE7FC2"/>
    <w:rsid w:val="25153133"/>
    <w:rsid w:val="451F2890"/>
    <w:rsid w:val="65615004"/>
    <w:rsid w:val="70756D45"/>
    <w:rsid w:val="7C8A7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b/>
      <w:kern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2022-02-08T09:00:00Z</dcterms:created>
  <dc:creator>徐九月</dc:creator>
  <cp:lastModifiedBy>哈利优丘丘嘿呀呀</cp:lastModifiedBy>
  <dcterms:modified xsi:type="dcterms:W3CDTF">2022-02-08T09:21:37Z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