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bCs/>
          <w:i w:val="0"/>
          <w:iCs w:val="0"/>
          <w:caps w:val="0"/>
          <w:color w:val="333333"/>
          <w:spacing w:val="0"/>
          <w:kern w:val="0"/>
          <w:sz w:val="44"/>
          <w:szCs w:val="44"/>
          <w:shd w:val="clear" w:fill="FFFFFF"/>
          <w:lang w:val="en-US" w:eastAsia="zh-CN" w:bidi="ar"/>
        </w:rPr>
        <w:t>五台县司法局2021年政府信息公开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bCs/>
          <w:i w:val="0"/>
          <w:iCs w:val="0"/>
          <w:caps w:val="0"/>
          <w:color w:val="333333"/>
          <w:spacing w:val="0"/>
          <w:kern w:val="0"/>
          <w:sz w:val="44"/>
          <w:szCs w:val="44"/>
          <w:shd w:val="clear" w:fill="FFFFFF"/>
          <w:lang w:val="en-US" w:eastAsia="zh-CN" w:bidi="ar"/>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ascii="方正黑体_GBK" w:hAnsi="方正黑体_GBK" w:eastAsia="方正黑体_GBK" w:cs="方正黑体_GBK"/>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一、总体情况</w:t>
      </w:r>
    </w:p>
    <w:p>
      <w:pPr>
        <w:keepNext w:val="0"/>
        <w:keepLines w:val="0"/>
        <w:widowControl/>
        <w:suppressLineNumbers w:val="0"/>
        <w:spacing w:before="100" w:beforeAutospacing="0" w:after="100" w:afterAutospacing="0" w:line="560" w:lineRule="atLeast"/>
        <w:ind w:left="0" w:right="0" w:firstLine="620"/>
        <w:jc w:val="left"/>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333333"/>
          <w:spacing w:val="0"/>
          <w:sz w:val="32"/>
          <w:szCs w:val="32"/>
          <w:shd w:val="clear" w:fill="FFFFFF"/>
        </w:rPr>
        <w:t>2021年，</w:t>
      </w:r>
      <w:r>
        <w:rPr>
          <w:rFonts w:hint="eastAsia" w:ascii="仿宋" w:hAnsi="仿宋" w:eastAsia="仿宋" w:cs="仿宋"/>
          <w:b w:val="0"/>
          <w:bCs w:val="0"/>
          <w:i w:val="0"/>
          <w:iCs w:val="0"/>
          <w:caps w:val="0"/>
          <w:color w:val="333333"/>
          <w:spacing w:val="0"/>
          <w:sz w:val="32"/>
          <w:szCs w:val="32"/>
          <w:shd w:val="clear" w:fill="FFFFFF"/>
          <w:lang w:eastAsia="zh-CN"/>
        </w:rPr>
        <w:t>五台</w:t>
      </w:r>
      <w:r>
        <w:rPr>
          <w:rFonts w:hint="eastAsia" w:ascii="仿宋" w:hAnsi="仿宋" w:eastAsia="仿宋" w:cs="仿宋"/>
          <w:b w:val="0"/>
          <w:bCs w:val="0"/>
          <w:i w:val="0"/>
          <w:iCs w:val="0"/>
          <w:caps w:val="0"/>
          <w:color w:val="333333"/>
          <w:spacing w:val="0"/>
          <w:sz w:val="32"/>
          <w:szCs w:val="32"/>
          <w:shd w:val="clear" w:fill="FFFFFF"/>
        </w:rPr>
        <w:t>县司法局政府信息公开工作坚持以党的十九大精神及习近平新时代中国特色社会主义思想为指导，坚持县委、县政府的正确领导，认真贯彻《中华人民共和国政府信息公开条例》及政府信息公开相关要求，</w:t>
      </w:r>
      <w:r>
        <w:rPr>
          <w:rFonts w:hint="eastAsia" w:ascii="仿宋" w:hAnsi="仿宋" w:eastAsia="仿宋" w:cs="仿宋"/>
          <w:b w:val="0"/>
          <w:bCs w:val="0"/>
          <w:i w:val="0"/>
          <w:iCs w:val="0"/>
          <w:caps w:val="0"/>
          <w:color w:val="000000"/>
          <w:spacing w:val="0"/>
          <w:kern w:val="0"/>
          <w:sz w:val="32"/>
          <w:szCs w:val="32"/>
          <w:lang w:val="en-US" w:eastAsia="zh-CN" w:bidi="ar"/>
        </w:rPr>
        <w:t>结合工作实际，坚持依法行政，深化信息公开，不断增强司法行政工作的透明度，</w:t>
      </w:r>
      <w:r>
        <w:rPr>
          <w:rFonts w:hint="eastAsia" w:ascii="仿宋" w:hAnsi="仿宋" w:eastAsia="仿宋" w:cs="仿宋"/>
          <w:i w:val="0"/>
          <w:iCs w:val="0"/>
          <w:caps w:val="0"/>
          <w:color w:val="000000"/>
          <w:spacing w:val="0"/>
          <w:sz w:val="32"/>
          <w:szCs w:val="32"/>
        </w:rPr>
        <w:t>充分发挥司法宣传的力量，保障了人民群众的知情权、参与权和监督权。</w:t>
      </w:r>
      <w:r>
        <w:rPr>
          <w:rFonts w:hint="eastAsia" w:ascii="仿宋" w:hAnsi="仿宋" w:eastAsia="仿宋" w:cs="仿宋"/>
          <w:b w:val="0"/>
          <w:bCs w:val="0"/>
          <w:i w:val="0"/>
          <w:iCs w:val="0"/>
          <w:caps w:val="0"/>
          <w:color w:val="333333"/>
          <w:spacing w:val="0"/>
          <w:sz w:val="32"/>
          <w:szCs w:val="32"/>
          <w:shd w:val="clear" w:fill="FFFFFF"/>
        </w:rPr>
        <w:t>本报告统计数据时限为2021年1月1日至2021年12月31日。</w:t>
      </w:r>
    </w:p>
    <w:p>
      <w:pPr>
        <w:keepNext w:val="0"/>
        <w:keepLines w:val="0"/>
        <w:widowControl/>
        <w:suppressLineNumbers w:val="0"/>
        <w:spacing w:before="100" w:beforeAutospacing="0" w:after="100" w:afterAutospacing="0" w:line="560" w:lineRule="atLeast"/>
        <w:ind w:left="0" w:right="0" w:firstLine="620"/>
        <w:jc w:val="left"/>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一）加强领导，落实责任，推动公开工作有序开展。切实加强对政府信息公开工作的组织领导，提高重视程度，将此项工作纳入重要议事日程，指定专兼职工作人员开展工作，进一步完善政府信息公开各项制度，确保工作持续良好开展。</w:t>
      </w:r>
    </w:p>
    <w:p>
      <w:pPr>
        <w:keepNext w:val="0"/>
        <w:keepLines w:val="0"/>
        <w:widowControl/>
        <w:suppressLineNumbers w:val="0"/>
        <w:spacing w:before="100" w:beforeAutospacing="0" w:after="100" w:afterAutospacing="0" w:line="560" w:lineRule="atLeast"/>
        <w:ind w:left="0" w:right="0" w:firstLine="620"/>
        <w:jc w:val="left"/>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二）健全机制、扩大宣传，做实信息公开工作。以政府信息平台发布为主，完善相关舆情预警研判和应对机制，全年无负面舆情和因负面舆情导致的上访事件发生；同时，加强司法行政工作的正面宣传，取得良好的效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left"/>
        <w:textAlignment w:val="auto"/>
        <w:rPr>
          <w:rFonts w:hint="eastAsia" w:ascii="仿宋" w:hAnsi="仿宋" w:eastAsia="仿宋" w:cs="仿宋"/>
          <w:b/>
          <w:bCs/>
          <w:i w:val="0"/>
          <w:iCs w:val="0"/>
          <w:caps w:val="0"/>
          <w:color w:val="FF0000"/>
          <w:spacing w:val="0"/>
          <w:sz w:val="32"/>
          <w:szCs w:val="32"/>
        </w:rPr>
      </w:pPr>
      <w:r>
        <w:rPr>
          <w:rFonts w:hint="eastAsia" w:ascii="仿宋" w:hAnsi="仿宋" w:eastAsia="仿宋" w:cs="仿宋"/>
          <w:b w:val="0"/>
          <w:bCs w:val="0"/>
          <w:i w:val="0"/>
          <w:iCs w:val="0"/>
          <w:caps w:val="0"/>
          <w:color w:val="333333"/>
          <w:spacing w:val="0"/>
          <w:sz w:val="32"/>
          <w:szCs w:val="32"/>
          <w:shd w:val="clear" w:fill="FFFFFF"/>
          <w:lang w:eastAsia="zh-CN"/>
        </w:rPr>
        <w:t>（三）</w:t>
      </w:r>
      <w:r>
        <w:rPr>
          <w:rFonts w:hint="eastAsia" w:ascii="仿宋" w:hAnsi="仿宋" w:eastAsia="仿宋" w:cs="仿宋"/>
          <w:b w:val="0"/>
          <w:bCs w:val="0"/>
          <w:i w:val="0"/>
          <w:iCs w:val="0"/>
          <w:caps w:val="0"/>
          <w:color w:val="333333"/>
          <w:spacing w:val="0"/>
          <w:sz w:val="32"/>
          <w:szCs w:val="32"/>
          <w:shd w:val="clear" w:fill="FFFFFF"/>
        </w:rPr>
        <w:t>利用县政府门户网站</w:t>
      </w:r>
      <w:r>
        <w:rPr>
          <w:rFonts w:hint="eastAsia" w:ascii="仿宋" w:hAnsi="仿宋" w:eastAsia="仿宋" w:cs="仿宋"/>
          <w:b w:val="0"/>
          <w:bCs w:val="0"/>
          <w:i w:val="0"/>
          <w:iCs w:val="0"/>
          <w:caps w:val="0"/>
          <w:color w:val="333333"/>
          <w:spacing w:val="0"/>
          <w:sz w:val="32"/>
          <w:szCs w:val="32"/>
          <w:shd w:val="clear" w:fill="FFFFFF"/>
          <w:lang w:eastAsia="zh-CN"/>
        </w:rPr>
        <w:t>法治政府建设专</w:t>
      </w:r>
      <w:r>
        <w:rPr>
          <w:rFonts w:hint="eastAsia" w:ascii="仿宋" w:hAnsi="仿宋" w:eastAsia="仿宋" w:cs="仿宋"/>
          <w:b w:val="0"/>
          <w:bCs w:val="0"/>
          <w:i w:val="0"/>
          <w:iCs w:val="0"/>
          <w:caps w:val="0"/>
          <w:color w:val="333333"/>
          <w:spacing w:val="0"/>
          <w:sz w:val="32"/>
          <w:szCs w:val="32"/>
          <w:shd w:val="clear" w:fill="FFFFFF"/>
        </w:rPr>
        <w:t>栏公</w:t>
      </w:r>
      <w:r>
        <w:rPr>
          <w:rFonts w:hint="eastAsia" w:ascii="仿宋" w:hAnsi="仿宋" w:eastAsia="仿宋" w:cs="仿宋"/>
          <w:b w:val="0"/>
          <w:bCs w:val="0"/>
          <w:i w:val="0"/>
          <w:iCs w:val="0"/>
          <w:caps w:val="0"/>
          <w:color w:val="333333"/>
          <w:spacing w:val="0"/>
          <w:sz w:val="32"/>
          <w:szCs w:val="32"/>
          <w:shd w:val="clear" w:fill="FFFFFF"/>
          <w:lang w:eastAsia="zh-CN"/>
        </w:rPr>
        <w:t>开发布</w:t>
      </w:r>
      <w:r>
        <w:rPr>
          <w:rFonts w:hint="eastAsia" w:ascii="仿宋" w:hAnsi="仿宋" w:eastAsia="仿宋" w:cs="仿宋"/>
          <w:b w:val="0"/>
          <w:bCs w:val="0"/>
          <w:i w:val="0"/>
          <w:iCs w:val="0"/>
          <w:caps w:val="0"/>
          <w:color w:val="333333"/>
          <w:spacing w:val="0"/>
          <w:sz w:val="32"/>
          <w:szCs w:val="32"/>
          <w:shd w:val="clear" w:fill="FFFFFF"/>
        </w:rPr>
        <w:t>我</w:t>
      </w:r>
      <w:r>
        <w:rPr>
          <w:rFonts w:hint="eastAsia" w:ascii="仿宋" w:hAnsi="仿宋" w:eastAsia="仿宋" w:cs="仿宋"/>
          <w:b w:val="0"/>
          <w:bCs w:val="0"/>
          <w:i w:val="0"/>
          <w:iCs w:val="0"/>
          <w:caps w:val="0"/>
          <w:color w:val="333333"/>
          <w:spacing w:val="0"/>
          <w:sz w:val="32"/>
          <w:szCs w:val="32"/>
          <w:shd w:val="clear" w:fill="FFFFFF"/>
          <w:lang w:eastAsia="zh-CN"/>
        </w:rPr>
        <w:t>县法治政府建设</w:t>
      </w:r>
      <w:r>
        <w:rPr>
          <w:rFonts w:hint="eastAsia" w:ascii="仿宋" w:hAnsi="仿宋" w:eastAsia="仿宋" w:cs="仿宋"/>
          <w:b w:val="0"/>
          <w:bCs w:val="0"/>
          <w:i w:val="0"/>
          <w:iCs w:val="0"/>
          <w:caps w:val="0"/>
          <w:color w:val="333333"/>
          <w:spacing w:val="0"/>
          <w:sz w:val="32"/>
          <w:szCs w:val="32"/>
          <w:shd w:val="clear" w:fill="FFFFFF"/>
        </w:rPr>
        <w:t>信息。</w:t>
      </w:r>
      <w:r>
        <w:rPr>
          <w:rFonts w:hint="eastAsia" w:ascii="仿宋" w:hAnsi="仿宋" w:eastAsia="仿宋" w:cs="仿宋"/>
          <w:b w:val="0"/>
          <w:bCs w:val="0"/>
          <w:i w:val="0"/>
          <w:iCs w:val="0"/>
          <w:caps w:val="0"/>
          <w:color w:val="333333"/>
          <w:spacing w:val="0"/>
          <w:sz w:val="32"/>
          <w:szCs w:val="32"/>
          <w:shd w:val="clear" w:fill="FFFFFF"/>
          <w:lang w:eastAsia="zh-CN"/>
        </w:rPr>
        <w:t>我局将行政复议职责、法治政府建设工作报告等</w:t>
      </w:r>
      <w:r>
        <w:rPr>
          <w:rFonts w:hint="eastAsia" w:ascii="仿宋" w:hAnsi="仿宋" w:eastAsia="仿宋" w:cs="仿宋"/>
          <w:b w:val="0"/>
          <w:bCs w:val="0"/>
          <w:i w:val="0"/>
          <w:iCs w:val="0"/>
          <w:caps w:val="0"/>
          <w:color w:val="333333"/>
          <w:spacing w:val="0"/>
          <w:sz w:val="32"/>
          <w:szCs w:val="32"/>
          <w:shd w:val="clear" w:fill="FFFFFF"/>
        </w:rPr>
        <w:t>在县政府门户网站公开。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left"/>
        <w:textAlignment w:val="auto"/>
        <w:rPr>
          <w:rFonts w:hint="eastAsia" w:ascii="黑体" w:hAnsi="黑体" w:eastAsia="黑体" w:cs="黑体"/>
          <w:b/>
          <w:bCs/>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四</w:t>
      </w:r>
      <w:r>
        <w:rPr>
          <w:rFonts w:hint="eastAsia" w:ascii="仿宋" w:hAnsi="仿宋" w:eastAsia="仿宋" w:cs="仿宋"/>
          <w:b w:val="0"/>
          <w:bCs w:val="0"/>
          <w:i w:val="0"/>
          <w:iCs w:val="0"/>
          <w:caps w:val="0"/>
          <w:color w:val="333333"/>
          <w:spacing w:val="0"/>
          <w:sz w:val="32"/>
          <w:szCs w:val="32"/>
          <w:shd w:val="clear" w:fill="FFFFFF"/>
        </w:rPr>
        <w:t>）严格落实信息公开审校制度，对拟公开信息依法依规进行严格审查，切实保障发布信息的严密性与规范性。</w:t>
      </w:r>
    </w:p>
    <w:p>
      <w:pPr>
        <w:pStyle w:val="2"/>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left"/>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bCs/>
          <w:i w:val="0"/>
          <w:iCs w:val="0"/>
          <w:caps w:val="0"/>
          <w:color w:val="333333"/>
          <w:spacing w:val="0"/>
          <w:sz w:val="32"/>
          <w:szCs w:val="32"/>
          <w:shd w:val="clear" w:fill="FFFFFF"/>
        </w:rPr>
        <w:t>主动公开政府信息情况</w:t>
      </w:r>
      <w:bookmarkStart w:id="0" w:name="_GoBack"/>
      <w:bookmarkEnd w:id="0"/>
    </w:p>
    <w:tbl>
      <w:tblPr>
        <w:tblStyle w:val="3"/>
        <w:tblW w:w="974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eastAsia="微软雅黑" w:cs="Calibri"/>
                <w:b w:val="0"/>
                <w:bCs w:val="0"/>
                <w:i w:val="0"/>
                <w:iCs w:val="0"/>
                <w:caps w:val="0"/>
                <w:color w:val="000000" w:themeColor="text1"/>
                <w:spacing w:val="0"/>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0"/>
                <w:szCs w:val="20"/>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iCs w:val="0"/>
                <w:caps w:val="0"/>
                <w:color w:val="000000" w:themeColor="text1"/>
                <w:spacing w:val="0"/>
                <w:kern w:val="0"/>
                <w:sz w:val="24"/>
                <w:szCs w:val="24"/>
                <w:lang w:val="en-US" w:eastAsia="zh-CN" w:bidi="ar"/>
                <w14:textFill>
                  <w14:solidFill>
                    <w14:schemeClr w14:val="tx1"/>
                  </w14:solidFill>
                </w14:textFill>
              </w:rPr>
              <w:t>0</w:t>
            </w:r>
          </w:p>
        </w:tc>
      </w:tr>
    </w:tbl>
    <w:p>
      <w:pPr>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方正黑体_GBK" w:hAnsi="方正黑体_GBK" w:eastAsia="方正黑体_GBK" w:cs="方正黑体_GBK"/>
          <w:b/>
          <w:bCs/>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bCs/>
          <w:i w:val="0"/>
          <w:iCs w:val="0"/>
          <w:caps w:val="0"/>
          <w:color w:val="333333"/>
          <w:spacing w:val="0"/>
          <w:kern w:val="0"/>
          <w:sz w:val="32"/>
          <w:szCs w:val="32"/>
          <w:shd w:val="clear" w:fill="FFFFFF"/>
          <w:lang w:val="en-US" w:eastAsia="zh-CN" w:bidi="ar"/>
        </w:rPr>
        <w:t>三、</w:t>
      </w:r>
      <w:r>
        <w:rPr>
          <w:rFonts w:hint="default" w:ascii="方正黑体_GBK" w:hAnsi="方正黑体_GBK" w:eastAsia="方正黑体_GBK" w:cs="方正黑体_GBK"/>
          <w:b/>
          <w:bCs/>
          <w:i w:val="0"/>
          <w:iCs w:val="0"/>
          <w:caps w:val="0"/>
          <w:color w:val="333333"/>
          <w:spacing w:val="0"/>
          <w:kern w:val="0"/>
          <w:sz w:val="32"/>
          <w:szCs w:val="32"/>
          <w:shd w:val="clear" w:fill="FFFFFF"/>
          <w:lang w:val="en-US" w:eastAsia="zh-CN" w:bidi="ar"/>
        </w:rPr>
        <w:t>收到和处理政府信息公开申请情况</w:t>
      </w:r>
    </w:p>
    <w:tbl>
      <w:tblPr>
        <w:tblStyle w:val="3"/>
        <w:tblpPr w:leftFromText="180" w:rightFromText="180" w:vertAnchor="text" w:horzAnchor="page" w:tblpX="1580" w:tblpY="812"/>
        <w:tblOverlap w:val="never"/>
        <w:tblW w:w="96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060"/>
        <w:gridCol w:w="861"/>
        <w:gridCol w:w="690"/>
        <w:gridCol w:w="690"/>
        <w:gridCol w:w="690"/>
        <w:gridCol w:w="690"/>
        <w:gridCol w:w="690"/>
        <w:gridCol w:w="5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771"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000000" w:themeColor="text1"/>
                <w:sz w:val="24"/>
                <w:szCs w:val="24"/>
                <w14:textFill>
                  <w14:solidFill>
                    <w14:schemeClr w14:val="tx1"/>
                  </w14:solidFill>
                </w14:textFill>
              </w:rPr>
            </w:pPr>
            <w:r>
              <w:rPr>
                <w:rFonts w:ascii="楷体" w:hAnsi="楷体" w:eastAsia="楷体" w:cs="楷体"/>
                <w:b w:val="0"/>
                <w:bCs w:val="0"/>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849"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7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b w:val="0"/>
                <w:bCs w:val="0"/>
                <w:color w:val="000000" w:themeColor="text1"/>
                <w:sz w:val="24"/>
                <w:szCs w:val="24"/>
                <w14:textFill>
                  <w14:solidFill>
                    <w14:schemeClr w14:val="tx1"/>
                  </w14:solidFill>
                </w14:textFill>
              </w:rPr>
            </w:pPr>
          </w:p>
        </w:tc>
        <w:tc>
          <w:tcPr>
            <w:tcW w:w="861"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自然人</w:t>
            </w:r>
          </w:p>
        </w:tc>
        <w:tc>
          <w:tcPr>
            <w:tcW w:w="345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法人或其他组织</w:t>
            </w:r>
          </w:p>
        </w:tc>
        <w:tc>
          <w:tcPr>
            <w:tcW w:w="53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77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b w:val="0"/>
                <w:bCs w:val="0"/>
                <w:color w:val="000000" w:themeColor="text1"/>
                <w:sz w:val="24"/>
                <w:szCs w:val="24"/>
                <w14:textFill>
                  <w14:solidFill>
                    <w14:schemeClr w14:val="tx1"/>
                  </w14:solidFill>
                </w14:textFill>
              </w:rPr>
            </w:pPr>
          </w:p>
        </w:tc>
        <w:tc>
          <w:tcPr>
            <w:tcW w:w="861"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b w:val="0"/>
                <w:bCs w:val="0"/>
                <w:color w:val="000000" w:themeColor="text1"/>
                <w:sz w:val="24"/>
                <w:szCs w:val="24"/>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企业</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机构</w:t>
            </w:r>
          </w:p>
        </w:tc>
        <w:tc>
          <w:tcPr>
            <w:tcW w:w="69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社会公益组织</w:t>
            </w:r>
          </w:p>
        </w:tc>
        <w:tc>
          <w:tcPr>
            <w:tcW w:w="69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法律服务机构</w:t>
            </w:r>
          </w:p>
        </w:tc>
        <w:tc>
          <w:tcPr>
            <w:tcW w:w="690"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其他</w:t>
            </w:r>
          </w:p>
        </w:tc>
        <w:tc>
          <w:tcPr>
            <w:tcW w:w="53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b w:val="0"/>
                <w:bCs w:val="0"/>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77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一、本年新收政府信息公开申请数量</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77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二、上年结转政府信息公开申请数量</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三、本年度办理结果</w:t>
            </w:r>
          </w:p>
        </w:tc>
        <w:tc>
          <w:tcPr>
            <w:tcW w:w="4003"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（一）予以公开</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center"/>
              <w:textAlignment w:val="auto"/>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4003"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（二）部分公开</w:t>
            </w:r>
            <w:r>
              <w:rPr>
                <w:rFonts w:hint="eastAsia" w:ascii="楷体" w:hAnsi="楷体" w:eastAsia="楷体" w:cs="楷体"/>
                <w:b w:val="0"/>
                <w:bCs w:val="0"/>
                <w:color w:val="000000" w:themeColor="text1"/>
                <w:kern w:val="0"/>
                <w:sz w:val="20"/>
                <w:szCs w:val="20"/>
                <w:lang w:val="en-US" w:eastAsia="zh-CN" w:bidi="ar"/>
                <w14:textFill>
                  <w14:solidFill>
                    <w14:schemeClr w14:val="tx1"/>
                  </w14:solidFill>
                </w14:textFill>
              </w:rPr>
              <w:t>（区分处理的，只计这一情形，不计其他情形）</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（三）不予公开</w:t>
            </w: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1.属于国家秘密</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2.其他法律行政法规禁止公开</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3.危及“三安全一稳定”</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7" w:hRule="atLeast"/>
        </w:trPr>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4.保护第三方合法权益</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5.属于三类内部事务信息</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6.属于四类过程性信息</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7.属于行政执法案卷</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8.属于行政查询事项</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4"/>
                <w:szCs w:val="24"/>
                <w:lang w:val="en-US" w:eastAsia="zh-CN" w:bidi="ar"/>
                <w14:textFill>
                  <w14:solidFill>
                    <w14:schemeClr w14:val="tx1"/>
                  </w14:solidFill>
                </w14:textFill>
              </w:rPr>
              <w:t>    </w:t>
            </w: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（四）无法提供</w:t>
            </w: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1.本机关不掌握相关政府信息</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2.没有现成信息需要另行制作</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3.补正后申请内容仍不明确</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（五）不予处理</w:t>
            </w: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1.信访举报投诉类申请</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2.重复申请</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3.要求提供公开出版物</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4.无正当理由大量反复申请</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trPr>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5.要求行政机关确认或重新出具已获取信息</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（六）其他处理</w:t>
            </w: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1"/>
                <w:szCs w:val="21"/>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943"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306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3.其他</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b w:val="0"/>
                <w:bCs w:val="0"/>
                <w:color w:val="000000" w:themeColor="text1"/>
                <w:sz w:val="24"/>
                <w:szCs w:val="24"/>
                <w14:textFill>
                  <w14:solidFill>
                    <w14:schemeClr w14:val="tx1"/>
                  </w14:solidFill>
                </w14:textFill>
              </w:rPr>
            </w:pPr>
          </w:p>
        </w:tc>
        <w:tc>
          <w:tcPr>
            <w:tcW w:w="4003"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（七）总计</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77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0"/>
                <w:szCs w:val="20"/>
                <w:lang w:val="en-US" w:eastAsia="zh-CN" w:bidi="ar"/>
                <w14:textFill>
                  <w14:solidFill>
                    <w14:schemeClr w14:val="tx1"/>
                  </w14:solidFill>
                </w14:textFill>
              </w:rPr>
              <w:t>四、结转下年度继续办理</w:t>
            </w:r>
          </w:p>
        </w:tc>
        <w:tc>
          <w:tcPr>
            <w:tcW w:w="861"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69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hint="default" w:ascii="Calibri" w:hAnsi="Calibri" w:cs="Calibri" w:eastAsiaTheme="minorEastAsia"/>
                <w:b w:val="0"/>
                <w:bCs w:val="0"/>
                <w:color w:val="000000" w:themeColor="text1"/>
                <w:kern w:val="0"/>
                <w:sz w:val="21"/>
                <w:szCs w:val="21"/>
                <w:lang w:val="en-US" w:eastAsia="zh-CN" w:bidi="ar"/>
                <w14:textFill>
                  <w14:solidFill>
                    <w14:schemeClr w14:val="tx1"/>
                  </w14:solidFill>
                </w14:textFill>
              </w:rPr>
              <w:t>0</w:t>
            </w:r>
          </w:p>
        </w:tc>
        <w:tc>
          <w:tcPr>
            <w:tcW w:w="538"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000000" w:themeColor="text1"/>
                <w:sz w:val="24"/>
                <w:szCs w:val="24"/>
                <w14:textFill>
                  <w14:solidFill>
                    <w14:schemeClr w14:val="tx1"/>
                  </w14:solidFill>
                </w14:textFill>
              </w:rPr>
            </w:pPr>
            <w:r>
              <w:rPr>
                <w:rFonts w:asciiTheme="minorHAnsi" w:hAnsiTheme="minorHAnsi" w:eastAsiaTheme="minorEastAsia" w:cstheme="minorBidi"/>
                <w:b w:val="0"/>
                <w:bCs w:val="0"/>
                <w:color w:val="000000" w:themeColor="text1"/>
                <w:kern w:val="0"/>
                <w:sz w:val="24"/>
                <w:szCs w:val="24"/>
                <w:lang w:val="en-US" w:eastAsia="zh-CN" w:bidi="ar"/>
                <w14:textFill>
                  <w14:solidFill>
                    <w14:schemeClr w14:val="tx1"/>
                  </w14:solidFill>
                </w14:textFill>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24"/>
          <w:szCs w:val="24"/>
        </w:rPr>
      </w:pPr>
      <w:r>
        <w:rPr>
          <w:rFonts w:hint="default"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b w:val="0"/>
          <w:bCs w:val="0"/>
          <w:i w:val="0"/>
          <w:iCs w:val="0"/>
          <w:caps w:val="0"/>
          <w:color w:val="000000" w:themeColor="text1"/>
          <w:spacing w:val="0"/>
          <w:sz w:val="24"/>
          <w:szCs w:val="24"/>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四、政府信息公开行政复议、行政诉讼情况</w:t>
      </w:r>
    </w:p>
    <w:tbl>
      <w:tblPr>
        <w:tblStyle w:val="3"/>
        <w:tblpPr w:leftFromText="180" w:rightFromText="180" w:vertAnchor="text" w:horzAnchor="page" w:tblpX="1745" w:tblpY="637"/>
        <w:tblOverlap w:val="neve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5"/>
        <w:gridCol w:w="605"/>
        <w:gridCol w:w="605"/>
        <w:gridCol w:w="605"/>
        <w:gridCol w:w="605"/>
        <w:gridCol w:w="605"/>
        <w:gridCol w:w="605"/>
        <w:gridCol w:w="605"/>
        <w:gridCol w:w="605"/>
        <w:gridCol w:w="605"/>
        <w:gridCol w:w="605"/>
        <w:gridCol w:w="606"/>
        <w:gridCol w:w="606"/>
        <w:gridCol w:w="606"/>
        <w:gridCol w:w="6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22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行政复议</w:t>
            </w:r>
          </w:p>
        </w:tc>
        <w:tc>
          <w:tcPr>
            <w:tcW w:w="65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4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结果维持</w:t>
            </w:r>
          </w:p>
        </w:tc>
        <w:tc>
          <w:tcPr>
            <w:tcW w:w="6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结果</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纠正</w:t>
            </w:r>
          </w:p>
        </w:tc>
        <w:tc>
          <w:tcPr>
            <w:tcW w:w="64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其他</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结果</w:t>
            </w:r>
          </w:p>
        </w:tc>
        <w:tc>
          <w:tcPr>
            <w:tcW w:w="64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尚未</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审结</w:t>
            </w:r>
          </w:p>
        </w:tc>
        <w:tc>
          <w:tcPr>
            <w:tcW w:w="64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总计</w:t>
            </w:r>
          </w:p>
        </w:tc>
        <w:tc>
          <w:tcPr>
            <w:tcW w:w="322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未经复议直接起诉</w:t>
            </w:r>
          </w:p>
        </w:tc>
        <w:tc>
          <w:tcPr>
            <w:tcW w:w="330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4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sz w:val="24"/>
                <w:szCs w:val="24"/>
              </w:rPr>
            </w:pPr>
          </w:p>
        </w:tc>
        <w:tc>
          <w:tcPr>
            <w:tcW w:w="6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sz w:val="24"/>
                <w:szCs w:val="24"/>
              </w:rPr>
            </w:pPr>
          </w:p>
        </w:tc>
        <w:tc>
          <w:tcPr>
            <w:tcW w:w="64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sz w:val="24"/>
                <w:szCs w:val="24"/>
              </w:rPr>
            </w:pPr>
          </w:p>
        </w:tc>
        <w:tc>
          <w:tcPr>
            <w:tcW w:w="64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sz w:val="24"/>
                <w:szCs w:val="24"/>
              </w:rPr>
            </w:pPr>
          </w:p>
        </w:tc>
        <w:tc>
          <w:tcPr>
            <w:tcW w:w="64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sz w:val="24"/>
                <w:szCs w:val="24"/>
              </w:rPr>
            </w:pP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结果</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维持</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结果</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纠正</w:t>
            </w:r>
          </w:p>
        </w:tc>
        <w:tc>
          <w:tcPr>
            <w:tcW w:w="6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其他</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结果</w:t>
            </w:r>
          </w:p>
        </w:tc>
        <w:tc>
          <w:tcPr>
            <w:tcW w:w="6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尚未</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审结</w:t>
            </w:r>
          </w:p>
        </w:tc>
        <w:tc>
          <w:tcPr>
            <w:tcW w:w="6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总计</w:t>
            </w:r>
          </w:p>
        </w:tc>
        <w:tc>
          <w:tcPr>
            <w:tcW w:w="6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结果</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维持</w:t>
            </w:r>
          </w:p>
        </w:tc>
        <w:tc>
          <w:tcPr>
            <w:tcW w:w="6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结果</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纠正</w:t>
            </w:r>
          </w:p>
        </w:tc>
        <w:tc>
          <w:tcPr>
            <w:tcW w:w="6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其他</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结果</w:t>
            </w:r>
          </w:p>
        </w:tc>
        <w:tc>
          <w:tcPr>
            <w:tcW w:w="6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尚未</w:t>
            </w:r>
            <w:r>
              <w:rPr>
                <w:rFonts w:asciiTheme="minorHAnsi" w:hAnsiTheme="minorHAnsi" w:eastAsiaTheme="minorEastAsia" w:cstheme="minorBidi"/>
                <w:b w:val="0"/>
                <w:bCs w:val="0"/>
                <w:kern w:val="0"/>
                <w:sz w:val="20"/>
                <w:szCs w:val="20"/>
                <w:lang w:val="en-US" w:eastAsia="zh-CN" w:bidi="ar"/>
              </w:rPr>
              <w:br w:type="textWrapping"/>
            </w:r>
            <w:r>
              <w:rPr>
                <w:rFonts w:asciiTheme="minorHAnsi" w:hAnsiTheme="minorHAnsi" w:eastAsiaTheme="minorEastAsia" w:cstheme="minorBidi"/>
                <w:b w:val="0"/>
                <w:bCs w:val="0"/>
                <w:kern w:val="0"/>
                <w:sz w:val="20"/>
                <w:szCs w:val="20"/>
                <w:lang w:val="en-US" w:eastAsia="zh-CN" w:bidi="ar"/>
              </w:rPr>
              <w:t>审结</w:t>
            </w:r>
          </w:p>
        </w:tc>
        <w:tc>
          <w:tcPr>
            <w:tcW w:w="7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asciiTheme="minorHAnsi" w:hAnsiTheme="minorHAnsi" w:eastAsiaTheme="minorEastAsia" w:cstheme="minorBidi"/>
                <w:b w:val="0"/>
                <w:bCs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trPr>
        <w:tc>
          <w:tcPr>
            <w:tcW w:w="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eastAsia" w:ascii="Calibri" w:hAnsi="Calibri" w:cs="Calibri"/>
                <w:b w:val="0"/>
                <w:bCs w:val="0"/>
                <w:kern w:val="0"/>
                <w:sz w:val="21"/>
                <w:szCs w:val="21"/>
                <w:lang w:val="en-US" w:eastAsia="zh-CN" w:bidi="ar"/>
              </w:rPr>
              <w:t>0</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eastAsia" w:ascii="Calibri" w:hAnsi="Calibri" w:cs="Calibri"/>
                <w:b w:val="0"/>
                <w:bCs w:val="0"/>
                <w:kern w:val="0"/>
                <w:sz w:val="21"/>
                <w:szCs w:val="21"/>
                <w:lang w:val="en-US" w:eastAsia="zh-CN" w:bidi="ar"/>
              </w:rPr>
              <w:t>0</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eastAsia" w:ascii="Calibri" w:hAnsi="Calibri" w:cs="Calibri"/>
                <w:b w:val="0"/>
                <w:bCs w:val="0"/>
                <w:kern w:val="0"/>
                <w:sz w:val="21"/>
                <w:szCs w:val="21"/>
                <w:lang w:val="en-US" w:eastAsia="zh-CN" w:bidi="ar"/>
              </w:rPr>
              <w:t>0</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b w:val="0"/>
                <w:bCs w:val="0"/>
                <w:sz w:val="24"/>
                <w:szCs w:val="24"/>
                <w:lang w:val="en-US"/>
              </w:rPr>
            </w:pPr>
            <w:r>
              <w:rPr>
                <w:rFonts w:hint="eastAsia" w:ascii="Calibri" w:hAnsi="Calibri" w:cs="Calibri"/>
                <w:b w:val="0"/>
                <w:bCs w:val="0"/>
                <w:kern w:val="0"/>
                <w:sz w:val="21"/>
                <w:szCs w:val="21"/>
                <w:lang w:val="en-US" w:eastAsia="zh-CN" w:bidi="ar"/>
              </w:rPr>
              <w:t>0</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b w:val="0"/>
                <w:bCs w:val="0"/>
                <w:sz w:val="24"/>
                <w:szCs w:val="24"/>
                <w:lang w:val="en-US"/>
              </w:rPr>
            </w:pPr>
            <w:r>
              <w:rPr>
                <w:rFonts w:hint="eastAsia" w:ascii="Calibri" w:hAnsi="Calibri" w:cs="Calibri"/>
                <w:b w:val="0"/>
                <w:bCs w:val="0"/>
                <w:kern w:val="0"/>
                <w:sz w:val="21"/>
                <w:szCs w:val="21"/>
                <w:lang w:val="en-US" w:eastAsia="zh-CN" w:bidi="ar"/>
              </w:rPr>
              <w:t>0</w:t>
            </w:r>
          </w:p>
        </w:tc>
        <w:tc>
          <w:tcPr>
            <w:tcW w:w="6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eastAsiaTheme="minorEastAsia"/>
                <w:b w:val="0"/>
                <w:bCs w:val="0"/>
                <w:sz w:val="24"/>
                <w:szCs w:val="24"/>
                <w:lang w:val="en-US" w:eastAsia="zh-CN"/>
              </w:rPr>
            </w:pPr>
            <w:r>
              <w:rPr>
                <w:rFonts w:hint="eastAsia"/>
                <w:b w:val="0"/>
                <w:bCs w:val="0"/>
                <w:sz w:val="24"/>
                <w:szCs w:val="24"/>
                <w:lang w:val="en-US" w:eastAsia="zh-CN"/>
              </w:rPr>
              <w:t>0</w:t>
            </w:r>
          </w:p>
        </w:tc>
        <w:tc>
          <w:tcPr>
            <w:tcW w:w="6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6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b w:val="0"/>
                <w:bCs w:val="0"/>
                <w:sz w:val="24"/>
                <w:szCs w:val="24"/>
              </w:rPr>
            </w:pPr>
            <w:r>
              <w:rPr>
                <w:rFonts w:hint="default" w:ascii="Calibri" w:hAnsi="Calibri" w:cs="Calibri" w:eastAsiaTheme="minorEastAsia"/>
                <w:b w:val="0"/>
                <w:bCs w:val="0"/>
                <w:kern w:val="0"/>
                <w:sz w:val="21"/>
                <w:szCs w:val="21"/>
                <w:lang w:val="en-US" w:eastAsia="zh-CN" w:bidi="ar"/>
              </w:rPr>
              <w:t>0</w:t>
            </w:r>
          </w:p>
        </w:tc>
        <w:tc>
          <w:tcPr>
            <w:tcW w:w="7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b w:val="0"/>
                <w:bCs w:val="0"/>
                <w:sz w:val="24"/>
                <w:szCs w:val="24"/>
              </w:rPr>
            </w:pPr>
            <w:r>
              <w:rPr>
                <w:rFonts w:hint="eastAsia" w:ascii="Calibri" w:hAnsi="Calibri" w:cs="Calibri"/>
                <w:b w:val="0"/>
                <w:bCs w:val="0"/>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i w:val="0"/>
          <w:iCs w:val="0"/>
          <w:caps w:val="0"/>
          <w:color w:val="333333"/>
          <w:spacing w:val="0"/>
          <w:sz w:val="24"/>
          <w:szCs w:val="24"/>
        </w:rPr>
      </w:pPr>
      <w:r>
        <w:rPr>
          <w:rFonts w:hint="eastAsia" w:ascii="黑体" w:hAnsi="黑体" w:eastAsia="黑体" w:cs="黑体"/>
          <w:b/>
          <w:bCs/>
          <w:i w:val="0"/>
          <w:iCs w:val="0"/>
          <w:caps w:val="0"/>
          <w:color w:val="333333"/>
          <w:spacing w:val="0"/>
          <w:kern w:val="0"/>
          <w:sz w:val="32"/>
          <w:szCs w:val="32"/>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我局目前存在政务公开宣传手段局限，收效不高问题。下一步工作中，我局将创新工作方式，拓宽公开渠道。因地制宜选取形式多样的信息公开方式，畅通公开渠道，方便群众获取政府信息。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黑体" w:hAnsi="黑体" w:eastAsia="黑体" w:cs="黑体"/>
          <w:i w:val="0"/>
          <w:iCs w:val="0"/>
          <w:caps w:val="0"/>
          <w:color w:val="333333"/>
          <w:spacing w:val="0"/>
          <w:sz w:val="24"/>
          <w:szCs w:val="24"/>
        </w:rPr>
      </w:pPr>
      <w:r>
        <w:rPr>
          <w:rFonts w:hint="eastAsia" w:ascii="黑体" w:hAnsi="黑体" w:eastAsia="黑体" w:cs="黑体"/>
          <w:b/>
          <w:bCs/>
          <w:i w:val="0"/>
          <w:iCs w:val="0"/>
          <w:caps w:val="0"/>
          <w:color w:val="333333"/>
          <w:spacing w:val="0"/>
          <w:kern w:val="0"/>
          <w:sz w:val="32"/>
          <w:szCs w:val="32"/>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 w:hAnsi="仿宋" w:eastAsia="仿宋" w:cs="仿宋"/>
          <w:b w:val="0"/>
          <w:bCs w:val="0"/>
          <w:i w:val="0"/>
          <w:iCs w:val="0"/>
          <w:caps w:val="0"/>
          <w:color w:val="333333"/>
          <w:spacing w:val="0"/>
          <w:sz w:val="24"/>
          <w:szCs w:val="24"/>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2021年，司法局无其他需要报告事项。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pPr>
      <w:r>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6" w:firstLineChars="2002"/>
        <w:jc w:val="left"/>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五台县司法局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86" w:firstLineChars="1902"/>
        <w:jc w:val="left"/>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2022年1月30日</w:t>
      </w:r>
    </w:p>
    <w:p/>
    <w:sectPr>
      <w:pgSz w:w="11906" w:h="16838"/>
      <w:pgMar w:top="1440" w:right="1800" w:bottom="77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C5FAE"/>
    <w:multiLevelType w:val="singleLevel"/>
    <w:tmpl w:val="436C5FA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B450D"/>
    <w:rsid w:val="24EB6789"/>
    <w:rsid w:val="2E241C09"/>
    <w:rsid w:val="4D61085B"/>
    <w:rsid w:val="53FE7BF4"/>
    <w:rsid w:val="5E837DBE"/>
    <w:rsid w:val="730B450D"/>
    <w:rsid w:val="730D6C0C"/>
    <w:rsid w:val="7FDE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2022-01-30T01:00:00Z</dcterms:created>
  <dc:creator>Administrator</dc:creator>
  <cp:lastModifiedBy>Administrator</cp:lastModifiedBy>
  <cp:lastPrinted>2022-01-30T03:24:54Z</cp:lastPrinted>
  <dcterms:modified xsi:type="dcterms:W3CDTF">2022-01-30T03:26:08Z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7A3AE54041EA4BEA840BF0F1CE3C2D35</vt:lpwstr>
  </property>
</Properties>
</file>