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Times New Roman"/>
          <w:color w:val="000000"/>
          <w:kern w:val="0"/>
          <w:sz w:val="32"/>
          <w:szCs w:val="32"/>
        </w:rPr>
      </w:pPr>
      <w:r>
        <w:rPr>
          <w:rFonts w:hint="eastAsia" w:ascii="黑体" w:hAnsi="黑体" w:eastAsia="黑体" w:cs="Times New Roman"/>
          <w:color w:val="000000"/>
          <w:kern w:val="0"/>
          <w:sz w:val="32"/>
          <w:szCs w:val="32"/>
        </w:rPr>
        <w:t>附件</w:t>
      </w:r>
    </w:p>
    <w:tbl>
      <w:tblPr>
        <w:tblStyle w:val="7"/>
        <w:tblW w:w="14559" w:type="dxa"/>
        <w:jc w:val="center"/>
        <w:tblLayout w:type="autofit"/>
        <w:tblCellMar>
          <w:top w:w="0" w:type="dxa"/>
          <w:left w:w="108" w:type="dxa"/>
          <w:bottom w:w="0" w:type="dxa"/>
          <w:right w:w="108" w:type="dxa"/>
        </w:tblCellMar>
      </w:tblPr>
      <w:tblGrid>
        <w:gridCol w:w="1430"/>
        <w:gridCol w:w="1828"/>
        <w:gridCol w:w="8427"/>
        <w:gridCol w:w="2874"/>
      </w:tblGrid>
      <w:tr>
        <w:tblPrEx>
          <w:tblCellMar>
            <w:top w:w="0" w:type="dxa"/>
            <w:left w:w="108" w:type="dxa"/>
            <w:bottom w:w="0" w:type="dxa"/>
            <w:right w:w="108" w:type="dxa"/>
          </w:tblCellMar>
        </w:tblPrEx>
        <w:trPr>
          <w:trHeight w:val="465" w:hRule="atLeast"/>
          <w:jc w:val="center"/>
        </w:trPr>
        <w:tc>
          <w:tcPr>
            <w:tcW w:w="14559" w:type="dxa"/>
            <w:gridSpan w:val="4"/>
            <w:tcBorders>
              <w:top w:val="nil"/>
              <w:left w:val="nil"/>
              <w:bottom w:val="nil"/>
              <w:right w:val="nil"/>
            </w:tcBorders>
            <w:noWrap w:val="0"/>
            <w:vAlign w:val="center"/>
          </w:tcPr>
          <w:p>
            <w:pPr>
              <w:widowControl/>
              <w:jc w:val="center"/>
              <w:rPr>
                <w:rFonts w:hint="eastAsia" w:ascii="方正小标宋简体" w:hAnsi="Times New Roman" w:eastAsia="方正小标宋简体" w:cs="Times New Roman"/>
                <w:color w:val="000000"/>
                <w:kern w:val="0"/>
                <w:sz w:val="44"/>
                <w:szCs w:val="44"/>
              </w:rPr>
            </w:pPr>
            <w:r>
              <w:rPr>
                <w:rFonts w:hint="eastAsia" w:ascii="方正小标宋简体" w:hAnsi="Times New Roman" w:eastAsia="方正小标宋简体" w:cs="Times New Roman"/>
                <w:color w:val="000000"/>
                <w:kern w:val="0"/>
                <w:sz w:val="44"/>
                <w:szCs w:val="44"/>
              </w:rPr>
              <w:t>重点任务分工</w:t>
            </w:r>
          </w:p>
        </w:tc>
      </w:tr>
      <w:tr>
        <w:tblPrEx>
          <w:tblCellMar>
            <w:top w:w="0" w:type="dxa"/>
            <w:left w:w="108" w:type="dxa"/>
            <w:bottom w:w="0" w:type="dxa"/>
            <w:right w:w="108" w:type="dxa"/>
          </w:tblCellMar>
        </w:tblPrEx>
        <w:trPr>
          <w:trHeight w:val="587" w:hRule="atLeast"/>
          <w:jc w:val="center"/>
        </w:trPr>
        <w:tc>
          <w:tcPr>
            <w:tcW w:w="1430"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黑体" w:hAnsi="黑体" w:eastAsia="黑体" w:cs="Times New Roman"/>
                <w:bCs/>
                <w:color w:val="000000"/>
                <w:kern w:val="0"/>
                <w:sz w:val="24"/>
              </w:rPr>
            </w:pPr>
            <w:r>
              <w:rPr>
                <w:rFonts w:ascii="黑体" w:hAnsi="黑体" w:eastAsia="黑体" w:cs="Times New Roman"/>
                <w:bCs/>
                <w:color w:val="000000"/>
                <w:kern w:val="0"/>
                <w:sz w:val="24"/>
              </w:rPr>
              <w:t>主要内容</w:t>
            </w:r>
          </w:p>
        </w:tc>
        <w:tc>
          <w:tcPr>
            <w:tcW w:w="1828"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黑体" w:hAnsi="黑体" w:eastAsia="黑体" w:cs="Times New Roman"/>
                <w:bCs/>
                <w:color w:val="000000"/>
                <w:kern w:val="0"/>
                <w:sz w:val="24"/>
              </w:rPr>
            </w:pPr>
            <w:r>
              <w:rPr>
                <w:rFonts w:ascii="黑体" w:hAnsi="黑体" w:eastAsia="黑体" w:cs="Times New Roman"/>
                <w:bCs/>
                <w:color w:val="000000"/>
                <w:kern w:val="0"/>
                <w:sz w:val="24"/>
              </w:rPr>
              <w:t>具体事项</w:t>
            </w:r>
          </w:p>
        </w:tc>
        <w:tc>
          <w:tcPr>
            <w:tcW w:w="8427"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黑体" w:hAnsi="黑体" w:eastAsia="黑体" w:cs="Times New Roman"/>
                <w:bCs/>
                <w:color w:val="000000"/>
                <w:kern w:val="0"/>
                <w:sz w:val="24"/>
              </w:rPr>
            </w:pPr>
            <w:r>
              <w:rPr>
                <w:rFonts w:ascii="黑体" w:hAnsi="黑体" w:eastAsia="黑体" w:cs="Times New Roman"/>
                <w:bCs/>
                <w:color w:val="000000"/>
                <w:kern w:val="0"/>
                <w:sz w:val="24"/>
              </w:rPr>
              <w:t>工作任务</w:t>
            </w:r>
          </w:p>
        </w:tc>
        <w:tc>
          <w:tcPr>
            <w:tcW w:w="2874"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黑体" w:hAnsi="黑体" w:eastAsia="黑体" w:cs="Times New Roman"/>
                <w:bCs/>
                <w:color w:val="000000"/>
                <w:kern w:val="0"/>
                <w:sz w:val="24"/>
              </w:rPr>
            </w:pPr>
            <w:r>
              <w:rPr>
                <w:rFonts w:ascii="黑体" w:hAnsi="黑体" w:eastAsia="黑体" w:cs="Times New Roman"/>
                <w:bCs/>
                <w:color w:val="000000"/>
                <w:kern w:val="0"/>
                <w:sz w:val="24"/>
              </w:rPr>
              <w:t>责任单位</w:t>
            </w:r>
          </w:p>
        </w:tc>
      </w:tr>
      <w:tr>
        <w:tblPrEx>
          <w:tblCellMar>
            <w:top w:w="0" w:type="dxa"/>
            <w:left w:w="108" w:type="dxa"/>
            <w:bottom w:w="0" w:type="dxa"/>
            <w:right w:w="108" w:type="dxa"/>
          </w:tblCellMar>
        </w:tblPrEx>
        <w:trPr>
          <w:trHeight w:val="1899" w:hRule="atLeast"/>
          <w:jc w:val="center"/>
        </w:trPr>
        <w:tc>
          <w:tcPr>
            <w:tcW w:w="14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一、以责任落实年为主线，构建完善安全责任体系</w:t>
            </w:r>
          </w:p>
        </w:tc>
        <w:tc>
          <w:tcPr>
            <w:tcW w:w="1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（一）深入贯彻安全发展理念</w:t>
            </w:r>
          </w:p>
        </w:tc>
        <w:tc>
          <w:tcPr>
            <w:tcW w:w="84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仿宋" w:hAnsi="仿宋" w:eastAsia="仿宋" w:cs="Times New Roman"/>
                <w:color w:val="000000"/>
                <w:kern w:val="0"/>
                <w:sz w:val="24"/>
              </w:rPr>
            </w:pPr>
            <w:r>
              <w:rPr>
                <w:rFonts w:hint="eastAsia" w:ascii="仿宋" w:hAnsi="仿宋" w:eastAsia="仿宋" w:cs="Times New Roman"/>
                <w:color w:val="000000"/>
                <w:kern w:val="0"/>
                <w:sz w:val="24"/>
              </w:rPr>
              <w:t>各级各部门要全面落实习近平总书记关于安全生产的重要指示批示精神和党的二十大精神，将其作为政治理论学习的重要内容。各级党委要将学习习近平总书记关于安全生产的重要论述纳入党委宣传工作重点，把安全生产纳入党委议事日程和全会工作报告。各级党委、政府、企事业单位要将学习贯彻习近平总书记关于应急管理、安全生产、消防、防灾减灾救灾重要论述纳入各级理论学习计划，并确保每季度至少进行一次理论学习，不断提升安全生产治理能力。</w:t>
            </w:r>
          </w:p>
        </w:tc>
        <w:tc>
          <w:tcPr>
            <w:tcW w:w="28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各</w:t>
            </w:r>
            <w:r>
              <w:rPr>
                <w:rFonts w:hint="eastAsia" w:ascii="仿宋" w:hAnsi="仿宋" w:eastAsia="仿宋" w:cs="Times New Roman"/>
                <w:color w:val="000000"/>
                <w:kern w:val="0"/>
                <w:sz w:val="24"/>
              </w:rPr>
              <w:t>级党委</w:t>
            </w:r>
            <w:r>
              <w:rPr>
                <w:rFonts w:ascii="仿宋" w:hAnsi="仿宋" w:eastAsia="仿宋" w:cs="Times New Roman"/>
                <w:color w:val="000000"/>
                <w:kern w:val="0"/>
                <w:sz w:val="24"/>
              </w:rPr>
              <w:t>政府</w:t>
            </w:r>
          </w:p>
        </w:tc>
      </w:tr>
      <w:tr>
        <w:tblPrEx>
          <w:tblCellMar>
            <w:top w:w="0" w:type="dxa"/>
            <w:left w:w="108" w:type="dxa"/>
            <w:bottom w:w="0" w:type="dxa"/>
            <w:right w:w="108" w:type="dxa"/>
          </w:tblCellMar>
        </w:tblPrEx>
        <w:trPr>
          <w:trHeight w:val="5802" w:hRule="atLeast"/>
          <w:jc w:val="center"/>
        </w:trPr>
        <w:tc>
          <w:tcPr>
            <w:tcW w:w="14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1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（二）严格落实职责任务</w:t>
            </w:r>
          </w:p>
        </w:tc>
        <w:tc>
          <w:tcPr>
            <w:tcW w:w="84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仿宋" w:hAnsi="仿宋" w:eastAsia="仿宋" w:cs="Times New Roman"/>
                <w:color w:val="000000"/>
                <w:kern w:val="0"/>
                <w:sz w:val="24"/>
              </w:rPr>
            </w:pPr>
            <w:r>
              <w:rPr>
                <w:rFonts w:hint="eastAsia" w:ascii="仿宋" w:hAnsi="仿宋" w:eastAsia="仿宋" w:cs="Times New Roman"/>
                <w:color w:val="000000"/>
                <w:kern w:val="0"/>
                <w:sz w:val="24"/>
              </w:rPr>
              <w:t>1.严格党政领导责任。坚持党政同责、一岗双责、齐抓共管、失职追责，动态编制并落实安全生产职责清单和年度重点工作任务清单，将履行安全生产工作职责情况列入党委、政府领导班子及其成员年度考核述职内容。要深化以案促改、以案促治工作，不断巩固拓展，做好持续提升。各级党委政府要建立安全生产办实事、解难题清单，针对安全监管部门领导班子、干部队伍、监管职责、执法力量、经费保障、执法装备、信息化建设等方面，全年至少研究解决10项具体问题。实行县政府领导干部包保煤矿、金属非金属地下矿山和尾矿库安全生产责任制。县安委会坚持每月至少召开一次会议，分析研判安全形势，研究解决问题。进一步明确非煤矿山等行业主管部门。重点行业领域建立健全“一件事”一个部门牵头、相关部门配合、全链条安全监管的责任体系。进一步明确行业主管部门、行业监管部门、专业监管部门和集中审批部门的安全职责。及时厘清职能交叉和新产业新业态行业领域的安全监管职责分工。推进安委办实体化。推动矿山转型升级。县级党政领导干部要投入更大精力抓安全生产，定期深入一线检查指导，持续巩固深化打击瞒报事故专项行动成果。配合好国务院安委办督导组对我县矿山安全生产工作的督导，成立全县矿山安全集中排查整治工作专班，开展为期一年的矿山安全集中排查整治专项行动，尽快出台矿山安全监管职责清单，组织开展矿山安全监管执法队伍专业化知识大培训，深化矿山安全治理模式改革转型，整体提升矿山安全生产水平。</w:t>
            </w:r>
          </w:p>
        </w:tc>
        <w:tc>
          <w:tcPr>
            <w:tcW w:w="28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各</w:t>
            </w:r>
            <w:r>
              <w:rPr>
                <w:rFonts w:hint="eastAsia" w:ascii="仿宋" w:hAnsi="仿宋" w:eastAsia="仿宋" w:cs="Times New Roman"/>
                <w:color w:val="000000"/>
                <w:kern w:val="0"/>
                <w:sz w:val="24"/>
              </w:rPr>
              <w:t>级党委</w:t>
            </w:r>
            <w:r>
              <w:rPr>
                <w:rFonts w:ascii="仿宋" w:hAnsi="仿宋" w:eastAsia="仿宋" w:cs="Times New Roman"/>
                <w:color w:val="000000"/>
                <w:kern w:val="0"/>
                <w:sz w:val="24"/>
              </w:rPr>
              <w:t>政府</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安委办</w:t>
            </w:r>
          </w:p>
        </w:tc>
      </w:tr>
    </w:tbl>
    <w:p>
      <w:pPr>
        <w:spacing w:line="300" w:lineRule="exact"/>
        <w:rPr>
          <w:rFonts w:ascii="仿宋" w:hAnsi="仿宋" w:eastAsia="仿宋"/>
        </w:rPr>
        <w:sectPr>
          <w:pgSz w:w="16840" w:h="11907" w:orient="landscape"/>
          <w:pgMar w:top="1247" w:right="1134" w:bottom="1134" w:left="1247" w:header="851" w:footer="1304" w:gutter="0"/>
          <w:cols w:space="720" w:num="1"/>
          <w:titlePg/>
          <w:docGrid w:linePitch="319" w:charSpace="0"/>
        </w:sectPr>
      </w:pPr>
    </w:p>
    <w:p>
      <w:pPr>
        <w:spacing w:line="200" w:lineRule="exact"/>
        <w:rPr>
          <w:rFonts w:ascii="仿宋" w:hAnsi="仿宋" w:eastAsia="仿宋" w:cs="Times New Roman"/>
        </w:rPr>
      </w:pPr>
    </w:p>
    <w:tbl>
      <w:tblPr>
        <w:tblStyle w:val="7"/>
        <w:tblW w:w="14428" w:type="dxa"/>
        <w:jc w:val="center"/>
        <w:tblLayout w:type="autofit"/>
        <w:tblCellMar>
          <w:top w:w="0" w:type="dxa"/>
          <w:left w:w="108" w:type="dxa"/>
          <w:bottom w:w="0" w:type="dxa"/>
          <w:right w:w="108" w:type="dxa"/>
        </w:tblCellMar>
      </w:tblPr>
      <w:tblGrid>
        <w:gridCol w:w="1417"/>
        <w:gridCol w:w="1812"/>
        <w:gridCol w:w="2339"/>
        <w:gridCol w:w="6012"/>
        <w:gridCol w:w="2848"/>
      </w:tblGrid>
      <w:tr>
        <w:tblPrEx>
          <w:tblCellMar>
            <w:top w:w="0" w:type="dxa"/>
            <w:left w:w="108" w:type="dxa"/>
            <w:bottom w:w="0" w:type="dxa"/>
            <w:right w:w="108" w:type="dxa"/>
          </w:tblCellMar>
        </w:tblPrEx>
        <w:trPr>
          <w:trHeight w:val="423" w:hRule="atLeast"/>
          <w:jc w:val="center"/>
        </w:trPr>
        <w:tc>
          <w:tcPr>
            <w:tcW w:w="1417" w:type="dxa"/>
            <w:vMerge w:val="restart"/>
            <w:tcBorders>
              <w:top w:val="single" w:color="000000" w:sz="4" w:space="0"/>
              <w:left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一、以责任落实年为主线，构建完善安全责任体系</w:t>
            </w:r>
          </w:p>
        </w:tc>
        <w:tc>
          <w:tcPr>
            <w:tcW w:w="1812" w:type="dxa"/>
            <w:vMerge w:val="restart"/>
            <w:tcBorders>
              <w:top w:val="single" w:color="000000" w:sz="4" w:space="0"/>
              <w:left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（二）严格落实职责任务</w:t>
            </w:r>
          </w:p>
        </w:tc>
        <w:tc>
          <w:tcPr>
            <w:tcW w:w="2339" w:type="dxa"/>
            <w:vMerge w:val="restart"/>
            <w:tcBorders>
              <w:top w:val="single" w:color="000000" w:sz="4" w:space="0"/>
              <w:left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2.落实部门监管责任</w:t>
            </w:r>
          </w:p>
        </w:tc>
        <w:tc>
          <w:tcPr>
            <w:tcW w:w="6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要充分发挥县安全生产专业委员会作用，提请各专委会主任、副主任每季度至少召开一次专委会会议，研究部署本行业领域安全生产工作。</w:t>
            </w:r>
          </w:p>
        </w:tc>
        <w:tc>
          <w:tcPr>
            <w:tcW w:w="28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各安全生产专业委员会</w:t>
            </w:r>
          </w:p>
        </w:tc>
      </w:tr>
      <w:tr>
        <w:tblPrEx>
          <w:tblCellMar>
            <w:top w:w="0" w:type="dxa"/>
            <w:left w:w="108" w:type="dxa"/>
            <w:bottom w:w="0" w:type="dxa"/>
            <w:right w:w="108" w:type="dxa"/>
          </w:tblCellMar>
        </w:tblPrEx>
        <w:trPr>
          <w:trHeight w:val="603" w:hRule="atLeast"/>
          <w:jc w:val="center"/>
        </w:trPr>
        <w:tc>
          <w:tcPr>
            <w:tcW w:w="1417" w:type="dxa"/>
            <w:vMerge w:val="continue"/>
            <w:tcBorders>
              <w:left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1812" w:type="dxa"/>
            <w:vMerge w:val="continue"/>
            <w:tcBorders>
              <w:left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2339" w:type="dxa"/>
            <w:vMerge w:val="continue"/>
            <w:tcBorders>
              <w:left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6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动态完善监管部门安全生产权责清单；编制年度监督检查计划，明确每个企业监管责任、检查频次、检查内容；坚持实施安全生产挂牌责任制。</w:t>
            </w:r>
          </w:p>
        </w:tc>
        <w:tc>
          <w:tcPr>
            <w:tcW w:w="28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spacing w:val="-4"/>
                <w:kern w:val="0"/>
                <w:sz w:val="24"/>
              </w:rPr>
            </w:pPr>
            <w:r>
              <w:rPr>
                <w:rFonts w:hint="eastAsia" w:ascii="仿宋" w:hAnsi="仿宋" w:eastAsia="仿宋" w:cs="Times New Roman"/>
                <w:color w:val="000000"/>
                <w:spacing w:val="-4"/>
                <w:kern w:val="0"/>
                <w:sz w:val="24"/>
              </w:rPr>
              <w:t>县直各</w:t>
            </w:r>
            <w:r>
              <w:rPr>
                <w:rFonts w:ascii="仿宋" w:hAnsi="仿宋" w:eastAsia="仿宋" w:cs="Times New Roman"/>
                <w:color w:val="000000"/>
                <w:spacing w:val="-4"/>
                <w:kern w:val="0"/>
                <w:sz w:val="24"/>
              </w:rPr>
              <w:t>负有安全监管职责的部门</w:t>
            </w:r>
          </w:p>
        </w:tc>
      </w:tr>
      <w:tr>
        <w:tblPrEx>
          <w:tblCellMar>
            <w:top w:w="0" w:type="dxa"/>
            <w:left w:w="108" w:type="dxa"/>
            <w:bottom w:w="0" w:type="dxa"/>
            <w:right w:w="108" w:type="dxa"/>
          </w:tblCellMar>
        </w:tblPrEx>
        <w:trPr>
          <w:trHeight w:val="595" w:hRule="atLeast"/>
          <w:jc w:val="center"/>
        </w:trPr>
        <w:tc>
          <w:tcPr>
            <w:tcW w:w="1417" w:type="dxa"/>
            <w:vMerge w:val="continue"/>
            <w:tcBorders>
              <w:left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1812" w:type="dxa"/>
            <w:vMerge w:val="continue"/>
            <w:tcBorders>
              <w:left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2339" w:type="dxa"/>
            <w:vMerge w:val="continue"/>
            <w:tcBorders>
              <w:left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6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集中审批部门颁发相应许可证照后，实时向行业主管部门和行业监管牵头部门推送相关审批信息和资料，各监管部门做好监管工作。</w:t>
            </w:r>
          </w:p>
        </w:tc>
        <w:tc>
          <w:tcPr>
            <w:tcW w:w="28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县</w:t>
            </w:r>
            <w:r>
              <w:rPr>
                <w:rFonts w:ascii="仿宋" w:hAnsi="仿宋" w:eastAsia="仿宋" w:cs="Times New Roman"/>
                <w:color w:val="000000"/>
                <w:kern w:val="0"/>
                <w:sz w:val="24"/>
              </w:rPr>
              <w:t>行政审批服务管理局等有关部门</w:t>
            </w:r>
          </w:p>
        </w:tc>
      </w:tr>
      <w:tr>
        <w:tblPrEx>
          <w:tblCellMar>
            <w:top w:w="0" w:type="dxa"/>
            <w:left w:w="108" w:type="dxa"/>
            <w:bottom w:w="0" w:type="dxa"/>
            <w:right w:w="108" w:type="dxa"/>
          </w:tblCellMar>
        </w:tblPrEx>
        <w:trPr>
          <w:trHeight w:val="706" w:hRule="atLeast"/>
          <w:jc w:val="center"/>
        </w:trPr>
        <w:tc>
          <w:tcPr>
            <w:tcW w:w="1417" w:type="dxa"/>
            <w:vMerge w:val="continue"/>
            <w:tcBorders>
              <w:left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1812" w:type="dxa"/>
            <w:vMerge w:val="continue"/>
            <w:tcBorders>
              <w:left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2339" w:type="dxa"/>
            <w:vMerge w:val="continue"/>
            <w:tcBorders>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60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仿宋" w:hAnsi="仿宋" w:eastAsia="仿宋" w:cs="Times New Roman"/>
                <w:color w:val="000000"/>
                <w:kern w:val="0"/>
                <w:sz w:val="24"/>
              </w:rPr>
            </w:pPr>
            <w:r>
              <w:rPr>
                <w:rFonts w:hint="eastAsia" w:ascii="仿宋" w:hAnsi="仿宋" w:eastAsia="仿宋" w:cs="Times New Roman"/>
                <w:color w:val="000000"/>
                <w:kern w:val="0"/>
                <w:sz w:val="24"/>
              </w:rPr>
              <w:t>坚持实行重点行业领域分类分级监管、企业主要负责人安全生产考核记分和矿山安全监管专员全覆盖派驻。</w:t>
            </w:r>
          </w:p>
        </w:tc>
        <w:tc>
          <w:tcPr>
            <w:tcW w:w="28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spacing w:val="-6"/>
                <w:kern w:val="0"/>
                <w:sz w:val="24"/>
              </w:rPr>
            </w:pPr>
            <w:r>
              <w:rPr>
                <w:rFonts w:hint="eastAsia" w:ascii="仿宋" w:hAnsi="仿宋" w:eastAsia="仿宋" w:cs="Times New Roman"/>
                <w:color w:val="000000"/>
                <w:spacing w:val="-6"/>
                <w:kern w:val="0"/>
                <w:sz w:val="24"/>
              </w:rPr>
              <w:t>县</w:t>
            </w:r>
            <w:r>
              <w:rPr>
                <w:rFonts w:ascii="仿宋" w:hAnsi="仿宋" w:eastAsia="仿宋" w:cs="Times New Roman"/>
                <w:color w:val="000000"/>
                <w:spacing w:val="-6"/>
                <w:kern w:val="0"/>
                <w:sz w:val="24"/>
              </w:rPr>
              <w:t>住房和城乡建设管理局、</w:t>
            </w:r>
            <w:r>
              <w:rPr>
                <w:rFonts w:hint="eastAsia" w:ascii="仿宋" w:hAnsi="仿宋" w:eastAsia="仿宋" w:cs="Times New Roman"/>
                <w:color w:val="000000"/>
                <w:spacing w:val="-6"/>
                <w:kern w:val="0"/>
                <w:sz w:val="24"/>
              </w:rPr>
              <w:t>县</w:t>
            </w:r>
            <w:r>
              <w:rPr>
                <w:rFonts w:ascii="仿宋" w:hAnsi="仿宋" w:eastAsia="仿宋" w:cs="Times New Roman"/>
                <w:color w:val="000000"/>
                <w:spacing w:val="-6"/>
                <w:kern w:val="0"/>
                <w:sz w:val="24"/>
              </w:rPr>
              <w:t>交通</w:t>
            </w:r>
            <w:r>
              <w:rPr>
                <w:rFonts w:hint="eastAsia" w:ascii="仿宋" w:hAnsi="仿宋" w:eastAsia="仿宋" w:cs="Times New Roman"/>
                <w:color w:val="000000"/>
                <w:spacing w:val="-6"/>
                <w:kern w:val="0"/>
                <w:sz w:val="24"/>
              </w:rPr>
              <w:t>运输</w:t>
            </w:r>
            <w:r>
              <w:rPr>
                <w:rFonts w:ascii="仿宋" w:hAnsi="仿宋" w:eastAsia="仿宋" w:cs="Times New Roman"/>
                <w:color w:val="000000"/>
                <w:spacing w:val="-6"/>
                <w:kern w:val="0"/>
                <w:sz w:val="24"/>
              </w:rPr>
              <w:t>局、</w:t>
            </w:r>
            <w:r>
              <w:rPr>
                <w:rFonts w:hint="eastAsia" w:ascii="仿宋" w:hAnsi="仿宋" w:eastAsia="仿宋" w:cs="Times New Roman"/>
                <w:color w:val="000000"/>
                <w:spacing w:val="-6"/>
                <w:kern w:val="0"/>
                <w:sz w:val="24"/>
              </w:rPr>
              <w:t>县</w:t>
            </w:r>
            <w:r>
              <w:rPr>
                <w:rFonts w:ascii="仿宋" w:hAnsi="仿宋" w:eastAsia="仿宋" w:cs="Times New Roman"/>
                <w:color w:val="000000"/>
                <w:spacing w:val="-6"/>
                <w:kern w:val="0"/>
                <w:sz w:val="24"/>
              </w:rPr>
              <w:t>应急管理局、</w:t>
            </w:r>
            <w:r>
              <w:rPr>
                <w:rFonts w:hint="eastAsia" w:ascii="仿宋" w:hAnsi="仿宋" w:eastAsia="仿宋" w:cs="Times New Roman"/>
                <w:color w:val="000000"/>
                <w:spacing w:val="-6"/>
                <w:kern w:val="0"/>
                <w:sz w:val="24"/>
              </w:rPr>
              <w:t>县</w:t>
            </w:r>
            <w:r>
              <w:rPr>
                <w:rFonts w:ascii="仿宋" w:hAnsi="仿宋" w:eastAsia="仿宋" w:cs="Times New Roman"/>
                <w:color w:val="000000"/>
                <w:spacing w:val="-6"/>
                <w:kern w:val="0"/>
                <w:sz w:val="24"/>
              </w:rPr>
              <w:t>市场监督管理局、</w:t>
            </w:r>
            <w:r>
              <w:rPr>
                <w:rFonts w:hint="eastAsia" w:ascii="仿宋" w:hAnsi="仿宋" w:eastAsia="仿宋" w:cs="Times New Roman"/>
                <w:color w:val="000000"/>
                <w:spacing w:val="-6"/>
                <w:kern w:val="0"/>
                <w:sz w:val="24"/>
              </w:rPr>
              <w:t>县</w:t>
            </w:r>
            <w:r>
              <w:rPr>
                <w:rFonts w:ascii="仿宋" w:hAnsi="仿宋" w:eastAsia="仿宋" w:cs="Times New Roman"/>
                <w:color w:val="000000"/>
                <w:spacing w:val="-6"/>
                <w:kern w:val="0"/>
                <w:sz w:val="24"/>
              </w:rPr>
              <w:t>消防救援</w:t>
            </w:r>
            <w:r>
              <w:rPr>
                <w:rFonts w:hint="eastAsia" w:ascii="仿宋" w:hAnsi="仿宋" w:eastAsia="仿宋" w:cs="Times New Roman"/>
                <w:color w:val="000000"/>
                <w:spacing w:val="-6"/>
                <w:kern w:val="0"/>
                <w:sz w:val="24"/>
              </w:rPr>
              <w:t>大</w:t>
            </w:r>
            <w:r>
              <w:rPr>
                <w:rFonts w:ascii="仿宋" w:hAnsi="仿宋" w:eastAsia="仿宋" w:cs="Times New Roman"/>
                <w:color w:val="000000"/>
                <w:spacing w:val="-6"/>
                <w:kern w:val="0"/>
                <w:sz w:val="24"/>
              </w:rPr>
              <w:t>队等部门</w:t>
            </w:r>
          </w:p>
        </w:tc>
      </w:tr>
      <w:tr>
        <w:tblPrEx>
          <w:tblCellMar>
            <w:top w:w="0" w:type="dxa"/>
            <w:left w:w="108" w:type="dxa"/>
            <w:bottom w:w="0" w:type="dxa"/>
            <w:right w:w="108" w:type="dxa"/>
          </w:tblCellMar>
        </w:tblPrEx>
        <w:trPr>
          <w:trHeight w:val="1382" w:hRule="atLeast"/>
          <w:jc w:val="center"/>
        </w:trPr>
        <w:tc>
          <w:tcPr>
            <w:tcW w:w="1417" w:type="dxa"/>
            <w:vMerge w:val="continue"/>
            <w:tcBorders>
              <w:left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1812" w:type="dxa"/>
            <w:vMerge w:val="continue"/>
            <w:tcBorders>
              <w:left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8351"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3.</w:t>
            </w:r>
            <w:r>
              <w:rPr>
                <w:rFonts w:hint="eastAsia" w:ascii="仿宋" w:hAnsi="仿宋" w:eastAsia="仿宋" w:cs="Times New Roman"/>
                <w:color w:val="000000"/>
                <w:kern w:val="0"/>
                <w:sz w:val="24"/>
              </w:rPr>
              <w:t>压实企业主体责任。严格落实安全生产第一责任人责任，坚持履职尽责承诺。制定并落实企业分管负责人安全生产职责清单。依法设置安全管理机构，配备安全总监、专兼职安全管理人员和注册安全工程师。足额提取使用安全生产费用。建立企业内部安全生产监督考核机制，每年组织全员安全生产责任制落实情况考核。要严格相关方安全管理，对发包、出租生产经营项目、场所及设备等行为，在合同或协议中明确双方安全生产的职责。要强化举一反三整改落实，深刻吸取事故教训，全面落实整改措施，每年至少组织开展一次全员安全警示教育活动。矿山企业按照有关规定全面开展“体检式”精查，建立健全安全生产管理制度机制，其他高危行业领域企业推广矿山企业做法。企业必须做到安全责任、投入、培训、管理和应急救援“五到位”。</w:t>
            </w:r>
          </w:p>
        </w:tc>
        <w:tc>
          <w:tcPr>
            <w:tcW w:w="284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县直各</w:t>
            </w:r>
            <w:r>
              <w:rPr>
                <w:rFonts w:ascii="仿宋" w:hAnsi="仿宋" w:eastAsia="仿宋" w:cs="Times New Roman"/>
                <w:color w:val="000000"/>
                <w:kern w:val="0"/>
                <w:sz w:val="24"/>
              </w:rPr>
              <w:t>负有安全监管职责的部门督促企业落实</w:t>
            </w:r>
          </w:p>
        </w:tc>
      </w:tr>
      <w:tr>
        <w:tblPrEx>
          <w:tblCellMar>
            <w:top w:w="0" w:type="dxa"/>
            <w:left w:w="108" w:type="dxa"/>
            <w:bottom w:w="0" w:type="dxa"/>
            <w:right w:w="108" w:type="dxa"/>
          </w:tblCellMar>
        </w:tblPrEx>
        <w:trPr>
          <w:trHeight w:val="2237" w:hRule="atLeast"/>
          <w:jc w:val="center"/>
        </w:trPr>
        <w:tc>
          <w:tcPr>
            <w:tcW w:w="1417" w:type="dxa"/>
            <w:vMerge w:val="continue"/>
            <w:tcBorders>
              <w:left w:val="single" w:color="000000" w:sz="4" w:space="0"/>
              <w:bottom w:val="single" w:color="auto"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1812" w:type="dxa"/>
            <w:vMerge w:val="continue"/>
            <w:tcBorders>
              <w:left w:val="single" w:color="000000" w:sz="4" w:space="0"/>
              <w:bottom w:val="single" w:color="auto" w:sz="4" w:space="0"/>
              <w:right w:val="single" w:color="000000" w:sz="4" w:space="0"/>
            </w:tcBorders>
            <w:noWrap w:val="0"/>
            <w:vAlign w:val="center"/>
          </w:tcPr>
          <w:p>
            <w:pPr>
              <w:widowControl/>
              <w:spacing w:line="300" w:lineRule="exact"/>
              <w:rPr>
                <w:rFonts w:hint="eastAsia" w:ascii="仿宋" w:hAnsi="仿宋" w:eastAsia="仿宋" w:cs="Times New Roman"/>
                <w:color w:val="000000"/>
                <w:kern w:val="0"/>
                <w:sz w:val="24"/>
              </w:rPr>
            </w:pPr>
          </w:p>
        </w:tc>
        <w:tc>
          <w:tcPr>
            <w:tcW w:w="8351" w:type="dxa"/>
            <w:gridSpan w:val="2"/>
            <w:tcBorders>
              <w:top w:val="single" w:color="auto" w:sz="4" w:space="0"/>
              <w:left w:val="single" w:color="000000" w:sz="4" w:space="0"/>
              <w:bottom w:val="single" w:color="auto" w:sz="4" w:space="0"/>
              <w:right w:val="single" w:color="auto" w:sz="4" w:space="0"/>
            </w:tcBorders>
            <w:noWrap w:val="0"/>
            <w:vAlign w:val="center"/>
          </w:tcPr>
          <w:p>
            <w:pPr>
              <w:widowControl/>
              <w:spacing w:line="300" w:lineRule="exact"/>
              <w:rPr>
                <w:rFonts w:hint="eastAsia" w:ascii="仿宋" w:hAnsi="仿宋" w:eastAsia="仿宋" w:cs="Times New Roman"/>
                <w:color w:val="000000"/>
                <w:kern w:val="0"/>
                <w:sz w:val="24"/>
              </w:rPr>
            </w:pPr>
            <w:r>
              <w:rPr>
                <w:rFonts w:ascii="仿宋" w:hAnsi="仿宋" w:eastAsia="仿宋" w:cs="Times New Roman"/>
                <w:color w:val="000000"/>
                <w:kern w:val="0"/>
                <w:sz w:val="24"/>
              </w:rPr>
              <w:t>4.完善全员安全责任</w:t>
            </w:r>
            <w:r>
              <w:rPr>
                <w:rFonts w:hint="eastAsia" w:ascii="仿宋" w:hAnsi="仿宋" w:eastAsia="仿宋" w:cs="Times New Roman"/>
                <w:color w:val="000000"/>
                <w:kern w:val="0"/>
                <w:sz w:val="24"/>
              </w:rPr>
              <w:t>。</w:t>
            </w:r>
            <w:r>
              <w:rPr>
                <w:rFonts w:ascii="仿宋" w:hAnsi="仿宋" w:eastAsia="仿宋" w:cs="Times New Roman"/>
                <w:color w:val="000000"/>
                <w:kern w:val="0"/>
                <w:sz w:val="24"/>
              </w:rPr>
              <w:t>建立健全从主要负责人到一线从业人员的安全生产责任体系，制定并落实安全生产责任清单，严格考核奖惩</w:t>
            </w:r>
            <w:r>
              <w:rPr>
                <w:rFonts w:hint="eastAsia" w:ascii="仿宋" w:hAnsi="仿宋" w:eastAsia="仿宋" w:cs="Times New Roman"/>
                <w:color w:val="000000"/>
                <w:kern w:val="0"/>
                <w:sz w:val="24"/>
              </w:rPr>
              <w:t>；</w:t>
            </w:r>
            <w:r>
              <w:rPr>
                <w:rFonts w:ascii="仿宋" w:hAnsi="仿宋" w:eastAsia="仿宋" w:cs="Times New Roman"/>
                <w:color w:val="000000"/>
                <w:kern w:val="0"/>
                <w:sz w:val="24"/>
              </w:rPr>
              <w:t>要将企业安全生产责任制、管理制度、操作规程</w:t>
            </w:r>
            <w:r>
              <w:rPr>
                <w:rFonts w:hint="eastAsia" w:ascii="仿宋" w:hAnsi="仿宋" w:eastAsia="仿宋" w:cs="Times New Roman"/>
                <w:color w:val="000000"/>
                <w:kern w:val="0"/>
                <w:sz w:val="24"/>
              </w:rPr>
              <w:t>及</w:t>
            </w:r>
            <w:r>
              <w:rPr>
                <w:rFonts w:ascii="仿宋" w:hAnsi="仿宋" w:eastAsia="仿宋" w:cs="Times New Roman"/>
                <w:color w:val="000000"/>
                <w:kern w:val="0"/>
                <w:sz w:val="24"/>
              </w:rPr>
              <w:t>企业安全生产涉及的相关标准规范，纳入企业三级培训的内容，严格按照国家法律法规规定的内容、学时及工作衔接点进行培训，未经培训不得上岗</w:t>
            </w:r>
            <w:r>
              <w:rPr>
                <w:rFonts w:hint="eastAsia" w:ascii="仿宋" w:hAnsi="仿宋" w:eastAsia="仿宋" w:cs="Times New Roman"/>
                <w:color w:val="000000"/>
                <w:kern w:val="0"/>
                <w:sz w:val="24"/>
              </w:rPr>
              <w:t>；</w:t>
            </w:r>
            <w:r>
              <w:rPr>
                <w:rFonts w:ascii="仿宋" w:hAnsi="仿宋" w:eastAsia="仿宋" w:cs="Times New Roman"/>
                <w:color w:val="000000"/>
                <w:kern w:val="0"/>
                <w:sz w:val="24"/>
              </w:rPr>
              <w:t>严格遵守安全管理制度和规程标准，持续深化反“三违”活动，让每个人做到不伤害自己、不伤害他人、不被别人伤害、保护他人不受伤害。</w:t>
            </w:r>
            <w:r>
              <w:rPr>
                <w:rFonts w:hint="eastAsia" w:ascii="仿宋" w:hAnsi="仿宋" w:eastAsia="仿宋" w:cs="Times New Roman"/>
                <w:color w:val="000000"/>
                <w:kern w:val="0"/>
                <w:sz w:val="24"/>
              </w:rPr>
              <w:t>要落实企业举报奖励制度，加强社会监督、舆论监督和企业内部监督。</w:t>
            </w:r>
          </w:p>
        </w:tc>
        <w:tc>
          <w:tcPr>
            <w:tcW w:w="284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县直各</w:t>
            </w:r>
            <w:r>
              <w:rPr>
                <w:rFonts w:ascii="仿宋" w:hAnsi="仿宋" w:eastAsia="仿宋" w:cs="Times New Roman"/>
                <w:color w:val="000000"/>
                <w:kern w:val="0"/>
                <w:sz w:val="24"/>
              </w:rPr>
              <w:t>负有安全监管职责的部门督促企业落实</w:t>
            </w:r>
          </w:p>
        </w:tc>
      </w:tr>
    </w:tbl>
    <w:p>
      <w:pPr>
        <w:spacing w:line="200" w:lineRule="exact"/>
        <w:rPr>
          <w:rFonts w:ascii="仿宋" w:hAnsi="仿宋" w:eastAsia="仿宋"/>
        </w:rPr>
        <w:sectPr>
          <w:pgSz w:w="16840" w:h="11907" w:orient="landscape"/>
          <w:pgMar w:top="1247" w:right="1134" w:bottom="1134" w:left="1247" w:header="851" w:footer="1021" w:gutter="0"/>
          <w:cols w:space="720" w:num="1"/>
          <w:titlePg/>
          <w:docGrid w:linePitch="319" w:charSpace="0"/>
        </w:sectPr>
      </w:pPr>
    </w:p>
    <w:p>
      <w:pPr>
        <w:spacing w:line="200" w:lineRule="exact"/>
        <w:rPr>
          <w:rFonts w:hint="eastAsia" w:ascii="仿宋" w:hAnsi="仿宋" w:eastAsia="仿宋" w:cs="Times New Roman"/>
        </w:rPr>
      </w:pPr>
    </w:p>
    <w:tbl>
      <w:tblPr>
        <w:tblStyle w:val="7"/>
        <w:tblW w:w="14399" w:type="dxa"/>
        <w:jc w:val="center"/>
        <w:tblLayout w:type="autofit"/>
        <w:tblCellMar>
          <w:top w:w="0" w:type="dxa"/>
          <w:left w:w="108" w:type="dxa"/>
          <w:bottom w:w="0" w:type="dxa"/>
          <w:right w:w="108" w:type="dxa"/>
        </w:tblCellMar>
      </w:tblPr>
      <w:tblGrid>
        <w:gridCol w:w="1414"/>
        <w:gridCol w:w="1808"/>
        <w:gridCol w:w="8335"/>
        <w:gridCol w:w="2842"/>
      </w:tblGrid>
      <w:tr>
        <w:tblPrEx>
          <w:tblCellMar>
            <w:top w:w="0" w:type="dxa"/>
            <w:left w:w="108" w:type="dxa"/>
            <w:bottom w:w="0" w:type="dxa"/>
            <w:right w:w="108" w:type="dxa"/>
          </w:tblCellMar>
        </w:tblPrEx>
        <w:trPr>
          <w:trHeight w:val="1016" w:hRule="atLeast"/>
          <w:jc w:val="center"/>
        </w:trPr>
        <w:tc>
          <w:tcPr>
            <w:tcW w:w="1414" w:type="dxa"/>
            <w:vMerge w:val="restart"/>
            <w:tcBorders>
              <w:top w:val="single" w:color="auto" w:sz="4" w:space="0"/>
              <w:left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二、严密管控风险隐患，实现更高水平的安全保障</w:t>
            </w:r>
          </w:p>
        </w:tc>
        <w:tc>
          <w:tcPr>
            <w:tcW w:w="1808"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（三）加强重大风险源头管控</w:t>
            </w:r>
          </w:p>
        </w:tc>
        <w:tc>
          <w:tcPr>
            <w:tcW w:w="833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推动园区等重点区域制定安全生产禁止和限制类产业目录，严格安全准入。</w:t>
            </w:r>
          </w:p>
        </w:tc>
        <w:tc>
          <w:tcPr>
            <w:tcW w:w="284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县</w:t>
            </w:r>
            <w:r>
              <w:rPr>
                <w:rFonts w:ascii="仿宋" w:hAnsi="仿宋" w:eastAsia="仿宋" w:cs="Times New Roman"/>
                <w:color w:val="000000"/>
                <w:kern w:val="0"/>
                <w:sz w:val="24"/>
              </w:rPr>
              <w:t>工业和信息化局、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应急管理局等部门</w:t>
            </w:r>
            <w:r>
              <w:rPr>
                <w:rFonts w:hint="eastAsia" w:ascii="仿宋" w:hAnsi="仿宋" w:eastAsia="仿宋" w:cs="Times New Roman"/>
                <w:color w:val="000000"/>
                <w:kern w:val="0"/>
                <w:sz w:val="24"/>
              </w:rPr>
              <w:t>，五台现代农业产业示范区</w:t>
            </w:r>
          </w:p>
        </w:tc>
      </w:tr>
      <w:tr>
        <w:tblPrEx>
          <w:tblCellMar>
            <w:top w:w="0" w:type="dxa"/>
            <w:left w:w="108" w:type="dxa"/>
            <w:bottom w:w="0" w:type="dxa"/>
            <w:right w:w="108" w:type="dxa"/>
          </w:tblCellMar>
        </w:tblPrEx>
        <w:trPr>
          <w:trHeight w:val="1654" w:hRule="atLeast"/>
          <w:jc w:val="center"/>
        </w:trPr>
        <w:tc>
          <w:tcPr>
            <w:tcW w:w="1414" w:type="dxa"/>
            <w:vMerge w:val="continue"/>
            <w:tcBorders>
              <w:left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180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8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行政审批、发展和改革等部门要对有关项目实施联合审查，加强源头安全防范。</w:t>
            </w:r>
          </w:p>
        </w:tc>
        <w:tc>
          <w:tcPr>
            <w:tcW w:w="2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县</w:t>
            </w:r>
            <w:r>
              <w:rPr>
                <w:rFonts w:ascii="仿宋" w:hAnsi="仿宋" w:eastAsia="仿宋" w:cs="Times New Roman"/>
                <w:color w:val="000000"/>
                <w:kern w:val="0"/>
                <w:sz w:val="24"/>
              </w:rPr>
              <w:t>行政审批服务管理局、</w:t>
            </w:r>
            <w:r>
              <w:rPr>
                <w:rFonts w:hint="eastAsia" w:ascii="仿宋" w:hAnsi="仿宋" w:eastAsia="仿宋" w:cs="Times New Roman"/>
                <w:color w:val="000000"/>
                <w:kern w:val="0"/>
                <w:sz w:val="24"/>
              </w:rPr>
              <w:t>县发展和改革局</w:t>
            </w:r>
            <w:r>
              <w:rPr>
                <w:rFonts w:ascii="仿宋" w:hAnsi="仿宋" w:eastAsia="仿宋" w:cs="Times New Roman"/>
                <w:color w:val="000000"/>
                <w:kern w:val="0"/>
                <w:sz w:val="24"/>
              </w:rPr>
              <w:t>、</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工业和信息化局、市生态环境局</w:t>
            </w:r>
            <w:r>
              <w:rPr>
                <w:rFonts w:hint="eastAsia" w:ascii="仿宋" w:hAnsi="仿宋" w:eastAsia="仿宋" w:cs="Times New Roman"/>
                <w:color w:val="000000"/>
                <w:kern w:val="0"/>
                <w:sz w:val="24"/>
              </w:rPr>
              <w:t>五台分局</w:t>
            </w:r>
            <w:r>
              <w:rPr>
                <w:rFonts w:ascii="仿宋" w:hAnsi="仿宋" w:eastAsia="仿宋" w:cs="Times New Roman"/>
                <w:color w:val="000000"/>
                <w:kern w:val="0"/>
                <w:sz w:val="24"/>
              </w:rPr>
              <w:t>、</w:t>
            </w:r>
            <w:r>
              <w:rPr>
                <w:rFonts w:hint="eastAsia" w:ascii="仿宋" w:hAnsi="仿宋" w:eastAsia="仿宋" w:cs="Times New Roman"/>
                <w:color w:val="000000"/>
                <w:kern w:val="0"/>
                <w:sz w:val="24"/>
              </w:rPr>
              <w:t>县</w:t>
            </w:r>
            <w:r>
              <w:rPr>
                <w:rFonts w:ascii="仿宋" w:hAnsi="仿宋" w:eastAsia="仿宋" w:cs="Times New Roman"/>
                <w:color w:val="000000"/>
                <w:kern w:val="0"/>
                <w:sz w:val="24"/>
              </w:rPr>
              <w:t>自然资源局、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应急管理局等部门</w:t>
            </w:r>
          </w:p>
        </w:tc>
      </w:tr>
      <w:tr>
        <w:tblPrEx>
          <w:tblCellMar>
            <w:top w:w="0" w:type="dxa"/>
            <w:left w:w="108" w:type="dxa"/>
            <w:bottom w:w="0" w:type="dxa"/>
            <w:right w:w="108" w:type="dxa"/>
          </w:tblCellMar>
        </w:tblPrEx>
        <w:trPr>
          <w:trHeight w:val="764" w:hRule="atLeast"/>
          <w:jc w:val="center"/>
        </w:trPr>
        <w:tc>
          <w:tcPr>
            <w:tcW w:w="1414" w:type="dxa"/>
            <w:vMerge w:val="continue"/>
            <w:tcBorders>
              <w:left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180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8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仿宋" w:hAnsi="仿宋" w:eastAsia="仿宋" w:cs="Times New Roman"/>
                <w:color w:val="000000"/>
                <w:kern w:val="0"/>
                <w:sz w:val="24"/>
              </w:rPr>
            </w:pPr>
            <w:r>
              <w:rPr>
                <w:rFonts w:hint="eastAsia" w:ascii="仿宋" w:hAnsi="仿宋" w:eastAsia="仿宋" w:cs="Times New Roman"/>
                <w:color w:val="000000"/>
                <w:kern w:val="0"/>
                <w:sz w:val="24"/>
              </w:rPr>
              <w:t>严格矿山安全生产准入。规范矿山建设项目安全设施设计审查和安全生产许可。</w:t>
            </w:r>
          </w:p>
        </w:tc>
        <w:tc>
          <w:tcPr>
            <w:tcW w:w="2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县</w:t>
            </w:r>
            <w:r>
              <w:rPr>
                <w:rFonts w:ascii="仿宋" w:hAnsi="仿宋" w:eastAsia="仿宋" w:cs="Times New Roman"/>
                <w:color w:val="000000"/>
                <w:kern w:val="0"/>
                <w:sz w:val="24"/>
              </w:rPr>
              <w:t>能源局、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自然资源局、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应急管理局等部门</w:t>
            </w:r>
          </w:p>
        </w:tc>
      </w:tr>
      <w:tr>
        <w:tblPrEx>
          <w:tblCellMar>
            <w:top w:w="0" w:type="dxa"/>
            <w:left w:w="108" w:type="dxa"/>
            <w:bottom w:w="0" w:type="dxa"/>
            <w:right w:w="108" w:type="dxa"/>
          </w:tblCellMar>
        </w:tblPrEx>
        <w:trPr>
          <w:trHeight w:val="1653" w:hRule="atLeast"/>
          <w:jc w:val="center"/>
        </w:trPr>
        <w:tc>
          <w:tcPr>
            <w:tcW w:w="1414" w:type="dxa"/>
            <w:vMerge w:val="continue"/>
            <w:tcBorders>
              <w:left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（四）严格安全风险预警管控</w:t>
            </w:r>
          </w:p>
        </w:tc>
        <w:tc>
          <w:tcPr>
            <w:tcW w:w="8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仿宋" w:hAnsi="仿宋" w:eastAsia="仿宋" w:cs="Times New Roman"/>
                <w:color w:val="000000"/>
                <w:kern w:val="0"/>
                <w:sz w:val="24"/>
              </w:rPr>
            </w:pPr>
            <w:r>
              <w:rPr>
                <w:rFonts w:hint="eastAsia" w:ascii="仿宋" w:hAnsi="仿宋" w:eastAsia="仿宋" w:cs="Times New Roman"/>
                <w:color w:val="000000"/>
                <w:kern w:val="0"/>
                <w:sz w:val="24"/>
              </w:rPr>
              <w:t>运用大数据、物联网等技术，加大矿山、危险化学品重大危险源、粉尘涉爆等行业领域安全风险监测预警系统建设应用。完善露天矿山边坡、尾矿库在线监测。企业要建立完善并落实安全风险分级管控制度。监管部门要通过安全风险监测预警系统等，加强对企业风险管控措施落实情况的检查。</w:t>
            </w:r>
          </w:p>
        </w:tc>
        <w:tc>
          <w:tcPr>
            <w:tcW w:w="2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县直各</w:t>
            </w:r>
            <w:r>
              <w:rPr>
                <w:rFonts w:ascii="仿宋" w:hAnsi="仿宋" w:eastAsia="仿宋" w:cs="Times New Roman"/>
                <w:color w:val="000000"/>
                <w:kern w:val="0"/>
                <w:sz w:val="24"/>
              </w:rPr>
              <w:t>负有安全监管职责的部门</w:t>
            </w:r>
          </w:p>
        </w:tc>
      </w:tr>
      <w:tr>
        <w:tblPrEx>
          <w:tblCellMar>
            <w:top w:w="0" w:type="dxa"/>
            <w:left w:w="108" w:type="dxa"/>
            <w:bottom w:w="0" w:type="dxa"/>
            <w:right w:w="108" w:type="dxa"/>
          </w:tblCellMar>
        </w:tblPrEx>
        <w:trPr>
          <w:trHeight w:val="1100" w:hRule="atLeast"/>
          <w:jc w:val="center"/>
        </w:trPr>
        <w:tc>
          <w:tcPr>
            <w:tcW w:w="1414" w:type="dxa"/>
            <w:vMerge w:val="continue"/>
            <w:tcBorders>
              <w:left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18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（五）深化重大事故隐患专项排查整治</w:t>
            </w:r>
          </w:p>
        </w:tc>
        <w:tc>
          <w:tcPr>
            <w:tcW w:w="8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以重点行业领域、高风险场所、危险作业环节管理和全员安全素质提升为重点，集中开展安全意识大教育、安全隐患大排查、安全问题大整治、安全责任大落实活动。</w:t>
            </w:r>
          </w:p>
        </w:tc>
        <w:tc>
          <w:tcPr>
            <w:tcW w:w="2842" w:type="dxa"/>
            <w:tcBorders>
              <w:top w:val="single" w:color="000000" w:sz="4" w:space="0"/>
              <w:left w:val="nil"/>
              <w:bottom w:val="single" w:color="000000" w:sz="4" w:space="0"/>
              <w:right w:val="single" w:color="000000" w:sz="4" w:space="0"/>
            </w:tcBorders>
            <w:noWrap w:val="0"/>
            <w:vAlign w:val="center"/>
          </w:tcPr>
          <w:p>
            <w:pPr>
              <w:widowControl/>
              <w:spacing w:line="300" w:lineRule="exact"/>
              <w:rPr>
                <w:rFonts w:ascii="仿宋" w:hAnsi="仿宋" w:eastAsia="仿宋" w:cs="宋体"/>
                <w:color w:val="000000"/>
                <w:spacing w:val="-4"/>
                <w:kern w:val="0"/>
                <w:sz w:val="24"/>
              </w:rPr>
            </w:pPr>
            <w:r>
              <w:rPr>
                <w:rFonts w:hint="eastAsia" w:ascii="仿宋" w:hAnsi="仿宋" w:eastAsia="仿宋" w:cs="宋体"/>
                <w:color w:val="000000"/>
                <w:spacing w:val="-4"/>
                <w:kern w:val="0"/>
                <w:sz w:val="24"/>
              </w:rPr>
              <w:t>县直各有关部门</w:t>
            </w:r>
          </w:p>
        </w:tc>
      </w:tr>
      <w:tr>
        <w:tblPrEx>
          <w:tblCellMar>
            <w:top w:w="0" w:type="dxa"/>
            <w:left w:w="108" w:type="dxa"/>
            <w:bottom w:w="0" w:type="dxa"/>
            <w:right w:w="108" w:type="dxa"/>
          </w:tblCellMar>
        </w:tblPrEx>
        <w:trPr>
          <w:trHeight w:val="1120" w:hRule="atLeast"/>
          <w:jc w:val="center"/>
        </w:trPr>
        <w:tc>
          <w:tcPr>
            <w:tcW w:w="1414" w:type="dxa"/>
            <w:vMerge w:val="continue"/>
            <w:tcBorders>
              <w:left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180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8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企业要建立健全事故隐患排查治理制度，完善事故隐患自查自改常态化动态清零机制。对重大事故隐患，企业要向监管部门和企业职工“双报告”，监管部门挂牌督办并审核把关销号。</w:t>
            </w:r>
          </w:p>
        </w:tc>
        <w:tc>
          <w:tcPr>
            <w:tcW w:w="2842" w:type="dxa"/>
            <w:tcBorders>
              <w:top w:val="single" w:color="000000" w:sz="4" w:space="0"/>
              <w:left w:val="nil"/>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县直各</w:t>
            </w:r>
            <w:r>
              <w:rPr>
                <w:rFonts w:ascii="仿宋" w:hAnsi="仿宋" w:eastAsia="仿宋" w:cs="Times New Roman"/>
                <w:color w:val="000000"/>
                <w:kern w:val="0"/>
                <w:sz w:val="24"/>
              </w:rPr>
              <w:t>负有安全监管职责的部门督促企业落实</w:t>
            </w:r>
          </w:p>
        </w:tc>
      </w:tr>
      <w:tr>
        <w:tblPrEx>
          <w:tblCellMar>
            <w:top w:w="0" w:type="dxa"/>
            <w:left w:w="108" w:type="dxa"/>
            <w:bottom w:w="0" w:type="dxa"/>
            <w:right w:w="108" w:type="dxa"/>
          </w:tblCellMar>
        </w:tblPrEx>
        <w:trPr>
          <w:trHeight w:val="1772" w:hRule="atLeast"/>
          <w:jc w:val="center"/>
        </w:trPr>
        <w:tc>
          <w:tcPr>
            <w:tcW w:w="1414" w:type="dxa"/>
            <w:vMerge w:val="continue"/>
            <w:tcBorders>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18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（六）推进安全生产依法治理</w:t>
            </w:r>
          </w:p>
        </w:tc>
        <w:tc>
          <w:tcPr>
            <w:tcW w:w="83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仿宋" w:hAnsi="仿宋" w:eastAsia="仿宋" w:cs="Times New Roman"/>
                <w:color w:val="000000"/>
                <w:kern w:val="0"/>
                <w:sz w:val="24"/>
              </w:rPr>
            </w:pPr>
            <w:r>
              <w:rPr>
                <w:rFonts w:hint="eastAsia" w:ascii="仿宋" w:hAnsi="仿宋" w:eastAsia="仿宋" w:cs="Times New Roman"/>
                <w:color w:val="000000"/>
                <w:kern w:val="0"/>
                <w:sz w:val="24"/>
              </w:rPr>
              <w:t>严格实施《中华人民共和国安全生产法》和《山西省安全生产条例》等法律法规，修订完善配套制度标准。加大“互联网＋执法”应用力度，推广“远程＋现场”执法。采取“四不两直”、暗查暗访、交叉执法等方式，深入推进精准严格执法，及时公布和处理检查发现的重大事故隐患。建立健全监管执法统计、执法考评和典型案例报送制度。强化专家配合执法、指导服务企业的技术支撑。</w:t>
            </w:r>
          </w:p>
        </w:tc>
        <w:tc>
          <w:tcPr>
            <w:tcW w:w="2842" w:type="dxa"/>
            <w:tcBorders>
              <w:top w:val="single" w:color="000000" w:sz="4" w:space="0"/>
              <w:left w:val="nil"/>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县直各</w:t>
            </w:r>
            <w:r>
              <w:rPr>
                <w:rFonts w:ascii="仿宋" w:hAnsi="仿宋" w:eastAsia="仿宋" w:cs="Times New Roman"/>
                <w:color w:val="000000"/>
                <w:kern w:val="0"/>
                <w:sz w:val="24"/>
              </w:rPr>
              <w:t>负有安全监管职责的部门</w:t>
            </w:r>
          </w:p>
        </w:tc>
      </w:tr>
    </w:tbl>
    <w:p>
      <w:pPr>
        <w:spacing w:line="300" w:lineRule="exact"/>
        <w:rPr>
          <w:rFonts w:ascii="仿宋" w:hAnsi="仿宋" w:eastAsia="仿宋"/>
        </w:rPr>
        <w:sectPr>
          <w:pgSz w:w="16840" w:h="11907" w:orient="landscape"/>
          <w:pgMar w:top="1247" w:right="1134" w:bottom="1134" w:left="1247" w:header="851" w:footer="1021" w:gutter="0"/>
          <w:cols w:space="720" w:num="1"/>
          <w:titlePg/>
          <w:docGrid w:linePitch="319" w:charSpace="0"/>
        </w:sectPr>
      </w:pPr>
    </w:p>
    <w:p>
      <w:pPr>
        <w:spacing w:line="300" w:lineRule="exact"/>
        <w:rPr>
          <w:rFonts w:hint="eastAsia" w:ascii="仿宋" w:hAnsi="仿宋" w:eastAsia="仿宋" w:cs="Times New Roman"/>
        </w:rPr>
      </w:pPr>
    </w:p>
    <w:tbl>
      <w:tblPr>
        <w:tblStyle w:val="7"/>
        <w:tblW w:w="14428" w:type="dxa"/>
        <w:jc w:val="center"/>
        <w:tblLayout w:type="autofit"/>
        <w:tblCellMar>
          <w:top w:w="0" w:type="dxa"/>
          <w:left w:w="108" w:type="dxa"/>
          <w:bottom w:w="0" w:type="dxa"/>
          <w:right w:w="108" w:type="dxa"/>
        </w:tblCellMar>
      </w:tblPr>
      <w:tblGrid>
        <w:gridCol w:w="1417"/>
        <w:gridCol w:w="1812"/>
        <w:gridCol w:w="8351"/>
        <w:gridCol w:w="2848"/>
      </w:tblGrid>
      <w:tr>
        <w:tblPrEx>
          <w:tblCellMar>
            <w:top w:w="0" w:type="dxa"/>
            <w:left w:w="108" w:type="dxa"/>
            <w:bottom w:w="0" w:type="dxa"/>
            <w:right w:w="108" w:type="dxa"/>
          </w:tblCellMar>
        </w:tblPrEx>
        <w:trPr>
          <w:trHeight w:val="1871" w:hRule="atLeast"/>
          <w:jc w:val="center"/>
        </w:trPr>
        <w:tc>
          <w:tcPr>
            <w:tcW w:w="1417"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三、开展治本攻坚三年行动，深化重点行业领域专项整治</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（七）开展治本攻坚三年行动</w:t>
            </w:r>
          </w:p>
        </w:tc>
        <w:tc>
          <w:tcPr>
            <w:tcW w:w="835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要按照省、市、县安委会统一部署，聚焦当前制约安全发展的深层次矛盾问题，着力开展安全生产责任大落实、企业主要负责人安全教育培训、从业人员安全素质提升、部门精准执法、重大事故隐患判定标准体系完善、事故隐患动态清零、安全科技支撑、全民安全素质提升等行动，落实人防、技防、工程防、管理防等措施，不断提升本质安全水平。矿山行业要在制定并落实治本之策上作表率，推进安全管理与资源配置、产能挂钩。</w:t>
            </w:r>
          </w:p>
        </w:tc>
        <w:tc>
          <w:tcPr>
            <w:tcW w:w="28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各</w:t>
            </w:r>
            <w:r>
              <w:rPr>
                <w:rFonts w:hint="eastAsia" w:ascii="仿宋" w:hAnsi="仿宋" w:eastAsia="仿宋" w:cs="Times New Roman"/>
                <w:color w:val="000000"/>
                <w:kern w:val="0"/>
                <w:sz w:val="24"/>
              </w:rPr>
              <w:t>乡</w:t>
            </w:r>
            <w:r>
              <w:rPr>
                <w:rFonts w:ascii="仿宋" w:hAnsi="仿宋" w:eastAsia="仿宋" w:cs="Times New Roman"/>
                <w:color w:val="000000"/>
                <w:kern w:val="0"/>
                <w:sz w:val="24"/>
              </w:rPr>
              <w:t>（</w:t>
            </w:r>
            <w:r>
              <w:rPr>
                <w:rFonts w:hint="eastAsia" w:ascii="仿宋" w:hAnsi="仿宋" w:eastAsia="仿宋" w:cs="Times New Roman"/>
                <w:color w:val="000000"/>
                <w:kern w:val="0"/>
                <w:sz w:val="24"/>
              </w:rPr>
              <w:t>镇</w:t>
            </w:r>
            <w:r>
              <w:rPr>
                <w:rFonts w:ascii="仿宋" w:hAnsi="仿宋" w:eastAsia="仿宋" w:cs="Times New Roman"/>
                <w:color w:val="000000"/>
                <w:kern w:val="0"/>
                <w:sz w:val="24"/>
              </w:rPr>
              <w:t>）政府</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安委办</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安委会有关成员单位</w:t>
            </w:r>
          </w:p>
        </w:tc>
      </w:tr>
      <w:tr>
        <w:trPr>
          <w:trHeight w:val="3598" w:hRule="atLeast"/>
          <w:jc w:val="center"/>
        </w:trPr>
        <w:tc>
          <w:tcPr>
            <w:tcW w:w="141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仿宋" w:hAnsi="仿宋" w:eastAsia="仿宋" w:cs="Times New Roman"/>
                <w:color w:val="000000"/>
                <w:kern w:val="0"/>
                <w:sz w:val="24"/>
              </w:rPr>
            </w:pPr>
          </w:p>
        </w:tc>
        <w:tc>
          <w:tcPr>
            <w:tcW w:w="181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（八）煤矿领域专项整治</w:t>
            </w:r>
          </w:p>
        </w:tc>
        <w:tc>
          <w:tcPr>
            <w:tcW w:w="835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贯彻落实《中共中央办公厅 国务院办公厅关于进一步加强矿山安全生产工作的意见》及省、市</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工作措施，宣传贯彻执行好《煤矿安全生产条例》，开展治本攻坚三年行动，严格落实防范遏制矿山领域重特大事故八条硬措施，完善地质先行、超前治灾、风险管控、隐患整治、基层基础、科技赋能、应急处置、事故调查“一件事”全链条。对露天煤矿全面排查“过筛子”，大力实施水、火等重大灾害超前治理。组织开展隐蔽致灾因素区域性普查治理。强化重大安全风险管控，加强采掘接续、设施设备、高风险作业和关键环节管理。组织外包队伍专项执法检查，规范外包工程管理。推行“无视频不作业”。加强停产停建煤矿安全管控，实施驻矿盯守。矿山安全管理层级压减至三级以内。统筹建立煤矿保供任务完成情况动态调整机制。开展“打非治违”专项行动，对超能力生产、超层越界、非法盗采、使用淘汰落后装备、以建设名义进行生产等非法违法生产建设行为进行重点打击。</w:t>
            </w:r>
          </w:p>
        </w:tc>
        <w:tc>
          <w:tcPr>
            <w:tcW w:w="28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县</w:t>
            </w:r>
            <w:r>
              <w:rPr>
                <w:rFonts w:ascii="仿宋" w:hAnsi="仿宋" w:eastAsia="仿宋" w:cs="Times New Roman"/>
                <w:color w:val="000000"/>
                <w:kern w:val="0"/>
                <w:sz w:val="24"/>
              </w:rPr>
              <w:t>应急管理局、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能源局、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自然资源局等部门</w:t>
            </w:r>
          </w:p>
        </w:tc>
      </w:tr>
      <w:tr>
        <w:tblPrEx>
          <w:tblCellMar>
            <w:top w:w="0" w:type="dxa"/>
            <w:left w:w="108" w:type="dxa"/>
            <w:bottom w:w="0" w:type="dxa"/>
            <w:right w:w="108" w:type="dxa"/>
          </w:tblCellMar>
        </w:tblPrEx>
        <w:trPr>
          <w:trHeight w:val="2579" w:hRule="atLeast"/>
          <w:jc w:val="center"/>
        </w:trPr>
        <w:tc>
          <w:tcPr>
            <w:tcW w:w="141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00" w:lineRule="exact"/>
              <w:rPr>
                <w:rFonts w:ascii="仿宋" w:hAnsi="仿宋" w:eastAsia="仿宋" w:cs="Times New Roman"/>
                <w:color w:val="000000"/>
                <w:kern w:val="0"/>
                <w:sz w:val="24"/>
              </w:rPr>
            </w:pPr>
          </w:p>
        </w:tc>
        <w:tc>
          <w:tcPr>
            <w:tcW w:w="181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（九）金属非金属矿山和尾矿库领域专项整治</w:t>
            </w:r>
          </w:p>
        </w:tc>
        <w:tc>
          <w:tcPr>
            <w:tcW w:w="8351"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推进铁矿资源整治整合重组，加快推广机械化撬毛，严格落实《忻州市非煤地下矿山防范冒顶片帮事故“八无八不”硬措施》，不断提高安全生产科技保障能力，提升工作效率和安全系数。按照《忻州市金属非金属地下矿山隐蔽致灾因素普查治理“九必须九严禁”》要求，采用钻探、物探、化探等方式，开展隐蔽致灾因素普查，坚持系统谋划、超前研判，动态、精准掌握隐蔽致灾因素，及时、有效治理重大灾害。以推动隐患源头治理为核心，以落实企业主体责任为重点，组织开展非煤矿山企业“体检式”精查。突出资质挂靠、未签订安全生产管理协议、项目安全管理机构不健全、专业技术人员学历资质不符合要求等问题，组织开展外包采掘施工队伍的专项整治。推进大型矿山开展自动化、智能化升级改造。制定尾矿库闭库销号计划和销号清单，对运行到设计最终标高或者不再进行排尾作业的尾矿库、停用时间超过３年的尾矿库、没有生产经营主体的尾矿库，必须在年内完成闭库治理并销号。完成头顶库治理。</w:t>
            </w:r>
          </w:p>
        </w:tc>
        <w:tc>
          <w:tcPr>
            <w:tcW w:w="284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县</w:t>
            </w:r>
            <w:r>
              <w:rPr>
                <w:rFonts w:ascii="仿宋" w:hAnsi="仿宋" w:eastAsia="仿宋" w:cs="Times New Roman"/>
                <w:color w:val="000000"/>
                <w:kern w:val="0"/>
                <w:sz w:val="24"/>
              </w:rPr>
              <w:t>自然资源局、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应急管理局等部门</w:t>
            </w:r>
          </w:p>
        </w:tc>
      </w:tr>
    </w:tbl>
    <w:p>
      <w:pPr>
        <w:spacing w:line="300" w:lineRule="exact"/>
        <w:rPr>
          <w:rFonts w:ascii="仿宋" w:hAnsi="仿宋" w:eastAsia="仿宋"/>
        </w:rPr>
        <w:sectPr>
          <w:pgSz w:w="16840" w:h="11907" w:orient="landscape"/>
          <w:pgMar w:top="1247" w:right="1134" w:bottom="1134" w:left="1247" w:header="851" w:footer="1021" w:gutter="0"/>
          <w:cols w:space="720" w:num="1"/>
          <w:titlePg/>
          <w:docGrid w:linePitch="319" w:charSpace="0"/>
        </w:sectPr>
      </w:pPr>
    </w:p>
    <w:p>
      <w:pPr>
        <w:spacing w:line="300" w:lineRule="exact"/>
        <w:rPr>
          <w:rFonts w:hint="eastAsia" w:ascii="仿宋" w:hAnsi="仿宋" w:eastAsia="仿宋" w:cs="Times New Roman"/>
        </w:rPr>
      </w:pPr>
    </w:p>
    <w:tbl>
      <w:tblPr>
        <w:tblStyle w:val="7"/>
        <w:tblW w:w="14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4"/>
        <w:gridCol w:w="1808"/>
        <w:gridCol w:w="8334"/>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8" w:hRule="atLeast"/>
          <w:jc w:val="center"/>
        </w:trPr>
        <w:tc>
          <w:tcPr>
            <w:tcW w:w="1414" w:type="dxa"/>
            <w:vMerge w:val="restart"/>
            <w:shd w:val="clear" w:color="auto" w:fill="auto"/>
            <w:noWrap w:val="0"/>
            <w:vAlign w:val="center"/>
          </w:tcPr>
          <w:p>
            <w:pPr>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三、开展治本攻坚三年行动，深化重点行业领域专项整治</w:t>
            </w:r>
          </w:p>
        </w:tc>
        <w:tc>
          <w:tcPr>
            <w:tcW w:w="1808" w:type="dxa"/>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（十）危险化学品领域专项整治</w:t>
            </w:r>
          </w:p>
        </w:tc>
        <w:tc>
          <w:tcPr>
            <w:tcW w:w="8334" w:type="dxa"/>
            <w:noWrap w:val="0"/>
            <w:vAlign w:val="center"/>
          </w:tcPr>
          <w:p>
            <w:pPr>
              <w:widowControl/>
              <w:spacing w:line="300" w:lineRule="exact"/>
              <w:rPr>
                <w:rFonts w:hint="eastAsia" w:ascii="仿宋" w:hAnsi="仿宋" w:eastAsia="仿宋" w:cs="Times New Roman"/>
                <w:color w:val="000000"/>
                <w:kern w:val="0"/>
                <w:sz w:val="24"/>
              </w:rPr>
            </w:pPr>
            <w:r>
              <w:rPr>
                <w:rFonts w:hint="eastAsia" w:ascii="仿宋" w:hAnsi="仿宋" w:eastAsia="仿宋" w:cs="Times New Roman"/>
                <w:color w:val="000000"/>
                <w:kern w:val="0"/>
                <w:sz w:val="24"/>
              </w:rPr>
              <w:t>防控重大危险源和转移项目安全风险。加强危险作业安全管理，持续推进重大危险源企业双重预防机制数字化建设，聘请第三方专家团队开展企业安全体检。督促企业扎实开展“三级”教育培训和每年一次的全员培训，严防培训“走过场”，持续提升从业人员素质。持续开展“打非治违”，及时查处化工和危险化学品建设项目未批先建等违法行为。开展危险化学品经营企业安全专项整治和工业气体充装企业安全风险评估。深化“小化工”专项整治。推动认定的化工园区全部达到“十有两禁”要求。</w:t>
            </w:r>
          </w:p>
        </w:tc>
        <w:tc>
          <w:tcPr>
            <w:tcW w:w="2843" w:type="dxa"/>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县</w:t>
            </w:r>
            <w:r>
              <w:rPr>
                <w:rFonts w:ascii="仿宋" w:hAnsi="仿宋" w:eastAsia="仿宋" w:cs="Times New Roman"/>
                <w:color w:val="000000"/>
                <w:kern w:val="0"/>
                <w:sz w:val="24"/>
              </w:rPr>
              <w:t>应急管理局等部门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jc w:val="center"/>
        </w:trPr>
        <w:tc>
          <w:tcPr>
            <w:tcW w:w="1414" w:type="dxa"/>
            <w:vMerge w:val="continue"/>
            <w:shd w:val="clear" w:color="auto" w:fill="auto"/>
            <w:noWrap w:val="0"/>
            <w:vAlign w:val="center"/>
          </w:tcPr>
          <w:p>
            <w:pPr>
              <w:spacing w:line="300" w:lineRule="exact"/>
              <w:rPr>
                <w:rFonts w:ascii="仿宋" w:hAnsi="仿宋" w:eastAsia="仿宋" w:cs="Times New Roman"/>
                <w:color w:val="000000"/>
                <w:kern w:val="0"/>
                <w:sz w:val="24"/>
              </w:rPr>
            </w:pPr>
          </w:p>
        </w:tc>
        <w:tc>
          <w:tcPr>
            <w:tcW w:w="1808" w:type="dxa"/>
            <w:noWrap w:val="0"/>
            <w:vAlign w:val="center"/>
          </w:tcPr>
          <w:p>
            <w:pPr>
              <w:widowControl/>
              <w:spacing w:line="300" w:lineRule="exact"/>
              <w:rPr>
                <w:rFonts w:hint="eastAsia" w:ascii="仿宋" w:hAnsi="仿宋" w:eastAsia="仿宋" w:cs="Times New Roman"/>
                <w:color w:val="000000"/>
                <w:kern w:val="0"/>
                <w:sz w:val="24"/>
              </w:rPr>
            </w:pPr>
            <w:r>
              <w:rPr>
                <w:rFonts w:hint="eastAsia" w:ascii="仿宋" w:hAnsi="仿宋" w:eastAsia="仿宋" w:cs="Times New Roman"/>
                <w:color w:val="000000"/>
                <w:kern w:val="0"/>
                <w:sz w:val="24"/>
              </w:rPr>
              <w:t>（十一）交通运输领域专项整治</w:t>
            </w:r>
          </w:p>
        </w:tc>
        <w:tc>
          <w:tcPr>
            <w:tcW w:w="8334" w:type="dxa"/>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加大酒驾醉驾、无证驾驶等违法行为整治力度。推进农村交通安全分级分类管理，深化农用车违法载人专项整治。加强大型营运客车安全监管，严格“两客一危”等重点车辆动态监控。从严监管桥梁、隧道、长下坡、急弯等高风险路段。常态化开展货车超限超载整治。加强铁路沿线安全治理。深化公路安全生命防护工程建设。开展农村地区道路交通视频图像统筹建设与智能应用。</w:t>
            </w:r>
          </w:p>
        </w:tc>
        <w:tc>
          <w:tcPr>
            <w:tcW w:w="2843" w:type="dxa"/>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县</w:t>
            </w:r>
            <w:r>
              <w:rPr>
                <w:rFonts w:ascii="仿宋" w:hAnsi="仿宋" w:eastAsia="仿宋" w:cs="Times New Roman"/>
                <w:color w:val="000000"/>
                <w:kern w:val="0"/>
                <w:sz w:val="24"/>
              </w:rPr>
              <w:t>交警</w:t>
            </w:r>
            <w:r>
              <w:rPr>
                <w:rFonts w:hint="eastAsia" w:ascii="仿宋" w:hAnsi="仿宋" w:eastAsia="仿宋" w:cs="Times New Roman"/>
                <w:color w:val="000000"/>
                <w:kern w:val="0"/>
                <w:sz w:val="24"/>
              </w:rPr>
              <w:t>大</w:t>
            </w:r>
            <w:r>
              <w:rPr>
                <w:rFonts w:ascii="仿宋" w:hAnsi="仿宋" w:eastAsia="仿宋" w:cs="Times New Roman"/>
                <w:color w:val="000000"/>
                <w:kern w:val="0"/>
                <w:sz w:val="24"/>
              </w:rPr>
              <w:t>队、</w:t>
            </w:r>
            <w:r>
              <w:rPr>
                <w:rFonts w:hint="eastAsia" w:ascii="仿宋" w:hAnsi="仿宋" w:eastAsia="仿宋" w:cs="Times New Roman"/>
                <w:color w:val="000000"/>
                <w:kern w:val="0"/>
                <w:sz w:val="24"/>
              </w:rPr>
              <w:t>县</w:t>
            </w:r>
            <w:r>
              <w:rPr>
                <w:rFonts w:ascii="仿宋" w:hAnsi="仿宋" w:eastAsia="仿宋" w:cs="Times New Roman"/>
                <w:color w:val="000000"/>
                <w:kern w:val="0"/>
                <w:sz w:val="24"/>
              </w:rPr>
              <w:t>交通</w:t>
            </w:r>
            <w:r>
              <w:rPr>
                <w:rFonts w:hint="eastAsia" w:ascii="仿宋" w:hAnsi="仿宋" w:eastAsia="仿宋" w:cs="Times New Roman"/>
                <w:color w:val="000000"/>
                <w:kern w:val="0"/>
                <w:sz w:val="24"/>
              </w:rPr>
              <w:t>运输</w:t>
            </w:r>
            <w:r>
              <w:rPr>
                <w:rFonts w:ascii="仿宋" w:hAnsi="仿宋" w:eastAsia="仿宋" w:cs="Times New Roman"/>
                <w:color w:val="000000"/>
                <w:kern w:val="0"/>
                <w:sz w:val="24"/>
              </w:rPr>
              <w:t>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工业和信息化局、</w:t>
            </w:r>
            <w:r>
              <w:rPr>
                <w:rFonts w:hint="eastAsia" w:ascii="仿宋" w:hAnsi="仿宋" w:eastAsia="仿宋" w:cs="Times New Roman"/>
                <w:color w:val="000000"/>
                <w:kern w:val="0"/>
                <w:sz w:val="24"/>
              </w:rPr>
              <w:t>五台公路段</w:t>
            </w:r>
            <w:r>
              <w:rPr>
                <w:rFonts w:ascii="仿宋" w:hAnsi="仿宋" w:eastAsia="仿宋" w:cs="Times New Roman"/>
                <w:color w:val="000000"/>
                <w:kern w:val="0"/>
                <w:sz w:val="24"/>
              </w:rPr>
              <w:t>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414" w:type="dxa"/>
            <w:vMerge w:val="continue"/>
            <w:shd w:val="clear" w:color="auto" w:fill="auto"/>
            <w:noWrap w:val="0"/>
            <w:vAlign w:val="center"/>
          </w:tcPr>
          <w:p>
            <w:pPr>
              <w:spacing w:line="300" w:lineRule="exact"/>
              <w:rPr>
                <w:rFonts w:ascii="仿宋" w:hAnsi="仿宋" w:eastAsia="仿宋" w:cs="Times New Roman"/>
                <w:color w:val="000000"/>
                <w:kern w:val="0"/>
                <w:sz w:val="24"/>
              </w:rPr>
            </w:pPr>
          </w:p>
        </w:tc>
        <w:tc>
          <w:tcPr>
            <w:tcW w:w="1808" w:type="dxa"/>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（十二）建设工程施工和经营性自建房领域专项整治</w:t>
            </w:r>
          </w:p>
        </w:tc>
        <w:tc>
          <w:tcPr>
            <w:tcW w:w="8334" w:type="dxa"/>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深入开展房屋市政在建工程、公路工程等施工安全专项治理，严格管控高边坡、深基坑等“危大工程”，重点排查整治隧道、桥梁等重点工程。推进城市基础设施生命线安全工程建设。开展大跨度建筑质量安全排查。严厉查处建筑施工违法分包转包、挂靠资质等行为。</w:t>
            </w:r>
          </w:p>
        </w:tc>
        <w:tc>
          <w:tcPr>
            <w:tcW w:w="2843" w:type="dxa"/>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县</w:t>
            </w:r>
            <w:r>
              <w:rPr>
                <w:rFonts w:ascii="仿宋" w:hAnsi="仿宋" w:eastAsia="仿宋" w:cs="Times New Roman"/>
                <w:color w:val="000000"/>
                <w:kern w:val="0"/>
                <w:sz w:val="24"/>
              </w:rPr>
              <w:t>住房和城乡建设管理局、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交通</w:t>
            </w:r>
            <w:r>
              <w:rPr>
                <w:rFonts w:hint="eastAsia" w:ascii="仿宋" w:hAnsi="仿宋" w:eastAsia="仿宋" w:cs="Times New Roman"/>
                <w:color w:val="000000"/>
                <w:kern w:val="0"/>
                <w:sz w:val="24"/>
              </w:rPr>
              <w:t>运输</w:t>
            </w:r>
            <w:r>
              <w:rPr>
                <w:rFonts w:ascii="仿宋" w:hAnsi="仿宋" w:eastAsia="仿宋" w:cs="Times New Roman"/>
                <w:color w:val="000000"/>
                <w:kern w:val="0"/>
                <w:sz w:val="24"/>
              </w:rPr>
              <w:t>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水利局等部门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jc w:val="center"/>
        </w:trPr>
        <w:tc>
          <w:tcPr>
            <w:tcW w:w="1414" w:type="dxa"/>
            <w:vMerge w:val="continue"/>
            <w:shd w:val="clear" w:color="auto" w:fill="auto"/>
            <w:noWrap w:val="0"/>
            <w:vAlign w:val="center"/>
          </w:tcPr>
          <w:p>
            <w:pPr>
              <w:widowControl/>
              <w:spacing w:line="300" w:lineRule="exact"/>
              <w:rPr>
                <w:rFonts w:ascii="仿宋" w:hAnsi="仿宋" w:eastAsia="仿宋" w:cs="Times New Roman"/>
                <w:color w:val="000000"/>
                <w:kern w:val="0"/>
                <w:sz w:val="24"/>
              </w:rPr>
            </w:pPr>
          </w:p>
        </w:tc>
        <w:tc>
          <w:tcPr>
            <w:tcW w:w="1808" w:type="dxa"/>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（十二）建设工程施工和经营性自建房领域专项整治</w:t>
            </w:r>
          </w:p>
        </w:tc>
        <w:tc>
          <w:tcPr>
            <w:tcW w:w="8334" w:type="dxa"/>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加强安全管理，强化日常检查，深入推进隐患整治。经营性自建房新改扩建必须依法办理审批手续。严禁违规加层加盖。装饰装修不得擅自变动建筑主体和承重结构。自建房转为经营用途的，必须取得相关审批手续和房屋安全鉴定合格证明。</w:t>
            </w:r>
          </w:p>
        </w:tc>
        <w:tc>
          <w:tcPr>
            <w:tcW w:w="2843" w:type="dxa"/>
            <w:noWrap w:val="0"/>
            <w:vAlign w:val="center"/>
          </w:tcPr>
          <w:p>
            <w:pPr>
              <w:widowControl/>
              <w:spacing w:line="300" w:lineRule="exact"/>
              <w:rPr>
                <w:rFonts w:ascii="仿宋" w:hAnsi="仿宋" w:eastAsia="仿宋" w:cs="Times New Roman"/>
                <w:color w:val="000000"/>
                <w:spacing w:val="-4"/>
                <w:kern w:val="0"/>
                <w:sz w:val="24"/>
              </w:rPr>
            </w:pPr>
            <w:r>
              <w:rPr>
                <w:rFonts w:hint="eastAsia" w:ascii="仿宋" w:hAnsi="仿宋" w:eastAsia="仿宋" w:cs="Times New Roman"/>
                <w:color w:val="000000"/>
                <w:spacing w:val="-4"/>
                <w:kern w:val="0"/>
                <w:sz w:val="24"/>
              </w:rPr>
              <w:t>县</w:t>
            </w:r>
            <w:r>
              <w:rPr>
                <w:rFonts w:ascii="仿宋" w:hAnsi="仿宋" w:eastAsia="仿宋" w:cs="Times New Roman"/>
                <w:color w:val="000000"/>
                <w:spacing w:val="-4"/>
                <w:kern w:val="0"/>
                <w:sz w:val="24"/>
              </w:rPr>
              <w:t>住房和城乡建设管理局，</w:t>
            </w:r>
            <w:r>
              <w:rPr>
                <w:rFonts w:hint="eastAsia" w:ascii="仿宋" w:hAnsi="仿宋" w:eastAsia="仿宋" w:cs="Times New Roman"/>
                <w:color w:val="000000"/>
                <w:spacing w:val="-4"/>
                <w:kern w:val="0"/>
                <w:sz w:val="24"/>
              </w:rPr>
              <w:t>县</w:t>
            </w:r>
            <w:r>
              <w:rPr>
                <w:rFonts w:ascii="仿宋" w:hAnsi="仿宋" w:eastAsia="仿宋" w:cs="Times New Roman"/>
                <w:color w:val="000000"/>
                <w:spacing w:val="-4"/>
                <w:kern w:val="0"/>
                <w:sz w:val="24"/>
              </w:rPr>
              <w:t>公安局、</w:t>
            </w:r>
            <w:r>
              <w:rPr>
                <w:rFonts w:hint="eastAsia" w:ascii="仿宋" w:hAnsi="仿宋" w:eastAsia="仿宋" w:cs="Times New Roman"/>
                <w:color w:val="000000"/>
                <w:spacing w:val="-4"/>
                <w:kern w:val="0"/>
                <w:sz w:val="24"/>
              </w:rPr>
              <w:t>县</w:t>
            </w:r>
            <w:r>
              <w:rPr>
                <w:rFonts w:ascii="仿宋" w:hAnsi="仿宋" w:eastAsia="仿宋" w:cs="Times New Roman"/>
                <w:color w:val="000000"/>
                <w:spacing w:val="-4"/>
                <w:kern w:val="0"/>
                <w:sz w:val="24"/>
              </w:rPr>
              <w:t>自然资源局、</w:t>
            </w:r>
            <w:r>
              <w:rPr>
                <w:rFonts w:hint="eastAsia" w:ascii="仿宋" w:hAnsi="仿宋" w:eastAsia="仿宋" w:cs="Times New Roman"/>
                <w:color w:val="000000"/>
                <w:spacing w:val="-4"/>
                <w:kern w:val="0"/>
                <w:sz w:val="24"/>
              </w:rPr>
              <w:t>县</w:t>
            </w:r>
            <w:r>
              <w:rPr>
                <w:rFonts w:ascii="仿宋" w:hAnsi="仿宋" w:eastAsia="仿宋" w:cs="Times New Roman"/>
                <w:color w:val="000000"/>
                <w:spacing w:val="-4"/>
                <w:kern w:val="0"/>
                <w:sz w:val="24"/>
              </w:rPr>
              <w:t>农业农村局、</w:t>
            </w:r>
            <w:r>
              <w:rPr>
                <w:rFonts w:hint="eastAsia" w:ascii="仿宋" w:hAnsi="仿宋" w:eastAsia="仿宋" w:cs="Times New Roman"/>
                <w:color w:val="000000"/>
                <w:spacing w:val="-4"/>
                <w:kern w:val="0"/>
                <w:sz w:val="24"/>
              </w:rPr>
              <w:t>县</w:t>
            </w:r>
            <w:r>
              <w:rPr>
                <w:rFonts w:ascii="仿宋" w:hAnsi="仿宋" w:eastAsia="仿宋" w:cs="Times New Roman"/>
                <w:color w:val="000000"/>
                <w:spacing w:val="-4"/>
                <w:kern w:val="0"/>
                <w:sz w:val="24"/>
              </w:rPr>
              <w:t>应急管理局、</w:t>
            </w:r>
            <w:r>
              <w:rPr>
                <w:rFonts w:hint="eastAsia" w:ascii="仿宋" w:hAnsi="仿宋" w:eastAsia="仿宋" w:cs="Times New Roman"/>
                <w:color w:val="000000"/>
                <w:spacing w:val="-4"/>
                <w:kern w:val="0"/>
                <w:sz w:val="24"/>
              </w:rPr>
              <w:t>县</w:t>
            </w:r>
            <w:r>
              <w:rPr>
                <w:rFonts w:ascii="仿宋" w:hAnsi="仿宋" w:eastAsia="仿宋" w:cs="Times New Roman"/>
                <w:color w:val="000000"/>
                <w:spacing w:val="-4"/>
                <w:kern w:val="0"/>
                <w:sz w:val="24"/>
              </w:rPr>
              <w:t>市场监督管理局、</w:t>
            </w:r>
            <w:r>
              <w:rPr>
                <w:rFonts w:hint="eastAsia" w:ascii="仿宋" w:hAnsi="仿宋" w:eastAsia="仿宋" w:cs="Times New Roman"/>
                <w:color w:val="000000"/>
                <w:spacing w:val="-4"/>
                <w:kern w:val="0"/>
                <w:sz w:val="24"/>
              </w:rPr>
              <w:t>县</w:t>
            </w:r>
            <w:r>
              <w:rPr>
                <w:rFonts w:ascii="仿宋" w:hAnsi="仿宋" w:eastAsia="仿宋" w:cs="Times New Roman"/>
                <w:color w:val="000000"/>
                <w:spacing w:val="-4"/>
                <w:kern w:val="0"/>
                <w:sz w:val="24"/>
              </w:rPr>
              <w:t>行政审批服务管理局、</w:t>
            </w:r>
            <w:r>
              <w:rPr>
                <w:rFonts w:hint="eastAsia" w:ascii="仿宋" w:hAnsi="仿宋" w:eastAsia="仿宋" w:cs="Times New Roman"/>
                <w:color w:val="000000"/>
                <w:spacing w:val="-4"/>
                <w:kern w:val="0"/>
                <w:sz w:val="24"/>
              </w:rPr>
              <w:t>县</w:t>
            </w:r>
            <w:r>
              <w:rPr>
                <w:rFonts w:ascii="仿宋" w:hAnsi="仿宋" w:eastAsia="仿宋" w:cs="Times New Roman"/>
                <w:color w:val="000000"/>
                <w:spacing w:val="-4"/>
                <w:kern w:val="0"/>
                <w:sz w:val="24"/>
              </w:rPr>
              <w:t>消防救援</w:t>
            </w:r>
            <w:r>
              <w:rPr>
                <w:rFonts w:hint="eastAsia" w:ascii="仿宋" w:hAnsi="仿宋" w:eastAsia="仿宋" w:cs="Times New Roman"/>
                <w:color w:val="000000"/>
                <w:spacing w:val="-4"/>
                <w:kern w:val="0"/>
                <w:sz w:val="24"/>
              </w:rPr>
              <w:t>大</w:t>
            </w:r>
            <w:r>
              <w:rPr>
                <w:rFonts w:ascii="仿宋" w:hAnsi="仿宋" w:eastAsia="仿宋" w:cs="Times New Roman"/>
                <w:color w:val="000000"/>
                <w:spacing w:val="-4"/>
                <w:kern w:val="0"/>
                <w:sz w:val="24"/>
              </w:rPr>
              <w:t>队等部门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jc w:val="center"/>
        </w:trPr>
        <w:tc>
          <w:tcPr>
            <w:tcW w:w="1414" w:type="dxa"/>
            <w:vMerge w:val="continue"/>
            <w:shd w:val="clear" w:color="auto" w:fill="auto"/>
            <w:noWrap w:val="0"/>
            <w:vAlign w:val="center"/>
          </w:tcPr>
          <w:p>
            <w:pPr>
              <w:widowControl/>
              <w:spacing w:line="300" w:lineRule="exact"/>
              <w:rPr>
                <w:rFonts w:ascii="仿宋" w:hAnsi="仿宋" w:eastAsia="仿宋" w:cs="Times New Roman"/>
                <w:color w:val="000000"/>
                <w:kern w:val="0"/>
                <w:sz w:val="24"/>
              </w:rPr>
            </w:pPr>
          </w:p>
        </w:tc>
        <w:tc>
          <w:tcPr>
            <w:tcW w:w="1808" w:type="dxa"/>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（十三）燃气领域专项整治</w:t>
            </w:r>
          </w:p>
        </w:tc>
        <w:tc>
          <w:tcPr>
            <w:tcW w:w="8334" w:type="dxa"/>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强化城镇燃气企业运行安全。巩固提升城镇燃气安全专项整治集中攻坚成效，继续实施燃气老旧管网改造，构建燃气风险管控和隐患排查治理双重预防机制。加强城镇燃气及气瓶、燃气具及配件市场治理整顿。</w:t>
            </w:r>
          </w:p>
        </w:tc>
        <w:tc>
          <w:tcPr>
            <w:tcW w:w="2843" w:type="dxa"/>
            <w:noWrap w:val="0"/>
            <w:vAlign w:val="center"/>
          </w:tcPr>
          <w:p>
            <w:pPr>
              <w:widowControl/>
              <w:spacing w:line="300" w:lineRule="exact"/>
              <w:rPr>
                <w:rFonts w:ascii="仿宋" w:hAnsi="仿宋" w:eastAsia="仿宋" w:cs="Times New Roman"/>
                <w:color w:val="000000"/>
                <w:spacing w:val="-2"/>
                <w:kern w:val="0"/>
                <w:sz w:val="24"/>
              </w:rPr>
            </w:pPr>
            <w:r>
              <w:rPr>
                <w:rFonts w:hint="eastAsia" w:ascii="仿宋" w:hAnsi="仿宋" w:eastAsia="仿宋" w:cs="Times New Roman"/>
                <w:color w:val="000000"/>
                <w:spacing w:val="-2"/>
                <w:kern w:val="0"/>
                <w:sz w:val="24"/>
              </w:rPr>
              <w:t>县住房和城乡建设管理局、县工业和信息化局</w:t>
            </w:r>
            <w:r>
              <w:rPr>
                <w:rFonts w:ascii="仿宋" w:hAnsi="仿宋" w:eastAsia="仿宋" w:cs="Times New Roman"/>
                <w:color w:val="000000"/>
                <w:spacing w:val="-2"/>
                <w:kern w:val="0"/>
                <w:sz w:val="24"/>
              </w:rPr>
              <w:t>、</w:t>
            </w:r>
            <w:r>
              <w:rPr>
                <w:rFonts w:hint="eastAsia" w:ascii="仿宋" w:hAnsi="仿宋" w:eastAsia="仿宋" w:cs="Times New Roman"/>
                <w:color w:val="000000"/>
                <w:spacing w:val="-2"/>
                <w:kern w:val="0"/>
                <w:sz w:val="24"/>
              </w:rPr>
              <w:t>县</w:t>
            </w:r>
            <w:r>
              <w:rPr>
                <w:rFonts w:ascii="仿宋" w:hAnsi="仿宋" w:eastAsia="仿宋" w:cs="Times New Roman"/>
                <w:color w:val="000000"/>
                <w:spacing w:val="-2"/>
                <w:kern w:val="0"/>
                <w:sz w:val="24"/>
              </w:rPr>
              <w:t>应急管理局、</w:t>
            </w:r>
            <w:r>
              <w:rPr>
                <w:rFonts w:hint="eastAsia" w:ascii="仿宋" w:hAnsi="仿宋" w:eastAsia="仿宋" w:cs="Times New Roman"/>
                <w:color w:val="000000"/>
                <w:spacing w:val="-2"/>
                <w:kern w:val="0"/>
                <w:sz w:val="24"/>
              </w:rPr>
              <w:t>县</w:t>
            </w:r>
            <w:r>
              <w:rPr>
                <w:rFonts w:ascii="仿宋" w:hAnsi="仿宋" w:eastAsia="仿宋" w:cs="Times New Roman"/>
                <w:color w:val="000000"/>
                <w:spacing w:val="-2"/>
                <w:kern w:val="0"/>
                <w:sz w:val="24"/>
              </w:rPr>
              <w:t>市场监督管理局等部门</w:t>
            </w:r>
          </w:p>
        </w:tc>
      </w:tr>
    </w:tbl>
    <w:p>
      <w:pPr>
        <w:spacing w:line="300" w:lineRule="exact"/>
        <w:rPr>
          <w:rFonts w:ascii="仿宋" w:hAnsi="仿宋" w:eastAsia="仿宋"/>
        </w:rPr>
        <w:sectPr>
          <w:pgSz w:w="16840" w:h="11907" w:orient="landscape"/>
          <w:pgMar w:top="1247" w:right="1134" w:bottom="1134" w:left="1247" w:header="851" w:footer="1021" w:gutter="0"/>
          <w:cols w:space="720" w:num="1"/>
          <w:titlePg/>
          <w:docGrid w:linePitch="319" w:charSpace="0"/>
        </w:sectPr>
      </w:pPr>
    </w:p>
    <w:p>
      <w:pPr>
        <w:spacing w:line="300" w:lineRule="exact"/>
        <w:rPr>
          <w:rFonts w:hint="eastAsia" w:ascii="仿宋" w:hAnsi="仿宋" w:eastAsia="仿宋" w:cs="Times New Roman"/>
        </w:rPr>
      </w:pPr>
    </w:p>
    <w:tbl>
      <w:tblPr>
        <w:tblStyle w:val="7"/>
        <w:tblW w:w="14559" w:type="dxa"/>
        <w:jc w:val="center"/>
        <w:tblLayout w:type="autofit"/>
        <w:tblCellMar>
          <w:top w:w="0" w:type="dxa"/>
          <w:left w:w="108" w:type="dxa"/>
          <w:bottom w:w="0" w:type="dxa"/>
          <w:right w:w="108" w:type="dxa"/>
        </w:tblCellMar>
      </w:tblPr>
      <w:tblGrid>
        <w:gridCol w:w="1430"/>
        <w:gridCol w:w="1828"/>
        <w:gridCol w:w="8427"/>
        <w:gridCol w:w="2874"/>
      </w:tblGrid>
      <w:tr>
        <w:tblPrEx>
          <w:tblCellMar>
            <w:top w:w="0" w:type="dxa"/>
            <w:left w:w="108" w:type="dxa"/>
            <w:bottom w:w="0" w:type="dxa"/>
            <w:right w:w="108" w:type="dxa"/>
          </w:tblCellMar>
        </w:tblPrEx>
        <w:trPr>
          <w:trHeight w:val="2543" w:hRule="atLeast"/>
          <w:jc w:val="center"/>
        </w:trPr>
        <w:tc>
          <w:tcPr>
            <w:tcW w:w="1430" w:type="dxa"/>
            <w:vMerge w:val="restart"/>
            <w:tcBorders>
              <w:top w:val="single" w:color="000000" w:sz="4" w:space="0"/>
              <w:left w:val="single" w:color="000000" w:sz="4" w:space="0"/>
              <w:right w:val="single" w:color="000000" w:sz="4" w:space="0"/>
            </w:tcBorders>
            <w:shd w:val="clear" w:color="auto" w:fill="auto"/>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三、开展治本攻坚三年行动，深化重点行业领域专项整治</w:t>
            </w:r>
          </w:p>
        </w:tc>
        <w:tc>
          <w:tcPr>
            <w:tcW w:w="1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（十四）消防领域专项整治</w:t>
            </w:r>
          </w:p>
        </w:tc>
        <w:tc>
          <w:tcPr>
            <w:tcW w:w="84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宋体"/>
                <w:color w:val="000000"/>
                <w:kern w:val="0"/>
                <w:sz w:val="24"/>
              </w:rPr>
            </w:pPr>
            <w:r>
              <w:rPr>
                <w:rFonts w:hint="eastAsia" w:ascii="仿宋" w:hAnsi="仿宋" w:eastAsia="仿宋" w:cs="宋体"/>
                <w:color w:val="000000"/>
                <w:kern w:val="0"/>
                <w:sz w:val="24"/>
              </w:rPr>
              <w:t>紧盯人员密集场所、高层建筑、商业综合体、劳动密集型企业、文博单位、</w:t>
            </w:r>
            <w:r>
              <w:rPr>
                <w:rFonts w:ascii="仿宋" w:hAnsi="仿宋" w:eastAsia="仿宋" w:cs="Times New Roman"/>
                <w:color w:val="000000"/>
                <w:kern w:val="0"/>
                <w:sz w:val="24"/>
              </w:rPr>
              <w:t>“</w:t>
            </w:r>
            <w:r>
              <w:rPr>
                <w:rFonts w:ascii="仿宋" w:hAnsi="仿宋" w:eastAsia="仿宋" w:cs="宋体"/>
                <w:color w:val="000000"/>
                <w:kern w:val="0"/>
                <w:sz w:val="24"/>
              </w:rPr>
              <w:t>九小场所</w:t>
            </w:r>
            <w:r>
              <w:rPr>
                <w:rFonts w:ascii="仿宋" w:hAnsi="仿宋" w:eastAsia="仿宋" w:cs="Times New Roman"/>
                <w:color w:val="000000"/>
                <w:kern w:val="0"/>
                <w:sz w:val="24"/>
              </w:rPr>
              <w:t>”</w:t>
            </w:r>
            <w:r>
              <w:rPr>
                <w:rFonts w:ascii="仿宋" w:hAnsi="仿宋" w:eastAsia="仿宋" w:cs="宋体"/>
                <w:color w:val="000000"/>
                <w:kern w:val="0"/>
                <w:sz w:val="24"/>
              </w:rPr>
              <w:t>、多业态混合生产经营等高风险场所，老旧商住混合体等低设防区域，电气线路老化、消防设施短缺损坏、封闭安全出口等问题，以及工矿企业办公楼、浴室、食堂、宿舍、工棚等易忽视环节，开展火灾隐患排查整治。深化畅通消防</w:t>
            </w:r>
            <w:r>
              <w:rPr>
                <w:rFonts w:ascii="仿宋" w:hAnsi="仿宋" w:eastAsia="仿宋" w:cs="Times New Roman"/>
                <w:color w:val="000000"/>
                <w:kern w:val="0"/>
                <w:sz w:val="24"/>
              </w:rPr>
              <w:t>“</w:t>
            </w:r>
            <w:r>
              <w:rPr>
                <w:rFonts w:ascii="仿宋" w:hAnsi="仿宋" w:eastAsia="仿宋" w:cs="宋体"/>
                <w:color w:val="000000"/>
                <w:kern w:val="0"/>
                <w:sz w:val="24"/>
              </w:rPr>
              <w:t>生命通道</w:t>
            </w:r>
            <w:r>
              <w:rPr>
                <w:rFonts w:ascii="仿宋" w:hAnsi="仿宋" w:eastAsia="仿宋" w:cs="Times New Roman"/>
                <w:color w:val="000000"/>
                <w:kern w:val="0"/>
                <w:sz w:val="24"/>
              </w:rPr>
              <w:t>”</w:t>
            </w:r>
            <w:r>
              <w:rPr>
                <w:rFonts w:ascii="仿宋" w:hAnsi="仿宋" w:eastAsia="仿宋" w:cs="宋体"/>
                <w:color w:val="000000"/>
                <w:kern w:val="0"/>
                <w:sz w:val="24"/>
              </w:rPr>
              <w:t>工程建设和老旧场所消防设施升级改造。全面开展建设工程消防审验问题专项整治和消防安全集中除患攻坚大整治行动。持续强化基层消防力量建设。</w:t>
            </w:r>
          </w:p>
        </w:tc>
        <w:tc>
          <w:tcPr>
            <w:tcW w:w="2874" w:type="dxa"/>
            <w:tcBorders>
              <w:top w:val="single" w:color="000000" w:sz="4" w:space="0"/>
              <w:left w:val="nil"/>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县</w:t>
            </w:r>
            <w:r>
              <w:rPr>
                <w:rFonts w:ascii="仿宋" w:hAnsi="仿宋" w:eastAsia="仿宋" w:cs="Times New Roman"/>
                <w:color w:val="000000"/>
                <w:kern w:val="0"/>
                <w:sz w:val="24"/>
              </w:rPr>
              <w:t>消防救援</w:t>
            </w:r>
            <w:r>
              <w:rPr>
                <w:rFonts w:hint="eastAsia" w:ascii="仿宋" w:hAnsi="仿宋" w:eastAsia="仿宋" w:cs="Times New Roman"/>
                <w:color w:val="000000"/>
                <w:kern w:val="0"/>
                <w:sz w:val="24"/>
              </w:rPr>
              <w:t>大</w:t>
            </w:r>
            <w:r>
              <w:rPr>
                <w:rFonts w:ascii="仿宋" w:hAnsi="仿宋" w:eastAsia="仿宋" w:cs="Times New Roman"/>
                <w:color w:val="000000"/>
                <w:kern w:val="0"/>
                <w:sz w:val="24"/>
              </w:rPr>
              <w:t>队、</w:t>
            </w:r>
            <w:r>
              <w:rPr>
                <w:rFonts w:hint="eastAsia" w:ascii="仿宋" w:hAnsi="仿宋" w:eastAsia="仿宋" w:cs="Times New Roman"/>
                <w:color w:val="000000"/>
                <w:kern w:val="0"/>
                <w:sz w:val="24"/>
              </w:rPr>
              <w:t>县</w:t>
            </w:r>
            <w:r>
              <w:rPr>
                <w:rFonts w:ascii="仿宋" w:hAnsi="仿宋" w:eastAsia="仿宋" w:cs="Times New Roman"/>
                <w:color w:val="000000"/>
                <w:kern w:val="0"/>
                <w:sz w:val="24"/>
              </w:rPr>
              <w:t>住房和城乡建设管理局、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教育</w:t>
            </w:r>
            <w:r>
              <w:rPr>
                <w:rFonts w:hint="eastAsia" w:ascii="仿宋" w:hAnsi="仿宋" w:eastAsia="仿宋" w:cs="Times New Roman"/>
                <w:color w:val="000000"/>
                <w:kern w:val="0"/>
                <w:sz w:val="24"/>
              </w:rPr>
              <w:t>科技</w:t>
            </w:r>
            <w:r>
              <w:rPr>
                <w:rFonts w:ascii="仿宋" w:hAnsi="仿宋" w:eastAsia="仿宋" w:cs="Times New Roman"/>
                <w:color w:val="000000"/>
                <w:kern w:val="0"/>
                <w:sz w:val="24"/>
              </w:rPr>
              <w:t>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民政局、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公安局、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交通</w:t>
            </w:r>
            <w:r>
              <w:rPr>
                <w:rFonts w:hint="eastAsia" w:ascii="仿宋" w:hAnsi="仿宋" w:eastAsia="仿宋" w:cs="Times New Roman"/>
                <w:color w:val="000000"/>
                <w:kern w:val="0"/>
                <w:sz w:val="24"/>
              </w:rPr>
              <w:t>运输</w:t>
            </w:r>
            <w:r>
              <w:rPr>
                <w:rFonts w:ascii="仿宋" w:hAnsi="仿宋" w:eastAsia="仿宋" w:cs="Times New Roman"/>
                <w:color w:val="000000"/>
                <w:kern w:val="0"/>
                <w:sz w:val="24"/>
              </w:rPr>
              <w:t>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农业农村局、</w:t>
            </w:r>
            <w:r>
              <w:rPr>
                <w:rFonts w:hint="eastAsia" w:ascii="仿宋" w:hAnsi="仿宋" w:eastAsia="仿宋" w:cs="Times New Roman"/>
                <w:color w:val="000000"/>
                <w:kern w:val="0"/>
                <w:sz w:val="24"/>
              </w:rPr>
              <w:t>县工业和信息化局</w:t>
            </w:r>
            <w:r>
              <w:rPr>
                <w:rFonts w:ascii="仿宋" w:hAnsi="仿宋" w:eastAsia="仿宋" w:cs="Times New Roman"/>
                <w:color w:val="000000"/>
                <w:kern w:val="0"/>
                <w:sz w:val="24"/>
              </w:rPr>
              <w:t>、</w:t>
            </w:r>
            <w:r>
              <w:rPr>
                <w:rFonts w:hint="eastAsia" w:ascii="仿宋" w:hAnsi="仿宋" w:eastAsia="仿宋" w:cs="Times New Roman"/>
                <w:color w:val="000000"/>
                <w:kern w:val="0"/>
                <w:sz w:val="24"/>
              </w:rPr>
              <w:t>县</w:t>
            </w:r>
            <w:r>
              <w:rPr>
                <w:rFonts w:ascii="仿宋" w:hAnsi="仿宋" w:eastAsia="仿宋" w:cs="Times New Roman"/>
                <w:color w:val="000000"/>
                <w:kern w:val="0"/>
                <w:sz w:val="24"/>
              </w:rPr>
              <w:t>文化和旅游局、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卫</w:t>
            </w:r>
            <w:r>
              <w:rPr>
                <w:rFonts w:hint="eastAsia" w:ascii="仿宋" w:hAnsi="仿宋" w:eastAsia="仿宋" w:cs="Times New Roman"/>
                <w:color w:val="000000"/>
                <w:kern w:val="0"/>
                <w:sz w:val="24"/>
              </w:rPr>
              <w:t>生</w:t>
            </w:r>
            <w:r>
              <w:rPr>
                <w:rFonts w:ascii="仿宋" w:hAnsi="仿宋" w:eastAsia="仿宋" w:cs="Times New Roman"/>
                <w:color w:val="000000"/>
                <w:kern w:val="0"/>
                <w:sz w:val="24"/>
              </w:rPr>
              <w:t>健</w:t>
            </w:r>
            <w:r>
              <w:rPr>
                <w:rFonts w:hint="eastAsia" w:ascii="仿宋" w:hAnsi="仿宋" w:eastAsia="仿宋" w:cs="Times New Roman"/>
                <w:color w:val="000000"/>
                <w:kern w:val="0"/>
                <w:sz w:val="24"/>
              </w:rPr>
              <w:t>康和体育局</w:t>
            </w:r>
            <w:r>
              <w:rPr>
                <w:rFonts w:ascii="仿宋" w:hAnsi="仿宋" w:eastAsia="仿宋" w:cs="Times New Roman"/>
                <w:color w:val="000000"/>
                <w:kern w:val="0"/>
                <w:sz w:val="24"/>
              </w:rPr>
              <w:t>、</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应急管理局、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能源局等部门</w:t>
            </w:r>
          </w:p>
        </w:tc>
      </w:tr>
      <w:tr>
        <w:tblPrEx>
          <w:tblCellMar>
            <w:top w:w="0" w:type="dxa"/>
            <w:left w:w="108" w:type="dxa"/>
            <w:bottom w:w="0" w:type="dxa"/>
            <w:right w:w="108" w:type="dxa"/>
          </w:tblCellMar>
        </w:tblPrEx>
        <w:trPr>
          <w:trHeight w:val="1497" w:hRule="atLeast"/>
          <w:jc w:val="center"/>
        </w:trPr>
        <w:tc>
          <w:tcPr>
            <w:tcW w:w="143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300" w:lineRule="exact"/>
              <w:rPr>
                <w:rFonts w:ascii="仿宋" w:hAnsi="仿宋" w:eastAsia="仿宋" w:cs="Times New Roman"/>
                <w:color w:val="000000"/>
                <w:kern w:val="0"/>
                <w:sz w:val="24"/>
              </w:rPr>
            </w:pPr>
          </w:p>
        </w:tc>
        <w:tc>
          <w:tcPr>
            <w:tcW w:w="1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（十五）其他行业领域专项整治</w:t>
            </w:r>
          </w:p>
        </w:tc>
        <w:tc>
          <w:tcPr>
            <w:tcW w:w="84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特种设备、冶金工贸、民爆物品、文化旅游、畜牧、农机、电力等行业领域也要结合实际开展专项整治。</w:t>
            </w:r>
          </w:p>
        </w:tc>
        <w:tc>
          <w:tcPr>
            <w:tcW w:w="2874" w:type="dxa"/>
            <w:tcBorders>
              <w:top w:val="single" w:color="000000" w:sz="4" w:space="0"/>
              <w:left w:val="nil"/>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县</w:t>
            </w:r>
            <w:r>
              <w:rPr>
                <w:rFonts w:ascii="仿宋" w:hAnsi="仿宋" w:eastAsia="仿宋" w:cs="Times New Roman"/>
                <w:color w:val="000000"/>
                <w:kern w:val="0"/>
                <w:sz w:val="24"/>
              </w:rPr>
              <w:t>市场监督管理局、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应急管理局、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公安局、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文化和旅游局、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农业农村局、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能源局、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工业和信息化局等部门</w:t>
            </w:r>
          </w:p>
        </w:tc>
      </w:tr>
      <w:tr>
        <w:tblPrEx>
          <w:tblCellMar>
            <w:top w:w="0" w:type="dxa"/>
            <w:left w:w="108" w:type="dxa"/>
            <w:bottom w:w="0" w:type="dxa"/>
            <w:right w:w="108" w:type="dxa"/>
          </w:tblCellMar>
        </w:tblPrEx>
        <w:trPr>
          <w:trHeight w:val="810" w:hRule="atLeast"/>
          <w:jc w:val="center"/>
        </w:trPr>
        <w:tc>
          <w:tcPr>
            <w:tcW w:w="1430" w:type="dxa"/>
            <w:vMerge w:val="restart"/>
            <w:tcBorders>
              <w:top w:val="single" w:color="000000" w:sz="4" w:space="0"/>
              <w:left w:val="single" w:color="000000" w:sz="4" w:space="0"/>
              <w:right w:val="single" w:color="000000" w:sz="4" w:space="0"/>
            </w:tcBorders>
            <w:shd w:val="clear" w:color="auto" w:fill="auto"/>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四、提升综合防灾减灾救灾能力，带动重点灾害防治更有成效</w:t>
            </w:r>
          </w:p>
        </w:tc>
        <w:tc>
          <w:tcPr>
            <w:tcW w:w="1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（十六）</w:t>
            </w:r>
            <w:r>
              <w:rPr>
                <w:rFonts w:ascii="仿宋" w:hAnsi="仿宋" w:eastAsia="仿宋" w:cs="Times New Roman"/>
                <w:color w:val="000000"/>
                <w:spacing w:val="-6"/>
                <w:kern w:val="0"/>
                <w:sz w:val="24"/>
              </w:rPr>
              <w:t>提升自然灾害防治能力</w:t>
            </w:r>
          </w:p>
        </w:tc>
        <w:tc>
          <w:tcPr>
            <w:tcW w:w="84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健全完善防灾减灾救灾议事协调机构，加强综合减灾示范创建，常态化开展灾害风险隐患排查，稳步推进完善</w:t>
            </w:r>
            <w:r>
              <w:rPr>
                <w:rFonts w:hint="eastAsia" w:ascii="仿宋" w:hAnsi="仿宋" w:eastAsia="仿宋" w:cs="Times New Roman"/>
                <w:color w:val="000000"/>
                <w:kern w:val="0"/>
                <w:sz w:val="24"/>
              </w:rPr>
              <w:t>县</w:t>
            </w:r>
            <w:r>
              <w:rPr>
                <w:rFonts w:ascii="仿宋" w:hAnsi="仿宋" w:eastAsia="仿宋" w:cs="Times New Roman"/>
                <w:color w:val="000000"/>
                <w:kern w:val="0"/>
                <w:sz w:val="24"/>
              </w:rPr>
              <w:t>级自然灾害综合风险普查基础数据库。</w:t>
            </w:r>
          </w:p>
        </w:tc>
        <w:tc>
          <w:tcPr>
            <w:tcW w:w="28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各</w:t>
            </w:r>
            <w:r>
              <w:rPr>
                <w:rFonts w:hint="eastAsia" w:ascii="仿宋" w:hAnsi="仿宋" w:eastAsia="仿宋" w:cs="Times New Roman"/>
                <w:color w:val="000000"/>
                <w:kern w:val="0"/>
                <w:sz w:val="24"/>
              </w:rPr>
              <w:t>乡</w:t>
            </w:r>
            <w:r>
              <w:rPr>
                <w:rFonts w:ascii="仿宋" w:hAnsi="仿宋" w:eastAsia="仿宋" w:cs="Times New Roman"/>
                <w:color w:val="000000"/>
                <w:kern w:val="0"/>
                <w:sz w:val="24"/>
              </w:rPr>
              <w:t>（</w:t>
            </w:r>
            <w:r>
              <w:rPr>
                <w:rFonts w:hint="eastAsia" w:ascii="仿宋" w:hAnsi="仿宋" w:eastAsia="仿宋" w:cs="Times New Roman"/>
                <w:color w:val="000000"/>
                <w:kern w:val="0"/>
                <w:sz w:val="24"/>
              </w:rPr>
              <w:t>镇</w:t>
            </w:r>
            <w:r>
              <w:rPr>
                <w:rFonts w:ascii="仿宋" w:hAnsi="仿宋" w:eastAsia="仿宋" w:cs="Times New Roman"/>
                <w:color w:val="000000"/>
                <w:kern w:val="0"/>
                <w:sz w:val="24"/>
              </w:rPr>
              <w:t>）政府，</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应急管理局等部门</w:t>
            </w:r>
          </w:p>
        </w:tc>
      </w:tr>
      <w:tr>
        <w:tblPrEx>
          <w:tblCellMar>
            <w:top w:w="0" w:type="dxa"/>
            <w:left w:w="108" w:type="dxa"/>
            <w:bottom w:w="0" w:type="dxa"/>
            <w:right w:w="108" w:type="dxa"/>
          </w:tblCellMar>
        </w:tblPrEx>
        <w:trPr>
          <w:trHeight w:val="1312" w:hRule="atLeast"/>
          <w:jc w:val="center"/>
        </w:trPr>
        <w:tc>
          <w:tcPr>
            <w:tcW w:w="1430" w:type="dxa"/>
            <w:vMerge w:val="continue"/>
            <w:tcBorders>
              <w:left w:val="single" w:color="000000" w:sz="4" w:space="0"/>
              <w:right w:val="single" w:color="000000" w:sz="4" w:space="0"/>
            </w:tcBorders>
            <w:shd w:val="clear" w:color="auto" w:fill="auto"/>
            <w:noWrap w:val="0"/>
            <w:vAlign w:val="center"/>
          </w:tcPr>
          <w:p>
            <w:pPr>
              <w:widowControl/>
              <w:spacing w:line="300" w:lineRule="exact"/>
              <w:rPr>
                <w:rFonts w:ascii="仿宋" w:hAnsi="仿宋" w:eastAsia="仿宋" w:cs="Times New Roman"/>
                <w:color w:val="000000"/>
                <w:kern w:val="0"/>
                <w:sz w:val="24"/>
              </w:rPr>
            </w:pPr>
          </w:p>
        </w:tc>
        <w:tc>
          <w:tcPr>
            <w:tcW w:w="1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（十七）完善监测预警体系</w:t>
            </w:r>
          </w:p>
        </w:tc>
        <w:tc>
          <w:tcPr>
            <w:tcW w:w="84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推进</w:t>
            </w:r>
            <w:r>
              <w:rPr>
                <w:rFonts w:hint="eastAsia" w:ascii="仿宋" w:hAnsi="仿宋" w:eastAsia="仿宋" w:cs="Times New Roman"/>
                <w:color w:val="000000"/>
                <w:kern w:val="0"/>
                <w:sz w:val="24"/>
              </w:rPr>
              <w:t>县</w:t>
            </w:r>
            <w:r>
              <w:rPr>
                <w:rFonts w:ascii="仿宋" w:hAnsi="仿宋" w:eastAsia="仿宋" w:cs="Times New Roman"/>
                <w:color w:val="000000"/>
                <w:kern w:val="0"/>
                <w:sz w:val="24"/>
              </w:rPr>
              <w:t>级自然灾害综合风险监测预警信息化建设，形成自然灾害监测预警合力。强化预警和应急响应联动，完善直达基层责任人的预警“叫应”和跟踪反馈机制。推动建立重点林区雷击火预警系统。加强中小流域极端暴雨洪涝综合应急监测能力建设。推进地质灾害自动化监测和气象风险预警网络建设。</w:t>
            </w:r>
          </w:p>
        </w:tc>
        <w:tc>
          <w:tcPr>
            <w:tcW w:w="28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spacing w:val="-6"/>
                <w:kern w:val="0"/>
                <w:sz w:val="24"/>
              </w:rPr>
            </w:pPr>
            <w:r>
              <w:rPr>
                <w:rFonts w:ascii="仿宋" w:hAnsi="仿宋" w:eastAsia="仿宋" w:cs="Times New Roman"/>
                <w:color w:val="000000"/>
                <w:spacing w:val="-6"/>
                <w:kern w:val="0"/>
                <w:sz w:val="24"/>
              </w:rPr>
              <w:t>各</w:t>
            </w:r>
            <w:r>
              <w:rPr>
                <w:rFonts w:hint="eastAsia" w:ascii="仿宋" w:hAnsi="仿宋" w:eastAsia="仿宋" w:cs="Times New Roman"/>
                <w:color w:val="000000"/>
                <w:spacing w:val="-6"/>
                <w:kern w:val="0"/>
                <w:sz w:val="24"/>
              </w:rPr>
              <w:t>乡</w:t>
            </w:r>
            <w:r>
              <w:rPr>
                <w:rFonts w:ascii="仿宋" w:hAnsi="仿宋" w:eastAsia="仿宋" w:cs="Times New Roman"/>
                <w:color w:val="000000"/>
                <w:spacing w:val="-6"/>
                <w:kern w:val="0"/>
                <w:sz w:val="24"/>
              </w:rPr>
              <w:t>（</w:t>
            </w:r>
            <w:r>
              <w:rPr>
                <w:rFonts w:hint="eastAsia" w:ascii="仿宋" w:hAnsi="仿宋" w:eastAsia="仿宋" w:cs="Times New Roman"/>
                <w:color w:val="000000"/>
                <w:spacing w:val="-6"/>
                <w:kern w:val="0"/>
                <w:sz w:val="24"/>
              </w:rPr>
              <w:t>镇</w:t>
            </w:r>
            <w:r>
              <w:rPr>
                <w:rFonts w:ascii="仿宋" w:hAnsi="仿宋" w:eastAsia="仿宋" w:cs="Times New Roman"/>
                <w:color w:val="000000"/>
                <w:spacing w:val="-6"/>
                <w:kern w:val="0"/>
                <w:sz w:val="24"/>
              </w:rPr>
              <w:t>）政府，</w:t>
            </w:r>
            <w:r>
              <w:rPr>
                <w:rFonts w:hint="eastAsia" w:ascii="仿宋" w:hAnsi="仿宋" w:eastAsia="仿宋" w:cs="Times New Roman"/>
                <w:color w:val="000000"/>
                <w:spacing w:val="-6"/>
                <w:kern w:val="0"/>
                <w:sz w:val="24"/>
              </w:rPr>
              <w:t>县</w:t>
            </w:r>
            <w:r>
              <w:rPr>
                <w:rFonts w:ascii="仿宋" w:hAnsi="仿宋" w:eastAsia="仿宋" w:cs="Times New Roman"/>
                <w:color w:val="000000"/>
                <w:spacing w:val="-6"/>
                <w:kern w:val="0"/>
                <w:sz w:val="24"/>
              </w:rPr>
              <w:t>自然资源局、</w:t>
            </w:r>
            <w:r>
              <w:rPr>
                <w:rFonts w:hint="eastAsia" w:ascii="仿宋" w:hAnsi="仿宋" w:eastAsia="仿宋" w:cs="Times New Roman"/>
                <w:color w:val="000000"/>
                <w:spacing w:val="-6"/>
                <w:kern w:val="0"/>
                <w:sz w:val="24"/>
              </w:rPr>
              <w:t>县</w:t>
            </w:r>
            <w:r>
              <w:rPr>
                <w:rFonts w:ascii="仿宋" w:hAnsi="仿宋" w:eastAsia="仿宋" w:cs="Times New Roman"/>
                <w:color w:val="000000"/>
                <w:spacing w:val="-6"/>
                <w:kern w:val="0"/>
                <w:sz w:val="24"/>
              </w:rPr>
              <w:t>水利局、</w:t>
            </w:r>
            <w:r>
              <w:rPr>
                <w:rFonts w:hint="eastAsia" w:ascii="仿宋" w:hAnsi="仿宋" w:eastAsia="仿宋" w:cs="Times New Roman"/>
                <w:color w:val="000000"/>
                <w:spacing w:val="-6"/>
                <w:kern w:val="0"/>
                <w:sz w:val="24"/>
              </w:rPr>
              <w:t>县</w:t>
            </w:r>
            <w:r>
              <w:rPr>
                <w:rFonts w:ascii="仿宋" w:hAnsi="仿宋" w:eastAsia="仿宋" w:cs="Times New Roman"/>
                <w:color w:val="000000"/>
                <w:spacing w:val="-6"/>
                <w:kern w:val="0"/>
                <w:sz w:val="24"/>
              </w:rPr>
              <w:t>气象局、</w:t>
            </w:r>
            <w:r>
              <w:rPr>
                <w:rFonts w:hint="eastAsia" w:ascii="仿宋" w:hAnsi="仿宋" w:eastAsia="仿宋" w:cs="Times New Roman"/>
                <w:color w:val="000000"/>
                <w:spacing w:val="-6"/>
                <w:kern w:val="0"/>
                <w:sz w:val="24"/>
              </w:rPr>
              <w:t>县</w:t>
            </w:r>
            <w:r>
              <w:rPr>
                <w:rFonts w:ascii="仿宋" w:hAnsi="仿宋" w:eastAsia="仿宋" w:cs="Times New Roman"/>
                <w:color w:val="000000"/>
                <w:spacing w:val="-6"/>
                <w:kern w:val="0"/>
                <w:sz w:val="24"/>
              </w:rPr>
              <w:t>应急管理局等部门</w:t>
            </w:r>
          </w:p>
        </w:tc>
      </w:tr>
      <w:tr>
        <w:tblPrEx>
          <w:tblCellMar>
            <w:top w:w="0" w:type="dxa"/>
            <w:left w:w="108" w:type="dxa"/>
            <w:bottom w:w="0" w:type="dxa"/>
            <w:right w:w="108" w:type="dxa"/>
          </w:tblCellMar>
        </w:tblPrEx>
        <w:trPr>
          <w:trHeight w:val="1329" w:hRule="atLeast"/>
          <w:jc w:val="center"/>
        </w:trPr>
        <w:tc>
          <w:tcPr>
            <w:tcW w:w="1430" w:type="dxa"/>
            <w:vMerge w:val="continue"/>
            <w:tcBorders>
              <w:left w:val="single" w:color="000000" w:sz="4" w:space="0"/>
              <w:right w:val="single" w:color="000000" w:sz="4" w:space="0"/>
            </w:tcBorders>
            <w:shd w:val="clear" w:color="auto" w:fill="auto"/>
            <w:noWrap w:val="0"/>
            <w:vAlign w:val="center"/>
          </w:tcPr>
          <w:p>
            <w:pPr>
              <w:widowControl/>
              <w:spacing w:line="300" w:lineRule="exact"/>
              <w:rPr>
                <w:rFonts w:ascii="仿宋" w:hAnsi="仿宋" w:eastAsia="仿宋" w:cs="Times New Roman"/>
                <w:color w:val="000000"/>
                <w:kern w:val="0"/>
                <w:sz w:val="24"/>
              </w:rPr>
            </w:pPr>
          </w:p>
        </w:tc>
        <w:tc>
          <w:tcPr>
            <w:tcW w:w="1828" w:type="dxa"/>
            <w:vMerge w:val="restart"/>
            <w:tcBorders>
              <w:top w:val="single" w:color="000000" w:sz="4" w:space="0"/>
              <w:left w:val="single" w:color="000000" w:sz="4" w:space="0"/>
              <w:right w:val="single" w:color="000000" w:sz="4" w:space="0"/>
            </w:tcBorders>
            <w:shd w:val="clear" w:color="auto" w:fill="auto"/>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（十八）加强重点灾种防范</w:t>
            </w:r>
          </w:p>
        </w:tc>
        <w:tc>
          <w:tcPr>
            <w:tcW w:w="84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1.森林草原火灾：深入开展重大火险隐患排查整治。强化监测预警和群防群控。推进森林草原防火阻隔系统和防火道路建设，加快完善重点火险区火灾防控基础设施。科学组织清理重点林缘部位可燃物。严格林区草地以及林缘地带野外用火管控，严查野外违法用火行为。</w:t>
            </w:r>
          </w:p>
        </w:tc>
        <w:tc>
          <w:tcPr>
            <w:tcW w:w="28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spacing w:val="-2"/>
                <w:kern w:val="0"/>
                <w:sz w:val="24"/>
              </w:rPr>
            </w:pPr>
            <w:r>
              <w:rPr>
                <w:rFonts w:ascii="仿宋" w:hAnsi="仿宋" w:eastAsia="仿宋" w:cs="Times New Roman"/>
                <w:color w:val="000000"/>
                <w:spacing w:val="-2"/>
                <w:kern w:val="0"/>
                <w:sz w:val="24"/>
              </w:rPr>
              <w:t>各</w:t>
            </w:r>
            <w:r>
              <w:rPr>
                <w:rFonts w:hint="eastAsia" w:ascii="仿宋" w:hAnsi="仿宋" w:eastAsia="仿宋" w:cs="Times New Roman"/>
                <w:color w:val="000000"/>
                <w:spacing w:val="-2"/>
                <w:kern w:val="0"/>
                <w:sz w:val="24"/>
              </w:rPr>
              <w:t>乡</w:t>
            </w:r>
            <w:r>
              <w:rPr>
                <w:rFonts w:ascii="仿宋" w:hAnsi="仿宋" w:eastAsia="仿宋" w:cs="Times New Roman"/>
                <w:color w:val="000000"/>
                <w:spacing w:val="-2"/>
                <w:kern w:val="0"/>
                <w:sz w:val="24"/>
              </w:rPr>
              <w:t>（</w:t>
            </w:r>
            <w:r>
              <w:rPr>
                <w:rFonts w:hint="eastAsia" w:ascii="仿宋" w:hAnsi="仿宋" w:eastAsia="仿宋" w:cs="Times New Roman"/>
                <w:color w:val="000000"/>
                <w:spacing w:val="-2"/>
                <w:kern w:val="0"/>
                <w:sz w:val="24"/>
              </w:rPr>
              <w:t>镇</w:t>
            </w:r>
            <w:r>
              <w:rPr>
                <w:rFonts w:ascii="仿宋" w:hAnsi="仿宋" w:eastAsia="仿宋" w:cs="Times New Roman"/>
                <w:color w:val="000000"/>
                <w:spacing w:val="-2"/>
                <w:kern w:val="0"/>
                <w:sz w:val="24"/>
              </w:rPr>
              <w:t>）政府</w:t>
            </w:r>
            <w:r>
              <w:rPr>
                <w:rFonts w:hint="eastAsia" w:ascii="仿宋" w:hAnsi="仿宋" w:eastAsia="仿宋" w:cs="Times New Roman"/>
                <w:color w:val="000000"/>
                <w:spacing w:val="-2"/>
                <w:kern w:val="0"/>
                <w:sz w:val="24"/>
              </w:rPr>
              <w:t>，县林业局</w:t>
            </w:r>
            <w:r>
              <w:rPr>
                <w:rFonts w:ascii="仿宋" w:hAnsi="仿宋" w:eastAsia="仿宋" w:cs="Times New Roman"/>
                <w:color w:val="000000"/>
                <w:spacing w:val="-2"/>
                <w:kern w:val="0"/>
                <w:sz w:val="24"/>
              </w:rPr>
              <w:t>牵头，</w:t>
            </w:r>
            <w:r>
              <w:rPr>
                <w:rFonts w:hint="eastAsia" w:ascii="仿宋" w:hAnsi="仿宋" w:eastAsia="仿宋" w:cs="Times New Roman"/>
                <w:color w:val="000000"/>
                <w:spacing w:val="-2"/>
                <w:kern w:val="0"/>
                <w:sz w:val="24"/>
              </w:rPr>
              <w:t>县</w:t>
            </w:r>
            <w:r>
              <w:rPr>
                <w:rFonts w:ascii="仿宋" w:hAnsi="仿宋" w:eastAsia="仿宋" w:cs="Times New Roman"/>
                <w:color w:val="000000"/>
                <w:spacing w:val="-2"/>
                <w:kern w:val="0"/>
                <w:sz w:val="24"/>
              </w:rPr>
              <w:t>应急管理局、</w:t>
            </w:r>
            <w:r>
              <w:rPr>
                <w:rFonts w:hint="eastAsia" w:ascii="仿宋" w:hAnsi="仿宋" w:eastAsia="仿宋" w:cs="Times New Roman"/>
                <w:color w:val="000000"/>
                <w:spacing w:val="-2"/>
                <w:kern w:val="0"/>
                <w:sz w:val="24"/>
              </w:rPr>
              <w:t>县</w:t>
            </w:r>
            <w:r>
              <w:rPr>
                <w:rFonts w:ascii="仿宋" w:hAnsi="仿宋" w:eastAsia="仿宋" w:cs="Times New Roman"/>
                <w:color w:val="000000"/>
                <w:spacing w:val="-2"/>
                <w:kern w:val="0"/>
                <w:sz w:val="24"/>
              </w:rPr>
              <w:t>公安局等部门配合</w:t>
            </w:r>
          </w:p>
        </w:tc>
      </w:tr>
      <w:tr>
        <w:tblPrEx>
          <w:tblCellMar>
            <w:top w:w="0" w:type="dxa"/>
            <w:left w:w="108" w:type="dxa"/>
            <w:bottom w:w="0" w:type="dxa"/>
            <w:right w:w="108" w:type="dxa"/>
          </w:tblCellMar>
        </w:tblPrEx>
        <w:trPr>
          <w:trHeight w:val="1098" w:hRule="atLeast"/>
          <w:jc w:val="center"/>
        </w:trPr>
        <w:tc>
          <w:tcPr>
            <w:tcW w:w="143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300" w:lineRule="exact"/>
              <w:rPr>
                <w:rFonts w:ascii="仿宋" w:hAnsi="仿宋" w:eastAsia="仿宋" w:cs="Times New Roman"/>
                <w:color w:val="000000"/>
                <w:kern w:val="0"/>
                <w:sz w:val="24"/>
              </w:rPr>
            </w:pPr>
          </w:p>
        </w:tc>
        <w:tc>
          <w:tcPr>
            <w:tcW w:w="1828"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300" w:lineRule="exact"/>
              <w:rPr>
                <w:rFonts w:ascii="仿宋" w:hAnsi="仿宋" w:eastAsia="仿宋" w:cs="Times New Roman"/>
                <w:color w:val="000000"/>
                <w:kern w:val="0"/>
                <w:sz w:val="24"/>
              </w:rPr>
            </w:pPr>
          </w:p>
        </w:tc>
        <w:tc>
          <w:tcPr>
            <w:tcW w:w="84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仿宋" w:hAnsi="仿宋" w:eastAsia="仿宋" w:cs="Times New Roman"/>
                <w:color w:val="000000"/>
                <w:kern w:val="0"/>
                <w:sz w:val="24"/>
              </w:rPr>
            </w:pPr>
            <w:r>
              <w:rPr>
                <w:rFonts w:ascii="仿宋" w:hAnsi="仿宋" w:eastAsia="仿宋" w:cs="Times New Roman"/>
                <w:color w:val="000000"/>
                <w:kern w:val="0"/>
                <w:sz w:val="24"/>
              </w:rPr>
              <w:t>2.水旱灾害：加强防汛抗旱准备和隐患排查。强化城市排水防涝设施、易涝点智慧化监控。加强水利工程调度运用，强化山洪灾害监测预警。完善防汛抗旱协作和应急联动机制，统筹做好防凌和抗旱工作。强化预测预报预警和会商研判，遇强降雨坚决果断撤避转移</w:t>
            </w:r>
            <w:r>
              <w:rPr>
                <w:rFonts w:hint="eastAsia" w:ascii="仿宋" w:hAnsi="仿宋" w:eastAsia="仿宋" w:cs="Times New Roman"/>
                <w:color w:val="000000"/>
                <w:kern w:val="0"/>
                <w:sz w:val="24"/>
              </w:rPr>
              <w:t>。</w:t>
            </w:r>
          </w:p>
        </w:tc>
        <w:tc>
          <w:tcPr>
            <w:tcW w:w="28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各</w:t>
            </w:r>
            <w:r>
              <w:rPr>
                <w:rFonts w:hint="eastAsia" w:ascii="仿宋" w:hAnsi="仿宋" w:eastAsia="仿宋" w:cs="Times New Roman"/>
                <w:color w:val="000000"/>
                <w:kern w:val="0"/>
                <w:sz w:val="24"/>
              </w:rPr>
              <w:t>乡</w:t>
            </w:r>
            <w:r>
              <w:rPr>
                <w:rFonts w:ascii="仿宋" w:hAnsi="仿宋" w:eastAsia="仿宋" w:cs="Times New Roman"/>
                <w:color w:val="000000"/>
                <w:kern w:val="0"/>
                <w:sz w:val="24"/>
              </w:rPr>
              <w:t>（</w:t>
            </w:r>
            <w:r>
              <w:rPr>
                <w:rFonts w:hint="eastAsia" w:ascii="仿宋" w:hAnsi="仿宋" w:eastAsia="仿宋" w:cs="Times New Roman"/>
                <w:color w:val="000000"/>
                <w:kern w:val="0"/>
                <w:sz w:val="24"/>
              </w:rPr>
              <w:t>镇</w:t>
            </w:r>
            <w:r>
              <w:rPr>
                <w:rFonts w:ascii="仿宋" w:hAnsi="仿宋" w:eastAsia="仿宋" w:cs="Times New Roman"/>
                <w:color w:val="000000"/>
                <w:kern w:val="0"/>
                <w:sz w:val="24"/>
              </w:rPr>
              <w:t>）政府，</w:t>
            </w:r>
            <w:r>
              <w:rPr>
                <w:rFonts w:hint="eastAsia" w:ascii="仿宋" w:hAnsi="仿宋" w:eastAsia="仿宋" w:cs="Times New Roman"/>
                <w:color w:val="000000"/>
                <w:kern w:val="0"/>
                <w:sz w:val="24"/>
              </w:rPr>
              <w:t>县住房和城乡建设管理局</w:t>
            </w:r>
            <w:r>
              <w:rPr>
                <w:rFonts w:ascii="仿宋" w:hAnsi="仿宋" w:eastAsia="仿宋" w:cs="Times New Roman"/>
                <w:color w:val="000000"/>
                <w:kern w:val="0"/>
                <w:sz w:val="24"/>
              </w:rPr>
              <w:t>、</w:t>
            </w:r>
            <w:r>
              <w:rPr>
                <w:rFonts w:hint="eastAsia" w:ascii="仿宋" w:hAnsi="仿宋" w:eastAsia="仿宋" w:cs="Times New Roman"/>
                <w:color w:val="000000"/>
                <w:kern w:val="0"/>
                <w:sz w:val="24"/>
              </w:rPr>
              <w:t>县</w:t>
            </w:r>
            <w:r>
              <w:rPr>
                <w:rFonts w:ascii="仿宋" w:hAnsi="仿宋" w:eastAsia="仿宋" w:cs="Times New Roman"/>
                <w:color w:val="000000"/>
                <w:kern w:val="0"/>
                <w:sz w:val="24"/>
              </w:rPr>
              <w:t>水利局、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农业农村局、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气象局、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应急管理局等部门</w:t>
            </w:r>
          </w:p>
        </w:tc>
      </w:tr>
    </w:tbl>
    <w:p>
      <w:pPr>
        <w:spacing w:line="300" w:lineRule="exact"/>
        <w:rPr>
          <w:rFonts w:ascii="仿宋" w:hAnsi="仿宋" w:eastAsia="仿宋"/>
        </w:rPr>
        <w:sectPr>
          <w:pgSz w:w="16840" w:h="11907" w:orient="landscape"/>
          <w:pgMar w:top="1247" w:right="1134" w:bottom="1134" w:left="1247" w:header="851" w:footer="1021" w:gutter="0"/>
          <w:cols w:space="720" w:num="1"/>
          <w:titlePg/>
          <w:docGrid w:linePitch="319" w:charSpace="0"/>
        </w:sectPr>
      </w:pPr>
    </w:p>
    <w:p>
      <w:pPr>
        <w:spacing w:line="200" w:lineRule="exact"/>
        <w:rPr>
          <w:rFonts w:hint="eastAsia" w:ascii="仿宋" w:hAnsi="仿宋" w:eastAsia="仿宋" w:cs="Times New Roman"/>
        </w:rPr>
      </w:pPr>
    </w:p>
    <w:tbl>
      <w:tblPr>
        <w:tblStyle w:val="7"/>
        <w:tblW w:w="14574" w:type="dxa"/>
        <w:jc w:val="center"/>
        <w:tblLayout w:type="autofit"/>
        <w:tblCellMar>
          <w:top w:w="0" w:type="dxa"/>
          <w:left w:w="108" w:type="dxa"/>
          <w:bottom w:w="0" w:type="dxa"/>
          <w:right w:w="108" w:type="dxa"/>
        </w:tblCellMar>
      </w:tblPr>
      <w:tblGrid>
        <w:gridCol w:w="1431"/>
        <w:gridCol w:w="1830"/>
        <w:gridCol w:w="8436"/>
        <w:gridCol w:w="2877"/>
      </w:tblGrid>
      <w:tr>
        <w:tblPrEx>
          <w:tblCellMar>
            <w:top w:w="0" w:type="dxa"/>
            <w:left w:w="108" w:type="dxa"/>
            <w:bottom w:w="0" w:type="dxa"/>
            <w:right w:w="108" w:type="dxa"/>
          </w:tblCellMar>
        </w:tblPrEx>
        <w:trPr>
          <w:trHeight w:val="1051" w:hRule="atLeast"/>
          <w:jc w:val="center"/>
        </w:trPr>
        <w:tc>
          <w:tcPr>
            <w:tcW w:w="1431" w:type="dxa"/>
            <w:vMerge w:val="restart"/>
            <w:tcBorders>
              <w:top w:val="single" w:color="000000" w:sz="4" w:space="0"/>
              <w:left w:val="single" w:color="000000" w:sz="4" w:space="0"/>
              <w:right w:val="single" w:color="000000" w:sz="4" w:space="0"/>
            </w:tcBorders>
            <w:shd w:val="clear" w:color="auto" w:fill="auto"/>
            <w:noWrap w:val="0"/>
            <w:vAlign w:val="center"/>
          </w:tcPr>
          <w:p>
            <w:pPr>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四、提升综合防灾减灾救灾能力，带动重点灾害防治更有成效</w:t>
            </w:r>
          </w:p>
        </w:tc>
        <w:tc>
          <w:tcPr>
            <w:tcW w:w="1830" w:type="dxa"/>
            <w:vMerge w:val="restart"/>
            <w:tcBorders>
              <w:top w:val="single" w:color="000000" w:sz="4" w:space="0"/>
              <w:left w:val="single" w:color="000000" w:sz="4" w:space="0"/>
              <w:right w:val="single" w:color="000000" w:sz="4" w:space="0"/>
            </w:tcBorders>
            <w:shd w:val="clear" w:color="auto" w:fill="auto"/>
            <w:noWrap w:val="0"/>
            <w:vAlign w:val="center"/>
          </w:tcPr>
          <w:p>
            <w:pPr>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（十八）加强重点灾种防范</w:t>
            </w:r>
          </w:p>
        </w:tc>
        <w:tc>
          <w:tcPr>
            <w:tcW w:w="8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3.地质灾害：加强综合防治体系建设，重点实施避险搬迁、工程治理，开展重点地区地质灾害精细化调查和风险“双控”试点管理。</w:t>
            </w:r>
          </w:p>
        </w:tc>
        <w:tc>
          <w:tcPr>
            <w:tcW w:w="2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spacing w:val="-2"/>
                <w:kern w:val="0"/>
                <w:sz w:val="24"/>
              </w:rPr>
            </w:pPr>
            <w:r>
              <w:rPr>
                <w:rFonts w:ascii="仿宋" w:hAnsi="仿宋" w:eastAsia="仿宋" w:cs="Times New Roman"/>
                <w:color w:val="000000"/>
                <w:spacing w:val="-2"/>
                <w:kern w:val="0"/>
                <w:sz w:val="24"/>
              </w:rPr>
              <w:t>各</w:t>
            </w:r>
            <w:r>
              <w:rPr>
                <w:rFonts w:hint="eastAsia" w:ascii="仿宋" w:hAnsi="仿宋" w:eastAsia="仿宋" w:cs="Times New Roman"/>
                <w:color w:val="000000"/>
                <w:spacing w:val="-2"/>
                <w:kern w:val="0"/>
                <w:sz w:val="24"/>
              </w:rPr>
              <w:t>乡</w:t>
            </w:r>
            <w:r>
              <w:rPr>
                <w:rFonts w:ascii="仿宋" w:hAnsi="仿宋" w:eastAsia="仿宋" w:cs="Times New Roman"/>
                <w:color w:val="000000"/>
                <w:spacing w:val="-2"/>
                <w:kern w:val="0"/>
                <w:sz w:val="24"/>
              </w:rPr>
              <w:t>（</w:t>
            </w:r>
            <w:r>
              <w:rPr>
                <w:rFonts w:hint="eastAsia" w:ascii="仿宋" w:hAnsi="仿宋" w:eastAsia="仿宋" w:cs="Times New Roman"/>
                <w:color w:val="000000"/>
                <w:spacing w:val="-2"/>
                <w:kern w:val="0"/>
                <w:sz w:val="24"/>
              </w:rPr>
              <w:t>镇</w:t>
            </w:r>
            <w:r>
              <w:rPr>
                <w:rFonts w:ascii="仿宋" w:hAnsi="仿宋" w:eastAsia="仿宋" w:cs="Times New Roman"/>
                <w:color w:val="000000"/>
                <w:spacing w:val="-2"/>
                <w:kern w:val="0"/>
                <w:sz w:val="24"/>
              </w:rPr>
              <w:t>）政府，</w:t>
            </w:r>
            <w:r>
              <w:rPr>
                <w:rFonts w:hint="eastAsia" w:ascii="仿宋" w:hAnsi="仿宋" w:eastAsia="仿宋" w:cs="Times New Roman"/>
                <w:color w:val="000000"/>
                <w:spacing w:val="-2"/>
                <w:kern w:val="0"/>
                <w:sz w:val="24"/>
              </w:rPr>
              <w:t>县</w:t>
            </w:r>
            <w:r>
              <w:rPr>
                <w:rFonts w:ascii="仿宋" w:hAnsi="仿宋" w:eastAsia="仿宋" w:cs="Times New Roman"/>
                <w:color w:val="000000"/>
                <w:spacing w:val="-2"/>
                <w:kern w:val="0"/>
                <w:sz w:val="24"/>
              </w:rPr>
              <w:t>自然资源局、</w:t>
            </w:r>
            <w:r>
              <w:rPr>
                <w:rFonts w:hint="eastAsia" w:ascii="仿宋" w:hAnsi="仿宋" w:eastAsia="仿宋" w:cs="Times New Roman"/>
                <w:color w:val="000000"/>
                <w:spacing w:val="-2"/>
                <w:kern w:val="0"/>
                <w:sz w:val="24"/>
              </w:rPr>
              <w:t>县</w:t>
            </w:r>
            <w:r>
              <w:rPr>
                <w:rFonts w:ascii="仿宋" w:hAnsi="仿宋" w:eastAsia="仿宋" w:cs="Times New Roman"/>
                <w:color w:val="000000"/>
                <w:spacing w:val="-2"/>
                <w:kern w:val="0"/>
                <w:sz w:val="24"/>
              </w:rPr>
              <w:t>应急管理局等部门</w:t>
            </w:r>
          </w:p>
        </w:tc>
      </w:tr>
      <w:tr>
        <w:tblPrEx>
          <w:tblCellMar>
            <w:top w:w="0" w:type="dxa"/>
            <w:left w:w="108" w:type="dxa"/>
            <w:bottom w:w="0" w:type="dxa"/>
            <w:right w:w="108" w:type="dxa"/>
          </w:tblCellMar>
        </w:tblPrEx>
        <w:trPr>
          <w:trHeight w:val="859" w:hRule="atLeast"/>
          <w:jc w:val="center"/>
        </w:trPr>
        <w:tc>
          <w:tcPr>
            <w:tcW w:w="1431" w:type="dxa"/>
            <w:vMerge w:val="continue"/>
            <w:tcBorders>
              <w:left w:val="single" w:color="000000" w:sz="4" w:space="0"/>
              <w:right w:val="single" w:color="000000" w:sz="4" w:space="0"/>
            </w:tcBorders>
            <w:shd w:val="clear" w:color="auto" w:fill="auto"/>
            <w:noWrap w:val="0"/>
            <w:vAlign w:val="center"/>
          </w:tcPr>
          <w:p>
            <w:pPr>
              <w:spacing w:line="300" w:lineRule="exact"/>
              <w:rPr>
                <w:rFonts w:ascii="仿宋" w:hAnsi="仿宋" w:eastAsia="仿宋" w:cs="Times New Roman"/>
                <w:color w:val="000000"/>
                <w:kern w:val="0"/>
                <w:sz w:val="24"/>
              </w:rPr>
            </w:pPr>
          </w:p>
        </w:tc>
        <w:tc>
          <w:tcPr>
            <w:tcW w:w="1830" w:type="dxa"/>
            <w:vMerge w:val="continue"/>
            <w:tcBorders>
              <w:left w:val="single" w:color="000000" w:sz="4" w:space="0"/>
              <w:right w:val="single" w:color="000000" w:sz="4" w:space="0"/>
            </w:tcBorders>
            <w:shd w:val="clear" w:color="auto" w:fill="auto"/>
            <w:noWrap w:val="0"/>
            <w:vAlign w:val="center"/>
          </w:tcPr>
          <w:p>
            <w:pPr>
              <w:spacing w:line="300" w:lineRule="exact"/>
              <w:rPr>
                <w:rFonts w:ascii="仿宋" w:hAnsi="仿宋" w:eastAsia="仿宋" w:cs="Times New Roman"/>
                <w:color w:val="000000"/>
                <w:kern w:val="0"/>
                <w:sz w:val="24"/>
              </w:rPr>
            </w:pPr>
          </w:p>
        </w:tc>
        <w:tc>
          <w:tcPr>
            <w:tcW w:w="8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4.地震灾害：配合省级实施山西地震烈度速报与预警工程和巨灾防范工程相关工作任务。配合开展地震灾害损失预评估和活动断层探测。优化震情监视跟踪协同工作机制，加强地震趋势会商研判。加强地震灾害防范应对准备工作。</w:t>
            </w:r>
          </w:p>
        </w:tc>
        <w:tc>
          <w:tcPr>
            <w:tcW w:w="2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各</w:t>
            </w:r>
            <w:r>
              <w:rPr>
                <w:rFonts w:hint="eastAsia" w:ascii="仿宋" w:hAnsi="仿宋" w:eastAsia="仿宋" w:cs="Times New Roman"/>
                <w:color w:val="000000"/>
                <w:kern w:val="0"/>
                <w:sz w:val="24"/>
              </w:rPr>
              <w:t>乡</w:t>
            </w:r>
            <w:r>
              <w:rPr>
                <w:rFonts w:ascii="仿宋" w:hAnsi="仿宋" w:eastAsia="仿宋" w:cs="Times New Roman"/>
                <w:color w:val="000000"/>
                <w:kern w:val="0"/>
                <w:sz w:val="24"/>
              </w:rPr>
              <w:t>（</w:t>
            </w:r>
            <w:r>
              <w:rPr>
                <w:rFonts w:hint="eastAsia" w:ascii="仿宋" w:hAnsi="仿宋" w:eastAsia="仿宋" w:cs="Times New Roman"/>
                <w:color w:val="000000"/>
                <w:kern w:val="0"/>
                <w:sz w:val="24"/>
              </w:rPr>
              <w:t>镇</w:t>
            </w:r>
            <w:r>
              <w:rPr>
                <w:rFonts w:ascii="仿宋" w:hAnsi="仿宋" w:eastAsia="仿宋" w:cs="Times New Roman"/>
                <w:color w:val="000000"/>
                <w:kern w:val="0"/>
                <w:sz w:val="24"/>
              </w:rPr>
              <w:t>）政府，</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应急管理局等部门</w:t>
            </w:r>
          </w:p>
        </w:tc>
      </w:tr>
      <w:tr>
        <w:tblPrEx>
          <w:tblCellMar>
            <w:top w:w="0" w:type="dxa"/>
            <w:left w:w="108" w:type="dxa"/>
            <w:bottom w:w="0" w:type="dxa"/>
            <w:right w:w="108" w:type="dxa"/>
          </w:tblCellMar>
        </w:tblPrEx>
        <w:trPr>
          <w:trHeight w:val="1126" w:hRule="atLeast"/>
          <w:jc w:val="center"/>
        </w:trPr>
        <w:tc>
          <w:tcPr>
            <w:tcW w:w="1431" w:type="dxa"/>
            <w:vMerge w:val="continue"/>
            <w:tcBorders>
              <w:left w:val="single" w:color="000000" w:sz="4" w:space="0"/>
              <w:bottom w:val="nil"/>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1830" w:type="dxa"/>
            <w:vMerge w:val="continue"/>
            <w:tcBorders>
              <w:left w:val="single" w:color="000000" w:sz="4" w:space="0"/>
              <w:bottom w:val="nil"/>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8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5.气象灾害：完善气象灾害应急指挥体系。加强以气象灾害预警为先导的多部门应急响应联动机制运行。健全信息报告机制和临灾“叫应”机制。加强防雷和升放气球安全。开展人工影响天气作业助力防灾减灾工作。</w:t>
            </w:r>
          </w:p>
        </w:tc>
        <w:tc>
          <w:tcPr>
            <w:tcW w:w="2877" w:type="dxa"/>
            <w:tcBorders>
              <w:top w:val="single" w:color="000000" w:sz="4" w:space="0"/>
              <w:left w:val="nil"/>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spacing w:val="-2"/>
                <w:kern w:val="0"/>
                <w:sz w:val="24"/>
              </w:rPr>
            </w:pPr>
            <w:r>
              <w:rPr>
                <w:rFonts w:ascii="仿宋" w:hAnsi="仿宋" w:eastAsia="仿宋" w:cs="Times New Roman"/>
                <w:color w:val="000000"/>
                <w:spacing w:val="-2"/>
                <w:kern w:val="0"/>
                <w:sz w:val="24"/>
              </w:rPr>
              <w:t>各</w:t>
            </w:r>
            <w:r>
              <w:rPr>
                <w:rFonts w:hint="eastAsia" w:ascii="仿宋" w:hAnsi="仿宋" w:eastAsia="仿宋" w:cs="Times New Roman"/>
                <w:color w:val="000000"/>
                <w:spacing w:val="-2"/>
                <w:kern w:val="0"/>
                <w:sz w:val="24"/>
              </w:rPr>
              <w:t>乡</w:t>
            </w:r>
            <w:r>
              <w:rPr>
                <w:rFonts w:ascii="仿宋" w:hAnsi="仿宋" w:eastAsia="仿宋" w:cs="Times New Roman"/>
                <w:color w:val="000000"/>
                <w:spacing w:val="-2"/>
                <w:kern w:val="0"/>
                <w:sz w:val="24"/>
              </w:rPr>
              <w:t>（</w:t>
            </w:r>
            <w:r>
              <w:rPr>
                <w:rFonts w:hint="eastAsia" w:ascii="仿宋" w:hAnsi="仿宋" w:eastAsia="仿宋" w:cs="Times New Roman"/>
                <w:color w:val="000000"/>
                <w:spacing w:val="-2"/>
                <w:kern w:val="0"/>
                <w:sz w:val="24"/>
              </w:rPr>
              <w:t>镇</w:t>
            </w:r>
            <w:r>
              <w:rPr>
                <w:rFonts w:ascii="仿宋" w:hAnsi="仿宋" w:eastAsia="仿宋" w:cs="Times New Roman"/>
                <w:color w:val="000000"/>
                <w:spacing w:val="-2"/>
                <w:kern w:val="0"/>
                <w:sz w:val="24"/>
              </w:rPr>
              <w:t>）政府，</w:t>
            </w:r>
            <w:r>
              <w:rPr>
                <w:rFonts w:hint="eastAsia" w:ascii="仿宋" w:hAnsi="仿宋" w:eastAsia="仿宋" w:cs="Times New Roman"/>
                <w:color w:val="000000"/>
                <w:spacing w:val="-2"/>
                <w:kern w:val="0"/>
                <w:sz w:val="24"/>
              </w:rPr>
              <w:t>县</w:t>
            </w:r>
            <w:r>
              <w:rPr>
                <w:rFonts w:ascii="仿宋" w:hAnsi="仿宋" w:eastAsia="仿宋" w:cs="Times New Roman"/>
                <w:color w:val="000000"/>
                <w:spacing w:val="-2"/>
                <w:kern w:val="0"/>
                <w:sz w:val="24"/>
              </w:rPr>
              <w:t>气象局、</w:t>
            </w:r>
            <w:r>
              <w:rPr>
                <w:rFonts w:hint="eastAsia" w:ascii="仿宋" w:hAnsi="仿宋" w:eastAsia="仿宋" w:cs="Times New Roman"/>
                <w:color w:val="000000"/>
                <w:spacing w:val="-2"/>
                <w:kern w:val="0"/>
                <w:sz w:val="24"/>
              </w:rPr>
              <w:t>县</w:t>
            </w:r>
            <w:r>
              <w:rPr>
                <w:rFonts w:ascii="仿宋" w:hAnsi="仿宋" w:eastAsia="仿宋" w:cs="Times New Roman"/>
                <w:color w:val="000000"/>
                <w:spacing w:val="-2"/>
                <w:kern w:val="0"/>
                <w:sz w:val="24"/>
              </w:rPr>
              <w:t>应急管理局等部门</w:t>
            </w:r>
          </w:p>
        </w:tc>
      </w:tr>
      <w:tr>
        <w:tblPrEx>
          <w:tblCellMar>
            <w:top w:w="0" w:type="dxa"/>
            <w:left w:w="108" w:type="dxa"/>
            <w:bottom w:w="0" w:type="dxa"/>
            <w:right w:w="108" w:type="dxa"/>
          </w:tblCellMar>
        </w:tblPrEx>
        <w:trPr>
          <w:trHeight w:val="1122" w:hRule="atLeast"/>
          <w:jc w:val="center"/>
        </w:trPr>
        <w:tc>
          <w:tcPr>
            <w:tcW w:w="14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仿宋" w:hAnsi="仿宋" w:eastAsia="仿宋" w:cs="Times New Roman"/>
                <w:color w:val="000000"/>
                <w:spacing w:val="-10"/>
                <w:kern w:val="0"/>
                <w:sz w:val="24"/>
              </w:rPr>
            </w:pPr>
            <w:r>
              <w:rPr>
                <w:rFonts w:ascii="仿宋" w:hAnsi="仿宋" w:eastAsia="仿宋" w:cs="Times New Roman"/>
                <w:color w:val="000000"/>
                <w:kern w:val="0"/>
                <w:sz w:val="24"/>
              </w:rPr>
              <w:t>五、</w:t>
            </w:r>
            <w:r>
              <w:rPr>
                <w:rFonts w:ascii="仿宋" w:hAnsi="仿宋" w:eastAsia="仿宋" w:cs="Times New Roman"/>
                <w:color w:val="000000"/>
                <w:spacing w:val="-10"/>
                <w:kern w:val="0"/>
                <w:sz w:val="24"/>
              </w:rPr>
              <w:t>更加注</w:t>
            </w:r>
          </w:p>
          <w:p>
            <w:pPr>
              <w:widowControl/>
              <w:spacing w:line="300" w:lineRule="exact"/>
              <w:rPr>
                <w:rFonts w:ascii="仿宋" w:hAnsi="仿宋" w:eastAsia="仿宋" w:cs="Times New Roman"/>
                <w:color w:val="000000"/>
                <w:kern w:val="0"/>
                <w:sz w:val="24"/>
              </w:rPr>
            </w:pPr>
            <w:r>
              <w:rPr>
                <w:rFonts w:ascii="仿宋" w:hAnsi="仿宋" w:eastAsia="仿宋" w:cs="Times New Roman"/>
                <w:color w:val="000000"/>
                <w:spacing w:val="-10"/>
                <w:kern w:val="0"/>
                <w:sz w:val="24"/>
              </w:rPr>
              <w:t>重固本强基，促进应急管理水平整体提升</w:t>
            </w: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（十九）强化基层建设</w:t>
            </w:r>
          </w:p>
        </w:tc>
        <w:tc>
          <w:tcPr>
            <w:tcW w:w="8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完善基层应急管理和消防组织体系，加强人员力量配备。优化消防站点功能布局，加强消防基础设施建设。实施基层应急能力提升计划，为基层配备常用应急救援装备和个体防护装备。</w:t>
            </w:r>
          </w:p>
        </w:tc>
        <w:tc>
          <w:tcPr>
            <w:tcW w:w="2877" w:type="dxa"/>
            <w:tcBorders>
              <w:top w:val="single" w:color="000000" w:sz="4" w:space="0"/>
              <w:left w:val="nil"/>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各</w:t>
            </w:r>
            <w:r>
              <w:rPr>
                <w:rFonts w:hint="eastAsia" w:ascii="仿宋" w:hAnsi="仿宋" w:eastAsia="仿宋" w:cs="Times New Roman"/>
                <w:color w:val="000000"/>
                <w:kern w:val="0"/>
                <w:sz w:val="24"/>
              </w:rPr>
              <w:t>乡</w:t>
            </w:r>
            <w:r>
              <w:rPr>
                <w:rFonts w:ascii="仿宋" w:hAnsi="仿宋" w:eastAsia="仿宋" w:cs="Times New Roman"/>
                <w:color w:val="000000"/>
                <w:kern w:val="0"/>
                <w:sz w:val="24"/>
              </w:rPr>
              <w:t>（</w:t>
            </w:r>
            <w:r>
              <w:rPr>
                <w:rFonts w:hint="eastAsia" w:ascii="仿宋" w:hAnsi="仿宋" w:eastAsia="仿宋" w:cs="Times New Roman"/>
                <w:color w:val="000000"/>
                <w:kern w:val="0"/>
                <w:sz w:val="24"/>
              </w:rPr>
              <w:t>镇</w:t>
            </w:r>
            <w:r>
              <w:rPr>
                <w:rFonts w:ascii="仿宋" w:hAnsi="仿宋" w:eastAsia="仿宋" w:cs="Times New Roman"/>
                <w:color w:val="000000"/>
                <w:kern w:val="0"/>
                <w:sz w:val="24"/>
              </w:rPr>
              <w:t>）政府</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应急管理局、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消防救援</w:t>
            </w:r>
            <w:r>
              <w:rPr>
                <w:rFonts w:hint="eastAsia" w:ascii="仿宋" w:hAnsi="仿宋" w:eastAsia="仿宋" w:cs="Times New Roman"/>
                <w:color w:val="000000"/>
                <w:kern w:val="0"/>
                <w:sz w:val="24"/>
              </w:rPr>
              <w:t>大</w:t>
            </w:r>
            <w:r>
              <w:rPr>
                <w:rFonts w:ascii="仿宋" w:hAnsi="仿宋" w:eastAsia="仿宋" w:cs="Times New Roman"/>
                <w:color w:val="000000"/>
                <w:kern w:val="0"/>
                <w:sz w:val="24"/>
              </w:rPr>
              <w:t>队等部门</w:t>
            </w:r>
          </w:p>
        </w:tc>
      </w:tr>
      <w:tr>
        <w:tblPrEx>
          <w:tblCellMar>
            <w:top w:w="0" w:type="dxa"/>
            <w:left w:w="108" w:type="dxa"/>
            <w:bottom w:w="0" w:type="dxa"/>
            <w:right w:w="108" w:type="dxa"/>
          </w:tblCellMar>
        </w:tblPrEx>
        <w:trPr>
          <w:trHeight w:val="1639" w:hRule="atLeast"/>
          <w:jc w:val="center"/>
        </w:trPr>
        <w:tc>
          <w:tcPr>
            <w:tcW w:w="14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18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（二十）加强科技信息保障</w:t>
            </w:r>
          </w:p>
        </w:tc>
        <w:tc>
          <w:tcPr>
            <w:tcW w:w="8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开展自然灾害应急能力提升工程项目建设，配备音视频指挥调度等设施设备。推进应急数据汇聚服务、应急管理指挥调度等项目建设。加大智慧消防、消防大数据平台、消防物联网监控系统</w:t>
            </w:r>
            <w:r>
              <w:rPr>
                <w:rFonts w:hint="eastAsia" w:ascii="仿宋" w:hAnsi="仿宋" w:eastAsia="仿宋" w:cs="Times New Roman"/>
                <w:color w:val="000000"/>
                <w:kern w:val="0"/>
                <w:sz w:val="24"/>
              </w:rPr>
              <w:t>县</w:t>
            </w:r>
            <w:r>
              <w:rPr>
                <w:rFonts w:ascii="仿宋" w:hAnsi="仿宋" w:eastAsia="仿宋" w:cs="Times New Roman"/>
                <w:color w:val="000000"/>
                <w:kern w:val="0"/>
                <w:sz w:val="24"/>
              </w:rPr>
              <w:t>级预警中心建设应用力度。</w:t>
            </w:r>
          </w:p>
        </w:tc>
        <w:tc>
          <w:tcPr>
            <w:tcW w:w="2877" w:type="dxa"/>
            <w:tcBorders>
              <w:top w:val="single" w:color="000000" w:sz="4" w:space="0"/>
              <w:left w:val="nil"/>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各</w:t>
            </w:r>
            <w:r>
              <w:rPr>
                <w:rFonts w:hint="eastAsia" w:ascii="仿宋" w:hAnsi="仿宋" w:eastAsia="仿宋" w:cs="Times New Roman"/>
                <w:color w:val="000000"/>
                <w:kern w:val="0"/>
                <w:sz w:val="24"/>
              </w:rPr>
              <w:t>乡</w:t>
            </w:r>
            <w:r>
              <w:rPr>
                <w:rFonts w:ascii="仿宋" w:hAnsi="仿宋" w:eastAsia="仿宋" w:cs="Times New Roman"/>
                <w:color w:val="000000"/>
                <w:kern w:val="0"/>
                <w:sz w:val="24"/>
              </w:rPr>
              <w:t>（</w:t>
            </w:r>
            <w:r>
              <w:rPr>
                <w:rFonts w:hint="eastAsia" w:ascii="仿宋" w:hAnsi="仿宋" w:eastAsia="仿宋" w:cs="Times New Roman"/>
                <w:color w:val="000000"/>
                <w:kern w:val="0"/>
                <w:sz w:val="24"/>
              </w:rPr>
              <w:t>镇</w:t>
            </w:r>
            <w:r>
              <w:rPr>
                <w:rFonts w:ascii="仿宋" w:hAnsi="仿宋" w:eastAsia="仿宋" w:cs="Times New Roman"/>
                <w:color w:val="000000"/>
                <w:kern w:val="0"/>
                <w:sz w:val="24"/>
              </w:rPr>
              <w:t>）政府，</w:t>
            </w:r>
            <w:r>
              <w:rPr>
                <w:rFonts w:hint="eastAsia" w:ascii="仿宋" w:hAnsi="仿宋" w:eastAsia="仿宋" w:cs="Times New Roman"/>
                <w:color w:val="000000"/>
                <w:kern w:val="0"/>
                <w:sz w:val="24"/>
              </w:rPr>
              <w:t>县发展和改革局</w:t>
            </w:r>
            <w:r>
              <w:rPr>
                <w:rFonts w:ascii="仿宋" w:hAnsi="仿宋" w:eastAsia="仿宋" w:cs="Times New Roman"/>
                <w:color w:val="000000"/>
                <w:kern w:val="0"/>
                <w:sz w:val="24"/>
              </w:rPr>
              <w:t>、</w:t>
            </w:r>
            <w:r>
              <w:rPr>
                <w:rFonts w:hint="eastAsia" w:ascii="仿宋" w:hAnsi="仿宋" w:eastAsia="仿宋" w:cs="Times New Roman"/>
                <w:color w:val="000000"/>
                <w:kern w:val="0"/>
                <w:sz w:val="24"/>
              </w:rPr>
              <w:t>县</w:t>
            </w:r>
            <w:r>
              <w:rPr>
                <w:rFonts w:ascii="仿宋" w:hAnsi="仿宋" w:eastAsia="仿宋" w:cs="Times New Roman"/>
                <w:color w:val="000000"/>
                <w:kern w:val="0"/>
                <w:sz w:val="24"/>
              </w:rPr>
              <w:t>财政局、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应急管理局、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行政审批服务管理局、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消防救援</w:t>
            </w:r>
            <w:r>
              <w:rPr>
                <w:rFonts w:hint="eastAsia" w:ascii="仿宋" w:hAnsi="仿宋" w:eastAsia="仿宋" w:cs="Times New Roman"/>
                <w:color w:val="000000"/>
                <w:kern w:val="0"/>
                <w:sz w:val="24"/>
              </w:rPr>
              <w:t>大</w:t>
            </w:r>
            <w:r>
              <w:rPr>
                <w:rFonts w:ascii="仿宋" w:hAnsi="仿宋" w:eastAsia="仿宋" w:cs="Times New Roman"/>
                <w:color w:val="000000"/>
                <w:kern w:val="0"/>
                <w:sz w:val="24"/>
              </w:rPr>
              <w:t>队等部门</w:t>
            </w:r>
          </w:p>
        </w:tc>
      </w:tr>
      <w:tr>
        <w:tblPrEx>
          <w:tblCellMar>
            <w:top w:w="0" w:type="dxa"/>
            <w:left w:w="108" w:type="dxa"/>
            <w:bottom w:w="0" w:type="dxa"/>
            <w:right w:w="108" w:type="dxa"/>
          </w:tblCellMar>
        </w:tblPrEx>
        <w:trPr>
          <w:trHeight w:val="657" w:hRule="atLeast"/>
          <w:jc w:val="center"/>
        </w:trPr>
        <w:tc>
          <w:tcPr>
            <w:tcW w:w="14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18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8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推动煤矿加强采掘智能化、火灾预测等智能技术装备研发应用。</w:t>
            </w:r>
          </w:p>
        </w:tc>
        <w:tc>
          <w:tcPr>
            <w:tcW w:w="2877" w:type="dxa"/>
            <w:tcBorders>
              <w:top w:val="single" w:color="000000" w:sz="4" w:space="0"/>
              <w:left w:val="nil"/>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县</w:t>
            </w:r>
            <w:r>
              <w:rPr>
                <w:rFonts w:ascii="仿宋" w:hAnsi="仿宋" w:eastAsia="仿宋" w:cs="Times New Roman"/>
                <w:color w:val="000000"/>
                <w:kern w:val="0"/>
                <w:sz w:val="24"/>
              </w:rPr>
              <w:t>应急管理局、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能源局督促企业落实</w:t>
            </w:r>
          </w:p>
        </w:tc>
      </w:tr>
      <w:tr>
        <w:tblPrEx>
          <w:tblCellMar>
            <w:top w:w="0" w:type="dxa"/>
            <w:left w:w="108" w:type="dxa"/>
            <w:bottom w:w="0" w:type="dxa"/>
            <w:right w:w="108" w:type="dxa"/>
          </w:tblCellMar>
        </w:tblPrEx>
        <w:trPr>
          <w:trHeight w:val="1077" w:hRule="atLeast"/>
          <w:jc w:val="center"/>
        </w:trPr>
        <w:tc>
          <w:tcPr>
            <w:tcW w:w="14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（二十一）强化标准化建设</w:t>
            </w:r>
          </w:p>
        </w:tc>
        <w:tc>
          <w:tcPr>
            <w:tcW w:w="8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完善双重预防机制建设标准体系。推动规模以上企业安全生产标准化逐步达标、规模以下企业积极创建。加强矿山、危险化学品、冶金工贸、建筑施工、交通运输等行业领域标准化创建。</w:t>
            </w:r>
          </w:p>
        </w:tc>
        <w:tc>
          <w:tcPr>
            <w:tcW w:w="2877" w:type="dxa"/>
            <w:tcBorders>
              <w:top w:val="single" w:color="000000" w:sz="4" w:space="0"/>
              <w:left w:val="nil"/>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县直各</w:t>
            </w:r>
            <w:r>
              <w:rPr>
                <w:rFonts w:ascii="仿宋" w:hAnsi="仿宋" w:eastAsia="仿宋" w:cs="Times New Roman"/>
                <w:color w:val="000000"/>
                <w:kern w:val="0"/>
                <w:sz w:val="24"/>
              </w:rPr>
              <w:t>负有安全监管职责的部门</w:t>
            </w:r>
          </w:p>
        </w:tc>
      </w:tr>
      <w:tr>
        <w:tblPrEx>
          <w:tblCellMar>
            <w:top w:w="0" w:type="dxa"/>
            <w:left w:w="108" w:type="dxa"/>
            <w:bottom w:w="0" w:type="dxa"/>
            <w:right w:w="108" w:type="dxa"/>
          </w:tblCellMar>
        </w:tblPrEx>
        <w:trPr>
          <w:trHeight w:val="1505" w:hRule="atLeast"/>
          <w:jc w:val="center"/>
        </w:trPr>
        <w:tc>
          <w:tcPr>
            <w:tcW w:w="143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18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（二十二）加强宣传教育培训</w:t>
            </w:r>
          </w:p>
        </w:tc>
        <w:tc>
          <w:tcPr>
            <w:tcW w:w="843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深入开展安全宣传“七进”、安全生产月、消防宣传月、防灾减灾周等活动，加强先进典型宣传，积极营造安全文化氛围。推动将应急管理和消防安全纳入县党政正职等领导干部培训内容。推动企业建立完善安全培训管理体系。加强特种作业人员等现场培训和实操实训。推进省、市安全文化示范企业创建。</w:t>
            </w:r>
          </w:p>
        </w:tc>
        <w:tc>
          <w:tcPr>
            <w:tcW w:w="2877" w:type="dxa"/>
            <w:tcBorders>
              <w:top w:val="single" w:color="000000" w:sz="4" w:space="0"/>
              <w:left w:val="nil"/>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各</w:t>
            </w:r>
            <w:r>
              <w:rPr>
                <w:rFonts w:hint="eastAsia" w:ascii="仿宋" w:hAnsi="仿宋" w:eastAsia="仿宋" w:cs="Times New Roman"/>
                <w:color w:val="000000"/>
                <w:kern w:val="0"/>
                <w:sz w:val="24"/>
              </w:rPr>
              <w:t>乡</w:t>
            </w:r>
            <w:r>
              <w:rPr>
                <w:rFonts w:ascii="仿宋" w:hAnsi="仿宋" w:eastAsia="仿宋" w:cs="Times New Roman"/>
                <w:color w:val="000000"/>
                <w:kern w:val="0"/>
                <w:sz w:val="24"/>
              </w:rPr>
              <w:t>（</w:t>
            </w:r>
            <w:r>
              <w:rPr>
                <w:rFonts w:hint="eastAsia" w:ascii="仿宋" w:hAnsi="仿宋" w:eastAsia="仿宋" w:cs="Times New Roman"/>
                <w:color w:val="000000"/>
                <w:kern w:val="0"/>
                <w:sz w:val="24"/>
              </w:rPr>
              <w:t>镇</w:t>
            </w:r>
            <w:r>
              <w:rPr>
                <w:rFonts w:ascii="仿宋" w:hAnsi="仿宋" w:eastAsia="仿宋" w:cs="Times New Roman"/>
                <w:color w:val="000000"/>
                <w:kern w:val="0"/>
                <w:sz w:val="24"/>
              </w:rPr>
              <w:t>）政府</w:t>
            </w:r>
            <w:r>
              <w:rPr>
                <w:rFonts w:hint="eastAsia" w:ascii="仿宋" w:hAnsi="仿宋" w:eastAsia="仿宋" w:cs="Times New Roman"/>
                <w:color w:val="000000"/>
                <w:kern w:val="0"/>
                <w:sz w:val="24"/>
              </w:rPr>
              <w:t>，县直</w:t>
            </w:r>
            <w:r>
              <w:rPr>
                <w:rFonts w:ascii="仿宋" w:hAnsi="仿宋" w:eastAsia="仿宋" w:cs="Times New Roman"/>
                <w:color w:val="000000"/>
                <w:kern w:val="0"/>
                <w:sz w:val="24"/>
              </w:rPr>
              <w:t>有关部门</w:t>
            </w:r>
          </w:p>
        </w:tc>
      </w:tr>
    </w:tbl>
    <w:p>
      <w:pPr>
        <w:spacing w:line="300" w:lineRule="exact"/>
        <w:rPr>
          <w:rFonts w:ascii="仿宋" w:hAnsi="仿宋" w:eastAsia="仿宋"/>
        </w:rPr>
        <w:sectPr>
          <w:pgSz w:w="16840" w:h="11907" w:orient="landscape"/>
          <w:pgMar w:top="1247" w:right="1134" w:bottom="1134" w:left="1247" w:header="851" w:footer="1021" w:gutter="0"/>
          <w:cols w:space="720" w:num="1"/>
          <w:titlePg/>
          <w:docGrid w:linePitch="319" w:charSpace="0"/>
        </w:sectPr>
      </w:pPr>
    </w:p>
    <w:p>
      <w:pPr>
        <w:spacing w:line="200" w:lineRule="exact"/>
        <w:rPr>
          <w:rFonts w:hint="eastAsia" w:ascii="仿宋" w:hAnsi="仿宋" w:eastAsia="仿宋" w:cs="Times New Roman"/>
        </w:rPr>
      </w:pPr>
    </w:p>
    <w:tbl>
      <w:tblPr>
        <w:tblStyle w:val="7"/>
        <w:tblW w:w="14559" w:type="dxa"/>
        <w:jc w:val="center"/>
        <w:tblLayout w:type="autofit"/>
        <w:tblCellMar>
          <w:top w:w="0" w:type="dxa"/>
          <w:left w:w="108" w:type="dxa"/>
          <w:bottom w:w="0" w:type="dxa"/>
          <w:right w:w="108" w:type="dxa"/>
        </w:tblCellMar>
      </w:tblPr>
      <w:tblGrid>
        <w:gridCol w:w="1430"/>
        <w:gridCol w:w="1828"/>
        <w:gridCol w:w="8427"/>
        <w:gridCol w:w="2874"/>
      </w:tblGrid>
      <w:tr>
        <w:tblPrEx>
          <w:tblCellMar>
            <w:top w:w="0" w:type="dxa"/>
            <w:left w:w="108" w:type="dxa"/>
            <w:bottom w:w="0" w:type="dxa"/>
            <w:right w:w="108" w:type="dxa"/>
          </w:tblCellMar>
        </w:tblPrEx>
        <w:trPr>
          <w:trHeight w:val="1676" w:hRule="atLeast"/>
          <w:jc w:val="center"/>
        </w:trPr>
        <w:tc>
          <w:tcPr>
            <w:tcW w:w="14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hint="eastAsia" w:ascii="仿宋" w:hAnsi="仿宋" w:eastAsia="仿宋" w:cs="Times New Roman"/>
                <w:color w:val="000000"/>
                <w:spacing w:val="-10"/>
                <w:kern w:val="0"/>
                <w:sz w:val="24"/>
              </w:rPr>
            </w:pPr>
            <w:r>
              <w:rPr>
                <w:rFonts w:ascii="仿宋" w:hAnsi="仿宋" w:eastAsia="仿宋" w:cs="Times New Roman"/>
                <w:color w:val="000000"/>
                <w:kern w:val="0"/>
                <w:sz w:val="24"/>
              </w:rPr>
              <w:t>六、加强应</w:t>
            </w:r>
          </w:p>
          <w:p>
            <w:pPr>
              <w:widowControl/>
              <w:spacing w:line="300" w:lineRule="exact"/>
              <w:rPr>
                <w:rFonts w:ascii="仿宋" w:hAnsi="仿宋" w:eastAsia="仿宋" w:cs="Times New Roman"/>
                <w:color w:val="000000"/>
                <w:kern w:val="0"/>
                <w:sz w:val="24"/>
              </w:rPr>
            </w:pPr>
            <w:r>
              <w:rPr>
                <w:rFonts w:ascii="仿宋" w:hAnsi="仿宋" w:eastAsia="仿宋" w:cs="Times New Roman"/>
                <w:color w:val="000000"/>
                <w:spacing w:val="-10"/>
                <w:kern w:val="0"/>
                <w:sz w:val="24"/>
              </w:rPr>
              <w:t>急响应能力，确保突发事件应对有序高效</w:t>
            </w:r>
          </w:p>
        </w:tc>
        <w:tc>
          <w:tcPr>
            <w:tcW w:w="1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（二十三）加强救援队伍建设</w:t>
            </w:r>
          </w:p>
        </w:tc>
        <w:tc>
          <w:tcPr>
            <w:tcW w:w="84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加强以综合性消防救援队伍和政府专职应急救援队伍为主力，解放军和武警部队为突击，专业应急救援队伍为骨干，社会救援队伍为辅助的应急救援力量体系建设。加强应急救援队伍战斗力培养，完善救援力量联演联训、联勤联战工作机制，开展协同练兵。</w:t>
            </w:r>
          </w:p>
        </w:tc>
        <w:tc>
          <w:tcPr>
            <w:tcW w:w="2874" w:type="dxa"/>
            <w:tcBorders>
              <w:top w:val="single" w:color="000000" w:sz="4" w:space="0"/>
              <w:left w:val="nil"/>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各</w:t>
            </w:r>
            <w:r>
              <w:rPr>
                <w:rFonts w:hint="eastAsia" w:ascii="仿宋" w:hAnsi="仿宋" w:eastAsia="仿宋" w:cs="Times New Roman"/>
                <w:color w:val="000000"/>
                <w:kern w:val="0"/>
                <w:sz w:val="24"/>
              </w:rPr>
              <w:t>乡</w:t>
            </w:r>
            <w:r>
              <w:rPr>
                <w:rFonts w:ascii="仿宋" w:hAnsi="仿宋" w:eastAsia="仿宋" w:cs="Times New Roman"/>
                <w:color w:val="000000"/>
                <w:kern w:val="0"/>
                <w:sz w:val="24"/>
              </w:rPr>
              <w:t>（</w:t>
            </w:r>
            <w:r>
              <w:rPr>
                <w:rFonts w:hint="eastAsia" w:ascii="仿宋" w:hAnsi="仿宋" w:eastAsia="仿宋" w:cs="Times New Roman"/>
                <w:color w:val="000000"/>
                <w:kern w:val="0"/>
                <w:sz w:val="24"/>
              </w:rPr>
              <w:t>镇</w:t>
            </w:r>
            <w:r>
              <w:rPr>
                <w:rFonts w:ascii="仿宋" w:hAnsi="仿宋" w:eastAsia="仿宋" w:cs="Times New Roman"/>
                <w:color w:val="000000"/>
                <w:kern w:val="0"/>
                <w:sz w:val="24"/>
              </w:rPr>
              <w:t>）政府，</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应急管理局、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消防救援</w:t>
            </w:r>
            <w:r>
              <w:rPr>
                <w:rFonts w:hint="eastAsia" w:ascii="仿宋" w:hAnsi="仿宋" w:eastAsia="仿宋" w:cs="Times New Roman"/>
                <w:color w:val="000000"/>
                <w:kern w:val="0"/>
                <w:sz w:val="24"/>
              </w:rPr>
              <w:t>大</w:t>
            </w:r>
            <w:r>
              <w:rPr>
                <w:rFonts w:ascii="仿宋" w:hAnsi="仿宋" w:eastAsia="仿宋" w:cs="Times New Roman"/>
                <w:color w:val="000000"/>
                <w:kern w:val="0"/>
                <w:sz w:val="24"/>
              </w:rPr>
              <w:t>队、武警</w:t>
            </w:r>
            <w:r>
              <w:rPr>
                <w:rFonts w:hint="eastAsia" w:ascii="仿宋" w:hAnsi="仿宋" w:eastAsia="仿宋" w:cs="Times New Roman"/>
                <w:color w:val="000000"/>
                <w:kern w:val="0"/>
                <w:sz w:val="24"/>
              </w:rPr>
              <w:t>五台县中队</w:t>
            </w:r>
            <w:r>
              <w:rPr>
                <w:rFonts w:ascii="仿宋" w:hAnsi="仿宋" w:eastAsia="仿宋" w:cs="Times New Roman"/>
                <w:color w:val="000000"/>
                <w:kern w:val="0"/>
                <w:sz w:val="24"/>
              </w:rPr>
              <w:t>等部门</w:t>
            </w:r>
          </w:p>
        </w:tc>
      </w:tr>
      <w:tr>
        <w:tblPrEx>
          <w:tblCellMar>
            <w:top w:w="0" w:type="dxa"/>
            <w:left w:w="108" w:type="dxa"/>
            <w:bottom w:w="0" w:type="dxa"/>
            <w:right w:w="108" w:type="dxa"/>
          </w:tblCellMar>
        </w:tblPrEx>
        <w:trPr>
          <w:trHeight w:val="2277" w:hRule="atLeast"/>
          <w:jc w:val="center"/>
        </w:trPr>
        <w:tc>
          <w:tcPr>
            <w:tcW w:w="14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1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（二十四）提升装备物资保障能力</w:t>
            </w:r>
          </w:p>
        </w:tc>
        <w:tc>
          <w:tcPr>
            <w:tcW w:w="84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开展基层防灾工程项目建设，强化应急救援队伍装备配备，加快补齐应急救援队伍装备短板。完善应急救灾物资储备体系，扩大救援装备器材和保障物资储备规模，增加储备品种和数量，形成科学配置、相互补充的储备网络。充分发挥社会力量，利用市场资源，开拓应急物资装备多样化储备渠道，积极探索建立实物储备与商业储备相结合、生产能力储备与技术储备相结合、政府采购与政府补贴相结合的应急物资储备方式。</w:t>
            </w:r>
          </w:p>
        </w:tc>
        <w:tc>
          <w:tcPr>
            <w:tcW w:w="2874" w:type="dxa"/>
            <w:tcBorders>
              <w:top w:val="single" w:color="000000" w:sz="4" w:space="0"/>
              <w:left w:val="nil"/>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各</w:t>
            </w:r>
            <w:r>
              <w:rPr>
                <w:rFonts w:hint="eastAsia" w:ascii="仿宋" w:hAnsi="仿宋" w:eastAsia="仿宋" w:cs="Times New Roman"/>
                <w:color w:val="000000"/>
                <w:kern w:val="0"/>
                <w:sz w:val="24"/>
              </w:rPr>
              <w:t>乡</w:t>
            </w:r>
            <w:r>
              <w:rPr>
                <w:rFonts w:ascii="仿宋" w:hAnsi="仿宋" w:eastAsia="仿宋" w:cs="Times New Roman"/>
                <w:color w:val="000000"/>
                <w:kern w:val="0"/>
                <w:sz w:val="24"/>
              </w:rPr>
              <w:t>（</w:t>
            </w:r>
            <w:r>
              <w:rPr>
                <w:rFonts w:hint="eastAsia" w:ascii="仿宋" w:hAnsi="仿宋" w:eastAsia="仿宋" w:cs="Times New Roman"/>
                <w:color w:val="000000"/>
                <w:kern w:val="0"/>
                <w:sz w:val="24"/>
              </w:rPr>
              <w:t>镇</w:t>
            </w:r>
            <w:r>
              <w:rPr>
                <w:rFonts w:ascii="仿宋" w:hAnsi="仿宋" w:eastAsia="仿宋" w:cs="Times New Roman"/>
                <w:color w:val="000000"/>
                <w:kern w:val="0"/>
                <w:sz w:val="24"/>
              </w:rPr>
              <w:t>）政府，</w:t>
            </w:r>
            <w:r>
              <w:rPr>
                <w:rFonts w:hint="eastAsia" w:ascii="仿宋" w:hAnsi="仿宋" w:eastAsia="仿宋" w:cs="Times New Roman"/>
                <w:color w:val="000000"/>
                <w:kern w:val="0"/>
                <w:sz w:val="24"/>
              </w:rPr>
              <w:t>县发展和改革局</w:t>
            </w:r>
            <w:r>
              <w:rPr>
                <w:rFonts w:ascii="仿宋" w:hAnsi="仿宋" w:eastAsia="仿宋" w:cs="Times New Roman"/>
                <w:color w:val="000000"/>
                <w:kern w:val="0"/>
                <w:sz w:val="24"/>
              </w:rPr>
              <w:t>、</w:t>
            </w:r>
            <w:r>
              <w:rPr>
                <w:rFonts w:hint="eastAsia" w:ascii="仿宋" w:hAnsi="仿宋" w:eastAsia="仿宋" w:cs="Times New Roman"/>
                <w:color w:val="000000"/>
                <w:kern w:val="0"/>
                <w:sz w:val="24"/>
              </w:rPr>
              <w:t>县</w:t>
            </w:r>
            <w:r>
              <w:rPr>
                <w:rFonts w:ascii="仿宋" w:hAnsi="仿宋" w:eastAsia="仿宋" w:cs="Times New Roman"/>
                <w:color w:val="000000"/>
                <w:kern w:val="0"/>
                <w:sz w:val="24"/>
              </w:rPr>
              <w:t>财政局、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应急管理局、</w:t>
            </w:r>
            <w:r>
              <w:rPr>
                <w:rFonts w:hint="eastAsia" w:ascii="仿宋" w:hAnsi="仿宋" w:eastAsia="仿宋" w:cs="Times New Roman"/>
                <w:color w:val="000000"/>
                <w:kern w:val="0"/>
                <w:sz w:val="24"/>
              </w:rPr>
              <w:t>县</w:t>
            </w:r>
            <w:r>
              <w:rPr>
                <w:rFonts w:ascii="仿宋" w:hAnsi="仿宋" w:eastAsia="仿宋" w:cs="Times New Roman"/>
                <w:color w:val="000000"/>
                <w:kern w:val="0"/>
                <w:sz w:val="24"/>
              </w:rPr>
              <w:t>消防救援</w:t>
            </w:r>
            <w:r>
              <w:rPr>
                <w:rFonts w:hint="eastAsia" w:ascii="仿宋" w:hAnsi="仿宋" w:eastAsia="仿宋" w:cs="Times New Roman"/>
                <w:color w:val="000000"/>
                <w:kern w:val="0"/>
                <w:sz w:val="24"/>
              </w:rPr>
              <w:t>大</w:t>
            </w:r>
            <w:r>
              <w:rPr>
                <w:rFonts w:ascii="仿宋" w:hAnsi="仿宋" w:eastAsia="仿宋" w:cs="Times New Roman"/>
                <w:color w:val="000000"/>
                <w:kern w:val="0"/>
                <w:sz w:val="24"/>
              </w:rPr>
              <w:t>队等部门</w:t>
            </w:r>
          </w:p>
        </w:tc>
      </w:tr>
      <w:tr>
        <w:tblPrEx>
          <w:tblCellMar>
            <w:top w:w="0" w:type="dxa"/>
            <w:left w:w="108" w:type="dxa"/>
            <w:bottom w:w="0" w:type="dxa"/>
            <w:right w:w="108" w:type="dxa"/>
          </w:tblCellMar>
        </w:tblPrEx>
        <w:trPr>
          <w:trHeight w:val="1186" w:hRule="atLeast"/>
          <w:jc w:val="center"/>
        </w:trPr>
        <w:tc>
          <w:tcPr>
            <w:tcW w:w="14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1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（二十五）强化应急预案和应急演练</w:t>
            </w:r>
          </w:p>
        </w:tc>
        <w:tc>
          <w:tcPr>
            <w:tcW w:w="84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修订</w:t>
            </w:r>
            <w:r>
              <w:rPr>
                <w:rFonts w:hint="eastAsia" w:ascii="仿宋" w:hAnsi="仿宋" w:eastAsia="仿宋" w:cs="Times New Roman"/>
                <w:color w:val="000000"/>
                <w:kern w:val="0"/>
                <w:sz w:val="24"/>
              </w:rPr>
              <w:t>五台县</w:t>
            </w:r>
            <w:r>
              <w:rPr>
                <w:rFonts w:ascii="仿宋" w:hAnsi="仿宋" w:eastAsia="仿宋" w:cs="Times New Roman"/>
                <w:color w:val="000000"/>
                <w:kern w:val="0"/>
                <w:sz w:val="24"/>
              </w:rPr>
              <w:t>突发事件总体应急预案，推动修订各级</w:t>
            </w:r>
            <w:r>
              <w:rPr>
                <w:rFonts w:hint="eastAsia" w:ascii="仿宋" w:hAnsi="仿宋" w:eastAsia="仿宋" w:cs="Times New Roman"/>
                <w:color w:val="000000"/>
                <w:kern w:val="0"/>
                <w:sz w:val="24"/>
              </w:rPr>
              <w:t>各部门</w:t>
            </w:r>
            <w:r>
              <w:rPr>
                <w:rFonts w:ascii="仿宋" w:hAnsi="仿宋" w:eastAsia="仿宋" w:cs="Times New Roman"/>
                <w:color w:val="000000"/>
                <w:kern w:val="0"/>
                <w:sz w:val="24"/>
              </w:rPr>
              <w:t>专项应急预案。年内各级政府至少组织开展一次综合性实战演练，督促企业定期开展应急预案演练。</w:t>
            </w:r>
          </w:p>
        </w:tc>
        <w:tc>
          <w:tcPr>
            <w:tcW w:w="2874" w:type="dxa"/>
            <w:tcBorders>
              <w:top w:val="single" w:color="000000" w:sz="4" w:space="0"/>
              <w:left w:val="nil"/>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各</w:t>
            </w:r>
            <w:r>
              <w:rPr>
                <w:rFonts w:hint="eastAsia" w:ascii="仿宋" w:hAnsi="仿宋" w:eastAsia="仿宋" w:cs="Times New Roman"/>
                <w:color w:val="000000"/>
                <w:kern w:val="0"/>
                <w:sz w:val="24"/>
              </w:rPr>
              <w:t>乡</w:t>
            </w:r>
            <w:r>
              <w:rPr>
                <w:rFonts w:ascii="仿宋" w:hAnsi="仿宋" w:eastAsia="仿宋" w:cs="Times New Roman"/>
                <w:color w:val="000000"/>
                <w:kern w:val="0"/>
                <w:sz w:val="24"/>
              </w:rPr>
              <w:t>（</w:t>
            </w:r>
            <w:r>
              <w:rPr>
                <w:rFonts w:hint="eastAsia" w:ascii="仿宋" w:hAnsi="仿宋" w:eastAsia="仿宋" w:cs="Times New Roman"/>
                <w:color w:val="000000"/>
                <w:kern w:val="0"/>
                <w:sz w:val="24"/>
              </w:rPr>
              <w:t>镇）</w:t>
            </w:r>
            <w:r>
              <w:rPr>
                <w:rFonts w:ascii="仿宋" w:hAnsi="仿宋" w:eastAsia="仿宋" w:cs="Times New Roman"/>
                <w:color w:val="000000"/>
                <w:kern w:val="0"/>
                <w:sz w:val="24"/>
              </w:rPr>
              <w:t>政府，</w:t>
            </w:r>
            <w:r>
              <w:rPr>
                <w:rFonts w:hint="eastAsia" w:ascii="仿宋" w:hAnsi="仿宋" w:eastAsia="仿宋" w:cs="Times New Roman"/>
                <w:color w:val="000000"/>
                <w:kern w:val="0"/>
                <w:sz w:val="24"/>
              </w:rPr>
              <w:t>县直各</w:t>
            </w:r>
            <w:r>
              <w:rPr>
                <w:rFonts w:ascii="仿宋" w:hAnsi="仿宋" w:eastAsia="仿宋" w:cs="Times New Roman"/>
                <w:color w:val="000000"/>
                <w:kern w:val="0"/>
                <w:sz w:val="24"/>
              </w:rPr>
              <w:t>有关部门</w:t>
            </w:r>
          </w:p>
        </w:tc>
      </w:tr>
      <w:tr>
        <w:tblPrEx>
          <w:tblCellMar>
            <w:top w:w="0" w:type="dxa"/>
            <w:left w:w="108" w:type="dxa"/>
            <w:bottom w:w="0" w:type="dxa"/>
            <w:right w:w="108" w:type="dxa"/>
          </w:tblCellMar>
        </w:tblPrEx>
        <w:trPr>
          <w:trHeight w:val="1186" w:hRule="atLeast"/>
          <w:jc w:val="center"/>
        </w:trPr>
        <w:tc>
          <w:tcPr>
            <w:tcW w:w="143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p>
        </w:tc>
        <w:tc>
          <w:tcPr>
            <w:tcW w:w="1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（二十六）有效应对处置事故灾害</w:t>
            </w:r>
          </w:p>
        </w:tc>
        <w:tc>
          <w:tcPr>
            <w:tcW w:w="84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健全应急指挥工作机制，严格值班值守，强化事故信息和灾情报送，加强应急调度，强化应对准备，确保遇突发情况能够协调联动、高效处置，及时救援救助。</w:t>
            </w:r>
          </w:p>
        </w:tc>
        <w:tc>
          <w:tcPr>
            <w:tcW w:w="2874" w:type="dxa"/>
            <w:tcBorders>
              <w:top w:val="single" w:color="000000" w:sz="4" w:space="0"/>
              <w:left w:val="nil"/>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各</w:t>
            </w:r>
            <w:r>
              <w:rPr>
                <w:rFonts w:hint="eastAsia" w:ascii="仿宋" w:hAnsi="仿宋" w:eastAsia="仿宋" w:cs="Times New Roman"/>
                <w:color w:val="000000"/>
                <w:kern w:val="0"/>
                <w:sz w:val="24"/>
              </w:rPr>
              <w:t>乡</w:t>
            </w:r>
            <w:r>
              <w:rPr>
                <w:rFonts w:ascii="仿宋" w:hAnsi="仿宋" w:eastAsia="仿宋" w:cs="Times New Roman"/>
                <w:color w:val="000000"/>
                <w:kern w:val="0"/>
                <w:sz w:val="24"/>
              </w:rPr>
              <w:t>（</w:t>
            </w:r>
            <w:r>
              <w:rPr>
                <w:rFonts w:hint="eastAsia" w:ascii="仿宋" w:hAnsi="仿宋" w:eastAsia="仿宋" w:cs="Times New Roman"/>
                <w:color w:val="000000"/>
                <w:kern w:val="0"/>
                <w:sz w:val="24"/>
              </w:rPr>
              <w:t>镇</w:t>
            </w:r>
            <w:r>
              <w:rPr>
                <w:rFonts w:ascii="仿宋" w:hAnsi="仿宋" w:eastAsia="仿宋" w:cs="Times New Roman"/>
                <w:color w:val="000000"/>
                <w:kern w:val="0"/>
                <w:sz w:val="24"/>
              </w:rPr>
              <w:t>）政府、</w:t>
            </w:r>
            <w:r>
              <w:rPr>
                <w:rFonts w:hint="eastAsia" w:ascii="仿宋" w:hAnsi="仿宋" w:eastAsia="仿宋" w:cs="Times New Roman"/>
                <w:color w:val="000000"/>
                <w:kern w:val="0"/>
                <w:sz w:val="24"/>
              </w:rPr>
              <w:t>县直各</w:t>
            </w:r>
            <w:r>
              <w:rPr>
                <w:rFonts w:ascii="仿宋" w:hAnsi="仿宋" w:eastAsia="仿宋" w:cs="Times New Roman"/>
                <w:color w:val="000000"/>
                <w:kern w:val="0"/>
                <w:sz w:val="24"/>
              </w:rPr>
              <w:t>有关部门</w:t>
            </w:r>
          </w:p>
        </w:tc>
      </w:tr>
      <w:tr>
        <w:tblPrEx>
          <w:tblCellMar>
            <w:top w:w="0" w:type="dxa"/>
            <w:left w:w="108" w:type="dxa"/>
            <w:bottom w:w="0" w:type="dxa"/>
            <w:right w:w="108" w:type="dxa"/>
          </w:tblCellMar>
        </w:tblPrEx>
        <w:trPr>
          <w:trHeight w:val="1177" w:hRule="atLeast"/>
          <w:jc w:val="center"/>
        </w:trPr>
        <w:tc>
          <w:tcPr>
            <w:tcW w:w="1430" w:type="dxa"/>
            <w:vMerge w:val="restart"/>
            <w:tcBorders>
              <w:top w:val="single" w:color="000000" w:sz="4" w:space="0"/>
              <w:left w:val="single" w:color="000000" w:sz="4" w:space="0"/>
              <w:right w:val="single" w:color="000000" w:sz="4" w:space="0"/>
            </w:tcBorders>
            <w:shd w:val="clear" w:color="auto" w:fill="auto"/>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七、严格调查评估与检查考核，倒逼制度措施落实落细</w:t>
            </w:r>
          </w:p>
        </w:tc>
        <w:tc>
          <w:tcPr>
            <w:tcW w:w="1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（二十七）从严开展事故调查和灾害评估</w:t>
            </w:r>
          </w:p>
        </w:tc>
        <w:tc>
          <w:tcPr>
            <w:tcW w:w="84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按照科学严谨、依法依规、实事求是、注重实效和“四不放过”的原则，认真组织调查评估。严格落实事故调查挂牌督办制度。采取下发事故通报、制作事故警示教育片等方式，开展常态化警示教育。</w:t>
            </w:r>
          </w:p>
        </w:tc>
        <w:tc>
          <w:tcPr>
            <w:tcW w:w="2874" w:type="dxa"/>
            <w:tcBorders>
              <w:top w:val="single" w:color="000000" w:sz="4" w:space="0"/>
              <w:left w:val="nil"/>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spacing w:val="-2"/>
                <w:kern w:val="0"/>
                <w:sz w:val="24"/>
              </w:rPr>
            </w:pPr>
            <w:r>
              <w:rPr>
                <w:rFonts w:hint="eastAsia" w:ascii="仿宋" w:hAnsi="仿宋" w:eastAsia="仿宋" w:cs="Times New Roman"/>
                <w:color w:val="000000"/>
                <w:spacing w:val="-2"/>
                <w:kern w:val="0"/>
                <w:sz w:val="24"/>
              </w:rPr>
              <w:t>县</w:t>
            </w:r>
            <w:r>
              <w:rPr>
                <w:rFonts w:ascii="仿宋" w:hAnsi="仿宋" w:eastAsia="仿宋" w:cs="Times New Roman"/>
                <w:color w:val="000000"/>
                <w:spacing w:val="-2"/>
                <w:kern w:val="0"/>
                <w:sz w:val="24"/>
              </w:rPr>
              <w:t>安委办</w:t>
            </w:r>
          </w:p>
        </w:tc>
      </w:tr>
      <w:tr>
        <w:tblPrEx>
          <w:tblCellMar>
            <w:top w:w="0" w:type="dxa"/>
            <w:left w:w="108" w:type="dxa"/>
            <w:bottom w:w="0" w:type="dxa"/>
            <w:right w:w="108" w:type="dxa"/>
          </w:tblCellMar>
        </w:tblPrEx>
        <w:trPr>
          <w:trHeight w:val="1636" w:hRule="atLeast"/>
          <w:jc w:val="center"/>
        </w:trPr>
        <w:tc>
          <w:tcPr>
            <w:tcW w:w="143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300" w:lineRule="exact"/>
              <w:rPr>
                <w:rFonts w:ascii="仿宋" w:hAnsi="仿宋" w:eastAsia="仿宋" w:cs="Times New Roman"/>
                <w:color w:val="000000"/>
                <w:kern w:val="0"/>
                <w:sz w:val="24"/>
              </w:rPr>
            </w:pPr>
          </w:p>
        </w:tc>
        <w:tc>
          <w:tcPr>
            <w:tcW w:w="1828" w:type="dxa"/>
            <w:tcBorders>
              <w:top w:val="nil"/>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（二十八）加大考核巡查力度</w:t>
            </w:r>
          </w:p>
        </w:tc>
        <w:tc>
          <w:tcPr>
            <w:tcW w:w="8427" w:type="dxa"/>
            <w:tcBorders>
              <w:top w:val="nil"/>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将安全生产责任落实年、安全生产治本攻坚三年行动、进一步加强矿山安全生产工作等重点工作落实情况纳入安全生产和消防工作考核巡查范围，推动考核结果作为党政领导干部组织考察、评优评先等事项的重要参考。将“多通报、多发督办函、多暗访”作为安全生产督查巡查长效机制。</w:t>
            </w:r>
          </w:p>
        </w:tc>
        <w:tc>
          <w:tcPr>
            <w:tcW w:w="2874" w:type="dxa"/>
            <w:tcBorders>
              <w:top w:val="single" w:color="000000" w:sz="4" w:space="0"/>
              <w:left w:val="nil"/>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hint="eastAsia" w:ascii="仿宋" w:hAnsi="仿宋" w:eastAsia="仿宋" w:cs="Times New Roman"/>
                <w:color w:val="000000"/>
                <w:kern w:val="0"/>
                <w:sz w:val="24"/>
              </w:rPr>
              <w:t>县</w:t>
            </w:r>
            <w:r>
              <w:rPr>
                <w:rFonts w:ascii="仿宋" w:hAnsi="仿宋" w:eastAsia="仿宋" w:cs="Times New Roman"/>
                <w:color w:val="000000"/>
                <w:kern w:val="0"/>
                <w:sz w:val="24"/>
              </w:rPr>
              <w:t>安委办</w:t>
            </w:r>
            <w:r>
              <w:rPr>
                <w:rFonts w:hint="eastAsia" w:ascii="仿宋" w:hAnsi="仿宋" w:eastAsia="仿宋" w:cs="Times New Roman"/>
                <w:color w:val="000000"/>
                <w:kern w:val="0"/>
                <w:sz w:val="24"/>
              </w:rPr>
              <w:t>，县直各</w:t>
            </w:r>
            <w:r>
              <w:rPr>
                <w:rFonts w:ascii="仿宋" w:hAnsi="仿宋" w:eastAsia="仿宋" w:cs="Times New Roman"/>
                <w:color w:val="000000"/>
                <w:kern w:val="0"/>
                <w:sz w:val="24"/>
              </w:rPr>
              <w:t>有关部门</w:t>
            </w:r>
          </w:p>
        </w:tc>
      </w:tr>
    </w:tbl>
    <w:p>
      <w:pPr>
        <w:spacing w:line="300" w:lineRule="exact"/>
        <w:rPr>
          <w:rFonts w:ascii="仿宋" w:hAnsi="仿宋" w:eastAsia="仿宋"/>
        </w:rPr>
        <w:sectPr>
          <w:pgSz w:w="16840" w:h="11907" w:orient="landscape"/>
          <w:pgMar w:top="1247" w:right="1134" w:bottom="1134" w:left="1247" w:header="851" w:footer="1021" w:gutter="0"/>
          <w:cols w:space="720" w:num="1"/>
          <w:titlePg/>
          <w:docGrid w:linePitch="319" w:charSpace="0"/>
        </w:sectPr>
      </w:pPr>
    </w:p>
    <w:p>
      <w:pPr>
        <w:spacing w:line="200" w:lineRule="exact"/>
        <w:rPr>
          <w:rFonts w:hint="eastAsia" w:ascii="仿宋" w:hAnsi="仿宋" w:eastAsia="仿宋" w:cs="Times New Roman"/>
        </w:rPr>
      </w:pPr>
    </w:p>
    <w:tbl>
      <w:tblPr>
        <w:tblStyle w:val="7"/>
        <w:tblW w:w="14559" w:type="dxa"/>
        <w:jc w:val="center"/>
        <w:tblLayout w:type="autofit"/>
        <w:tblCellMar>
          <w:top w:w="0" w:type="dxa"/>
          <w:left w:w="108" w:type="dxa"/>
          <w:bottom w:w="0" w:type="dxa"/>
          <w:right w:w="108" w:type="dxa"/>
        </w:tblCellMar>
      </w:tblPr>
      <w:tblGrid>
        <w:gridCol w:w="1430"/>
        <w:gridCol w:w="1828"/>
        <w:gridCol w:w="8427"/>
        <w:gridCol w:w="2874"/>
      </w:tblGrid>
      <w:tr>
        <w:tblPrEx>
          <w:tblCellMar>
            <w:top w:w="0" w:type="dxa"/>
            <w:left w:w="108" w:type="dxa"/>
            <w:bottom w:w="0" w:type="dxa"/>
            <w:right w:w="108" w:type="dxa"/>
          </w:tblCellMar>
        </w:tblPrEx>
        <w:trPr>
          <w:trHeight w:val="1370" w:hRule="atLeast"/>
          <w:jc w:val="center"/>
        </w:trPr>
        <w:tc>
          <w:tcPr>
            <w:tcW w:w="1430" w:type="dxa"/>
            <w:vMerge w:val="restart"/>
            <w:tcBorders>
              <w:top w:val="single" w:color="000000" w:sz="4" w:space="0"/>
              <w:left w:val="single" w:color="000000" w:sz="4" w:space="0"/>
              <w:right w:val="single" w:color="000000" w:sz="4" w:space="0"/>
            </w:tcBorders>
            <w:shd w:val="clear" w:color="auto" w:fill="auto"/>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七、严格调查评估与检查考核，倒逼制度措施落实落细</w:t>
            </w:r>
          </w:p>
        </w:tc>
        <w:tc>
          <w:tcPr>
            <w:tcW w:w="1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（二十九）推动正面激励引导</w:t>
            </w:r>
          </w:p>
        </w:tc>
        <w:tc>
          <w:tcPr>
            <w:tcW w:w="84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用好正向激励手段，将开展治本攻坚情况以及日常安全生产工作表现，作为单位和个人评优评先的重要依据；加大对安全生产工作中成绩突出单位的通报表扬力度，相关领导干部在同等条件下可按规定优先晋职晋级、提拔任用，强化正面典型引导和示范引路，以点带面推动整体工作水平提升。</w:t>
            </w:r>
          </w:p>
        </w:tc>
        <w:tc>
          <w:tcPr>
            <w:tcW w:w="2874" w:type="dxa"/>
            <w:tcBorders>
              <w:top w:val="single" w:color="000000" w:sz="4" w:space="0"/>
              <w:left w:val="nil"/>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各</w:t>
            </w:r>
            <w:r>
              <w:rPr>
                <w:rFonts w:hint="eastAsia" w:ascii="仿宋" w:hAnsi="仿宋" w:eastAsia="仿宋" w:cs="Times New Roman"/>
                <w:color w:val="000000"/>
                <w:kern w:val="0"/>
                <w:sz w:val="24"/>
              </w:rPr>
              <w:t>乡</w:t>
            </w:r>
            <w:r>
              <w:rPr>
                <w:rFonts w:ascii="仿宋" w:hAnsi="仿宋" w:eastAsia="仿宋" w:cs="Times New Roman"/>
                <w:color w:val="000000"/>
                <w:kern w:val="0"/>
                <w:sz w:val="24"/>
              </w:rPr>
              <w:t>（</w:t>
            </w:r>
            <w:r>
              <w:rPr>
                <w:rFonts w:hint="eastAsia" w:ascii="仿宋" w:hAnsi="仿宋" w:eastAsia="仿宋" w:cs="Times New Roman"/>
                <w:color w:val="000000"/>
                <w:kern w:val="0"/>
                <w:sz w:val="24"/>
              </w:rPr>
              <w:t>镇</w:t>
            </w:r>
            <w:r>
              <w:rPr>
                <w:rFonts w:ascii="仿宋" w:hAnsi="仿宋" w:eastAsia="仿宋" w:cs="Times New Roman"/>
                <w:color w:val="000000"/>
                <w:kern w:val="0"/>
                <w:sz w:val="24"/>
              </w:rPr>
              <w:t>）政府</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安委办</w:t>
            </w:r>
            <w:r>
              <w:rPr>
                <w:rFonts w:hint="eastAsia" w:ascii="仿宋" w:hAnsi="仿宋" w:eastAsia="仿宋" w:cs="Times New Roman"/>
                <w:color w:val="000000"/>
                <w:kern w:val="0"/>
                <w:sz w:val="24"/>
              </w:rPr>
              <w:t>，县直各</w:t>
            </w:r>
            <w:r>
              <w:rPr>
                <w:rFonts w:ascii="仿宋" w:hAnsi="仿宋" w:eastAsia="仿宋" w:cs="Times New Roman"/>
                <w:color w:val="000000"/>
                <w:kern w:val="0"/>
                <w:sz w:val="24"/>
              </w:rPr>
              <w:t>有关部门</w:t>
            </w:r>
          </w:p>
        </w:tc>
      </w:tr>
      <w:tr>
        <w:tblPrEx>
          <w:tblCellMar>
            <w:top w:w="0" w:type="dxa"/>
            <w:left w:w="108" w:type="dxa"/>
            <w:bottom w:w="0" w:type="dxa"/>
            <w:right w:w="108" w:type="dxa"/>
          </w:tblCellMar>
        </w:tblPrEx>
        <w:trPr>
          <w:trHeight w:val="2011" w:hRule="atLeast"/>
          <w:jc w:val="center"/>
        </w:trPr>
        <w:tc>
          <w:tcPr>
            <w:tcW w:w="143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300" w:lineRule="exact"/>
              <w:rPr>
                <w:rFonts w:ascii="仿宋" w:hAnsi="仿宋" w:eastAsia="仿宋" w:cs="Times New Roman"/>
                <w:color w:val="000000"/>
                <w:kern w:val="0"/>
                <w:sz w:val="24"/>
              </w:rPr>
            </w:pPr>
          </w:p>
        </w:tc>
        <w:tc>
          <w:tcPr>
            <w:tcW w:w="18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（三十）严格责任倒查追究</w:t>
            </w:r>
          </w:p>
        </w:tc>
        <w:tc>
          <w:tcPr>
            <w:tcW w:w="842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树立“严管就是厚爱”和“动员千遍不如问责一次”的理念，对因故意或者重大过失，未履行、不当履行或者违法履行职责，导致发生事故等危害后果或者造成不良影响的，依法进行责任倒查追究，不仅追究企业直接责任人和主要负责人责任，而且追究属地党政领导责任和部门监管责任，并依法将有关企业及人员列入严重失信主体名单。对工作不落实、作风不扎实、执法不严格的，进行通报批评、约谈或者诫勉。</w:t>
            </w:r>
          </w:p>
        </w:tc>
        <w:tc>
          <w:tcPr>
            <w:tcW w:w="2874" w:type="dxa"/>
            <w:tcBorders>
              <w:top w:val="single" w:color="000000" w:sz="4" w:space="0"/>
              <w:left w:val="nil"/>
              <w:bottom w:val="single" w:color="000000" w:sz="4" w:space="0"/>
              <w:right w:val="single" w:color="000000" w:sz="4" w:space="0"/>
            </w:tcBorders>
            <w:noWrap w:val="0"/>
            <w:vAlign w:val="center"/>
          </w:tcPr>
          <w:p>
            <w:pPr>
              <w:widowControl/>
              <w:spacing w:line="300" w:lineRule="exact"/>
              <w:rPr>
                <w:rFonts w:ascii="仿宋" w:hAnsi="仿宋" w:eastAsia="仿宋" w:cs="Times New Roman"/>
                <w:color w:val="000000"/>
                <w:kern w:val="0"/>
                <w:sz w:val="24"/>
              </w:rPr>
            </w:pPr>
            <w:r>
              <w:rPr>
                <w:rFonts w:ascii="仿宋" w:hAnsi="仿宋" w:eastAsia="仿宋" w:cs="Times New Roman"/>
                <w:color w:val="000000"/>
                <w:kern w:val="0"/>
                <w:sz w:val="24"/>
              </w:rPr>
              <w:t>各</w:t>
            </w:r>
            <w:r>
              <w:rPr>
                <w:rFonts w:hint="eastAsia" w:ascii="仿宋" w:hAnsi="仿宋" w:eastAsia="仿宋" w:cs="Times New Roman"/>
                <w:color w:val="000000"/>
                <w:kern w:val="0"/>
                <w:sz w:val="24"/>
              </w:rPr>
              <w:t>乡</w:t>
            </w:r>
            <w:r>
              <w:rPr>
                <w:rFonts w:ascii="仿宋" w:hAnsi="仿宋" w:eastAsia="仿宋" w:cs="Times New Roman"/>
                <w:color w:val="000000"/>
                <w:kern w:val="0"/>
                <w:sz w:val="24"/>
              </w:rPr>
              <w:t>（</w:t>
            </w:r>
            <w:r>
              <w:rPr>
                <w:rFonts w:hint="eastAsia" w:ascii="仿宋" w:hAnsi="仿宋" w:eastAsia="仿宋" w:cs="Times New Roman"/>
                <w:color w:val="000000"/>
                <w:kern w:val="0"/>
                <w:sz w:val="24"/>
              </w:rPr>
              <w:t>镇</w:t>
            </w:r>
            <w:r>
              <w:rPr>
                <w:rFonts w:ascii="仿宋" w:hAnsi="仿宋" w:eastAsia="仿宋" w:cs="Times New Roman"/>
                <w:color w:val="000000"/>
                <w:kern w:val="0"/>
                <w:sz w:val="24"/>
              </w:rPr>
              <w:t>）政府</w:t>
            </w:r>
            <w:r>
              <w:rPr>
                <w:rFonts w:hint="eastAsia" w:ascii="仿宋" w:hAnsi="仿宋" w:eastAsia="仿宋" w:cs="Times New Roman"/>
                <w:color w:val="000000"/>
                <w:kern w:val="0"/>
                <w:sz w:val="24"/>
              </w:rPr>
              <w:t>，县</w:t>
            </w:r>
            <w:r>
              <w:rPr>
                <w:rFonts w:ascii="仿宋" w:hAnsi="仿宋" w:eastAsia="仿宋" w:cs="Times New Roman"/>
                <w:color w:val="000000"/>
                <w:kern w:val="0"/>
                <w:sz w:val="24"/>
              </w:rPr>
              <w:t>安委办</w:t>
            </w:r>
            <w:r>
              <w:rPr>
                <w:rFonts w:hint="eastAsia" w:ascii="仿宋" w:hAnsi="仿宋" w:eastAsia="仿宋" w:cs="Times New Roman"/>
                <w:color w:val="000000"/>
                <w:kern w:val="0"/>
                <w:sz w:val="24"/>
              </w:rPr>
              <w:t>，县直各</w:t>
            </w:r>
            <w:r>
              <w:rPr>
                <w:rFonts w:ascii="仿宋" w:hAnsi="仿宋" w:eastAsia="仿宋" w:cs="Times New Roman"/>
                <w:color w:val="000000"/>
                <w:kern w:val="0"/>
                <w:sz w:val="24"/>
              </w:rPr>
              <w:t>有关部门</w:t>
            </w:r>
          </w:p>
        </w:tc>
      </w:tr>
    </w:tbl>
    <w:p>
      <w:pPr>
        <w:rPr>
          <w:rFonts w:hint="eastAsia" w:ascii="Calibri" w:hAnsi="Calibri" w:eastAsia="宋体" w:cs="Times New Roman"/>
        </w:rPr>
      </w:pPr>
    </w:p>
    <w:p>
      <w:pPr>
        <w:rPr>
          <w:rFonts w:hint="eastAsia" w:ascii="Calibri" w:hAnsi="Calibri" w:eastAsia="宋体" w:cs="Times New Roman"/>
        </w:rPr>
      </w:pPr>
    </w:p>
    <w:p>
      <w:bookmarkStart w:id="0" w:name="_GoBack"/>
      <w:bookmarkEnd w:id="0"/>
    </w:p>
    <w:sectPr>
      <w:pgSz w:w="16840" w:h="11907" w:orient="landscape"/>
      <w:pgMar w:top="1247" w:right="1134" w:bottom="1134" w:left="1247" w:header="851" w:footer="1021" w:gutter="0"/>
      <w:cols w:space="720" w:num="1"/>
      <w:titlePg/>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M2E5OTM1NGMwMjZhMzJjNGRkODk2ZWQzNDQ3MTEifQ=="/>
  </w:docVars>
  <w:rsids>
    <w:rsidRoot w:val="2AD334CE"/>
    <w:rsid w:val="02F8654E"/>
    <w:rsid w:val="108532B0"/>
    <w:rsid w:val="1AA2560D"/>
    <w:rsid w:val="1DBB073B"/>
    <w:rsid w:val="1E842D33"/>
    <w:rsid w:val="27224A51"/>
    <w:rsid w:val="2AD334CE"/>
    <w:rsid w:val="2C705B57"/>
    <w:rsid w:val="2DC35A21"/>
    <w:rsid w:val="3FBB0E6B"/>
    <w:rsid w:val="51A60430"/>
    <w:rsid w:val="5240744D"/>
    <w:rsid w:val="55E85160"/>
    <w:rsid w:val="5F1D4ED4"/>
    <w:rsid w:val="649E6188"/>
    <w:rsid w:val="66DA6889"/>
    <w:rsid w:val="6B14233D"/>
    <w:rsid w:val="713F6856"/>
    <w:rsid w:val="72A42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3"/>
    <w:next w:val="3"/>
    <w:qFormat/>
    <w:uiPriority w:val="0"/>
    <w:pPr>
      <w:keepNext/>
      <w:keepLines/>
      <w:spacing w:beforeLines="0" w:beforeAutospacing="0" w:afterLines="0" w:afterAutospacing="0" w:line="560" w:lineRule="exact"/>
      <w:jc w:val="both"/>
      <w:outlineLvl w:val="0"/>
    </w:pPr>
    <w:rPr>
      <w:rFonts w:ascii="黑体" w:hAnsi="黑体" w:eastAsia="黑体" w:cs="黑体"/>
      <w:kern w:val="44"/>
      <w:sz w:val="32"/>
    </w:rPr>
  </w:style>
  <w:style w:type="paragraph" w:styleId="4">
    <w:name w:val="heading 2"/>
    <w:basedOn w:val="2"/>
    <w:next w:val="5"/>
    <w:autoRedefine/>
    <w:semiHidden/>
    <w:unhideWhenUsed/>
    <w:qFormat/>
    <w:uiPriority w:val="0"/>
    <w:pPr>
      <w:keepNext/>
      <w:keepLines/>
      <w:overflowPunct w:val="0"/>
      <w:spacing w:beforeLines="0" w:beforeAutospacing="0" w:afterLines="0" w:afterAutospacing="0" w:line="560" w:lineRule="exact"/>
      <w:ind w:firstLine="880" w:firstLineChars="200"/>
      <w:jc w:val="both"/>
      <w:outlineLvl w:val="1"/>
    </w:pPr>
    <w:rPr>
      <w:rFonts w:ascii="楷体_GB2312" w:hAnsi="楷体_GB2312" w:eastAsia="楷体_GB2312" w:cs="楷体_GB2312"/>
    </w:rPr>
  </w:style>
  <w:style w:type="paragraph" w:styleId="5">
    <w:name w:val="heading 3"/>
    <w:basedOn w:val="1"/>
    <w:next w:val="1"/>
    <w:semiHidden/>
    <w:unhideWhenUsed/>
    <w:qFormat/>
    <w:uiPriority w:val="0"/>
    <w:pPr>
      <w:keepNext/>
      <w:keepLines/>
      <w:overflowPunct w:val="0"/>
      <w:spacing w:beforeLines="0" w:beforeAutospacing="0" w:afterLines="0" w:afterAutospacing="0" w:line="560" w:lineRule="exact"/>
      <w:ind w:firstLine="880" w:firstLineChars="200"/>
      <w:outlineLvl w:val="2"/>
    </w:pPr>
    <w:rPr>
      <w:rFonts w:ascii="仿宋_GB2312" w:hAnsi="仿宋_GB231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Title"/>
    <w:basedOn w:val="1"/>
    <w:qFormat/>
    <w:uiPriority w:val="0"/>
    <w:pPr>
      <w:overflowPunct w:val="0"/>
      <w:spacing w:beforeLines="0" w:beforeAutospacing="0" w:afterLines="0" w:afterAutospacing="0" w:line="560" w:lineRule="exact"/>
      <w:ind w:firstLine="643" w:firstLineChars="200"/>
      <w:jc w:val="center"/>
      <w:outlineLvl w:val="0"/>
    </w:pPr>
    <w:rPr>
      <w:rFonts w:ascii="Arial" w:hAnsi="Arial" w:eastAsia="方正小标宋简体"/>
      <w:sz w:val="44"/>
    </w:rPr>
  </w:style>
  <w:style w:type="paragraph" w:styleId="6">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character" w:styleId="9">
    <w:name w:val="page numb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2024-04-22T09:17:00Z</dcterms:created>
  <dc:creator>Administrator</dc:creator>
  <cp:lastModifiedBy>Administrator</cp:lastModifiedBy>
  <dcterms:modified xsi:type="dcterms:W3CDTF">2024-04-22T09:18:18Z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95E560FD4EF24993A05444915009489D_11</vt:lpwstr>
  </property>
</Properties>
</file>