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52" w:lineRule="auto"/>
        <w:rPr>
          <w:rFonts w:ascii="黑体" w:hAnsi="黑体" w:eastAsia="黑体"/>
          <w:sz w:val="32"/>
          <w:szCs w:val="32"/>
        </w:rPr>
      </w:pPr>
      <w:r>
        <w:rPr>
          <w:rFonts w:hint="eastAsia" w:ascii="黑体" w:hAnsi="黑体" w:eastAsia="黑体"/>
          <w:sz w:val="32"/>
          <w:szCs w:val="32"/>
        </w:rPr>
        <w:t>附件1</w:t>
      </w:r>
    </w:p>
    <w:tbl>
      <w:tblPr>
        <w:tblStyle w:val="8"/>
        <w:tblW w:w="13854" w:type="dxa"/>
        <w:tblInd w:w="135" w:type="dxa"/>
        <w:tblLayout w:type="fixed"/>
        <w:tblCellMar>
          <w:top w:w="0" w:type="dxa"/>
          <w:left w:w="108" w:type="dxa"/>
          <w:bottom w:w="0" w:type="dxa"/>
          <w:right w:w="108" w:type="dxa"/>
        </w:tblCellMar>
      </w:tblPr>
      <w:tblGrid>
        <w:gridCol w:w="1135"/>
        <w:gridCol w:w="1524"/>
        <w:gridCol w:w="2611"/>
        <w:gridCol w:w="6773"/>
        <w:gridCol w:w="1811"/>
      </w:tblGrid>
      <w:tr>
        <w:tblPrEx>
          <w:tblCellMar>
            <w:top w:w="0" w:type="dxa"/>
            <w:left w:w="108" w:type="dxa"/>
            <w:bottom w:w="0" w:type="dxa"/>
            <w:right w:w="108" w:type="dxa"/>
          </w:tblCellMar>
        </w:tblPrEx>
        <w:trPr>
          <w:trHeight w:val="48" w:hRule="atLeast"/>
        </w:trPr>
        <w:tc>
          <w:tcPr>
            <w:tcW w:w="13854" w:type="dxa"/>
            <w:gridSpan w:val="5"/>
            <w:tcBorders>
              <w:top w:val="nil"/>
              <w:left w:val="nil"/>
              <w:bottom w:val="nil"/>
              <w:right w:val="nil"/>
            </w:tcBorders>
            <w:noWrap w:val="0"/>
            <w:vAlign w:val="top"/>
          </w:tcPr>
          <w:p>
            <w:pPr>
              <w:kinsoku w:val="0"/>
              <w:autoSpaceDE w:val="0"/>
              <w:autoSpaceDN w:val="0"/>
              <w:adjustRightInd w:val="0"/>
              <w:snapToGrid w:val="0"/>
              <w:jc w:val="center"/>
              <w:textAlignment w:val="baseline"/>
              <w:rPr>
                <w:rFonts w:hint="eastAsia" w:ascii="方正小标宋简体" w:hAnsi="仿宋" w:eastAsia="方正小标宋简体" w:cs="Arial"/>
                <w:color w:val="000000"/>
                <w:sz w:val="44"/>
                <w:szCs w:val="44"/>
              </w:rPr>
            </w:pPr>
            <w:r>
              <w:rPr>
                <w:rFonts w:hint="eastAsia" w:ascii="方正小标宋简体" w:hAnsi="仿宋" w:eastAsia="方正小标宋简体" w:cs="Times New Roman"/>
                <w:sz w:val="44"/>
                <w:szCs w:val="44"/>
              </w:rPr>
              <w:t>五台县县域学前教育普及普惠督导评估细则（试行）</w:t>
            </w:r>
          </w:p>
        </w:tc>
      </w:tr>
      <w:tr>
        <w:tblPrEx>
          <w:tblCellMar>
            <w:top w:w="0" w:type="dxa"/>
            <w:left w:w="108" w:type="dxa"/>
            <w:bottom w:w="0" w:type="dxa"/>
            <w:right w:w="108" w:type="dxa"/>
          </w:tblCellMar>
        </w:tblPrEx>
        <w:trPr>
          <w:trHeight w:val="328" w:hRule="atLeast"/>
        </w:trPr>
        <w:tc>
          <w:tcPr>
            <w:tcW w:w="1135" w:type="dxa"/>
            <w:tcBorders>
              <w:top w:val="single" w:color="auto" w:sz="6" w:space="0"/>
              <w:left w:val="single" w:color="auto" w:sz="6" w:space="0"/>
              <w:bottom w:val="single" w:color="auto" w:sz="6" w:space="0"/>
              <w:right w:val="single" w:color="auto" w:sz="6" w:space="0"/>
            </w:tcBorders>
            <w:noWrap w:val="0"/>
            <w:vAlign w:val="center"/>
          </w:tcPr>
          <w:p>
            <w:pPr>
              <w:kinsoku w:val="0"/>
              <w:autoSpaceDE w:val="0"/>
              <w:autoSpaceDN w:val="0"/>
              <w:adjustRightInd w:val="0"/>
              <w:snapToGrid w:val="0"/>
              <w:jc w:val="center"/>
              <w:textAlignment w:val="baseline"/>
              <w:rPr>
                <w:rFonts w:hint="eastAsia" w:ascii="黑体" w:hAnsi="黑体" w:eastAsia="黑体" w:cs="Times New Roman"/>
                <w:sz w:val="22"/>
                <w:szCs w:val="22"/>
              </w:rPr>
            </w:pPr>
            <w:r>
              <w:rPr>
                <w:rFonts w:ascii="黑体" w:hAnsi="黑体" w:eastAsia="黑体" w:cs="Times New Roman"/>
                <w:sz w:val="22"/>
                <w:szCs w:val="22"/>
              </w:rPr>
              <w:t>一级</w:t>
            </w:r>
          </w:p>
          <w:p>
            <w:pPr>
              <w:kinsoku w:val="0"/>
              <w:autoSpaceDE w:val="0"/>
              <w:autoSpaceDN w:val="0"/>
              <w:adjustRightInd w:val="0"/>
              <w:snapToGrid w:val="0"/>
              <w:jc w:val="center"/>
              <w:textAlignment w:val="baseline"/>
              <w:rPr>
                <w:rFonts w:ascii="黑体" w:hAnsi="黑体" w:eastAsia="黑体" w:cs="Arial"/>
                <w:color w:val="000000"/>
                <w:sz w:val="22"/>
                <w:szCs w:val="22"/>
              </w:rPr>
            </w:pPr>
            <w:r>
              <w:rPr>
                <w:rFonts w:ascii="黑体" w:hAnsi="黑体" w:eastAsia="黑体" w:cs="Times New Roman"/>
                <w:sz w:val="22"/>
                <w:szCs w:val="22"/>
              </w:rPr>
              <w:t>指标</w:t>
            </w:r>
          </w:p>
        </w:tc>
        <w:tc>
          <w:tcPr>
            <w:tcW w:w="1524"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jc w:val="center"/>
              <w:textAlignment w:val="baseline"/>
              <w:rPr>
                <w:rFonts w:ascii="黑体" w:hAnsi="黑体" w:eastAsia="黑体" w:cs="Arial"/>
                <w:color w:val="000000"/>
                <w:sz w:val="22"/>
                <w:szCs w:val="22"/>
              </w:rPr>
            </w:pPr>
            <w:r>
              <w:rPr>
                <w:rFonts w:ascii="黑体" w:hAnsi="黑体" w:eastAsia="黑体" w:cs="Times New Roman"/>
                <w:sz w:val="22"/>
                <w:szCs w:val="22"/>
              </w:rPr>
              <w:t>二级指标</w:t>
            </w:r>
          </w:p>
        </w:tc>
        <w:tc>
          <w:tcPr>
            <w:tcW w:w="2611"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jc w:val="center"/>
              <w:textAlignment w:val="baseline"/>
              <w:rPr>
                <w:rFonts w:ascii="黑体" w:hAnsi="黑体" w:eastAsia="黑体" w:cs="Arial"/>
                <w:color w:val="000000"/>
                <w:sz w:val="22"/>
                <w:szCs w:val="22"/>
              </w:rPr>
            </w:pPr>
            <w:r>
              <w:rPr>
                <w:rFonts w:ascii="黑体" w:hAnsi="黑体" w:eastAsia="黑体" w:cs="Times New Roman"/>
                <w:sz w:val="22"/>
                <w:szCs w:val="22"/>
              </w:rPr>
              <w:t>三级指标</w:t>
            </w:r>
          </w:p>
        </w:tc>
        <w:tc>
          <w:tcPr>
            <w:tcW w:w="6773"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jc w:val="center"/>
              <w:textAlignment w:val="baseline"/>
              <w:rPr>
                <w:rFonts w:ascii="黑体" w:hAnsi="黑体" w:eastAsia="黑体" w:cs="Arial"/>
                <w:color w:val="000000"/>
                <w:sz w:val="22"/>
                <w:szCs w:val="22"/>
              </w:rPr>
            </w:pPr>
            <w:r>
              <w:rPr>
                <w:rFonts w:ascii="黑体" w:hAnsi="黑体" w:eastAsia="黑体" w:cs="Times New Roman"/>
                <w:sz w:val="22"/>
                <w:szCs w:val="22"/>
              </w:rPr>
              <w:t>观测点、等级评定，说明</w:t>
            </w:r>
          </w:p>
        </w:tc>
        <w:tc>
          <w:tcPr>
            <w:tcW w:w="1811"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jc w:val="center"/>
              <w:textAlignment w:val="baseline"/>
              <w:rPr>
                <w:rFonts w:ascii="黑体" w:hAnsi="黑体" w:eastAsia="黑体" w:cs="Arial"/>
                <w:color w:val="000000"/>
                <w:sz w:val="22"/>
                <w:szCs w:val="22"/>
              </w:rPr>
            </w:pPr>
            <w:r>
              <w:rPr>
                <w:rFonts w:ascii="黑体" w:hAnsi="黑体" w:eastAsia="黑体" w:cs="Times New Roman"/>
                <w:sz w:val="22"/>
                <w:szCs w:val="22"/>
              </w:rPr>
              <w:t>责任分解部门</w:t>
            </w:r>
          </w:p>
        </w:tc>
      </w:tr>
      <w:tr>
        <w:tblPrEx>
          <w:tblCellMar>
            <w:top w:w="0" w:type="dxa"/>
            <w:left w:w="108" w:type="dxa"/>
            <w:bottom w:w="0" w:type="dxa"/>
            <w:right w:w="108" w:type="dxa"/>
          </w:tblCellMar>
        </w:tblPrEx>
        <w:trPr>
          <w:trHeight w:val="537" w:hRule="atLeast"/>
        </w:trPr>
        <w:tc>
          <w:tcPr>
            <w:tcW w:w="1135" w:type="dxa"/>
            <w:vMerge w:val="restart"/>
            <w:tcBorders>
              <w:top w:val="nil"/>
              <w:left w:val="single" w:color="auto" w:sz="6" w:space="0"/>
              <w:bottom w:val="nil"/>
              <w:right w:val="single" w:color="auto" w:sz="6"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A1.普及</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普惠水平</w:t>
            </w:r>
          </w:p>
        </w:tc>
        <w:tc>
          <w:tcPr>
            <w:tcW w:w="1524" w:type="dxa"/>
            <w:tcBorders>
              <w:top w:val="single" w:color="auto" w:sz="6" w:space="0"/>
              <w:left w:val="nil"/>
              <w:bottom w:val="single" w:color="auto" w:sz="6" w:space="0"/>
              <w:right w:val="single" w:color="auto" w:sz="6"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B1.学前三年</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毛入园率</w:t>
            </w:r>
          </w:p>
        </w:tc>
        <w:tc>
          <w:tcPr>
            <w:tcW w:w="2611"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C1.学前三年毛入园率达到90%。</w:t>
            </w:r>
          </w:p>
        </w:tc>
        <w:tc>
          <w:tcPr>
            <w:tcW w:w="6773" w:type="dxa"/>
            <w:tcBorders>
              <w:top w:val="single" w:color="auto" w:sz="6" w:space="0"/>
              <w:left w:val="nil"/>
              <w:bottom w:val="single" w:color="auto" w:sz="6" w:space="0"/>
              <w:right w:val="single" w:color="auto" w:sz="6" w:space="0"/>
            </w:tcBorders>
            <w:noWrap w:val="0"/>
            <w:vAlign w:val="top"/>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计算方法：学前三年毛入园率=县域学前教育在园（班）幼儿总数/县域常住人口中3-5岁年龄组人口数（个别地区为4-6岁年龄组人口）*100%。</w:t>
            </w:r>
          </w:p>
        </w:tc>
        <w:tc>
          <w:tcPr>
            <w:tcW w:w="1811" w:type="dxa"/>
            <w:tcBorders>
              <w:top w:val="single" w:color="auto" w:sz="6" w:space="0"/>
              <w:left w:val="nil"/>
              <w:bottom w:val="single" w:color="auto" w:sz="6" w:space="0"/>
              <w:right w:val="single" w:color="auto" w:sz="6"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公安局</w:t>
            </w:r>
          </w:p>
        </w:tc>
      </w:tr>
      <w:tr>
        <w:tblPrEx>
          <w:tblCellMar>
            <w:top w:w="0" w:type="dxa"/>
            <w:left w:w="108" w:type="dxa"/>
            <w:bottom w:w="0" w:type="dxa"/>
            <w:right w:w="108" w:type="dxa"/>
          </w:tblCellMar>
        </w:tblPrEx>
        <w:trPr>
          <w:trHeight w:val="48" w:hRule="atLeast"/>
        </w:trPr>
        <w:tc>
          <w:tcPr>
            <w:tcW w:w="1135" w:type="dxa"/>
            <w:vMerge w:val="continue"/>
            <w:tcBorders>
              <w:top w:val="nil"/>
              <w:left w:val="single" w:color="auto" w:sz="6" w:space="0"/>
              <w:bottom w:val="nil"/>
              <w:right w:val="single" w:color="auto" w:sz="6" w:space="0"/>
            </w:tcBorders>
            <w:noWrap w:val="0"/>
            <w:vAlign w:val="center"/>
          </w:tcPr>
          <w:p>
            <w:pPr>
              <w:rPr>
                <w:rFonts w:ascii="仿宋" w:hAnsi="仿宋" w:eastAsia="仿宋" w:cs="Arial"/>
                <w:color w:val="000000"/>
                <w:sz w:val="22"/>
                <w:szCs w:val="22"/>
              </w:rPr>
            </w:pPr>
          </w:p>
        </w:tc>
        <w:tc>
          <w:tcPr>
            <w:tcW w:w="1524"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B2.普惠性幼儿园覆盖率</w:t>
            </w:r>
          </w:p>
        </w:tc>
        <w:tc>
          <w:tcPr>
            <w:tcW w:w="2611"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C2.</w:t>
            </w:r>
            <w:r>
              <w:rPr>
                <w:rFonts w:ascii="仿宋" w:hAnsi="仿宋" w:eastAsia="仿宋" w:cs="Times New Roman"/>
                <w:spacing w:val="-4"/>
                <w:sz w:val="22"/>
                <w:szCs w:val="22"/>
              </w:rPr>
              <w:t>公办园和普惠性民办园在园幼儿占比达到80%</w:t>
            </w:r>
            <w:r>
              <w:rPr>
                <w:rFonts w:ascii="仿宋" w:hAnsi="仿宋" w:eastAsia="仿宋" w:cs="Times New Roman"/>
                <w:spacing w:val="-6"/>
                <w:sz w:val="22"/>
                <w:szCs w:val="22"/>
              </w:rPr>
              <w:t>。</w:t>
            </w:r>
          </w:p>
        </w:tc>
        <w:tc>
          <w:tcPr>
            <w:tcW w:w="6773" w:type="dxa"/>
            <w:tcBorders>
              <w:top w:val="single" w:color="auto" w:sz="6" w:space="0"/>
              <w:left w:val="nil"/>
              <w:bottom w:val="single" w:color="auto" w:sz="6" w:space="0"/>
              <w:right w:val="single" w:color="auto" w:sz="6" w:space="0"/>
            </w:tcBorders>
            <w:noWrap w:val="0"/>
            <w:vAlign w:val="top"/>
          </w:tcPr>
          <w:p>
            <w:pPr>
              <w:rPr>
                <w:rFonts w:ascii="仿宋" w:hAnsi="仿宋" w:eastAsia="仿宋" w:cs="Arial"/>
                <w:color w:val="000000"/>
                <w:sz w:val="22"/>
                <w:szCs w:val="22"/>
              </w:rPr>
            </w:pPr>
            <w:r>
              <w:rPr>
                <w:rFonts w:ascii="仿宋" w:hAnsi="仿宋" w:eastAsia="仿宋" w:cs="Times New Roman"/>
                <w:sz w:val="22"/>
                <w:szCs w:val="22"/>
              </w:rPr>
              <w:t>1.公办园是指由国家机构举办，或者国有企业事业单位、街道、村集体利用财政性经费或者利用国有资产、集体资产举办的幼儿园。</w:t>
            </w:r>
          </w:p>
          <w:p>
            <w:pPr>
              <w:rPr>
                <w:rFonts w:ascii="仿宋" w:hAnsi="仿宋" w:eastAsia="仿宋" w:cs="Times New Roman"/>
                <w:sz w:val="22"/>
                <w:szCs w:val="22"/>
              </w:rPr>
            </w:pPr>
            <w:r>
              <w:rPr>
                <w:rFonts w:ascii="仿宋" w:hAnsi="仿宋" w:eastAsia="仿宋" w:cs="Times New Roman"/>
                <w:sz w:val="22"/>
                <w:szCs w:val="22"/>
              </w:rPr>
              <w:t>2.普惠性民办园是指通过教育部门认定、面向大众、质量合格、接受财政经费补助或政府其他方式的扶持、收费执行政府限价的非营利性民办幼儿园。</w:t>
            </w:r>
          </w:p>
          <w:p>
            <w:pPr>
              <w:rPr>
                <w:rFonts w:ascii="仿宋" w:hAnsi="仿宋" w:eastAsia="仿宋" w:cs="Times New Roman"/>
                <w:sz w:val="22"/>
                <w:szCs w:val="22"/>
              </w:rPr>
            </w:pPr>
            <w:r>
              <w:rPr>
                <w:rFonts w:ascii="仿宋" w:hAnsi="仿宋" w:eastAsia="仿宋" w:cs="Times New Roman"/>
                <w:sz w:val="22"/>
                <w:szCs w:val="22"/>
              </w:rPr>
              <w:t>3.计算方法：普惠性幼儿园覆盖率=县域普惠性幼儿园（公办园+普惠性民办园）在园幼儿数/县域在册各级各类幼儿园在园幼儿数*100%。</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4.公办园和普惠性民办园名单须在当地政府门户网站公布。</w:t>
            </w:r>
          </w:p>
        </w:tc>
        <w:tc>
          <w:tcPr>
            <w:tcW w:w="1811" w:type="dxa"/>
            <w:tcBorders>
              <w:top w:val="single" w:color="auto" w:sz="6" w:space="0"/>
              <w:left w:val="nil"/>
              <w:bottom w:val="single" w:color="auto" w:sz="6" w:space="0"/>
              <w:right w:val="single" w:color="auto" w:sz="6"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498" w:hRule="atLeast"/>
        </w:trPr>
        <w:tc>
          <w:tcPr>
            <w:tcW w:w="1135" w:type="dxa"/>
            <w:vMerge w:val="continue"/>
            <w:tcBorders>
              <w:top w:val="nil"/>
              <w:left w:val="single" w:color="auto" w:sz="6" w:space="0"/>
              <w:bottom w:val="single" w:color="auto" w:sz="4" w:space="0"/>
              <w:right w:val="single" w:color="auto" w:sz="6" w:space="0"/>
            </w:tcBorders>
            <w:noWrap w:val="0"/>
            <w:vAlign w:val="center"/>
          </w:tcPr>
          <w:p>
            <w:pPr>
              <w:rPr>
                <w:rFonts w:ascii="仿宋" w:hAnsi="仿宋" w:eastAsia="仿宋" w:cs="Arial"/>
                <w:color w:val="000000"/>
                <w:sz w:val="22"/>
                <w:szCs w:val="22"/>
              </w:rPr>
            </w:pPr>
          </w:p>
        </w:tc>
        <w:tc>
          <w:tcPr>
            <w:tcW w:w="1524" w:type="dxa"/>
            <w:tcBorders>
              <w:top w:val="single" w:color="auto" w:sz="6" w:space="0"/>
              <w:left w:val="nil"/>
              <w:bottom w:val="single" w:color="auto" w:sz="4"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B3.公办园在园幼儿占比</w:t>
            </w:r>
          </w:p>
        </w:tc>
        <w:tc>
          <w:tcPr>
            <w:tcW w:w="2611" w:type="dxa"/>
            <w:tcBorders>
              <w:top w:val="single" w:color="auto" w:sz="6" w:space="0"/>
              <w:left w:val="nil"/>
              <w:bottom w:val="single" w:color="auto" w:sz="4"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C3.公办园在园幼儿占比达到55%。</w:t>
            </w:r>
          </w:p>
        </w:tc>
        <w:tc>
          <w:tcPr>
            <w:tcW w:w="6773" w:type="dxa"/>
            <w:tcBorders>
              <w:top w:val="single" w:color="auto" w:sz="6" w:space="0"/>
              <w:left w:val="nil"/>
              <w:bottom w:val="single" w:color="auto" w:sz="4" w:space="0"/>
              <w:right w:val="single" w:color="auto" w:sz="6" w:space="0"/>
            </w:tcBorders>
            <w:noWrap w:val="0"/>
            <w:vAlign w:val="top"/>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公办园在园幼儿占比=县域公办园（含非独立建制的公办中小学附设幼儿班和教学点）在园幼儿数/县域在册各级各类幼儿园在园幼儿数*100%。</w:t>
            </w:r>
          </w:p>
        </w:tc>
        <w:tc>
          <w:tcPr>
            <w:tcW w:w="1811" w:type="dxa"/>
            <w:tcBorders>
              <w:top w:val="single" w:color="auto" w:sz="6" w:space="0"/>
              <w:left w:val="nil"/>
              <w:bottom w:val="single" w:color="auto" w:sz="4" w:space="0"/>
              <w:right w:val="single" w:color="auto" w:sz="6"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1028" w:hRule="atLeast"/>
        </w:trPr>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A2.政府</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保障情况</w:t>
            </w:r>
          </w:p>
        </w:tc>
        <w:tc>
          <w:tcPr>
            <w:tcW w:w="152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B4.党的领导</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坚强有力</w:t>
            </w:r>
          </w:p>
        </w:tc>
        <w:tc>
          <w:tcPr>
            <w:tcW w:w="2611" w:type="dxa"/>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C4.县委、县政府加强对学前教育事业的领导。</w:t>
            </w:r>
          </w:p>
        </w:tc>
        <w:tc>
          <w:tcPr>
            <w:tcW w:w="677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Arial"/>
                <w:color w:val="000000"/>
                <w:sz w:val="22"/>
                <w:szCs w:val="22"/>
              </w:rPr>
            </w:pPr>
            <w:r>
              <w:rPr>
                <w:rFonts w:ascii="仿宋" w:hAnsi="仿宋" w:eastAsia="仿宋" w:cs="Times New Roman"/>
                <w:sz w:val="22"/>
                <w:szCs w:val="22"/>
              </w:rPr>
              <w:t>1.全面加强党对学前教育事业的领导，县级党委教育工作部门或教育行政部门党组织统一领导和指导幼儿园党建工作。</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w:t>
            </w:r>
            <w:r>
              <w:rPr>
                <w:rFonts w:ascii="仿宋" w:hAnsi="仿宋" w:eastAsia="仿宋" w:cs="Times New Roman"/>
                <w:spacing w:val="2"/>
                <w:sz w:val="22"/>
                <w:szCs w:val="22"/>
              </w:rPr>
              <w:t>落实党委政府主体责任，把学前教育工作纳入县域经济社会发展规划和政府重要议事日程，制定推进学前教育改革发展的相关文件及配套举措，建立县级学前教育工作联席会议制度，健全教育部门主管、有关部门分工负责的工作机制，不断完善学前教育公共服务体系</w:t>
            </w:r>
            <w:r>
              <w:rPr>
                <w:rFonts w:ascii="仿宋" w:hAnsi="仿宋" w:eastAsia="仿宋" w:cs="Times New Roman"/>
                <w:sz w:val="22"/>
                <w:szCs w:val="22"/>
              </w:rPr>
              <w:t>。</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w:color w:val="000000"/>
                <w:sz w:val="22"/>
                <w:szCs w:val="22"/>
              </w:rPr>
            </w:pPr>
            <w:r>
              <w:rPr>
                <w:rFonts w:ascii="仿宋" w:hAnsi="仿宋" w:eastAsia="仿宋" w:cs="Times New Roman"/>
                <w:sz w:val="22"/>
                <w:szCs w:val="22"/>
              </w:rPr>
              <w:t>县委办</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CellMar>
            <w:top w:w="0" w:type="dxa"/>
            <w:left w:w="108" w:type="dxa"/>
            <w:bottom w:w="0" w:type="dxa"/>
            <w:right w:w="108" w:type="dxa"/>
          </w:tblCellMar>
        </w:tblPrEx>
        <w:trPr>
          <w:trHeight w:val="1299" w:hRule="atLeast"/>
        </w:trPr>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p>
        </w:tc>
        <w:tc>
          <w:tcPr>
            <w:tcW w:w="152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p>
        </w:tc>
        <w:tc>
          <w:tcPr>
            <w:tcW w:w="2611" w:type="dxa"/>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C5.幼儿园党的组织和党的工作实现全覆盖。</w:t>
            </w:r>
          </w:p>
        </w:tc>
        <w:tc>
          <w:tcPr>
            <w:tcW w:w="677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Arial"/>
                <w:color w:val="000000"/>
                <w:sz w:val="22"/>
                <w:szCs w:val="22"/>
              </w:rPr>
            </w:pPr>
            <w:r>
              <w:rPr>
                <w:rFonts w:ascii="仿宋" w:hAnsi="仿宋" w:eastAsia="仿宋" w:cs="Times New Roman"/>
                <w:sz w:val="22"/>
                <w:szCs w:val="22"/>
              </w:rPr>
              <w:t>1.教职工中有3名以上正式党员的幼儿园(含民办),单独建立党组织。</w:t>
            </w:r>
          </w:p>
          <w:p>
            <w:pPr>
              <w:rPr>
                <w:rFonts w:ascii="仿宋" w:hAnsi="仿宋" w:eastAsia="仿宋" w:cs="Times New Roman"/>
                <w:sz w:val="22"/>
                <w:szCs w:val="22"/>
              </w:rPr>
            </w:pPr>
            <w:r>
              <w:rPr>
                <w:rFonts w:ascii="仿宋" w:hAnsi="仿宋" w:eastAsia="仿宋" w:cs="Times New Roman"/>
                <w:sz w:val="22"/>
                <w:szCs w:val="22"/>
              </w:rPr>
              <w:t>2.党员人数不足3人的，建立联合党组织或挂靠乡镇(街道)、村(社区)党组织。</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3.没有党员的，配备党建指导员。</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县委</w:t>
            </w:r>
            <w:r>
              <w:rPr>
                <w:rFonts w:ascii="仿宋" w:hAnsi="仿宋" w:eastAsia="仿宋" w:cs="Times New Roman"/>
                <w:sz w:val="22"/>
                <w:szCs w:val="22"/>
              </w:rPr>
              <w:t>组织部</w:t>
            </w:r>
          </w:p>
          <w:p>
            <w:pPr>
              <w:kinsoku w:val="0"/>
              <w:autoSpaceDE w:val="0"/>
              <w:autoSpaceDN w:val="0"/>
              <w:adjustRightInd w:val="0"/>
              <w:snapToGrid w:val="0"/>
              <w:jc w:val="center"/>
              <w:textAlignment w:val="baseline"/>
              <w:rPr>
                <w:rFonts w:hint="eastAsia"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教科系统综合</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党委</w:t>
            </w:r>
          </w:p>
        </w:tc>
      </w:tr>
    </w:tbl>
    <w:p>
      <w:pPr>
        <w:pStyle w:val="6"/>
        <w:spacing w:line="100" w:lineRule="exact"/>
        <w:rPr>
          <w:rFonts w:hint="eastAsia"/>
        </w:rPr>
        <w:sectPr>
          <w:pgSz w:w="16838" w:h="11906" w:orient="landscape"/>
          <w:pgMar w:top="1588" w:right="1474" w:bottom="1134" w:left="1588" w:header="0" w:footer="1077" w:gutter="0"/>
          <w:cols w:space="720" w:num="1"/>
          <w:titlePg/>
        </w:sectPr>
      </w:pPr>
      <w:r>
        <w:t xml:space="preserve"> </w:t>
      </w:r>
    </w:p>
    <w:p>
      <w:pPr>
        <w:pStyle w:val="6"/>
        <w:spacing w:line="100" w:lineRule="exact"/>
        <w:rPr>
          <w:rFonts w:hint="eastAsia" w:cs="Arial"/>
          <w:color w:val="000000"/>
          <w:sz w:val="21"/>
          <w:szCs w:val="21"/>
        </w:rPr>
      </w:pPr>
    </w:p>
    <w:tbl>
      <w:tblPr>
        <w:tblStyle w:val="8"/>
        <w:tblW w:w="13854" w:type="dxa"/>
        <w:tblInd w:w="135" w:type="dxa"/>
        <w:tblLayout w:type="fixed"/>
        <w:tblCellMar>
          <w:top w:w="0" w:type="dxa"/>
          <w:left w:w="108" w:type="dxa"/>
          <w:bottom w:w="0" w:type="dxa"/>
          <w:right w:w="108" w:type="dxa"/>
        </w:tblCellMar>
      </w:tblPr>
      <w:tblGrid>
        <w:gridCol w:w="1146"/>
        <w:gridCol w:w="1513"/>
        <w:gridCol w:w="2859"/>
        <w:gridCol w:w="6605"/>
        <w:gridCol w:w="1731"/>
      </w:tblGrid>
      <w:tr>
        <w:tblPrEx>
          <w:tblCellMar>
            <w:top w:w="0" w:type="dxa"/>
            <w:left w:w="108" w:type="dxa"/>
            <w:bottom w:w="0" w:type="dxa"/>
            <w:right w:w="108" w:type="dxa"/>
          </w:tblCellMar>
        </w:tblPrEx>
        <w:trPr>
          <w:trHeight w:val="1342" w:hRule="atLeast"/>
        </w:trPr>
        <w:tc>
          <w:tcPr>
            <w:tcW w:w="1146" w:type="dxa"/>
            <w:vMerge w:val="restart"/>
            <w:tcBorders>
              <w:top w:val="single" w:color="auto" w:sz="4" w:space="0"/>
              <w:left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A2.政府</w:t>
            </w:r>
          </w:p>
          <w:p>
            <w:pPr>
              <w:kinsoku w:val="0"/>
              <w:autoSpaceDE w:val="0"/>
              <w:autoSpaceDN w:val="0"/>
              <w:adjustRightInd w:val="0"/>
              <w:snapToGrid w:val="0"/>
              <w:textAlignment w:val="baseline"/>
              <w:rPr>
                <w:rFonts w:ascii="仿宋" w:hAnsi="仿宋" w:eastAsia="仿宋" w:cs="Arial"/>
                <w:color w:val="000000"/>
                <w:sz w:val="24"/>
                <w:szCs w:val="24"/>
              </w:rPr>
            </w:pPr>
            <w:r>
              <w:rPr>
                <w:rFonts w:ascii="仿宋" w:hAnsi="仿宋" w:eastAsia="仿宋" w:cs="Times New Roman"/>
                <w:sz w:val="22"/>
                <w:szCs w:val="22"/>
              </w:rPr>
              <w:t>保障情况</w:t>
            </w:r>
          </w:p>
        </w:tc>
        <w:tc>
          <w:tcPr>
            <w:tcW w:w="1513"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B5.发展规划</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科学合理</w:t>
            </w:r>
          </w:p>
        </w:tc>
        <w:tc>
          <w:tcPr>
            <w:tcW w:w="2859" w:type="dxa"/>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C6.科学制定幼儿园布局规划。</w:t>
            </w:r>
          </w:p>
        </w:tc>
        <w:tc>
          <w:tcPr>
            <w:tcW w:w="660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1.县政府制定公办园分年度建设计划，列入政府重点项目和同级财政预算。</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2.综合考虑城乡社会经济发展、三孩生育政策实施、人口流动、乡镇行政区划调整等因素，科学制定幼儿园布局规划。</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住房和城乡建设管理局</w:t>
            </w:r>
          </w:p>
          <w:p>
            <w:pPr>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财政局</w:t>
            </w:r>
          </w:p>
          <w:p>
            <w:pPr>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1721" w:hRule="atLeast"/>
        </w:trPr>
        <w:tc>
          <w:tcPr>
            <w:tcW w:w="1146" w:type="dxa"/>
            <w:vMerge w:val="continue"/>
            <w:tcBorders>
              <w:left w:val="single" w:color="auto" w:sz="4" w:space="0"/>
              <w:right w:val="single" w:color="auto" w:sz="4" w:space="0"/>
            </w:tcBorders>
            <w:noWrap w:val="0"/>
            <w:vAlign w:val="center"/>
          </w:tcPr>
          <w:p>
            <w:pPr>
              <w:rPr>
                <w:rFonts w:ascii="仿宋" w:hAnsi="仿宋" w:eastAsia="仿宋" w:cs="Arial"/>
                <w:color w:val="000000"/>
                <w:sz w:val="24"/>
                <w:szCs w:val="24"/>
              </w:rPr>
            </w:pPr>
          </w:p>
        </w:tc>
        <w:tc>
          <w:tcPr>
            <w:tcW w:w="15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p>
        </w:tc>
        <w:tc>
          <w:tcPr>
            <w:tcW w:w="2859" w:type="dxa"/>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C7.把普惠性幼儿园建设纳入城乡公共管理和公共服务设施统一规划。</w:t>
            </w:r>
          </w:p>
        </w:tc>
        <w:tc>
          <w:tcPr>
            <w:tcW w:w="660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1.将幼儿园建设纳入县级公共服务设施配套建设规划，列入本地区控制性详细规划和土地招拍挂建设项目成本，选定具体位置，明确服务范围，确定建设规模，确保优先建设。</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2.区域控制性详细规划中包含普惠性幼儿园建设的相关内容。</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住房和城乡建设管理局</w:t>
            </w:r>
          </w:p>
          <w:p>
            <w:pPr>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1951" w:hRule="atLeast"/>
        </w:trPr>
        <w:tc>
          <w:tcPr>
            <w:tcW w:w="1146" w:type="dxa"/>
            <w:vMerge w:val="continue"/>
            <w:tcBorders>
              <w:left w:val="single" w:color="auto" w:sz="4" w:space="0"/>
              <w:right w:val="single" w:color="auto" w:sz="4" w:space="0"/>
            </w:tcBorders>
            <w:noWrap w:val="0"/>
            <w:vAlign w:val="center"/>
          </w:tcPr>
          <w:p>
            <w:pPr>
              <w:rPr>
                <w:rFonts w:ascii="仿宋" w:hAnsi="仿宋" w:eastAsia="仿宋" w:cs="Arial"/>
                <w:color w:val="000000"/>
                <w:sz w:val="24"/>
                <w:szCs w:val="24"/>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B6.学前教育</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公共服务网络基本完善</w:t>
            </w:r>
          </w:p>
        </w:tc>
        <w:tc>
          <w:tcPr>
            <w:tcW w:w="2859" w:type="dxa"/>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C8.农村地区每个乡镇原则上至少有一所公办中心园，大村独立建园或设分园，小村联合办园，人口分散地区根据实际情况举办流动幼儿园、季节班等。</w:t>
            </w:r>
          </w:p>
        </w:tc>
        <w:tc>
          <w:tcPr>
            <w:tcW w:w="660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1.每个乡镇至少办有1所公办中心幼儿园(含未独立建制的乡镇中心校附设幼儿园)。</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2.通过依托乡镇中心幼儿园举办分园、村独立或联合办园等方式满足农村适龄儿童入园需求确保城乡学前教育资源全覆盖。</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1980" w:hRule="atLeast"/>
        </w:trPr>
        <w:tc>
          <w:tcPr>
            <w:tcW w:w="1146" w:type="dxa"/>
            <w:vMerge w:val="continue"/>
            <w:tcBorders>
              <w:left w:val="single" w:color="auto" w:sz="4" w:space="0"/>
              <w:right w:val="single" w:color="auto" w:sz="4" w:space="0"/>
            </w:tcBorders>
            <w:noWrap w:val="0"/>
            <w:vAlign w:val="center"/>
          </w:tcPr>
          <w:p>
            <w:pPr>
              <w:rPr>
                <w:rFonts w:ascii="仿宋" w:hAnsi="仿宋" w:eastAsia="仿宋" w:cs="Arial"/>
                <w:color w:val="000000"/>
                <w:sz w:val="24"/>
                <w:szCs w:val="24"/>
              </w:rPr>
            </w:pPr>
          </w:p>
        </w:tc>
        <w:tc>
          <w:tcPr>
            <w:tcW w:w="1513" w:type="dxa"/>
            <w:vMerge w:val="restart"/>
            <w:tcBorders>
              <w:top w:val="single" w:color="auto" w:sz="4" w:space="0"/>
              <w:left w:val="single" w:color="auto" w:sz="4" w:space="0"/>
              <w:right w:val="single" w:color="auto" w:sz="6"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B7.小区配套</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幼儿园管理规范</w:t>
            </w:r>
          </w:p>
        </w:tc>
        <w:tc>
          <w:tcPr>
            <w:tcW w:w="2859" w:type="dxa"/>
            <w:tcBorders>
              <w:top w:val="single" w:color="auto" w:sz="4" w:space="0"/>
              <w:left w:val="nil"/>
              <w:bottom w:val="single" w:color="auto" w:sz="6"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C9.落实省定小区配套幼儿园建设管理办法，小区配套幼儿园与首期建设的居民住宅区同步规划、同步设计、同步建设、同步验收、同步交付使用</w:t>
            </w:r>
          </w:p>
        </w:tc>
        <w:tc>
          <w:tcPr>
            <w:tcW w:w="6605" w:type="dxa"/>
            <w:tcBorders>
              <w:top w:val="single" w:color="auto" w:sz="4" w:space="0"/>
              <w:left w:val="nil"/>
              <w:bottom w:val="single" w:color="auto" w:sz="6" w:space="0"/>
              <w:right w:val="single" w:color="auto" w:sz="6"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1.小区配套幼儿园与首期建设的居民住宅区做到“五同步”。</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2.开发建设单位取得工程规划许可证后，在将建设项目施工图送建设</w:t>
            </w:r>
            <w:r>
              <w:rPr>
                <w:rFonts w:ascii="仿宋" w:hAnsi="仿宋" w:eastAsia="仿宋" w:cs="Times New Roman"/>
                <w:spacing w:val="-8"/>
                <w:sz w:val="22"/>
                <w:szCs w:val="22"/>
              </w:rPr>
              <w:t>主管部门审查前，向教育行政主管部门提交完整的幼儿园施工图文件，</w:t>
            </w:r>
            <w:r>
              <w:rPr>
                <w:rFonts w:ascii="仿宋" w:hAnsi="仿宋" w:eastAsia="仿宋" w:cs="Times New Roman"/>
                <w:sz w:val="22"/>
                <w:szCs w:val="22"/>
              </w:rPr>
              <w:t>教育行政部门要指导小区配套幼儿园规范设计、科学合理建设，签收接收意见。对存在配套幼儿园缓建、缩建、停建、不建和建而不交等问题的城镇小区，在整改到位之前，不得办理竣工验收。</w:t>
            </w:r>
          </w:p>
        </w:tc>
        <w:tc>
          <w:tcPr>
            <w:tcW w:w="1731" w:type="dxa"/>
            <w:tcBorders>
              <w:top w:val="single" w:color="auto" w:sz="4" w:space="0"/>
              <w:left w:val="nil"/>
              <w:bottom w:val="single" w:color="auto" w:sz="6" w:space="0"/>
              <w:right w:val="single" w:color="auto" w:sz="6"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住房和城乡建设管理局</w:t>
            </w:r>
          </w:p>
          <w:p>
            <w:pPr>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1705" w:hRule="atLeast"/>
        </w:trPr>
        <w:tc>
          <w:tcPr>
            <w:tcW w:w="1146" w:type="dxa"/>
            <w:vMerge w:val="continue"/>
            <w:tcBorders>
              <w:left w:val="single" w:color="auto" w:sz="4" w:space="0"/>
              <w:bottom w:val="single" w:color="auto" w:sz="4" w:space="0"/>
              <w:right w:val="single" w:color="auto" w:sz="4"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p>
        </w:tc>
        <w:tc>
          <w:tcPr>
            <w:tcW w:w="1513" w:type="dxa"/>
            <w:vMerge w:val="continue"/>
            <w:tcBorders>
              <w:left w:val="single" w:color="auto" w:sz="4" w:space="0"/>
              <w:bottom w:val="single" w:color="auto" w:sz="4"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p>
        </w:tc>
        <w:tc>
          <w:tcPr>
            <w:tcW w:w="2859"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C10.现有小区配套幼儿园由当地政府统筹安排办成公办幼儿园或委托办成普惠性民办幼儿园，且运转良好，不得办成营利性幼儿园。</w:t>
            </w:r>
          </w:p>
        </w:tc>
        <w:tc>
          <w:tcPr>
            <w:tcW w:w="6605" w:type="dxa"/>
            <w:tcBorders>
              <w:top w:val="single" w:color="auto" w:sz="6" w:space="0"/>
              <w:left w:val="nil"/>
              <w:bottom w:val="single" w:color="auto" w:sz="6" w:space="0"/>
              <w:right w:val="single" w:color="auto" w:sz="6" w:space="0"/>
            </w:tcBorders>
            <w:noWrap w:val="0"/>
            <w:vAlign w:val="center"/>
          </w:tcPr>
          <w:p>
            <w:pPr>
              <w:rPr>
                <w:rFonts w:ascii="仿宋" w:hAnsi="仿宋" w:eastAsia="仿宋" w:cs="Arial"/>
                <w:color w:val="000000"/>
                <w:sz w:val="22"/>
                <w:szCs w:val="22"/>
              </w:rPr>
            </w:pPr>
            <w:r>
              <w:rPr>
                <w:rFonts w:ascii="仿宋" w:hAnsi="仿宋" w:eastAsia="仿宋" w:cs="Times New Roman"/>
                <w:sz w:val="22"/>
                <w:szCs w:val="22"/>
              </w:rPr>
              <w:t>1.已建成的小区配套幼儿园由当地政府统筹安排办成公办幼儿园或委托办成普惠性民办幼儿园，或通过购买服务的方式提供普惠性学位，优先满足本小区居民适龄幼儿入园，不得办成营利性幼儿园。</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w:t>
            </w:r>
            <w:r>
              <w:rPr>
                <w:rFonts w:ascii="仿宋" w:hAnsi="仿宋" w:eastAsia="仿宋" w:cs="Times New Roman"/>
                <w:spacing w:val="-6"/>
                <w:sz w:val="22"/>
                <w:szCs w:val="22"/>
              </w:rPr>
              <w:t>未经政府批准，任何单位和个人不得擅自拆改或闲置，不得以出租、</w:t>
            </w:r>
            <w:r>
              <w:rPr>
                <w:rFonts w:ascii="仿宋" w:hAnsi="仿宋" w:eastAsia="仿宋" w:cs="Times New Roman"/>
                <w:sz w:val="22"/>
                <w:szCs w:val="22"/>
              </w:rPr>
              <w:t>出售、转让、抵押等方式改变用途，确保小区配套幼儿园运转良好。</w:t>
            </w:r>
          </w:p>
        </w:tc>
        <w:tc>
          <w:tcPr>
            <w:tcW w:w="1731" w:type="dxa"/>
            <w:tcBorders>
              <w:top w:val="single" w:color="auto" w:sz="6" w:space="0"/>
              <w:left w:val="nil"/>
              <w:bottom w:val="single" w:color="auto" w:sz="6" w:space="0"/>
              <w:right w:val="single" w:color="auto" w:sz="6" w:space="0"/>
            </w:tcBorders>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住房和城乡建设管理局</w:t>
            </w:r>
          </w:p>
          <w:p>
            <w:pPr>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bl>
    <w:p>
      <w:pPr>
        <w:spacing w:line="160" w:lineRule="exact"/>
        <w:rPr>
          <w:rFonts w:ascii="仿宋" w:hAnsi="仿宋" w:eastAsia="仿宋"/>
        </w:rPr>
        <w:sectPr>
          <w:pgSz w:w="16838" w:h="11906" w:orient="landscape"/>
          <w:pgMar w:top="1588" w:right="1474" w:bottom="1134" w:left="1588" w:header="0" w:footer="1077" w:gutter="0"/>
          <w:cols w:space="720" w:num="1"/>
          <w:titlePg/>
        </w:sectPr>
      </w:pPr>
    </w:p>
    <w:p>
      <w:pPr>
        <w:spacing w:line="160" w:lineRule="exact"/>
        <w:rPr>
          <w:rFonts w:hint="eastAsia" w:ascii="仿宋" w:hAnsi="仿宋" w:eastAsia="仿宋" w:cs="Times New Roman"/>
        </w:rPr>
      </w:pPr>
    </w:p>
    <w:tbl>
      <w:tblPr>
        <w:tblStyle w:val="8"/>
        <w:tblW w:w="1403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453"/>
        <w:gridCol w:w="2945"/>
        <w:gridCol w:w="6280"/>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75" w:type="dxa"/>
            <w:vMerge w:val="restart"/>
            <w:noWrap w:val="0"/>
            <w:vAlign w:val="center"/>
          </w:tcPr>
          <w:p>
            <w:pPr>
              <w:rPr>
                <w:rFonts w:ascii="仿宋" w:hAnsi="仿宋" w:eastAsia="仿宋" w:cs="Arial"/>
                <w:color w:val="000000"/>
                <w:sz w:val="22"/>
                <w:szCs w:val="22"/>
              </w:rPr>
            </w:pPr>
            <w:r>
              <w:rPr>
                <w:rFonts w:ascii="仿宋" w:hAnsi="仿宋" w:eastAsia="仿宋" w:cs="Times New Roman"/>
                <w:sz w:val="22"/>
                <w:szCs w:val="22"/>
              </w:rPr>
              <w:t>A2.政府</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保障情况</w:t>
            </w:r>
          </w:p>
        </w:tc>
        <w:tc>
          <w:tcPr>
            <w:tcW w:w="1453" w:type="dxa"/>
            <w:vMerge w:val="restart"/>
            <w:noWrap w:val="0"/>
            <w:vAlign w:val="center"/>
          </w:tcPr>
          <w:p>
            <w:pPr>
              <w:rPr>
                <w:rFonts w:ascii="仿宋" w:hAnsi="仿宋" w:eastAsia="仿宋" w:cs="Arial"/>
                <w:color w:val="000000"/>
                <w:sz w:val="22"/>
                <w:szCs w:val="22"/>
              </w:rPr>
            </w:pPr>
            <w:r>
              <w:rPr>
                <w:rFonts w:ascii="仿宋" w:hAnsi="仿宋" w:eastAsia="仿宋" w:cs="Times New Roman"/>
                <w:sz w:val="22"/>
                <w:szCs w:val="22"/>
              </w:rPr>
              <w:t>B8.财政投入</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到位</w:t>
            </w: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C11.落实省定公办幼儿园生均财政拨款标准或生均公用经费标准。</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1.公办幼儿园生均公用经费不低于年生均600元。</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2.各地原拨款标准高于省定最低拨款标准的，不得降低标准。</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财政局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75" w:type="dxa"/>
            <w:vMerge w:val="continue"/>
            <w:noWrap w:val="0"/>
            <w:vAlign w:val="center"/>
          </w:tcPr>
          <w:p>
            <w:pPr>
              <w:rPr>
                <w:rFonts w:ascii="仿宋" w:hAnsi="仿宋" w:eastAsia="仿宋" w:cs="Arial"/>
                <w:color w:val="000000"/>
                <w:sz w:val="22"/>
                <w:szCs w:val="22"/>
              </w:rPr>
            </w:pPr>
          </w:p>
        </w:tc>
        <w:tc>
          <w:tcPr>
            <w:tcW w:w="1453" w:type="dxa"/>
            <w:vMerge w:val="continue"/>
            <w:noWrap w:val="0"/>
            <w:vAlign w:val="center"/>
          </w:tcPr>
          <w:p>
            <w:pPr>
              <w:rPr>
                <w:rFonts w:ascii="仿宋" w:hAnsi="仿宋" w:eastAsia="仿宋" w:cs="Arial"/>
                <w:color w:val="000000"/>
                <w:sz w:val="22"/>
                <w:szCs w:val="22"/>
              </w:rPr>
            </w:pP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C12.落实企事业单位、部队、高校、街道、村集体办幼儿园财政补助政策。</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1.公办幼儿园生均公用经费不低于年生均600元。</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2.各地原拨款标准高于省最低拨款标准的，不得降低标准。</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财政局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75" w:type="dxa"/>
            <w:vMerge w:val="continue"/>
            <w:noWrap w:val="0"/>
            <w:vAlign w:val="center"/>
          </w:tcPr>
          <w:p>
            <w:pPr>
              <w:rPr>
                <w:rFonts w:ascii="仿宋" w:hAnsi="仿宋" w:eastAsia="仿宋" w:cs="Arial"/>
                <w:color w:val="000000"/>
                <w:sz w:val="22"/>
                <w:szCs w:val="22"/>
              </w:rPr>
            </w:pPr>
          </w:p>
        </w:tc>
        <w:tc>
          <w:tcPr>
            <w:tcW w:w="1453" w:type="dxa"/>
            <w:vMerge w:val="continue"/>
            <w:noWrap w:val="0"/>
            <w:vAlign w:val="center"/>
          </w:tcPr>
          <w:p>
            <w:pPr>
              <w:rPr>
                <w:rFonts w:ascii="仿宋" w:hAnsi="仿宋" w:eastAsia="仿宋" w:cs="Arial"/>
                <w:color w:val="000000"/>
                <w:sz w:val="22"/>
                <w:szCs w:val="22"/>
              </w:rPr>
            </w:pP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C13.落实省定普惠性民办幼儿园认定标准、补助标准及扶持政策。</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1.县财政对本地区经教育行政部门认定的普惠性民办幼儿园，按生均不低于600元标准安排财政补助，并列入年度预算。</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2.各地原补助标准高于生均600元的不得降低标准。</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财政局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75" w:type="dxa"/>
            <w:vMerge w:val="continue"/>
            <w:noWrap w:val="0"/>
            <w:vAlign w:val="center"/>
          </w:tcPr>
          <w:p>
            <w:pPr>
              <w:rPr>
                <w:rFonts w:ascii="仿宋" w:hAnsi="仿宋" w:eastAsia="仿宋" w:cs="Arial"/>
                <w:color w:val="000000"/>
                <w:sz w:val="22"/>
                <w:szCs w:val="22"/>
              </w:rPr>
            </w:pPr>
          </w:p>
        </w:tc>
        <w:tc>
          <w:tcPr>
            <w:tcW w:w="1453" w:type="dxa"/>
            <w:vMerge w:val="restart"/>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B9.收费合理</w:t>
            </w: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C14.落实公办幼儿园收费标准和普惠性民办幼儿园收费办法。</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1.公办幼儿园保教费、住宿费收费标准实行政府定价。</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2.普惠性民办幼儿园收费标准按照补偿合理成本的原则，由县级人民政府有关部门以合同约定等方式确定，在最高标准范围内确定具体收费标准</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发展和改革局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75" w:type="dxa"/>
            <w:vMerge w:val="continue"/>
            <w:noWrap w:val="0"/>
            <w:vAlign w:val="center"/>
          </w:tcPr>
          <w:p>
            <w:pPr>
              <w:rPr>
                <w:rFonts w:ascii="仿宋" w:hAnsi="仿宋" w:eastAsia="仿宋" w:cs="Arial"/>
                <w:color w:val="000000"/>
                <w:sz w:val="22"/>
                <w:szCs w:val="22"/>
              </w:rPr>
            </w:pPr>
          </w:p>
        </w:tc>
        <w:tc>
          <w:tcPr>
            <w:tcW w:w="1453" w:type="dxa"/>
            <w:vMerge w:val="continue"/>
            <w:noWrap w:val="0"/>
            <w:vAlign w:val="center"/>
          </w:tcPr>
          <w:p>
            <w:pPr>
              <w:rPr>
                <w:rFonts w:ascii="仿宋" w:hAnsi="仿宋" w:eastAsia="仿宋" w:cs="Arial"/>
                <w:color w:val="000000"/>
                <w:sz w:val="22"/>
                <w:szCs w:val="22"/>
              </w:rPr>
            </w:pP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C15.健全科学合理的学前教育成本分担机制，幼儿园收费标准根据社会经济发展水平动态调整。</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1.公办园根据政府投入、当地经济发展水平、办园成本和群众承受能力等因素建立动态调整机制。</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2.民办园根据保育教育和住宿成本、市场需求、社会承受力等因素合理确定收费标准，面向社会公示并接受主管部门的监督。</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发展和改革局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75" w:type="dxa"/>
            <w:vMerge w:val="continue"/>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p>
        </w:tc>
        <w:tc>
          <w:tcPr>
            <w:tcW w:w="1453" w:type="dxa"/>
            <w:vMerge w:val="continue"/>
            <w:noWrap w:val="0"/>
            <w:vAlign w:val="center"/>
          </w:tcPr>
          <w:p>
            <w:pPr>
              <w:rPr>
                <w:rFonts w:ascii="仿宋" w:hAnsi="仿宋" w:eastAsia="仿宋" w:cs="Arial"/>
                <w:color w:val="000000"/>
                <w:sz w:val="22"/>
                <w:szCs w:val="22"/>
              </w:rPr>
            </w:pP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C16.各类幼儿园无不合理收费。</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1.各类幼儿园除收取保教费、住宿费及按规定收取的服务性收费、代收费外，无其它违规收费现象。</w:t>
            </w:r>
          </w:p>
          <w:p>
            <w:pPr>
              <w:rPr>
                <w:rFonts w:ascii="仿宋" w:hAnsi="仿宋" w:eastAsia="仿宋" w:cs="Times New Roman"/>
                <w:sz w:val="22"/>
                <w:szCs w:val="22"/>
              </w:rPr>
            </w:pPr>
            <w:r>
              <w:rPr>
                <w:rFonts w:ascii="仿宋" w:hAnsi="仿宋" w:eastAsia="仿宋" w:cs="Times New Roman"/>
                <w:sz w:val="22"/>
                <w:szCs w:val="22"/>
              </w:rPr>
              <w:t>2.没有跨学期预收费现象。</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3.没有关于幼儿园不合理收费的有效投诉。</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发展和改革局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75" w:type="dxa"/>
            <w:vMerge w:val="continue"/>
            <w:shd w:val="clear" w:color="auto" w:fill="auto"/>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p>
        </w:tc>
        <w:tc>
          <w:tcPr>
            <w:tcW w:w="1453" w:type="dxa"/>
            <w:vMerge w:val="restart"/>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B10.教师工</w:t>
            </w:r>
          </w:p>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资待遇有保</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障</w:t>
            </w: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C17.落实公办幼儿园教师工资待遇保障政策，确保教师工资及时足额发放、同工同酬。</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1.落实省定及当地关于公办幼儿园教师工资待遇保障政策。</w:t>
            </w:r>
          </w:p>
          <w:p>
            <w:pPr>
              <w:rPr>
                <w:rFonts w:ascii="仿宋" w:hAnsi="仿宋" w:eastAsia="仿宋" w:cs="Times New Roman"/>
                <w:sz w:val="22"/>
                <w:szCs w:val="22"/>
              </w:rPr>
            </w:pPr>
            <w:r>
              <w:rPr>
                <w:rFonts w:ascii="仿宋" w:hAnsi="仿宋" w:eastAsia="仿宋" w:cs="Times New Roman"/>
                <w:sz w:val="22"/>
                <w:szCs w:val="22"/>
              </w:rPr>
              <w:t>2.制定公办园编内编外幼儿教师同工同酬相关政策。</w:t>
            </w:r>
          </w:p>
          <w:p>
            <w:pPr>
              <w:rPr>
                <w:rFonts w:ascii="仿宋" w:hAnsi="仿宋" w:eastAsia="仿宋" w:cs="Times New Roman"/>
                <w:sz w:val="22"/>
                <w:szCs w:val="22"/>
              </w:rPr>
            </w:pPr>
            <w:r>
              <w:rPr>
                <w:rFonts w:ascii="仿宋" w:hAnsi="仿宋" w:eastAsia="仿宋" w:cs="Times New Roman"/>
                <w:sz w:val="22"/>
                <w:szCs w:val="22"/>
              </w:rPr>
              <w:t>3.没有拖欠公办幼儿园教师工资的现象。</w:t>
            </w:r>
          </w:p>
          <w:p>
            <w:pPr>
              <w:rPr>
                <w:rFonts w:ascii="仿宋" w:hAnsi="仿宋" w:eastAsia="仿宋" w:cs="Times New Roman"/>
                <w:sz w:val="22"/>
                <w:szCs w:val="22"/>
              </w:rPr>
            </w:pPr>
            <w:r>
              <w:rPr>
                <w:rFonts w:ascii="仿宋" w:hAnsi="仿宋" w:eastAsia="仿宋" w:cs="Times New Roman"/>
                <w:sz w:val="22"/>
                <w:szCs w:val="22"/>
              </w:rPr>
              <w:t>4.没有公办幼儿园教师群体关于工资待遇问题的有效投诉。</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5.依法依规足额足项为教职工缴纳社会保险和住房公积金。</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财政局</w:t>
            </w:r>
          </w:p>
          <w:p>
            <w:pPr>
              <w:spacing w:line="28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人力资源和社会保障局</w:t>
            </w:r>
          </w:p>
          <w:p>
            <w:pPr>
              <w:spacing w:line="28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175" w:type="dxa"/>
            <w:vMerge w:val="continue"/>
            <w:shd w:val="clear" w:color="auto" w:fill="auto"/>
            <w:noWrap w:val="0"/>
            <w:vAlign w:val="center"/>
          </w:tcPr>
          <w:p>
            <w:pPr>
              <w:rPr>
                <w:rFonts w:ascii="仿宋" w:hAnsi="仿宋" w:eastAsia="仿宋" w:cs="Arial"/>
                <w:color w:val="000000"/>
                <w:sz w:val="22"/>
                <w:szCs w:val="22"/>
              </w:rPr>
            </w:pPr>
          </w:p>
        </w:tc>
        <w:tc>
          <w:tcPr>
            <w:tcW w:w="1453" w:type="dxa"/>
            <w:vMerge w:val="continue"/>
            <w:noWrap w:val="0"/>
            <w:vAlign w:val="center"/>
          </w:tcPr>
          <w:p>
            <w:pPr>
              <w:rPr>
                <w:rFonts w:ascii="仿宋" w:hAnsi="仿宋" w:eastAsia="仿宋" w:cs="Arial"/>
                <w:color w:val="000000"/>
                <w:sz w:val="22"/>
                <w:szCs w:val="22"/>
              </w:rPr>
            </w:pPr>
          </w:p>
        </w:tc>
        <w:tc>
          <w:tcPr>
            <w:tcW w:w="2945"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C18.参照公办幼儿园教师工资收入水平，合理确定民办幼儿园相应教师工资收入。</w:t>
            </w:r>
          </w:p>
        </w:tc>
        <w:tc>
          <w:tcPr>
            <w:tcW w:w="6280"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1.落实省定及当地保障民办幼儿园教师工资收入有关政策。</w:t>
            </w:r>
          </w:p>
          <w:p>
            <w:pPr>
              <w:rPr>
                <w:rFonts w:ascii="仿宋" w:hAnsi="仿宋" w:eastAsia="仿宋" w:cs="Times New Roman"/>
                <w:sz w:val="22"/>
                <w:szCs w:val="22"/>
              </w:rPr>
            </w:pPr>
            <w:r>
              <w:rPr>
                <w:rFonts w:ascii="仿宋" w:hAnsi="仿宋" w:eastAsia="仿宋" w:cs="Times New Roman"/>
                <w:sz w:val="22"/>
                <w:szCs w:val="22"/>
              </w:rPr>
              <w:t>2.没有拖欠民办幼儿园教师工资的现象。</w:t>
            </w:r>
          </w:p>
          <w:p>
            <w:pPr>
              <w:rPr>
                <w:rFonts w:ascii="仿宋" w:hAnsi="仿宋" w:eastAsia="仿宋" w:cs="Times New Roman"/>
                <w:sz w:val="22"/>
                <w:szCs w:val="22"/>
              </w:rPr>
            </w:pPr>
            <w:r>
              <w:rPr>
                <w:rFonts w:ascii="仿宋" w:hAnsi="仿宋" w:eastAsia="仿宋" w:cs="Times New Roman"/>
                <w:sz w:val="22"/>
                <w:szCs w:val="22"/>
              </w:rPr>
              <w:t>3.没有民办幼儿园教师群体关于工资待遇问题的有效投诉。</w:t>
            </w:r>
          </w:p>
          <w:p>
            <w:pPr>
              <w:rPr>
                <w:rFonts w:hint="eastAsia" w:ascii="仿宋" w:hAnsi="仿宋" w:eastAsia="仿宋" w:cs="Times New Roman"/>
                <w:sz w:val="22"/>
                <w:szCs w:val="22"/>
              </w:rPr>
            </w:pPr>
            <w:r>
              <w:rPr>
                <w:rFonts w:ascii="仿宋" w:hAnsi="仿宋" w:eastAsia="仿宋" w:cs="Times New Roman"/>
                <w:sz w:val="22"/>
                <w:szCs w:val="22"/>
              </w:rPr>
              <w:t>4.依法依规足额足项为教职工缴纳社会保险和住房公积金。</w:t>
            </w:r>
          </w:p>
        </w:tc>
        <w:tc>
          <w:tcPr>
            <w:tcW w:w="2181" w:type="dxa"/>
            <w:noWrap w:val="0"/>
            <w:vAlign w:val="center"/>
          </w:tcPr>
          <w:p>
            <w:pPr>
              <w:spacing w:line="28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财政局</w:t>
            </w:r>
          </w:p>
          <w:p>
            <w:pPr>
              <w:spacing w:line="28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人力资源和社会保障局</w:t>
            </w:r>
          </w:p>
          <w:p>
            <w:pPr>
              <w:spacing w:line="28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spacing w:line="280" w:lineRule="exact"/>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bl>
    <w:p>
      <w:pPr>
        <w:spacing w:line="100" w:lineRule="exact"/>
        <w:rPr>
          <w:rFonts w:ascii="仿宋" w:hAnsi="仿宋" w:eastAsia="仿宋"/>
        </w:rPr>
        <w:sectPr>
          <w:pgSz w:w="16838" w:h="11906" w:orient="landscape"/>
          <w:pgMar w:top="1588" w:right="1474" w:bottom="1134" w:left="1588" w:header="0" w:footer="964" w:gutter="0"/>
          <w:cols w:space="720" w:num="1"/>
        </w:sectPr>
      </w:pPr>
    </w:p>
    <w:p>
      <w:pPr>
        <w:spacing w:line="100" w:lineRule="exact"/>
        <w:rPr>
          <w:rFonts w:hint="eastAsia" w:ascii="仿宋" w:hAnsi="仿宋" w:eastAsia="仿宋" w:cs="Times New Roman"/>
        </w:rPr>
      </w:pPr>
    </w:p>
    <w:tbl>
      <w:tblPr>
        <w:tblStyle w:val="8"/>
        <w:tblW w:w="13778" w:type="dxa"/>
        <w:tblInd w:w="135" w:type="dxa"/>
        <w:tblLayout w:type="fixed"/>
        <w:tblCellMar>
          <w:top w:w="0" w:type="dxa"/>
          <w:left w:w="108" w:type="dxa"/>
          <w:bottom w:w="0" w:type="dxa"/>
          <w:right w:w="108" w:type="dxa"/>
        </w:tblCellMar>
      </w:tblPr>
      <w:tblGrid>
        <w:gridCol w:w="1146"/>
        <w:gridCol w:w="1417"/>
        <w:gridCol w:w="2785"/>
        <w:gridCol w:w="6397"/>
        <w:gridCol w:w="2033"/>
      </w:tblGrid>
      <w:tr>
        <w:tblPrEx>
          <w:tblCellMar>
            <w:top w:w="0" w:type="dxa"/>
            <w:left w:w="108" w:type="dxa"/>
            <w:bottom w:w="0" w:type="dxa"/>
            <w:right w:w="108" w:type="dxa"/>
          </w:tblCellMar>
        </w:tblPrEx>
        <w:trPr>
          <w:trHeight w:val="465" w:hRule="atLeast"/>
        </w:trPr>
        <w:tc>
          <w:tcPr>
            <w:tcW w:w="114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 w:hAnsi="仿宋" w:eastAsia="仿宋" w:cs="Arial"/>
                <w:color w:val="000000"/>
                <w:sz w:val="22"/>
                <w:szCs w:val="22"/>
              </w:rPr>
            </w:pPr>
            <w:r>
              <w:rPr>
                <w:rFonts w:ascii="仿宋" w:hAnsi="仿宋" w:eastAsia="仿宋" w:cs="Times New Roman"/>
                <w:sz w:val="22"/>
                <w:szCs w:val="22"/>
              </w:rPr>
              <w:t>A2.政府</w:t>
            </w:r>
          </w:p>
          <w:p>
            <w:pPr>
              <w:spacing w:line="240" w:lineRule="exact"/>
              <w:rPr>
                <w:rFonts w:ascii="仿宋" w:hAnsi="仿宋" w:eastAsia="仿宋" w:cs="Arial"/>
                <w:color w:val="000000"/>
                <w:sz w:val="22"/>
                <w:szCs w:val="22"/>
              </w:rPr>
            </w:pPr>
            <w:r>
              <w:rPr>
                <w:rFonts w:ascii="仿宋" w:hAnsi="仿宋" w:eastAsia="仿宋" w:cs="Times New Roman"/>
                <w:sz w:val="22"/>
                <w:szCs w:val="22"/>
              </w:rPr>
              <w:t>保障情况</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B11.安全风险防控机制健全</w:t>
            </w:r>
          </w:p>
        </w:tc>
        <w:tc>
          <w:tcPr>
            <w:tcW w:w="2785" w:type="dxa"/>
            <w:tcBorders>
              <w:top w:val="single" w:color="auto" w:sz="4" w:space="0"/>
              <w:left w:val="single" w:color="auto" w:sz="4" w:space="0"/>
              <w:bottom w:val="single" w:color="auto" w:sz="4" w:space="0"/>
              <w:right w:val="single" w:color="auto" w:sz="4"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C19.落实教育、公安、生态环境、交通、住建、卫生健康、市场监管、应急等部门</w:t>
            </w:r>
            <w:r>
              <w:rPr>
                <w:rFonts w:ascii="仿宋" w:hAnsi="仿宋" w:eastAsia="仿宋" w:cs="Times New Roman"/>
                <w:spacing w:val="-8"/>
                <w:sz w:val="22"/>
                <w:szCs w:val="22"/>
              </w:rPr>
              <w:t>对幼儿园园所、食品、卫生、</w:t>
            </w:r>
            <w:r>
              <w:rPr>
                <w:rFonts w:ascii="仿宋" w:hAnsi="仿宋" w:eastAsia="仿宋" w:cs="Times New Roman"/>
                <w:sz w:val="22"/>
                <w:szCs w:val="22"/>
              </w:rPr>
              <w:t>校车、消防等各方面的安全监管责任。</w:t>
            </w:r>
          </w:p>
        </w:tc>
        <w:tc>
          <w:tcPr>
            <w:tcW w:w="6397" w:type="dxa"/>
            <w:tcBorders>
              <w:top w:val="single" w:color="auto" w:sz="6" w:space="0"/>
              <w:left w:val="single" w:color="auto" w:sz="4" w:space="0"/>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pacing w:val="-2"/>
                <w:sz w:val="22"/>
                <w:szCs w:val="22"/>
              </w:rPr>
              <w:t>区域安全风险管控机制健全。各部门有明确职责并在审批、年检、</w:t>
            </w:r>
            <w:r>
              <w:rPr>
                <w:rFonts w:ascii="仿宋" w:hAnsi="仿宋" w:eastAsia="仿宋" w:cs="Times New Roman"/>
                <w:sz w:val="22"/>
                <w:szCs w:val="22"/>
              </w:rPr>
              <w:t>日常管理中落实。有任一部门缺位为不达标。</w:t>
            </w:r>
          </w:p>
        </w:tc>
        <w:tc>
          <w:tcPr>
            <w:tcW w:w="2033" w:type="dxa"/>
            <w:tcBorders>
              <w:top w:val="single" w:color="auto" w:sz="6" w:space="0"/>
              <w:left w:val="nil"/>
              <w:bottom w:val="single" w:color="auto" w:sz="6" w:space="0"/>
              <w:right w:val="single" w:color="auto" w:sz="6" w:space="0"/>
            </w:tcBorders>
            <w:noWrap w:val="0"/>
            <w:vAlign w:val="center"/>
          </w:tcPr>
          <w:p>
            <w:pPr>
              <w:spacing w:line="24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公安局</w:t>
            </w:r>
          </w:p>
          <w:p>
            <w:pPr>
              <w:spacing w:line="240" w:lineRule="exact"/>
              <w:jc w:val="center"/>
              <w:rPr>
                <w:rFonts w:hint="eastAsia"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住房和城乡</w:t>
            </w:r>
          </w:p>
          <w:p>
            <w:pPr>
              <w:spacing w:line="240" w:lineRule="exact"/>
              <w:jc w:val="center"/>
              <w:rPr>
                <w:rFonts w:ascii="仿宋" w:hAnsi="仿宋" w:eastAsia="仿宋" w:cs="Times New Roman"/>
                <w:sz w:val="22"/>
                <w:szCs w:val="22"/>
              </w:rPr>
            </w:pPr>
            <w:r>
              <w:rPr>
                <w:rFonts w:ascii="仿宋" w:hAnsi="仿宋" w:eastAsia="仿宋" w:cs="Times New Roman"/>
                <w:sz w:val="22"/>
                <w:szCs w:val="22"/>
              </w:rPr>
              <w:t>建设管理局</w:t>
            </w:r>
          </w:p>
          <w:p>
            <w:pPr>
              <w:spacing w:line="240" w:lineRule="exact"/>
              <w:jc w:val="center"/>
              <w:rPr>
                <w:rFonts w:hint="eastAsia"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卫</w:t>
            </w:r>
            <w:r>
              <w:rPr>
                <w:rFonts w:hint="eastAsia" w:ascii="仿宋" w:hAnsi="仿宋" w:eastAsia="仿宋" w:cs="Times New Roman"/>
                <w:sz w:val="22"/>
                <w:szCs w:val="22"/>
              </w:rPr>
              <w:t>生</w:t>
            </w:r>
            <w:r>
              <w:rPr>
                <w:rFonts w:ascii="仿宋" w:hAnsi="仿宋" w:eastAsia="仿宋" w:cs="Times New Roman"/>
                <w:sz w:val="22"/>
                <w:szCs w:val="22"/>
              </w:rPr>
              <w:t>健</w:t>
            </w:r>
            <w:r>
              <w:rPr>
                <w:rFonts w:hint="eastAsia" w:ascii="仿宋" w:hAnsi="仿宋" w:eastAsia="仿宋" w:cs="Times New Roman"/>
                <w:sz w:val="22"/>
                <w:szCs w:val="22"/>
              </w:rPr>
              <w:t>康和</w:t>
            </w:r>
          </w:p>
          <w:p>
            <w:pPr>
              <w:spacing w:line="240" w:lineRule="exact"/>
              <w:jc w:val="center"/>
              <w:rPr>
                <w:rFonts w:hint="eastAsia" w:ascii="仿宋" w:hAnsi="仿宋" w:eastAsia="仿宋" w:cs="Times New Roman"/>
                <w:sz w:val="22"/>
                <w:szCs w:val="22"/>
              </w:rPr>
            </w:pPr>
            <w:r>
              <w:rPr>
                <w:rFonts w:ascii="仿宋" w:hAnsi="仿宋" w:eastAsia="仿宋" w:cs="Times New Roman"/>
                <w:sz w:val="22"/>
                <w:szCs w:val="22"/>
              </w:rPr>
              <w:t>体</w:t>
            </w:r>
            <w:r>
              <w:rPr>
                <w:rFonts w:hint="eastAsia" w:ascii="仿宋" w:hAnsi="仿宋" w:eastAsia="仿宋" w:cs="Times New Roman"/>
                <w:sz w:val="22"/>
                <w:szCs w:val="22"/>
              </w:rPr>
              <w:t>育</w:t>
            </w:r>
            <w:r>
              <w:rPr>
                <w:rFonts w:ascii="仿宋" w:hAnsi="仿宋" w:eastAsia="仿宋" w:cs="Times New Roman"/>
                <w:sz w:val="22"/>
                <w:szCs w:val="22"/>
              </w:rPr>
              <w:t>局</w:t>
            </w:r>
          </w:p>
          <w:p>
            <w:pPr>
              <w:spacing w:line="240" w:lineRule="exact"/>
              <w:jc w:val="center"/>
              <w:rPr>
                <w:rFonts w:hint="eastAsia" w:ascii="仿宋" w:hAnsi="仿宋" w:eastAsia="仿宋" w:cs="Times New Roman"/>
                <w:sz w:val="22"/>
                <w:szCs w:val="22"/>
              </w:rPr>
            </w:pPr>
            <w:r>
              <w:rPr>
                <w:rFonts w:hint="eastAsia" w:ascii="仿宋" w:hAnsi="仿宋" w:eastAsia="仿宋" w:cs="Times New Roman"/>
                <w:sz w:val="22"/>
                <w:szCs w:val="22"/>
              </w:rPr>
              <w:t>市生态</w:t>
            </w:r>
            <w:r>
              <w:rPr>
                <w:rFonts w:ascii="仿宋" w:hAnsi="仿宋" w:eastAsia="仿宋" w:cs="Times New Roman"/>
                <w:sz w:val="22"/>
                <w:szCs w:val="22"/>
              </w:rPr>
              <w:t>环</w:t>
            </w:r>
            <w:r>
              <w:rPr>
                <w:rFonts w:hint="eastAsia" w:ascii="仿宋" w:hAnsi="仿宋" w:eastAsia="仿宋" w:cs="Times New Roman"/>
                <w:sz w:val="22"/>
                <w:szCs w:val="22"/>
              </w:rPr>
              <w:t>境</w:t>
            </w:r>
            <w:r>
              <w:rPr>
                <w:rFonts w:ascii="仿宋" w:hAnsi="仿宋" w:eastAsia="仿宋" w:cs="Times New Roman"/>
                <w:sz w:val="22"/>
                <w:szCs w:val="22"/>
              </w:rPr>
              <w:t>局</w:t>
            </w:r>
          </w:p>
          <w:p>
            <w:pPr>
              <w:spacing w:line="240" w:lineRule="exact"/>
              <w:jc w:val="center"/>
              <w:rPr>
                <w:rFonts w:hint="eastAsia" w:ascii="仿宋" w:hAnsi="仿宋" w:eastAsia="仿宋" w:cs="Times New Roman"/>
                <w:sz w:val="22"/>
                <w:szCs w:val="22"/>
              </w:rPr>
            </w:pPr>
            <w:r>
              <w:rPr>
                <w:rFonts w:hint="eastAsia" w:ascii="仿宋" w:hAnsi="仿宋" w:eastAsia="仿宋" w:cs="Times New Roman"/>
                <w:sz w:val="22"/>
                <w:szCs w:val="22"/>
              </w:rPr>
              <w:t>五台分局</w:t>
            </w:r>
          </w:p>
          <w:p>
            <w:pPr>
              <w:spacing w:line="24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应急</w:t>
            </w:r>
            <w:r>
              <w:rPr>
                <w:rFonts w:hint="eastAsia" w:ascii="仿宋" w:hAnsi="仿宋" w:eastAsia="仿宋" w:cs="Times New Roman"/>
                <w:sz w:val="22"/>
                <w:szCs w:val="22"/>
              </w:rPr>
              <w:t>管理</w:t>
            </w:r>
            <w:r>
              <w:rPr>
                <w:rFonts w:ascii="仿宋" w:hAnsi="仿宋" w:eastAsia="仿宋" w:cs="Times New Roman"/>
                <w:sz w:val="22"/>
                <w:szCs w:val="22"/>
              </w:rPr>
              <w:t>局</w:t>
            </w:r>
          </w:p>
          <w:p>
            <w:pPr>
              <w:spacing w:line="240" w:lineRule="exact"/>
              <w:ind w:left="-67" w:leftChars="-32" w:right="-111" w:rightChars="-53"/>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市场</w:t>
            </w:r>
            <w:r>
              <w:rPr>
                <w:rFonts w:hint="eastAsia" w:ascii="仿宋" w:hAnsi="仿宋" w:eastAsia="仿宋" w:cs="Times New Roman"/>
                <w:sz w:val="22"/>
                <w:szCs w:val="22"/>
              </w:rPr>
              <w:t>监督管理</w:t>
            </w:r>
            <w:r>
              <w:rPr>
                <w:rFonts w:ascii="仿宋" w:hAnsi="仿宋" w:eastAsia="仿宋" w:cs="Times New Roman"/>
                <w:sz w:val="22"/>
                <w:szCs w:val="22"/>
              </w:rPr>
              <w:t>局</w:t>
            </w:r>
          </w:p>
          <w:p>
            <w:pPr>
              <w:spacing w:line="24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消防救援大队</w:t>
            </w:r>
          </w:p>
          <w:p>
            <w:pPr>
              <w:spacing w:line="24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199" w:hRule="atLeast"/>
        </w:trPr>
        <w:tc>
          <w:tcPr>
            <w:tcW w:w="1146" w:type="dxa"/>
            <w:vMerge w:val="continue"/>
            <w:tcBorders>
              <w:top w:val="single" w:color="auto" w:sz="4" w:space="0"/>
              <w:left w:val="single" w:color="auto" w:sz="6" w:space="0"/>
              <w:right w:val="single" w:color="auto" w:sz="6" w:space="0"/>
            </w:tcBorders>
            <w:shd w:val="clear" w:color="auto" w:fill="auto"/>
            <w:noWrap w:val="0"/>
            <w:vAlign w:val="center"/>
          </w:tcPr>
          <w:p>
            <w:pPr>
              <w:spacing w:line="240" w:lineRule="exact"/>
              <w:rPr>
                <w:rFonts w:ascii="仿宋" w:hAnsi="仿宋" w:eastAsia="仿宋" w:cs="Arial"/>
                <w:color w:val="000000"/>
                <w:sz w:val="22"/>
                <w:szCs w:val="22"/>
              </w:rPr>
            </w:pPr>
          </w:p>
        </w:tc>
        <w:tc>
          <w:tcPr>
            <w:tcW w:w="1417" w:type="dxa"/>
            <w:vMerge w:val="continue"/>
            <w:tcBorders>
              <w:top w:val="single" w:color="auto" w:sz="4" w:space="0"/>
              <w:left w:val="nil"/>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2785" w:type="dxa"/>
            <w:tcBorders>
              <w:top w:val="single" w:color="auto" w:sz="4"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C20.督导评估认定前2年内无较大社会影响的安全责任事故。</w:t>
            </w:r>
          </w:p>
        </w:tc>
        <w:tc>
          <w:tcPr>
            <w:tcW w:w="6397"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在督导评估认定前2年内未发生较大社会影响的安全责任事故。</w:t>
            </w:r>
          </w:p>
        </w:tc>
        <w:tc>
          <w:tcPr>
            <w:tcW w:w="2033" w:type="dxa"/>
            <w:tcBorders>
              <w:top w:val="single" w:color="auto" w:sz="6" w:space="0"/>
              <w:left w:val="nil"/>
              <w:bottom w:val="single" w:color="auto" w:sz="6" w:space="0"/>
              <w:right w:val="single" w:color="auto" w:sz="6" w:space="0"/>
            </w:tcBorders>
            <w:noWrap w:val="0"/>
            <w:vAlign w:val="center"/>
          </w:tcPr>
          <w:p>
            <w:pPr>
              <w:spacing w:line="24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249" w:hRule="atLeast"/>
        </w:trPr>
        <w:tc>
          <w:tcPr>
            <w:tcW w:w="1146" w:type="dxa"/>
            <w:vMerge w:val="continue"/>
            <w:tcBorders>
              <w:left w:val="single" w:color="auto" w:sz="6" w:space="0"/>
              <w:right w:val="single" w:color="auto" w:sz="6" w:space="0"/>
            </w:tcBorders>
            <w:shd w:val="clear" w:color="auto" w:fill="auto"/>
            <w:noWrap w:val="0"/>
            <w:vAlign w:val="center"/>
          </w:tcPr>
          <w:p>
            <w:pPr>
              <w:spacing w:line="240" w:lineRule="exact"/>
              <w:rPr>
                <w:rFonts w:ascii="仿宋" w:hAnsi="仿宋" w:eastAsia="仿宋" w:cs="Arial"/>
                <w:color w:val="000000"/>
                <w:sz w:val="22"/>
                <w:szCs w:val="22"/>
              </w:rPr>
            </w:pPr>
          </w:p>
        </w:tc>
        <w:tc>
          <w:tcPr>
            <w:tcW w:w="1417" w:type="dxa"/>
            <w:vMerge w:val="restart"/>
            <w:tcBorders>
              <w:top w:val="nil"/>
              <w:left w:val="nil"/>
              <w:bottom w:val="single" w:color="auto" w:sz="4"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B12.监管制度比较完善</w:t>
            </w:r>
          </w:p>
        </w:tc>
        <w:tc>
          <w:tcPr>
            <w:tcW w:w="2785"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C21.对民办幼儿园审批严格执行“先证后照”制度，完善年检制度</w:t>
            </w:r>
          </w:p>
        </w:tc>
        <w:tc>
          <w:tcPr>
            <w:tcW w:w="6397" w:type="dxa"/>
            <w:tcBorders>
              <w:top w:val="single" w:color="auto" w:sz="6" w:space="0"/>
              <w:left w:val="nil"/>
              <w:bottom w:val="single" w:color="auto" w:sz="6" w:space="0"/>
              <w:right w:val="single" w:color="auto" w:sz="6" w:space="0"/>
            </w:tcBorders>
            <w:noWrap w:val="0"/>
            <w:vAlign w:val="center"/>
          </w:tcPr>
          <w:p>
            <w:pPr>
              <w:spacing w:line="240" w:lineRule="exact"/>
              <w:rPr>
                <w:rFonts w:ascii="仿宋" w:hAnsi="仿宋" w:eastAsia="仿宋" w:cs="Arial"/>
                <w:color w:val="000000"/>
                <w:sz w:val="22"/>
                <w:szCs w:val="22"/>
              </w:rPr>
            </w:pPr>
            <w:r>
              <w:rPr>
                <w:rFonts w:ascii="仿宋" w:hAnsi="仿宋" w:eastAsia="仿宋" w:cs="Times New Roman"/>
                <w:sz w:val="22"/>
                <w:szCs w:val="22"/>
              </w:rPr>
              <w:t>1.民办幼儿园审批严格执行“先证后照”制度。</w:t>
            </w:r>
          </w:p>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2.完善民办幼儿园年检制度，将年检结果与民办幼儿园奖补、评先评优相结合。</w:t>
            </w:r>
          </w:p>
        </w:tc>
        <w:tc>
          <w:tcPr>
            <w:tcW w:w="2033" w:type="dxa"/>
            <w:tcBorders>
              <w:top w:val="single" w:color="auto" w:sz="6" w:space="0"/>
              <w:left w:val="nil"/>
              <w:bottom w:val="single" w:color="auto" w:sz="6" w:space="0"/>
              <w:right w:val="single" w:color="auto" w:sz="6" w:space="0"/>
            </w:tcBorders>
            <w:noWrap w:val="0"/>
            <w:vAlign w:val="center"/>
          </w:tcPr>
          <w:p>
            <w:pPr>
              <w:spacing w:line="240" w:lineRule="exact"/>
              <w:jc w:val="center"/>
              <w:rPr>
                <w:rFonts w:hint="eastAsia" w:ascii="仿宋" w:hAnsi="仿宋" w:eastAsia="仿宋" w:cs="Times New Roman"/>
                <w:sz w:val="22"/>
                <w:szCs w:val="22"/>
              </w:rPr>
            </w:pPr>
            <w:r>
              <w:rPr>
                <w:rFonts w:hint="eastAsia" w:ascii="仿宋" w:hAnsi="仿宋" w:eastAsia="仿宋" w:cs="Times New Roman"/>
                <w:sz w:val="22"/>
                <w:szCs w:val="22"/>
              </w:rPr>
              <w:t>县行政</w:t>
            </w:r>
            <w:r>
              <w:rPr>
                <w:rFonts w:ascii="仿宋" w:hAnsi="仿宋" w:eastAsia="仿宋" w:cs="Times New Roman"/>
                <w:sz w:val="22"/>
                <w:szCs w:val="22"/>
              </w:rPr>
              <w:t>审批</w:t>
            </w:r>
            <w:r>
              <w:rPr>
                <w:rFonts w:hint="eastAsia" w:ascii="仿宋" w:hAnsi="仿宋" w:eastAsia="仿宋" w:cs="Times New Roman"/>
                <w:sz w:val="22"/>
                <w:szCs w:val="22"/>
              </w:rPr>
              <w:t>服务</w:t>
            </w:r>
          </w:p>
          <w:p>
            <w:pPr>
              <w:spacing w:line="240" w:lineRule="exact"/>
              <w:jc w:val="center"/>
              <w:rPr>
                <w:rFonts w:ascii="仿宋" w:hAnsi="仿宋" w:eastAsia="仿宋" w:cs="Arial"/>
                <w:color w:val="000000"/>
                <w:sz w:val="22"/>
                <w:szCs w:val="22"/>
              </w:rPr>
            </w:pPr>
            <w:r>
              <w:rPr>
                <w:rFonts w:hint="eastAsia" w:ascii="仿宋" w:hAnsi="仿宋" w:eastAsia="仿宋" w:cs="Times New Roman"/>
                <w:sz w:val="22"/>
                <w:szCs w:val="22"/>
              </w:rPr>
              <w:t>管理</w:t>
            </w:r>
            <w:r>
              <w:rPr>
                <w:rFonts w:ascii="仿宋" w:hAnsi="仿宋" w:eastAsia="仿宋" w:cs="Times New Roman"/>
                <w:sz w:val="22"/>
                <w:szCs w:val="22"/>
              </w:rPr>
              <w:t>局</w:t>
            </w:r>
          </w:p>
          <w:p>
            <w:pPr>
              <w:spacing w:line="240" w:lineRule="exact"/>
              <w:ind w:left="-109" w:leftChars="-52" w:right="-153" w:rightChars="-73"/>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市场</w:t>
            </w:r>
            <w:r>
              <w:rPr>
                <w:rFonts w:hint="eastAsia" w:ascii="仿宋" w:hAnsi="仿宋" w:eastAsia="仿宋" w:cs="Times New Roman"/>
                <w:sz w:val="22"/>
                <w:szCs w:val="22"/>
              </w:rPr>
              <w:t>监督管理</w:t>
            </w:r>
            <w:r>
              <w:rPr>
                <w:rFonts w:ascii="仿宋" w:hAnsi="仿宋" w:eastAsia="仿宋" w:cs="Times New Roman"/>
                <w:sz w:val="22"/>
                <w:szCs w:val="22"/>
              </w:rPr>
              <w:t>局</w:t>
            </w:r>
          </w:p>
          <w:p>
            <w:pPr>
              <w:spacing w:line="24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民政局</w:t>
            </w:r>
          </w:p>
        </w:tc>
      </w:tr>
      <w:tr>
        <w:tblPrEx>
          <w:tblCellMar>
            <w:top w:w="0" w:type="dxa"/>
            <w:left w:w="108" w:type="dxa"/>
            <w:bottom w:w="0" w:type="dxa"/>
            <w:right w:w="108" w:type="dxa"/>
          </w:tblCellMar>
        </w:tblPrEx>
        <w:trPr>
          <w:trHeight w:val="176" w:hRule="atLeast"/>
        </w:trPr>
        <w:tc>
          <w:tcPr>
            <w:tcW w:w="1146" w:type="dxa"/>
            <w:vMerge w:val="continue"/>
            <w:tcBorders>
              <w:left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p>
        </w:tc>
        <w:tc>
          <w:tcPr>
            <w:tcW w:w="1417" w:type="dxa"/>
            <w:vMerge w:val="continue"/>
            <w:tcBorders>
              <w:top w:val="nil"/>
              <w:left w:val="nil"/>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2785"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C22.落实幼儿园基本信息备案及公示制度。</w:t>
            </w:r>
          </w:p>
        </w:tc>
        <w:tc>
          <w:tcPr>
            <w:tcW w:w="6397"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落实各类幼儿园基本信息备案及公示制度，及时向社会公布并更新幼儿园办园条件、教职工配备、收费标准、质量评估等方面信息，主动接受社会监督。</w:t>
            </w:r>
          </w:p>
        </w:tc>
        <w:tc>
          <w:tcPr>
            <w:tcW w:w="2033"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CellMar>
            <w:top w:w="0" w:type="dxa"/>
            <w:left w:w="108" w:type="dxa"/>
            <w:bottom w:w="0" w:type="dxa"/>
            <w:right w:w="108" w:type="dxa"/>
          </w:tblCellMar>
        </w:tblPrEx>
        <w:trPr>
          <w:trHeight w:val="237" w:hRule="atLeast"/>
        </w:trPr>
        <w:tc>
          <w:tcPr>
            <w:tcW w:w="1146" w:type="dxa"/>
            <w:vMerge w:val="continue"/>
            <w:tcBorders>
              <w:left w:val="single" w:color="auto" w:sz="6"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1417" w:type="dxa"/>
            <w:vMerge w:val="continue"/>
            <w:tcBorders>
              <w:top w:val="nil"/>
              <w:left w:val="nil"/>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2785"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C23.建立3—5年一轮覆盖所有幼儿园的办园行为督导评估制度。</w:t>
            </w:r>
          </w:p>
        </w:tc>
        <w:tc>
          <w:tcPr>
            <w:tcW w:w="6397"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幼儿园办园行为督导评估工作已开展一年以上，至少有一年的县级督导评估报告。</w:t>
            </w:r>
          </w:p>
        </w:tc>
        <w:tc>
          <w:tcPr>
            <w:tcW w:w="2033"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CellMar>
            <w:top w:w="0" w:type="dxa"/>
            <w:left w:w="108" w:type="dxa"/>
            <w:bottom w:w="0" w:type="dxa"/>
            <w:right w:w="108" w:type="dxa"/>
          </w:tblCellMar>
        </w:tblPrEx>
        <w:trPr>
          <w:trHeight w:val="885" w:hRule="atLeast"/>
        </w:trPr>
        <w:tc>
          <w:tcPr>
            <w:tcW w:w="1146" w:type="dxa"/>
            <w:vMerge w:val="continue"/>
            <w:tcBorders>
              <w:left w:val="single" w:color="auto" w:sz="6"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1417" w:type="dxa"/>
            <w:vMerge w:val="continue"/>
            <w:tcBorders>
              <w:top w:val="nil"/>
              <w:left w:val="nil"/>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2785"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C24.幼儿园责任督学挂牌督导制度落实到位。</w:t>
            </w:r>
          </w:p>
        </w:tc>
        <w:tc>
          <w:tcPr>
            <w:tcW w:w="6397" w:type="dxa"/>
            <w:tcBorders>
              <w:top w:val="single" w:color="auto" w:sz="6" w:space="0"/>
              <w:left w:val="nil"/>
              <w:bottom w:val="single" w:color="auto" w:sz="6" w:space="0"/>
              <w:right w:val="single" w:color="auto" w:sz="6" w:space="0"/>
            </w:tcBorders>
            <w:noWrap w:val="0"/>
            <w:vAlign w:val="center"/>
          </w:tcPr>
          <w:p>
            <w:pPr>
              <w:spacing w:line="240" w:lineRule="exact"/>
              <w:rPr>
                <w:rFonts w:ascii="仿宋" w:hAnsi="仿宋" w:eastAsia="仿宋" w:cs="Arial"/>
                <w:color w:val="000000"/>
                <w:sz w:val="22"/>
                <w:szCs w:val="22"/>
              </w:rPr>
            </w:pPr>
            <w:r>
              <w:rPr>
                <w:rFonts w:ascii="仿宋" w:hAnsi="仿宋" w:eastAsia="仿宋" w:cs="Times New Roman"/>
                <w:sz w:val="22"/>
                <w:szCs w:val="22"/>
              </w:rPr>
              <w:t>1.建立幼儿园责任督学挂牌督导制度，按1人负责5所左右幼儿园的标准配备责任督学。</w:t>
            </w:r>
          </w:p>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2.县域内所有幼儿园均实现责任督学挂牌督导。</w:t>
            </w:r>
          </w:p>
        </w:tc>
        <w:tc>
          <w:tcPr>
            <w:tcW w:w="2033"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CellMar>
            <w:top w:w="0" w:type="dxa"/>
            <w:left w:w="108" w:type="dxa"/>
            <w:bottom w:w="0" w:type="dxa"/>
            <w:right w:w="108" w:type="dxa"/>
          </w:tblCellMar>
        </w:tblPrEx>
        <w:trPr>
          <w:trHeight w:val="1081" w:hRule="atLeast"/>
        </w:trPr>
        <w:tc>
          <w:tcPr>
            <w:tcW w:w="1146" w:type="dxa"/>
            <w:vMerge w:val="continue"/>
            <w:tcBorders>
              <w:left w:val="single" w:color="auto" w:sz="6"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1417" w:type="dxa"/>
            <w:vMerge w:val="continue"/>
            <w:tcBorders>
              <w:top w:val="nil"/>
              <w:left w:val="nil"/>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2785"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C25.全面完成无证园治理工作</w:t>
            </w:r>
          </w:p>
        </w:tc>
        <w:tc>
          <w:tcPr>
            <w:tcW w:w="6397" w:type="dxa"/>
            <w:tcBorders>
              <w:top w:val="single" w:color="auto" w:sz="6" w:space="0"/>
              <w:left w:val="nil"/>
              <w:bottom w:val="single" w:color="auto" w:sz="6" w:space="0"/>
              <w:right w:val="single" w:color="auto" w:sz="6" w:space="0"/>
            </w:tcBorders>
            <w:noWrap w:val="0"/>
            <w:vAlign w:val="center"/>
          </w:tcPr>
          <w:p>
            <w:pPr>
              <w:spacing w:line="240" w:lineRule="exact"/>
              <w:rPr>
                <w:rFonts w:ascii="仿宋" w:hAnsi="仿宋" w:eastAsia="仿宋" w:cs="Arial"/>
                <w:color w:val="000000"/>
                <w:sz w:val="22"/>
                <w:szCs w:val="22"/>
              </w:rPr>
            </w:pPr>
            <w:r>
              <w:rPr>
                <w:rFonts w:ascii="仿宋" w:hAnsi="仿宋" w:eastAsia="仿宋" w:cs="Times New Roman"/>
                <w:sz w:val="22"/>
                <w:szCs w:val="22"/>
              </w:rPr>
              <w:t>1.已开展无证园排查、分类和治理工作。</w:t>
            </w:r>
          </w:p>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2.</w:t>
            </w:r>
            <w:r>
              <w:rPr>
                <w:rFonts w:ascii="仿宋" w:hAnsi="仿宋" w:eastAsia="仿宋" w:cs="Times New Roman"/>
                <w:spacing w:val="-6"/>
                <w:sz w:val="22"/>
                <w:szCs w:val="22"/>
              </w:rPr>
              <w:t>县域内全面消除无证园，实地督导评估时发现1所无证园即为不达标</w:t>
            </w:r>
            <w:r>
              <w:rPr>
                <w:rFonts w:ascii="仿宋" w:hAnsi="仿宋" w:eastAsia="仿宋" w:cs="Times New Roman"/>
                <w:sz w:val="22"/>
                <w:szCs w:val="22"/>
              </w:rPr>
              <w:t>。</w:t>
            </w:r>
          </w:p>
        </w:tc>
        <w:tc>
          <w:tcPr>
            <w:tcW w:w="2033" w:type="dxa"/>
            <w:tcBorders>
              <w:top w:val="single" w:color="auto" w:sz="6" w:space="0"/>
              <w:left w:val="nil"/>
              <w:bottom w:val="single" w:color="auto" w:sz="6" w:space="0"/>
              <w:right w:val="single" w:color="auto" w:sz="6" w:space="0"/>
            </w:tcBorders>
            <w:noWrap w:val="0"/>
            <w:vAlign w:val="center"/>
          </w:tcPr>
          <w:p>
            <w:pPr>
              <w:spacing w:line="240" w:lineRule="exact"/>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公安局</w:t>
            </w:r>
          </w:p>
          <w:p>
            <w:pPr>
              <w:spacing w:line="240" w:lineRule="exact"/>
              <w:ind w:left="-94" w:leftChars="-45" w:right="-86" w:rightChars="-41"/>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市场</w:t>
            </w:r>
            <w:r>
              <w:rPr>
                <w:rFonts w:hint="eastAsia" w:ascii="仿宋" w:hAnsi="仿宋" w:eastAsia="仿宋" w:cs="Times New Roman"/>
                <w:sz w:val="22"/>
                <w:szCs w:val="22"/>
              </w:rPr>
              <w:t>监督管理</w:t>
            </w:r>
            <w:r>
              <w:rPr>
                <w:rFonts w:ascii="仿宋" w:hAnsi="仿宋" w:eastAsia="仿宋" w:cs="Times New Roman"/>
                <w:sz w:val="22"/>
                <w:szCs w:val="22"/>
              </w:rPr>
              <w:t>局</w:t>
            </w:r>
          </w:p>
          <w:p>
            <w:pPr>
              <w:spacing w:line="240" w:lineRule="exact"/>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CellMar>
            <w:top w:w="0" w:type="dxa"/>
            <w:left w:w="108" w:type="dxa"/>
            <w:bottom w:w="0" w:type="dxa"/>
            <w:right w:w="108" w:type="dxa"/>
          </w:tblCellMar>
        </w:tblPrEx>
        <w:trPr>
          <w:trHeight w:val="689" w:hRule="atLeast"/>
        </w:trPr>
        <w:tc>
          <w:tcPr>
            <w:tcW w:w="1146" w:type="dxa"/>
            <w:vMerge w:val="continue"/>
            <w:tcBorders>
              <w:left w:val="single" w:color="auto" w:sz="6" w:space="0"/>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1417" w:type="dxa"/>
            <w:vMerge w:val="continue"/>
            <w:tcBorders>
              <w:top w:val="nil"/>
              <w:left w:val="nil"/>
              <w:bottom w:val="single" w:color="auto" w:sz="4" w:space="0"/>
              <w:right w:val="single" w:color="auto" w:sz="6" w:space="0"/>
            </w:tcBorders>
            <w:noWrap w:val="0"/>
            <w:vAlign w:val="center"/>
          </w:tcPr>
          <w:p>
            <w:pPr>
              <w:spacing w:line="240" w:lineRule="exact"/>
              <w:rPr>
                <w:rFonts w:ascii="仿宋" w:hAnsi="仿宋" w:eastAsia="仿宋" w:cs="Arial"/>
                <w:color w:val="000000"/>
                <w:sz w:val="22"/>
                <w:szCs w:val="22"/>
              </w:rPr>
            </w:pPr>
          </w:p>
        </w:tc>
        <w:tc>
          <w:tcPr>
            <w:tcW w:w="2785"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C26.民办幼儿园没有上市、过度逐利等行为。</w:t>
            </w:r>
          </w:p>
        </w:tc>
        <w:tc>
          <w:tcPr>
            <w:tcW w:w="6397" w:type="dxa"/>
            <w:tcBorders>
              <w:top w:val="single" w:color="auto" w:sz="6" w:space="0"/>
              <w:left w:val="nil"/>
              <w:bottom w:val="single" w:color="auto" w:sz="6" w:space="0"/>
              <w:right w:val="single" w:color="auto" w:sz="6" w:space="0"/>
            </w:tcBorders>
            <w:noWrap w:val="0"/>
            <w:vAlign w:val="center"/>
          </w:tcPr>
          <w:p>
            <w:pPr>
              <w:kinsoku w:val="0"/>
              <w:autoSpaceDE w:val="0"/>
              <w:autoSpaceDN w:val="0"/>
              <w:adjustRightInd w:val="0"/>
              <w:snapToGrid w:val="0"/>
              <w:spacing w:line="240" w:lineRule="exact"/>
              <w:textAlignment w:val="baseline"/>
              <w:rPr>
                <w:rFonts w:ascii="仿宋" w:hAnsi="仿宋" w:eastAsia="仿宋" w:cs="Arial"/>
                <w:color w:val="000000"/>
                <w:sz w:val="22"/>
                <w:szCs w:val="22"/>
              </w:rPr>
            </w:pPr>
            <w:r>
              <w:rPr>
                <w:rFonts w:ascii="仿宋" w:hAnsi="仿宋" w:eastAsia="仿宋" w:cs="Times New Roman"/>
                <w:sz w:val="22"/>
                <w:szCs w:val="22"/>
              </w:rPr>
              <w:t>民办幼儿园没有单独或作为一部分资产打包上市，且无过度逐利行为现象，发现1起即为不达标。</w:t>
            </w:r>
          </w:p>
        </w:tc>
        <w:tc>
          <w:tcPr>
            <w:tcW w:w="2033" w:type="dxa"/>
            <w:tcBorders>
              <w:top w:val="single" w:color="auto" w:sz="6" w:space="0"/>
              <w:left w:val="nil"/>
              <w:bottom w:val="single" w:color="auto" w:sz="6" w:space="0"/>
              <w:right w:val="single" w:color="auto" w:sz="6" w:space="0"/>
            </w:tcBorders>
            <w:noWrap w:val="0"/>
            <w:vAlign w:val="center"/>
          </w:tcPr>
          <w:p>
            <w:pPr>
              <w:spacing w:line="240" w:lineRule="exact"/>
              <w:ind w:left="-82" w:leftChars="-39" w:right="-84" w:rightChars="-40"/>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市场</w:t>
            </w:r>
            <w:r>
              <w:rPr>
                <w:rFonts w:hint="eastAsia" w:ascii="仿宋" w:hAnsi="仿宋" w:eastAsia="仿宋" w:cs="Times New Roman"/>
                <w:sz w:val="22"/>
                <w:szCs w:val="22"/>
              </w:rPr>
              <w:t>监督管理</w:t>
            </w:r>
            <w:r>
              <w:rPr>
                <w:rFonts w:ascii="仿宋" w:hAnsi="仿宋" w:eastAsia="仿宋" w:cs="Times New Roman"/>
                <w:sz w:val="22"/>
                <w:szCs w:val="22"/>
              </w:rPr>
              <w:t>局</w:t>
            </w:r>
          </w:p>
          <w:p>
            <w:pPr>
              <w:kinsoku w:val="0"/>
              <w:autoSpaceDE w:val="0"/>
              <w:autoSpaceDN w:val="0"/>
              <w:adjustRightInd w:val="0"/>
              <w:snapToGrid w:val="0"/>
              <w:spacing w:line="240" w:lineRule="exact"/>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bl>
    <w:p>
      <w:pPr>
        <w:spacing w:line="100" w:lineRule="exact"/>
        <w:rPr>
          <w:rFonts w:ascii="仿宋" w:hAnsi="仿宋" w:eastAsia="仿宋"/>
        </w:rPr>
        <w:sectPr>
          <w:pgSz w:w="16838" w:h="11906" w:orient="landscape"/>
          <w:pgMar w:top="1588" w:right="1474" w:bottom="1134" w:left="1588" w:header="0" w:footer="964" w:gutter="0"/>
          <w:cols w:space="720" w:num="1"/>
          <w:titlePg/>
        </w:sectPr>
      </w:pPr>
    </w:p>
    <w:p>
      <w:pPr>
        <w:spacing w:line="100" w:lineRule="exact"/>
        <w:rPr>
          <w:rFonts w:hint="eastAsia" w:ascii="仿宋" w:hAnsi="仿宋" w:eastAsia="仿宋" w:cs="Times New Roman"/>
        </w:rPr>
      </w:pPr>
    </w:p>
    <w:tbl>
      <w:tblPr>
        <w:tblStyle w:val="8"/>
        <w:tblW w:w="1388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330"/>
        <w:gridCol w:w="3038"/>
        <w:gridCol w:w="6516"/>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49" w:type="dxa"/>
            <w:vMerge w:val="restart"/>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A3幼儿园保质质量保障情况</w:t>
            </w:r>
          </w:p>
        </w:tc>
        <w:tc>
          <w:tcPr>
            <w:tcW w:w="1330" w:type="dxa"/>
            <w:vMerge w:val="restart"/>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B13.办园条</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件合格</w:t>
            </w: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C27.幼儿园园舍条件、玩教具和幼儿图书配备普遍达到规定要求。</w:t>
            </w:r>
          </w:p>
        </w:tc>
        <w:tc>
          <w:tcPr>
            <w:tcW w:w="6516"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1.幼儿园园舍条件、户外活动场地符合国家和我省建设标准。</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2.玩教具和图书配备符合国家和我省配备要求</w:t>
            </w:r>
          </w:p>
        </w:tc>
        <w:tc>
          <w:tcPr>
            <w:tcW w:w="1854" w:type="dxa"/>
            <w:noWrap w:val="0"/>
            <w:vAlign w:val="center"/>
          </w:tcPr>
          <w:p>
            <w:pPr>
              <w:ind w:left="-107" w:leftChars="-51" w:right="-80" w:rightChars="-38"/>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49" w:type="dxa"/>
            <w:vMerge w:val="continue"/>
            <w:noWrap w:val="0"/>
            <w:vAlign w:val="center"/>
          </w:tcPr>
          <w:p>
            <w:pPr>
              <w:rPr>
                <w:rFonts w:ascii="仿宋" w:hAnsi="仿宋" w:eastAsia="仿宋" w:cs="Arial"/>
                <w:color w:val="000000"/>
                <w:sz w:val="22"/>
                <w:szCs w:val="22"/>
              </w:rPr>
            </w:pPr>
          </w:p>
        </w:tc>
        <w:tc>
          <w:tcPr>
            <w:tcW w:w="1330" w:type="dxa"/>
            <w:vMerge w:val="continue"/>
            <w:noWrap w:val="0"/>
            <w:vAlign w:val="center"/>
          </w:tcPr>
          <w:p>
            <w:pPr>
              <w:rPr>
                <w:rFonts w:ascii="仿宋" w:hAnsi="仿宋" w:eastAsia="仿宋" w:cs="Arial"/>
                <w:color w:val="000000"/>
                <w:sz w:val="22"/>
                <w:szCs w:val="22"/>
              </w:rPr>
            </w:pP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C28.2017年后规划设计的幼儿园必须全部符合《幼儿园建设标准》(建标175-2016)。</w:t>
            </w:r>
          </w:p>
        </w:tc>
        <w:tc>
          <w:tcPr>
            <w:tcW w:w="6516"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1.2017年后规划设计的幼儿园的3项园舍条件指标必须符合以下标准：室外游戏场地生均面积≥4平方米。幼儿活动用房生均建筑面积≥8.17平方米。生均建筑面积≥10.44平方米。</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2.2017年前规划设计的幼儿园要有计划地通过改扩建或减少招生人数等措施达标。</w:t>
            </w:r>
          </w:p>
        </w:tc>
        <w:tc>
          <w:tcPr>
            <w:tcW w:w="1854" w:type="dxa"/>
            <w:noWrap w:val="0"/>
            <w:vAlign w:val="center"/>
          </w:tcPr>
          <w:p>
            <w:pPr>
              <w:ind w:left="-122" w:leftChars="-58" w:right="-107" w:rightChars="-51"/>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住房和城乡建设管理局</w:t>
            </w:r>
          </w:p>
          <w:p>
            <w:pPr>
              <w:ind w:left="-80" w:leftChars="-38" w:right="-65" w:rightChars="-31"/>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149" w:type="dxa"/>
            <w:vMerge w:val="continue"/>
            <w:noWrap w:val="0"/>
            <w:vAlign w:val="center"/>
          </w:tcPr>
          <w:p>
            <w:pPr>
              <w:rPr>
                <w:rFonts w:ascii="仿宋" w:hAnsi="仿宋" w:eastAsia="仿宋" w:cs="Arial"/>
                <w:color w:val="000000"/>
                <w:sz w:val="22"/>
                <w:szCs w:val="22"/>
              </w:rPr>
            </w:pPr>
          </w:p>
        </w:tc>
        <w:tc>
          <w:tcPr>
            <w:tcW w:w="1330" w:type="dxa"/>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B14.班额普</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遍达标</w:t>
            </w: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C29.</w:t>
            </w:r>
            <w:r>
              <w:rPr>
                <w:rFonts w:ascii="仿宋" w:hAnsi="仿宋" w:eastAsia="仿宋" w:cs="Times New Roman"/>
                <w:spacing w:val="-10"/>
                <w:sz w:val="22"/>
                <w:szCs w:val="22"/>
              </w:rPr>
              <w:t>县域内85%以上的班额符合《幼儿园工作规程》有关规定。</w:t>
            </w:r>
          </w:p>
        </w:tc>
        <w:tc>
          <w:tcPr>
            <w:tcW w:w="6516"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小班班额不超过25人，中班和混龄班班额不超过30人，大班班额不超过35人。</w:t>
            </w:r>
          </w:p>
        </w:tc>
        <w:tc>
          <w:tcPr>
            <w:tcW w:w="1854" w:type="dxa"/>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p>
            <w:pPr>
              <w:kinsoku w:val="0"/>
              <w:autoSpaceDE w:val="0"/>
              <w:autoSpaceDN w:val="0"/>
              <w:adjustRightInd w:val="0"/>
              <w:snapToGrid w:val="0"/>
              <w:jc w:val="center"/>
              <w:textAlignment w:val="baseline"/>
              <w:rPr>
                <w:rFonts w:ascii="仿宋" w:hAnsi="仿宋" w:eastAsia="仿宋" w:cs="Arial"/>
                <w:color w:val="000000"/>
                <w:sz w:val="22"/>
                <w:szCs w:val="22"/>
              </w:rPr>
            </w:pPr>
            <w:r>
              <w:rPr>
                <w:rFonts w:ascii="仿宋" w:hAnsi="仿宋" w:eastAsia="仿宋" w:cs="Times New Roman"/>
                <w:sz w:val="22"/>
                <w:szCs w:val="22"/>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149" w:type="dxa"/>
            <w:vMerge w:val="continue"/>
            <w:noWrap w:val="0"/>
            <w:vAlign w:val="center"/>
          </w:tcPr>
          <w:p>
            <w:pPr>
              <w:rPr>
                <w:rFonts w:ascii="仿宋" w:hAnsi="仿宋" w:eastAsia="仿宋" w:cs="Arial"/>
                <w:color w:val="000000"/>
                <w:sz w:val="22"/>
                <w:szCs w:val="22"/>
              </w:rPr>
            </w:pPr>
          </w:p>
        </w:tc>
        <w:tc>
          <w:tcPr>
            <w:tcW w:w="1330" w:type="dxa"/>
            <w:vMerge w:val="restart"/>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B15.教师配</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足配齐</w:t>
            </w: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C30.按《幼儿园教职工配备标准(暂行)》配足配齐各类幼儿园教职工。</w:t>
            </w:r>
          </w:p>
        </w:tc>
        <w:tc>
          <w:tcPr>
            <w:tcW w:w="6516"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幼儿园园长、专任教师、保育员、安保人员等按照《幼儿园教职工配备标准(暂行)》规定配足配齐。其中，教职工与幼儿比不低于1:7;幼儿园保教人员(专任教师+保育员)总数与在园幼儿比不低于1:9;区域内幼儿园专任教师总数与在园幼儿总数之比不低于1:15。</w:t>
            </w:r>
          </w:p>
        </w:tc>
        <w:tc>
          <w:tcPr>
            <w:tcW w:w="1854" w:type="dxa"/>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县委</w:t>
            </w:r>
            <w:r>
              <w:rPr>
                <w:rFonts w:ascii="仿宋" w:hAnsi="仿宋" w:eastAsia="仿宋" w:cs="Times New Roman"/>
                <w:sz w:val="22"/>
                <w:szCs w:val="22"/>
              </w:rPr>
              <w:t>编办</w:t>
            </w:r>
          </w:p>
          <w:p>
            <w:pPr>
              <w:ind w:left="-107" w:leftChars="-51" w:right="-92" w:rightChars="-44"/>
              <w:jc w:val="center"/>
              <w:rPr>
                <w:rFonts w:ascii="仿宋" w:hAnsi="仿宋" w:eastAsia="仿宋" w:cs="Times New Roman"/>
                <w:sz w:val="22"/>
                <w:szCs w:val="22"/>
              </w:rPr>
            </w:pPr>
            <w:r>
              <w:rPr>
                <w:rFonts w:hint="eastAsia" w:ascii="仿宋" w:hAnsi="仿宋" w:eastAsia="仿宋" w:cs="Times New Roman"/>
                <w:sz w:val="22"/>
                <w:szCs w:val="22"/>
              </w:rPr>
              <w:t>县</w:t>
            </w:r>
            <w:r>
              <w:rPr>
                <w:rFonts w:ascii="仿宋" w:hAnsi="仿宋" w:eastAsia="仿宋" w:cs="Times New Roman"/>
                <w:sz w:val="22"/>
                <w:szCs w:val="22"/>
              </w:rPr>
              <w:t>人力资源和社会保障局</w:t>
            </w:r>
          </w:p>
          <w:p>
            <w:pPr>
              <w:kinsoku w:val="0"/>
              <w:autoSpaceDE w:val="0"/>
              <w:autoSpaceDN w:val="0"/>
              <w:adjustRightInd w:val="0"/>
              <w:snapToGrid w:val="0"/>
              <w:ind w:left="-65" w:leftChars="-31" w:right="-80" w:rightChars="-38"/>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49" w:type="dxa"/>
            <w:vMerge w:val="continue"/>
            <w:noWrap w:val="0"/>
            <w:vAlign w:val="center"/>
          </w:tcPr>
          <w:p>
            <w:pPr>
              <w:rPr>
                <w:rFonts w:ascii="仿宋" w:hAnsi="仿宋" w:eastAsia="仿宋" w:cs="Arial"/>
                <w:color w:val="000000"/>
                <w:sz w:val="22"/>
                <w:szCs w:val="22"/>
              </w:rPr>
            </w:pPr>
          </w:p>
        </w:tc>
        <w:tc>
          <w:tcPr>
            <w:tcW w:w="1330" w:type="dxa"/>
            <w:vMerge w:val="continue"/>
            <w:noWrap w:val="0"/>
            <w:vAlign w:val="center"/>
          </w:tcPr>
          <w:p>
            <w:pPr>
              <w:rPr>
                <w:rFonts w:ascii="仿宋" w:hAnsi="仿宋" w:eastAsia="仿宋" w:cs="Arial"/>
                <w:color w:val="000000"/>
                <w:sz w:val="22"/>
                <w:szCs w:val="22"/>
              </w:rPr>
            </w:pP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C31.公办幼儿园没有“有编不补”的情况</w:t>
            </w:r>
          </w:p>
        </w:tc>
        <w:tc>
          <w:tcPr>
            <w:tcW w:w="6516"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及时补充公办园专任教师，严禁“有编不补”。</w:t>
            </w:r>
          </w:p>
        </w:tc>
        <w:tc>
          <w:tcPr>
            <w:tcW w:w="1854" w:type="dxa"/>
            <w:noWrap w:val="0"/>
            <w:vAlign w:val="center"/>
          </w:tcPr>
          <w:p>
            <w:pPr>
              <w:jc w:val="center"/>
              <w:rPr>
                <w:rFonts w:ascii="仿宋" w:hAnsi="仿宋" w:eastAsia="仿宋" w:cs="Arial"/>
                <w:color w:val="000000"/>
                <w:sz w:val="22"/>
                <w:szCs w:val="22"/>
              </w:rPr>
            </w:pPr>
            <w:r>
              <w:rPr>
                <w:rFonts w:hint="eastAsia" w:ascii="仿宋" w:hAnsi="仿宋" w:eastAsia="仿宋" w:cs="Times New Roman"/>
                <w:sz w:val="22"/>
                <w:szCs w:val="22"/>
              </w:rPr>
              <w:t>县委</w:t>
            </w:r>
            <w:r>
              <w:rPr>
                <w:rFonts w:ascii="仿宋" w:hAnsi="仿宋" w:eastAsia="仿宋" w:cs="Times New Roman"/>
                <w:sz w:val="22"/>
                <w:szCs w:val="22"/>
              </w:rPr>
              <w:t>编办</w:t>
            </w:r>
          </w:p>
          <w:p>
            <w:pPr>
              <w:kinsoku w:val="0"/>
              <w:autoSpaceDE w:val="0"/>
              <w:autoSpaceDN w:val="0"/>
              <w:adjustRightInd w:val="0"/>
              <w:snapToGrid w:val="0"/>
              <w:ind w:left="-92" w:leftChars="-44" w:right="-65" w:rightChars="-31"/>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149" w:type="dxa"/>
            <w:vMerge w:val="continue"/>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p>
        </w:tc>
        <w:tc>
          <w:tcPr>
            <w:tcW w:w="1330" w:type="dxa"/>
            <w:vMerge w:val="restart"/>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B16.教师管</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理制度严格</w:t>
            </w: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C32.建立健全幼儿园教师资格准入制度和定期注册制度，全面落实幼儿园教师持教师资格证上岗制度。</w:t>
            </w:r>
          </w:p>
        </w:tc>
        <w:tc>
          <w:tcPr>
            <w:tcW w:w="6516" w:type="dxa"/>
            <w:noWrap w:val="0"/>
            <w:vAlign w:val="center"/>
          </w:tcPr>
          <w:p>
            <w:pPr>
              <w:widowControl/>
              <w:kinsoku w:val="0"/>
              <w:autoSpaceDE w:val="0"/>
              <w:autoSpaceDN w:val="0"/>
              <w:adjustRightInd w:val="0"/>
              <w:snapToGrid w:val="0"/>
              <w:textAlignment w:val="baseline"/>
              <w:rPr>
                <w:rFonts w:ascii="仿宋" w:hAnsi="仿宋" w:eastAsia="仿宋" w:cs="Arial"/>
                <w:color w:val="000000"/>
                <w:sz w:val="22"/>
                <w:szCs w:val="22"/>
              </w:rPr>
            </w:pPr>
            <w:r>
              <w:rPr>
                <w:rFonts w:hint="eastAsia" w:ascii="仿宋" w:hAnsi="仿宋" w:eastAsia="仿宋" w:cs="Times New Roman"/>
                <w:sz w:val="22"/>
                <w:szCs w:val="22"/>
              </w:rPr>
              <w:t>1.</w:t>
            </w:r>
            <w:r>
              <w:rPr>
                <w:rFonts w:ascii="仿宋" w:hAnsi="仿宋" w:eastAsia="仿宋" w:cs="Times New Roman"/>
                <w:sz w:val="22"/>
                <w:szCs w:val="22"/>
              </w:rPr>
              <w:t>建立并落实幼儿园教师资格准入和定期注册制度。</w:t>
            </w:r>
          </w:p>
          <w:p>
            <w:pPr>
              <w:widowControl/>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2.县域内幼儿园园长、专任教师全员持证上岗。</w:t>
            </w:r>
          </w:p>
        </w:tc>
        <w:tc>
          <w:tcPr>
            <w:tcW w:w="1854" w:type="dxa"/>
            <w:noWrap w:val="0"/>
            <w:vAlign w:val="center"/>
          </w:tcPr>
          <w:p>
            <w:pPr>
              <w:kinsoku w:val="0"/>
              <w:autoSpaceDE w:val="0"/>
              <w:autoSpaceDN w:val="0"/>
              <w:adjustRightInd w:val="0"/>
              <w:snapToGrid w:val="0"/>
              <w:ind w:left="-107" w:leftChars="-51" w:right="-80" w:rightChars="-38"/>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149" w:type="dxa"/>
            <w:vMerge w:val="continue"/>
            <w:noWrap w:val="0"/>
            <w:vAlign w:val="center"/>
          </w:tcPr>
          <w:p>
            <w:pPr>
              <w:rPr>
                <w:rFonts w:ascii="仿宋" w:hAnsi="仿宋" w:eastAsia="仿宋" w:cs="Arial"/>
                <w:color w:val="000000"/>
                <w:sz w:val="22"/>
                <w:szCs w:val="22"/>
              </w:rPr>
            </w:pPr>
          </w:p>
        </w:tc>
        <w:tc>
          <w:tcPr>
            <w:tcW w:w="1330" w:type="dxa"/>
            <w:vMerge w:val="continue"/>
            <w:noWrap w:val="0"/>
            <w:vAlign w:val="center"/>
          </w:tcPr>
          <w:p>
            <w:pPr>
              <w:rPr>
                <w:rFonts w:ascii="仿宋" w:hAnsi="仿宋" w:eastAsia="仿宋" w:cs="Arial"/>
                <w:color w:val="000000"/>
                <w:sz w:val="22"/>
                <w:szCs w:val="22"/>
              </w:rPr>
            </w:pP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C33.落实幼儿园园长、教师定期培训和全员轮训制度。</w:t>
            </w:r>
          </w:p>
        </w:tc>
        <w:tc>
          <w:tcPr>
            <w:tcW w:w="6516"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确保幼儿园(含民办)园长、教师定期培训和全员轮训有经费保障、有实效。</w:t>
            </w:r>
          </w:p>
        </w:tc>
        <w:tc>
          <w:tcPr>
            <w:tcW w:w="1854" w:type="dxa"/>
            <w:noWrap w:val="0"/>
            <w:vAlign w:val="center"/>
          </w:tcPr>
          <w:p>
            <w:pPr>
              <w:kinsoku w:val="0"/>
              <w:autoSpaceDE w:val="0"/>
              <w:autoSpaceDN w:val="0"/>
              <w:adjustRightInd w:val="0"/>
              <w:snapToGrid w:val="0"/>
              <w:ind w:left="-80" w:leftChars="-38" w:right="-80" w:rightChars="-38"/>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49" w:type="dxa"/>
            <w:vMerge w:val="continue"/>
            <w:noWrap w:val="0"/>
            <w:vAlign w:val="center"/>
          </w:tcPr>
          <w:p>
            <w:pPr>
              <w:rPr>
                <w:rFonts w:ascii="仿宋" w:hAnsi="仿宋" w:eastAsia="仿宋" w:cs="Arial"/>
                <w:color w:val="000000"/>
                <w:sz w:val="22"/>
                <w:szCs w:val="22"/>
              </w:rPr>
            </w:pPr>
          </w:p>
        </w:tc>
        <w:tc>
          <w:tcPr>
            <w:tcW w:w="1330" w:type="dxa"/>
            <w:vMerge w:val="continue"/>
            <w:noWrap w:val="0"/>
            <w:vAlign w:val="center"/>
          </w:tcPr>
          <w:p>
            <w:pPr>
              <w:rPr>
                <w:rFonts w:ascii="仿宋" w:hAnsi="仿宋" w:eastAsia="仿宋" w:cs="Arial"/>
                <w:color w:val="000000"/>
                <w:sz w:val="22"/>
                <w:szCs w:val="22"/>
              </w:rPr>
            </w:pP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C34.加强师德师风建设，幼儿园普遍建立师德教育、考评、奖惩机制。</w:t>
            </w:r>
          </w:p>
        </w:tc>
        <w:tc>
          <w:tcPr>
            <w:tcW w:w="6516"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w:t>
            </w:r>
            <w:r>
              <w:rPr>
                <w:rFonts w:ascii="仿宋" w:hAnsi="仿宋" w:eastAsia="仿宋" w:cs="Times New Roman"/>
                <w:spacing w:val="-6"/>
                <w:sz w:val="22"/>
                <w:szCs w:val="22"/>
              </w:rPr>
              <w:t>将师德师风建设贯穿教师管理全过程，师德教育摆在教师培养首位</w:t>
            </w:r>
            <w:r>
              <w:rPr>
                <w:rFonts w:ascii="仿宋" w:hAnsi="仿宋" w:eastAsia="仿宋" w:cs="Times New Roman"/>
                <w:sz w:val="22"/>
                <w:szCs w:val="22"/>
              </w:rPr>
              <w:t>。</w:t>
            </w:r>
          </w:p>
          <w:p>
            <w:pPr>
              <w:rPr>
                <w:rFonts w:ascii="仿宋" w:hAnsi="仿宋" w:eastAsia="仿宋" w:cs="Times New Roman"/>
                <w:sz w:val="22"/>
                <w:szCs w:val="22"/>
              </w:rPr>
            </w:pPr>
            <w:r>
              <w:rPr>
                <w:rFonts w:ascii="仿宋" w:hAnsi="仿宋" w:eastAsia="仿宋" w:cs="Times New Roman"/>
                <w:sz w:val="22"/>
                <w:szCs w:val="22"/>
              </w:rPr>
              <w:t>2.</w:t>
            </w:r>
            <w:r>
              <w:rPr>
                <w:rFonts w:ascii="仿宋" w:hAnsi="仿宋" w:eastAsia="仿宋" w:cs="Times New Roman"/>
                <w:spacing w:val="-6"/>
                <w:sz w:val="22"/>
                <w:szCs w:val="22"/>
              </w:rPr>
              <w:t>将师德表现作为幼儿园教师准入、考核、聘任(聘用)和评优的首要内容</w:t>
            </w:r>
            <w:r>
              <w:rPr>
                <w:rFonts w:ascii="仿宋" w:hAnsi="仿宋" w:eastAsia="仿宋" w:cs="Times New Roman"/>
                <w:sz w:val="22"/>
                <w:szCs w:val="22"/>
              </w:rPr>
              <w:t>。</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3.师德监督由学校、教师、学生、家长、社会全面参与。</w:t>
            </w:r>
          </w:p>
        </w:tc>
        <w:tc>
          <w:tcPr>
            <w:tcW w:w="1854" w:type="dxa"/>
            <w:noWrap w:val="0"/>
            <w:vAlign w:val="center"/>
          </w:tcPr>
          <w:p>
            <w:pPr>
              <w:kinsoku w:val="0"/>
              <w:autoSpaceDE w:val="0"/>
              <w:autoSpaceDN w:val="0"/>
              <w:adjustRightInd w:val="0"/>
              <w:snapToGrid w:val="0"/>
              <w:ind w:left="-92" w:leftChars="-44" w:right="-50" w:rightChars="-24"/>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49" w:type="dxa"/>
            <w:vMerge w:val="continue"/>
            <w:shd w:val="clear" w:color="auto" w:fill="auto"/>
            <w:noWrap w:val="0"/>
            <w:vAlign w:val="top"/>
          </w:tcPr>
          <w:p>
            <w:pPr>
              <w:kinsoku w:val="0"/>
              <w:autoSpaceDE w:val="0"/>
              <w:autoSpaceDN w:val="0"/>
              <w:adjustRightInd w:val="0"/>
              <w:snapToGrid w:val="0"/>
              <w:jc w:val="center"/>
              <w:textAlignment w:val="baseline"/>
              <w:rPr>
                <w:rFonts w:ascii="仿宋" w:hAnsi="仿宋" w:eastAsia="仿宋" w:cs="Arial"/>
                <w:color w:val="000000"/>
                <w:sz w:val="22"/>
                <w:szCs w:val="22"/>
              </w:rPr>
            </w:pPr>
          </w:p>
        </w:tc>
        <w:tc>
          <w:tcPr>
            <w:tcW w:w="1330" w:type="dxa"/>
            <w:vMerge w:val="continue"/>
            <w:noWrap w:val="0"/>
            <w:vAlign w:val="center"/>
          </w:tcPr>
          <w:p>
            <w:pPr>
              <w:rPr>
                <w:rFonts w:ascii="仿宋" w:hAnsi="仿宋" w:eastAsia="仿宋" w:cs="Arial"/>
                <w:color w:val="000000"/>
                <w:sz w:val="22"/>
                <w:szCs w:val="22"/>
              </w:rPr>
            </w:pPr>
          </w:p>
        </w:tc>
        <w:tc>
          <w:tcPr>
            <w:tcW w:w="303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C35.督导评估认定前2年内没有发生严重的师德师风事件。</w:t>
            </w:r>
          </w:p>
        </w:tc>
        <w:tc>
          <w:tcPr>
            <w:tcW w:w="6516"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在督导评估认定前2年内未发生因师德失范、触犯法律等受到开除处分的严重师德师风事件。</w:t>
            </w:r>
          </w:p>
        </w:tc>
        <w:tc>
          <w:tcPr>
            <w:tcW w:w="1854" w:type="dxa"/>
            <w:noWrap w:val="0"/>
            <w:vAlign w:val="center"/>
          </w:tcPr>
          <w:p>
            <w:pPr>
              <w:kinsoku w:val="0"/>
              <w:autoSpaceDE w:val="0"/>
              <w:autoSpaceDN w:val="0"/>
              <w:adjustRightInd w:val="0"/>
              <w:snapToGrid w:val="0"/>
              <w:ind w:left="-92" w:leftChars="-44" w:right="-92" w:rightChars="-44"/>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bl>
    <w:p>
      <w:pPr>
        <w:spacing w:line="100" w:lineRule="exact"/>
        <w:rPr>
          <w:rFonts w:hint="eastAsia" w:ascii="仿宋" w:hAnsi="仿宋" w:eastAsia="仿宋" w:cs="Times New Roman"/>
        </w:rPr>
      </w:pPr>
    </w:p>
    <w:p>
      <w:pPr>
        <w:spacing w:line="100" w:lineRule="exact"/>
        <w:rPr>
          <w:rFonts w:ascii="仿宋" w:hAnsi="仿宋" w:eastAsia="仿宋"/>
        </w:rPr>
        <w:sectPr>
          <w:pgSz w:w="16838" w:h="11906" w:orient="landscape"/>
          <w:pgMar w:top="1588" w:right="1474" w:bottom="1134" w:left="1588" w:header="0" w:footer="964" w:gutter="0"/>
          <w:cols w:space="720" w:num="1"/>
          <w:titlePg/>
        </w:sectPr>
      </w:pPr>
    </w:p>
    <w:p>
      <w:pPr>
        <w:spacing w:line="100" w:lineRule="exact"/>
        <w:rPr>
          <w:rFonts w:hint="eastAsia" w:ascii="仿宋" w:hAnsi="仿宋" w:eastAsia="仿宋" w:cs="Times New Roman"/>
        </w:rPr>
      </w:pPr>
    </w:p>
    <w:tbl>
      <w:tblPr>
        <w:tblStyle w:val="8"/>
        <w:tblW w:w="1384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28"/>
        <w:gridCol w:w="2828"/>
        <w:gridCol w:w="678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1261" w:type="dxa"/>
            <w:vMerge w:val="restart"/>
            <w:shd w:val="clear" w:color="auto" w:fill="auto"/>
            <w:noWrap w:val="0"/>
            <w:vAlign w:val="center"/>
          </w:tcPr>
          <w:p>
            <w:pPr>
              <w:rPr>
                <w:rFonts w:hint="eastAsia" w:ascii="仿宋" w:hAnsi="仿宋" w:eastAsia="仿宋" w:cs="Times New Roman"/>
                <w:sz w:val="22"/>
                <w:szCs w:val="22"/>
              </w:rPr>
            </w:pPr>
            <w:r>
              <w:rPr>
                <w:rFonts w:ascii="仿宋" w:hAnsi="仿宋" w:eastAsia="仿宋" w:cs="Times New Roman"/>
                <w:sz w:val="22"/>
                <w:szCs w:val="22"/>
              </w:rPr>
              <w:t>A3幼儿园</w:t>
            </w:r>
          </w:p>
          <w:p>
            <w:pPr>
              <w:rPr>
                <w:rFonts w:hint="eastAsia" w:ascii="仿宋" w:hAnsi="仿宋" w:eastAsia="仿宋" w:cs="Times New Roman"/>
                <w:sz w:val="22"/>
                <w:szCs w:val="22"/>
              </w:rPr>
            </w:pPr>
            <w:r>
              <w:rPr>
                <w:rFonts w:ascii="仿宋" w:hAnsi="仿宋" w:eastAsia="仿宋" w:cs="Times New Roman"/>
                <w:sz w:val="22"/>
                <w:szCs w:val="22"/>
              </w:rPr>
              <w:t>保质质量</w:t>
            </w:r>
          </w:p>
          <w:p>
            <w:pPr>
              <w:rPr>
                <w:rFonts w:ascii="仿宋" w:hAnsi="仿宋" w:eastAsia="仿宋" w:cs="Arial"/>
                <w:color w:val="000000"/>
                <w:sz w:val="22"/>
                <w:szCs w:val="22"/>
              </w:rPr>
            </w:pPr>
            <w:r>
              <w:rPr>
                <w:rFonts w:ascii="仿宋" w:hAnsi="仿宋" w:eastAsia="仿宋" w:cs="Times New Roman"/>
                <w:sz w:val="22"/>
                <w:szCs w:val="22"/>
              </w:rPr>
              <w:t>保障情况</w:t>
            </w:r>
          </w:p>
        </w:tc>
        <w:tc>
          <w:tcPr>
            <w:tcW w:w="1428" w:type="dxa"/>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B17.落实科</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学保教要求</w:t>
            </w:r>
          </w:p>
        </w:tc>
        <w:tc>
          <w:tcPr>
            <w:tcW w:w="282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C36.县域内幼儿园落实《幼儿园工作规程》《幼儿园教育指导纲要》和《3—6岁儿</w:t>
            </w:r>
            <w:r>
              <w:rPr>
                <w:rFonts w:ascii="仿宋" w:hAnsi="仿宋" w:eastAsia="仿宋" w:cs="Times New Roman"/>
                <w:spacing w:val="-6"/>
                <w:sz w:val="22"/>
                <w:szCs w:val="22"/>
              </w:rPr>
              <w:t>童学习与发展指南》的规定，</w:t>
            </w:r>
            <w:r>
              <w:rPr>
                <w:rFonts w:ascii="仿宋" w:hAnsi="仿宋" w:eastAsia="仿宋" w:cs="Times New Roman"/>
                <w:sz w:val="22"/>
                <w:szCs w:val="22"/>
              </w:rPr>
              <w:t>以游戏为基本活动，无“小学化”现象，</w:t>
            </w:r>
          </w:p>
        </w:tc>
        <w:tc>
          <w:tcPr>
            <w:tcW w:w="6788"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1.幼儿园按规定创设多种活动区域。</w:t>
            </w:r>
          </w:p>
          <w:p>
            <w:pPr>
              <w:rPr>
                <w:rFonts w:ascii="仿宋" w:hAnsi="仿宋" w:eastAsia="仿宋" w:cs="Times New Roman"/>
                <w:sz w:val="22"/>
                <w:szCs w:val="22"/>
              </w:rPr>
            </w:pPr>
            <w:r>
              <w:rPr>
                <w:rFonts w:ascii="仿宋" w:hAnsi="仿宋" w:eastAsia="仿宋" w:cs="Times New Roman"/>
                <w:sz w:val="22"/>
                <w:szCs w:val="22"/>
              </w:rPr>
              <w:t>2.提供充足的符合幼儿年龄特点的玩教具、游戏材料、图画书。</w:t>
            </w:r>
          </w:p>
          <w:p>
            <w:pPr>
              <w:rPr>
                <w:rFonts w:ascii="仿宋" w:hAnsi="仿宋" w:eastAsia="仿宋" w:cs="Times New Roman"/>
                <w:sz w:val="22"/>
                <w:szCs w:val="22"/>
              </w:rPr>
            </w:pPr>
            <w:r>
              <w:rPr>
                <w:rFonts w:ascii="仿宋" w:hAnsi="仿宋" w:eastAsia="仿宋" w:cs="Times New Roman"/>
                <w:sz w:val="22"/>
                <w:szCs w:val="22"/>
              </w:rPr>
              <w:t>3.没有提前教授汉语拼音、识字、计算、英语等小学课程内容。</w:t>
            </w:r>
          </w:p>
          <w:p>
            <w:pPr>
              <w:rPr>
                <w:rFonts w:ascii="仿宋" w:hAnsi="仿宋" w:eastAsia="仿宋" w:cs="Times New Roman"/>
                <w:sz w:val="22"/>
                <w:szCs w:val="22"/>
              </w:rPr>
            </w:pPr>
            <w:r>
              <w:rPr>
                <w:rFonts w:ascii="仿宋" w:hAnsi="仿宋" w:eastAsia="仿宋" w:cs="Times New Roman"/>
                <w:sz w:val="22"/>
                <w:szCs w:val="22"/>
              </w:rPr>
              <w:t>4.没有以课堂集中授课方式为主组织安排一日活动。</w:t>
            </w:r>
          </w:p>
          <w:p>
            <w:pPr>
              <w:rPr>
                <w:rFonts w:hint="eastAsia" w:ascii="仿宋" w:hAnsi="仿宋" w:eastAsia="仿宋" w:cs="Times New Roman"/>
                <w:sz w:val="22"/>
                <w:szCs w:val="22"/>
              </w:rPr>
            </w:pPr>
            <w:r>
              <w:rPr>
                <w:rFonts w:ascii="仿宋" w:hAnsi="仿宋" w:eastAsia="仿宋" w:cs="Times New Roman"/>
                <w:sz w:val="22"/>
                <w:szCs w:val="22"/>
              </w:rPr>
              <w:t>5.没有以机械背诵、记忆、抄写、计算等方式进行知识技能性强化训练的行为</w:t>
            </w:r>
            <w:r>
              <w:rPr>
                <w:rFonts w:hint="eastAsia" w:ascii="仿宋" w:hAnsi="仿宋" w:eastAsia="仿宋" w:cs="Times New Roman"/>
                <w:sz w:val="22"/>
                <w:szCs w:val="22"/>
              </w:rPr>
              <w:t>。</w:t>
            </w:r>
          </w:p>
          <w:p>
            <w:pPr>
              <w:rPr>
                <w:rFonts w:ascii="仿宋" w:hAnsi="仿宋" w:eastAsia="仿宋" w:cs="Times New Roman"/>
                <w:sz w:val="22"/>
                <w:szCs w:val="22"/>
              </w:rPr>
            </w:pPr>
            <w:r>
              <w:rPr>
                <w:rFonts w:ascii="仿宋" w:hAnsi="仿宋" w:eastAsia="仿宋" w:cs="Times New Roman"/>
                <w:sz w:val="22"/>
                <w:szCs w:val="22"/>
              </w:rPr>
              <w:t>6.没有对幼儿园“小学化”问题的有效投诉。</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说明：</w:t>
            </w:r>
            <w:r>
              <w:rPr>
                <w:rFonts w:ascii="仿宋" w:hAnsi="仿宋" w:eastAsia="仿宋" w:cs="Times New Roman"/>
                <w:spacing w:val="-10"/>
                <w:sz w:val="22"/>
                <w:szCs w:val="22"/>
              </w:rPr>
              <w:t>无“小学化”现象：指幼儿园按规定创设多种活动区域（区角）；</w:t>
            </w:r>
            <w:r>
              <w:rPr>
                <w:rFonts w:ascii="仿宋" w:hAnsi="仿宋" w:eastAsia="仿宋" w:cs="Times New Roman"/>
                <w:sz w:val="22"/>
                <w:szCs w:val="22"/>
              </w:rPr>
              <w:t>提供充足的符合幼儿年龄特点的玩教具、游戏材料、图画书；没有提前教授汉语拼音、识字、计算、英语等小学课程内容；没有以课堂集中授课方式为主组织安排一日活动；没有以机械背诵、记忆、抄写、计算等方式进行知识技能性强化训练的行为</w:t>
            </w:r>
          </w:p>
        </w:tc>
        <w:tc>
          <w:tcPr>
            <w:tcW w:w="1542" w:type="dxa"/>
            <w:noWrap w:val="0"/>
            <w:vAlign w:val="center"/>
          </w:tcPr>
          <w:p>
            <w:pPr>
              <w:kinsoku w:val="0"/>
              <w:autoSpaceDE w:val="0"/>
              <w:autoSpaceDN w:val="0"/>
              <w:adjustRightInd w:val="0"/>
              <w:snapToGrid w:val="0"/>
              <w:ind w:left="-84" w:leftChars="-40" w:right="-105" w:rightChars="-50"/>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261" w:type="dxa"/>
            <w:vMerge w:val="continue"/>
            <w:shd w:val="clear" w:color="auto" w:fill="auto"/>
            <w:noWrap w:val="0"/>
            <w:vAlign w:val="center"/>
          </w:tcPr>
          <w:p>
            <w:pPr>
              <w:rPr>
                <w:rFonts w:ascii="仿宋" w:hAnsi="仿宋" w:eastAsia="仿宋" w:cs="Arial"/>
                <w:color w:val="000000"/>
                <w:sz w:val="22"/>
                <w:szCs w:val="22"/>
              </w:rPr>
            </w:pPr>
          </w:p>
        </w:tc>
        <w:tc>
          <w:tcPr>
            <w:tcW w:w="1428" w:type="dxa"/>
            <w:noWrap w:val="0"/>
            <w:vAlign w:val="center"/>
          </w:tcPr>
          <w:p>
            <w:pPr>
              <w:kinsoku w:val="0"/>
              <w:autoSpaceDE w:val="0"/>
              <w:autoSpaceDN w:val="0"/>
              <w:adjustRightInd w:val="0"/>
              <w:snapToGrid w:val="0"/>
              <w:textAlignment w:val="baseline"/>
              <w:rPr>
                <w:rFonts w:hint="eastAsia" w:ascii="仿宋" w:hAnsi="仿宋" w:eastAsia="仿宋" w:cs="Times New Roman"/>
                <w:sz w:val="22"/>
                <w:szCs w:val="22"/>
              </w:rPr>
            </w:pPr>
            <w:r>
              <w:rPr>
                <w:rFonts w:ascii="仿宋" w:hAnsi="仿宋" w:eastAsia="仿宋" w:cs="Times New Roman"/>
                <w:sz w:val="22"/>
                <w:szCs w:val="22"/>
              </w:rPr>
              <w:t>B18.加强教</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研工作</w:t>
            </w:r>
          </w:p>
        </w:tc>
        <w:tc>
          <w:tcPr>
            <w:tcW w:w="282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C37.健全县级教研责任区制度园本教研和区域教研实现常态化。</w:t>
            </w:r>
          </w:p>
        </w:tc>
        <w:tc>
          <w:tcPr>
            <w:tcW w:w="6788" w:type="dxa"/>
            <w:noWrap w:val="0"/>
            <w:vAlign w:val="center"/>
          </w:tcPr>
          <w:p>
            <w:pPr>
              <w:rPr>
                <w:rFonts w:ascii="仿宋" w:hAnsi="仿宋" w:eastAsia="仿宋" w:cs="Arial"/>
                <w:color w:val="000000"/>
                <w:sz w:val="22"/>
                <w:szCs w:val="22"/>
              </w:rPr>
            </w:pPr>
            <w:r>
              <w:rPr>
                <w:rFonts w:ascii="仿宋" w:hAnsi="仿宋" w:eastAsia="仿宋" w:cs="Times New Roman"/>
                <w:sz w:val="22"/>
                <w:szCs w:val="22"/>
              </w:rPr>
              <w:t>1.</w:t>
            </w:r>
            <w:r>
              <w:rPr>
                <w:rFonts w:hint="eastAsia" w:ascii="仿宋" w:hAnsi="仿宋" w:eastAsia="仿宋" w:cs="Times New Roman"/>
                <w:sz w:val="22"/>
                <w:szCs w:val="22"/>
              </w:rPr>
              <w:t>全</w:t>
            </w:r>
            <w:r>
              <w:rPr>
                <w:rFonts w:ascii="仿宋" w:hAnsi="仿宋" w:eastAsia="仿宋" w:cs="Times New Roman"/>
                <w:sz w:val="22"/>
                <w:szCs w:val="22"/>
              </w:rPr>
              <w:t>县至少配备1名学前教育专职教研员，遴选优秀园长和教师担任兼职教研员成立专兼职结合的学前教研指导组(教研工作室),进一步完善学前教研制度，健全区域幼儿园教研机制，建立覆盖城乡各类幼儿园的学前教育指导网络。</w:t>
            </w:r>
          </w:p>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2.各个教研片区每学期至少开展2次扎实有效的教研活动。</w:t>
            </w:r>
          </w:p>
        </w:tc>
        <w:tc>
          <w:tcPr>
            <w:tcW w:w="1542" w:type="dxa"/>
            <w:noWrap w:val="0"/>
            <w:vAlign w:val="center"/>
          </w:tcPr>
          <w:p>
            <w:pPr>
              <w:kinsoku w:val="0"/>
              <w:autoSpaceDE w:val="0"/>
              <w:autoSpaceDN w:val="0"/>
              <w:adjustRightInd w:val="0"/>
              <w:snapToGrid w:val="0"/>
              <w:ind w:left="-113" w:leftChars="-54" w:right="-63" w:rightChars="-30"/>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261"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A4.</w:t>
            </w:r>
            <w:r>
              <w:rPr>
                <w:rFonts w:ascii="仿宋" w:hAnsi="仿宋" w:eastAsia="仿宋" w:cs="Times New Roman"/>
                <w:spacing w:val="-10"/>
                <w:sz w:val="22"/>
                <w:szCs w:val="22"/>
              </w:rPr>
              <w:t>社会认可度情况</w:t>
            </w:r>
          </w:p>
        </w:tc>
        <w:tc>
          <w:tcPr>
            <w:tcW w:w="1428" w:type="dxa"/>
            <w:noWrap w:val="0"/>
            <w:vAlign w:val="center"/>
          </w:tcPr>
          <w:p>
            <w:pPr>
              <w:kinsoku w:val="0"/>
              <w:autoSpaceDE w:val="0"/>
              <w:autoSpaceDN w:val="0"/>
              <w:adjustRightInd w:val="0"/>
              <w:snapToGrid w:val="0"/>
              <w:ind w:right="-92" w:rightChars="-44"/>
              <w:textAlignment w:val="baseline"/>
              <w:rPr>
                <w:rFonts w:hint="eastAsia" w:ascii="仿宋" w:hAnsi="仿宋" w:eastAsia="仿宋" w:cs="Times New Roman"/>
                <w:sz w:val="22"/>
                <w:szCs w:val="22"/>
              </w:rPr>
            </w:pPr>
            <w:r>
              <w:rPr>
                <w:rFonts w:ascii="仿宋" w:hAnsi="仿宋" w:eastAsia="仿宋" w:cs="Times New Roman"/>
                <w:sz w:val="22"/>
                <w:szCs w:val="22"/>
              </w:rPr>
              <w:t>B19.开展社</w:t>
            </w:r>
          </w:p>
          <w:p>
            <w:pPr>
              <w:kinsoku w:val="0"/>
              <w:autoSpaceDE w:val="0"/>
              <w:autoSpaceDN w:val="0"/>
              <w:adjustRightInd w:val="0"/>
              <w:snapToGrid w:val="0"/>
              <w:ind w:left="-65" w:leftChars="-31" w:firstLine="14" w:firstLineChars="7"/>
              <w:textAlignment w:val="baseline"/>
              <w:rPr>
                <w:rFonts w:ascii="仿宋" w:hAnsi="仿宋" w:eastAsia="仿宋" w:cs="Arial"/>
                <w:color w:val="000000"/>
                <w:sz w:val="22"/>
                <w:szCs w:val="22"/>
              </w:rPr>
            </w:pPr>
            <w:r>
              <w:rPr>
                <w:rFonts w:ascii="仿宋" w:hAnsi="仿宋" w:eastAsia="仿宋" w:cs="Times New Roman"/>
                <w:spacing w:val="-10"/>
                <w:sz w:val="22"/>
                <w:szCs w:val="22"/>
              </w:rPr>
              <w:t>会认可度调查</w:t>
            </w:r>
          </w:p>
        </w:tc>
        <w:tc>
          <w:tcPr>
            <w:tcW w:w="282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C38.社会认可度须高于85%</w:t>
            </w:r>
          </w:p>
        </w:tc>
        <w:tc>
          <w:tcPr>
            <w:tcW w:w="6788" w:type="dxa"/>
            <w:noWrap w:val="0"/>
            <w:vAlign w:val="center"/>
          </w:tcPr>
          <w:p>
            <w:pPr>
              <w:kinsoku w:val="0"/>
              <w:autoSpaceDE w:val="0"/>
              <w:autoSpaceDN w:val="0"/>
              <w:adjustRightInd w:val="0"/>
              <w:snapToGrid w:val="0"/>
              <w:textAlignment w:val="baseline"/>
              <w:rPr>
                <w:rFonts w:ascii="仿宋" w:hAnsi="仿宋" w:eastAsia="仿宋" w:cs="Arial"/>
                <w:color w:val="000000"/>
                <w:sz w:val="22"/>
                <w:szCs w:val="22"/>
              </w:rPr>
            </w:pPr>
            <w:r>
              <w:rPr>
                <w:rFonts w:ascii="仿宋" w:hAnsi="仿宋" w:eastAsia="仿宋" w:cs="Times New Roman"/>
                <w:sz w:val="22"/>
                <w:szCs w:val="22"/>
              </w:rPr>
              <w:t>通过国家调查平台，对包括家长、教职工、园长、人大代表、政协委员及其他群众等开展学前教育社会认可度调查，社会认可度达到85%以上。</w:t>
            </w:r>
          </w:p>
        </w:tc>
        <w:tc>
          <w:tcPr>
            <w:tcW w:w="1542" w:type="dxa"/>
            <w:noWrap w:val="0"/>
            <w:vAlign w:val="center"/>
          </w:tcPr>
          <w:p>
            <w:pPr>
              <w:ind w:left="-85" w:leftChars="-53" w:right="-105" w:rightChars="-50" w:hanging="26" w:hangingChars="12"/>
              <w:jc w:val="center"/>
              <w:rPr>
                <w:rFonts w:ascii="仿宋" w:hAnsi="仿宋" w:eastAsia="仿宋" w:cs="Arial"/>
                <w:color w:val="000000"/>
                <w:sz w:val="22"/>
                <w:szCs w:val="22"/>
              </w:rPr>
            </w:pPr>
            <w:r>
              <w:rPr>
                <w:rFonts w:hint="eastAsia" w:ascii="仿宋" w:hAnsi="仿宋" w:eastAsia="仿宋" w:cs="Times New Roman"/>
                <w:sz w:val="22"/>
                <w:szCs w:val="22"/>
              </w:rPr>
              <w:t>县委</w:t>
            </w:r>
            <w:r>
              <w:rPr>
                <w:rFonts w:ascii="仿宋" w:hAnsi="仿宋" w:eastAsia="仿宋" w:cs="Times New Roman"/>
                <w:sz w:val="22"/>
                <w:szCs w:val="22"/>
              </w:rPr>
              <w:t>宣传部</w:t>
            </w:r>
          </w:p>
          <w:p>
            <w:pPr>
              <w:kinsoku w:val="0"/>
              <w:autoSpaceDE w:val="0"/>
              <w:autoSpaceDN w:val="0"/>
              <w:adjustRightInd w:val="0"/>
              <w:snapToGrid w:val="0"/>
              <w:ind w:left="-84" w:leftChars="-40" w:right="-90" w:rightChars="-43"/>
              <w:jc w:val="center"/>
              <w:textAlignment w:val="baseline"/>
              <w:rPr>
                <w:rFonts w:ascii="仿宋" w:hAnsi="仿宋" w:eastAsia="仿宋" w:cs="Arial"/>
                <w:color w:val="000000"/>
                <w:sz w:val="22"/>
                <w:szCs w:val="22"/>
              </w:rPr>
            </w:pPr>
            <w:r>
              <w:rPr>
                <w:rFonts w:hint="eastAsia" w:ascii="仿宋" w:hAnsi="仿宋" w:eastAsia="仿宋" w:cs="Times New Roman"/>
                <w:sz w:val="22"/>
                <w:szCs w:val="22"/>
              </w:rPr>
              <w:t>县</w:t>
            </w:r>
            <w:r>
              <w:rPr>
                <w:rFonts w:ascii="仿宋" w:hAnsi="仿宋" w:eastAsia="仿宋" w:cs="Times New Roman"/>
                <w:sz w:val="22"/>
                <w:szCs w:val="22"/>
              </w:rPr>
              <w:t>教育科技局</w:t>
            </w:r>
          </w:p>
        </w:tc>
      </w:tr>
    </w:tbl>
    <w:p>
      <w:pPr>
        <w:rPr>
          <w:rFonts w:hint="eastAsia" w:ascii="仿宋" w:hAnsi="仿宋" w:eastAsia="仿宋"/>
        </w:rPr>
        <w:sectPr>
          <w:pgSz w:w="16838" w:h="11906" w:orient="landscape"/>
          <w:pgMar w:top="1588" w:right="1474" w:bottom="1134" w:left="1588" w:header="0" w:footer="964" w:gutter="0"/>
          <w:cols w:space="720" w:num="1"/>
          <w:titlePg/>
        </w:sectPr>
      </w:pPr>
    </w:p>
    <w:p>
      <w:bookmarkStart w:id="0" w:name="_GoBack"/>
      <w:bookmarkEnd w:id="0"/>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429922EE"/>
    <w:rsid w:val="02F8654E"/>
    <w:rsid w:val="108532B0"/>
    <w:rsid w:val="1AA2560D"/>
    <w:rsid w:val="1DBB073B"/>
    <w:rsid w:val="1E842D33"/>
    <w:rsid w:val="27224A51"/>
    <w:rsid w:val="2C705B57"/>
    <w:rsid w:val="2DC35A21"/>
    <w:rsid w:val="3FBB0E6B"/>
    <w:rsid w:val="429922EE"/>
    <w:rsid w:val="51A60430"/>
    <w:rsid w:val="5240744D"/>
    <w:rsid w:val="55E85160"/>
    <w:rsid w:val="5F1D4ED4"/>
    <w:rsid w:val="649E6188"/>
    <w:rsid w:val="66DA6889"/>
    <w:rsid w:val="6B14233D"/>
    <w:rsid w:val="713F6856"/>
    <w:rsid w:val="72A4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3"/>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autoRedefine/>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Title"/>
    <w:basedOn w:val="1"/>
    <w:autoRedefine/>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Body Text"/>
    <w:semiHidden/>
    <w:qFormat/>
    <w:uiPriority w:val="0"/>
    <w:pPr>
      <w:widowControl w:val="0"/>
      <w:jc w:val="both"/>
    </w:pPr>
    <w:rPr>
      <w:rFonts w:ascii="仿宋" w:hAnsi="仿宋" w:eastAsia="仿宋" w:cs="宋体"/>
      <w:kern w:val="2"/>
      <w:sz w:val="22"/>
      <w:szCs w:val="22"/>
      <w:lang w:val="en-US" w:eastAsia="zh-CN" w:bidi="ar-SA"/>
    </w:rPr>
  </w:style>
  <w:style w:type="paragraph"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styleId="10">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2024-03-26T09:07:00Z</dcterms:created>
  <dc:creator>Administrator</dc:creator>
  <cp:lastModifiedBy>Administrator</cp:lastModifiedBy>
  <dcterms:modified xsi:type="dcterms:W3CDTF">2024-03-26T09:08:34Z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50E56A40892445B587A7DD266A376B54_11</vt:lpwstr>
  </property>
</Properties>
</file>